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0F11F" w14:textId="77777777" w:rsidR="002F3D36" w:rsidRPr="002F3D36" w:rsidRDefault="002F3D36" w:rsidP="002F3D36">
      <w:pPr>
        <w:widowControl/>
        <w:spacing w:line="20" w:lineRule="atLeast"/>
        <w:rPr>
          <w:rFonts w:ascii="Times New Roman" w:eastAsia="宋体" w:hAnsi="Times New Roman" w:cs="Times New Roman"/>
          <w:color w:val="000000"/>
          <w:kern w:val="0"/>
          <w:sz w:val="20"/>
          <w:szCs w:val="20"/>
        </w:rPr>
      </w:pPr>
      <w:r w:rsidRPr="002F3D36">
        <w:rPr>
          <w:rFonts w:ascii="Arial" w:eastAsia="宋体" w:hAnsi="Arial" w:cs="Arial"/>
          <w:color w:val="000000"/>
          <w:kern w:val="0"/>
          <w:sz w:val="2"/>
          <w:szCs w:val="2"/>
        </w:rPr>
        <w:t> </w:t>
      </w:r>
    </w:p>
    <w:p w14:paraId="3FBF1937" w14:textId="77777777" w:rsidR="002F3D36" w:rsidRPr="002F3D36" w:rsidRDefault="002F3D36" w:rsidP="002F3D36">
      <w:pPr>
        <w:widowControl/>
        <w:jc w:val="center"/>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24"/>
          <w:szCs w:val="24"/>
        </w:rPr>
        <w:t>UNITED STATES</w:t>
      </w:r>
    </w:p>
    <w:p w14:paraId="21371C7D" w14:textId="77777777" w:rsidR="002F3D36" w:rsidRPr="002F3D36" w:rsidRDefault="002F3D36" w:rsidP="002F3D36">
      <w:pPr>
        <w:widowControl/>
        <w:jc w:val="center"/>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24"/>
          <w:szCs w:val="24"/>
        </w:rPr>
        <w:t>SECURITIES AND EXCHANGE COMMISSION</w:t>
      </w:r>
    </w:p>
    <w:p w14:paraId="5A4CA227" w14:textId="77777777" w:rsidR="002F3D36" w:rsidRPr="002F3D36" w:rsidRDefault="002F3D36" w:rsidP="002F3D36">
      <w:pPr>
        <w:widowControl/>
        <w:jc w:val="center"/>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Washington, D.C. 20549</w:t>
      </w:r>
    </w:p>
    <w:p w14:paraId="48F59B98" w14:textId="77777777" w:rsidR="002F3D36" w:rsidRPr="002F3D36" w:rsidRDefault="002F3D36" w:rsidP="002F3D36">
      <w:pPr>
        <w:widowControl/>
        <w:spacing w:before="120"/>
        <w:jc w:val="center"/>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24"/>
          <w:szCs w:val="24"/>
        </w:rPr>
        <w:t>FORM 10-K</w:t>
      </w:r>
    </w:p>
    <w:tbl>
      <w:tblPr>
        <w:tblW w:w="20614" w:type="dxa"/>
        <w:tblCellSpacing w:w="15" w:type="dxa"/>
        <w:tblCellMar>
          <w:top w:w="15" w:type="dxa"/>
          <w:left w:w="15" w:type="dxa"/>
          <w:bottom w:w="15" w:type="dxa"/>
          <w:right w:w="15" w:type="dxa"/>
        </w:tblCellMar>
        <w:tblLook w:val="04A0" w:firstRow="1" w:lastRow="0" w:firstColumn="1" w:lastColumn="0" w:noHBand="0" w:noVBand="1"/>
      </w:tblPr>
      <w:tblGrid>
        <w:gridCol w:w="718"/>
        <w:gridCol w:w="19896"/>
      </w:tblGrid>
      <w:tr w:rsidR="002F3D36" w:rsidRPr="002F3D36" w14:paraId="4401B1D1" w14:textId="77777777" w:rsidTr="002F3D36">
        <w:trPr>
          <w:tblCellSpacing w:w="15" w:type="dxa"/>
        </w:trPr>
        <w:tc>
          <w:tcPr>
            <w:tcW w:w="674" w:type="dxa"/>
            <w:vAlign w:val="center"/>
            <w:hideMark/>
          </w:tcPr>
          <w:p w14:paraId="115EDF80" w14:textId="77777777" w:rsidR="002F3D36" w:rsidRPr="002F3D36" w:rsidRDefault="002F3D36" w:rsidP="002F3D36">
            <w:pPr>
              <w:widowControl/>
              <w:jc w:val="left"/>
              <w:rPr>
                <w:rFonts w:ascii="Times New Roman" w:eastAsia="宋体" w:hAnsi="Times New Roman" w:cs="Times New Roman"/>
                <w:color w:val="000000"/>
                <w:kern w:val="0"/>
                <w:sz w:val="20"/>
                <w:szCs w:val="20"/>
              </w:rPr>
            </w:pPr>
          </w:p>
        </w:tc>
        <w:tc>
          <w:tcPr>
            <w:tcW w:w="19881" w:type="dxa"/>
            <w:vAlign w:val="center"/>
            <w:hideMark/>
          </w:tcPr>
          <w:p w14:paraId="7FB0FDB3" w14:textId="77777777" w:rsidR="002F3D36" w:rsidRPr="002F3D36" w:rsidRDefault="002F3D36" w:rsidP="002F3D36">
            <w:pPr>
              <w:widowControl/>
              <w:jc w:val="left"/>
              <w:rPr>
                <w:rFonts w:ascii="Times New Roman" w:eastAsia="Times New Roman" w:hAnsi="Times New Roman" w:cs="Times New Roman"/>
                <w:kern w:val="0"/>
                <w:sz w:val="20"/>
                <w:szCs w:val="20"/>
              </w:rPr>
            </w:pPr>
          </w:p>
        </w:tc>
      </w:tr>
      <w:tr w:rsidR="002F3D36" w:rsidRPr="002F3D36" w14:paraId="23757492" w14:textId="77777777" w:rsidTr="002F3D36">
        <w:trPr>
          <w:trHeight w:val="160"/>
          <w:tblCellSpacing w:w="15" w:type="dxa"/>
        </w:trPr>
        <w:tc>
          <w:tcPr>
            <w:tcW w:w="0" w:type="auto"/>
            <w:hideMark/>
          </w:tcPr>
          <w:p w14:paraId="100F6716" w14:textId="77777777" w:rsidR="002F3D36" w:rsidRPr="002F3D36" w:rsidRDefault="002F3D36" w:rsidP="002F3D36">
            <w:pPr>
              <w:widowControl/>
              <w:spacing w:line="0" w:lineRule="auto"/>
              <w:jc w:val="left"/>
              <w:rPr>
                <w:rFonts w:ascii="Times New Roman" w:eastAsia="微软雅黑" w:hAnsi="Times New Roman" w:cs="Times New Roman"/>
                <w:kern w:val="0"/>
                <w:sz w:val="20"/>
                <w:szCs w:val="20"/>
              </w:rPr>
            </w:pPr>
            <w:r w:rsidRPr="002F3D36">
              <w:rPr>
                <w:rFonts w:ascii="Segoe UI Symbol" w:eastAsia="微软雅黑" w:hAnsi="Segoe UI Symbol" w:cs="Segoe UI Symbol"/>
                <w:color w:val="000000"/>
                <w:kern w:val="0"/>
                <w:sz w:val="16"/>
                <w:szCs w:val="16"/>
              </w:rPr>
              <w:t>☒</w:t>
            </w:r>
          </w:p>
        </w:tc>
        <w:tc>
          <w:tcPr>
            <w:tcW w:w="0" w:type="auto"/>
            <w:hideMark/>
          </w:tcPr>
          <w:p w14:paraId="39F26766" w14:textId="77777777" w:rsidR="002F3D36" w:rsidRPr="002F3D36" w:rsidRDefault="002F3D36" w:rsidP="002F3D36">
            <w:pPr>
              <w:widowControl/>
              <w:spacing w:before="120" w:line="0" w:lineRule="auto"/>
              <w:jc w:val="left"/>
              <w:rPr>
                <w:rFonts w:ascii="Times New Roman" w:eastAsia="微软雅黑" w:hAnsi="Times New Roman" w:cs="Times New Roman"/>
                <w:kern w:val="0"/>
                <w:sz w:val="16"/>
                <w:szCs w:val="16"/>
              </w:rPr>
            </w:pPr>
            <w:r w:rsidRPr="002F3D36">
              <w:rPr>
                <w:rFonts w:ascii="Arial" w:eastAsia="微软雅黑" w:hAnsi="Arial" w:cs="Arial"/>
                <w:b/>
                <w:bCs/>
                <w:color w:val="000000"/>
                <w:kern w:val="0"/>
                <w:sz w:val="16"/>
                <w:szCs w:val="16"/>
              </w:rPr>
              <w:t>ANNUAL REPORT PURSUANT TO SECTION 13 OR 15(d) OF THE SECURITIES EXCHANGE ACT OF 1934</w:t>
            </w:r>
          </w:p>
        </w:tc>
      </w:tr>
    </w:tbl>
    <w:p w14:paraId="6C05C793"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2"/>
          <w:szCs w:val="12"/>
        </w:rPr>
        <w:t> </w:t>
      </w:r>
    </w:p>
    <w:p w14:paraId="34C637A2" w14:textId="77777777" w:rsidR="002F3D36" w:rsidRPr="002F3D36" w:rsidRDefault="002F3D36" w:rsidP="002F3D36">
      <w:pPr>
        <w:widowControl/>
        <w:jc w:val="center"/>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For the fiscal year ended December 31, 2021</w:t>
      </w:r>
    </w:p>
    <w:p w14:paraId="3351049D" w14:textId="77777777" w:rsidR="002F3D36" w:rsidRPr="002F3D36" w:rsidRDefault="002F3D36" w:rsidP="002F3D36">
      <w:pPr>
        <w:widowControl/>
        <w:jc w:val="center"/>
        <w:rPr>
          <w:rFonts w:ascii="Times New Roman" w:eastAsia="宋体" w:hAnsi="Times New Roman" w:cs="Times New Roman"/>
          <w:color w:val="000000"/>
          <w:kern w:val="0"/>
          <w:sz w:val="20"/>
          <w:szCs w:val="20"/>
        </w:rPr>
      </w:pPr>
      <w:r w:rsidRPr="002F3D36">
        <w:rPr>
          <w:rFonts w:ascii="Arial" w:eastAsia="宋体" w:hAnsi="Arial" w:cs="Arial"/>
          <w:color w:val="000000"/>
          <w:kern w:val="0"/>
          <w:sz w:val="12"/>
          <w:szCs w:val="12"/>
        </w:rPr>
        <w:t> </w:t>
      </w:r>
    </w:p>
    <w:p w14:paraId="462ACECE" w14:textId="77777777" w:rsidR="002F3D36" w:rsidRPr="002F3D36" w:rsidRDefault="002F3D36" w:rsidP="002F3D36">
      <w:pPr>
        <w:widowControl/>
        <w:jc w:val="center"/>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or</w:t>
      </w:r>
    </w:p>
    <w:p w14:paraId="734C9185" w14:textId="77777777" w:rsidR="002F3D36" w:rsidRPr="002F3D36" w:rsidRDefault="002F3D36" w:rsidP="002F3D36">
      <w:pPr>
        <w:widowControl/>
        <w:jc w:val="center"/>
        <w:rPr>
          <w:rFonts w:ascii="Times New Roman" w:eastAsia="宋体" w:hAnsi="Times New Roman" w:cs="Times New Roman"/>
          <w:color w:val="000000"/>
          <w:kern w:val="0"/>
          <w:sz w:val="20"/>
          <w:szCs w:val="20"/>
        </w:rPr>
      </w:pPr>
      <w:r w:rsidRPr="002F3D36">
        <w:rPr>
          <w:rFonts w:ascii="Arial" w:eastAsia="宋体" w:hAnsi="Arial" w:cs="Arial"/>
          <w:color w:val="000000"/>
          <w:kern w:val="0"/>
          <w:sz w:val="12"/>
          <w:szCs w:val="12"/>
        </w:rPr>
        <w:t> </w:t>
      </w:r>
    </w:p>
    <w:tbl>
      <w:tblPr>
        <w:tblW w:w="20614" w:type="dxa"/>
        <w:tblCellSpacing w:w="15" w:type="dxa"/>
        <w:tblCellMar>
          <w:top w:w="15" w:type="dxa"/>
          <w:left w:w="15" w:type="dxa"/>
          <w:bottom w:w="15" w:type="dxa"/>
          <w:right w:w="15" w:type="dxa"/>
        </w:tblCellMar>
        <w:tblLook w:val="04A0" w:firstRow="1" w:lastRow="0" w:firstColumn="1" w:lastColumn="0" w:noHBand="0" w:noVBand="1"/>
      </w:tblPr>
      <w:tblGrid>
        <w:gridCol w:w="718"/>
        <w:gridCol w:w="19896"/>
      </w:tblGrid>
      <w:tr w:rsidR="002F3D36" w:rsidRPr="002F3D36" w14:paraId="180E14B0" w14:textId="77777777" w:rsidTr="002F3D36">
        <w:trPr>
          <w:tblCellSpacing w:w="15" w:type="dxa"/>
        </w:trPr>
        <w:tc>
          <w:tcPr>
            <w:tcW w:w="674" w:type="dxa"/>
            <w:vAlign w:val="center"/>
            <w:hideMark/>
          </w:tcPr>
          <w:p w14:paraId="5B778F9B" w14:textId="77777777" w:rsidR="002F3D36" w:rsidRPr="002F3D36" w:rsidRDefault="002F3D36" w:rsidP="002F3D36">
            <w:pPr>
              <w:widowControl/>
              <w:jc w:val="left"/>
              <w:rPr>
                <w:rFonts w:ascii="Times New Roman" w:eastAsia="宋体" w:hAnsi="Times New Roman" w:cs="Times New Roman"/>
                <w:color w:val="000000"/>
                <w:kern w:val="0"/>
                <w:sz w:val="20"/>
                <w:szCs w:val="20"/>
              </w:rPr>
            </w:pPr>
          </w:p>
        </w:tc>
        <w:tc>
          <w:tcPr>
            <w:tcW w:w="19881" w:type="dxa"/>
            <w:vAlign w:val="center"/>
            <w:hideMark/>
          </w:tcPr>
          <w:p w14:paraId="14CD038E" w14:textId="77777777" w:rsidR="002F3D36" w:rsidRPr="002F3D36" w:rsidRDefault="002F3D36" w:rsidP="002F3D36">
            <w:pPr>
              <w:widowControl/>
              <w:jc w:val="left"/>
              <w:rPr>
                <w:rFonts w:ascii="Times New Roman" w:eastAsia="Times New Roman" w:hAnsi="Times New Roman" w:cs="Times New Roman"/>
                <w:kern w:val="0"/>
                <w:sz w:val="20"/>
                <w:szCs w:val="20"/>
              </w:rPr>
            </w:pPr>
          </w:p>
        </w:tc>
      </w:tr>
      <w:tr w:rsidR="002F3D36" w:rsidRPr="002F3D36" w14:paraId="632F0D02" w14:textId="77777777" w:rsidTr="002F3D36">
        <w:trPr>
          <w:trHeight w:val="160"/>
          <w:tblCellSpacing w:w="15" w:type="dxa"/>
        </w:trPr>
        <w:tc>
          <w:tcPr>
            <w:tcW w:w="0" w:type="auto"/>
            <w:hideMark/>
          </w:tcPr>
          <w:p w14:paraId="6F3C5CF5" w14:textId="77777777" w:rsidR="002F3D36" w:rsidRPr="002F3D36" w:rsidRDefault="002F3D36" w:rsidP="002F3D36">
            <w:pPr>
              <w:widowControl/>
              <w:spacing w:line="0" w:lineRule="auto"/>
              <w:jc w:val="left"/>
              <w:rPr>
                <w:rFonts w:ascii="Times New Roman" w:eastAsia="微软雅黑" w:hAnsi="Times New Roman" w:cs="Times New Roman"/>
                <w:kern w:val="0"/>
                <w:sz w:val="20"/>
                <w:szCs w:val="20"/>
              </w:rPr>
            </w:pPr>
            <w:r w:rsidRPr="002F3D36">
              <w:rPr>
                <w:rFonts w:ascii="Segoe UI Symbol" w:eastAsia="微软雅黑" w:hAnsi="Segoe UI Symbol" w:cs="Segoe UI Symbol"/>
                <w:color w:val="000000"/>
                <w:kern w:val="0"/>
                <w:sz w:val="16"/>
                <w:szCs w:val="16"/>
              </w:rPr>
              <w:t>☐</w:t>
            </w:r>
          </w:p>
        </w:tc>
        <w:tc>
          <w:tcPr>
            <w:tcW w:w="0" w:type="auto"/>
            <w:hideMark/>
          </w:tcPr>
          <w:p w14:paraId="79C7059B" w14:textId="77777777" w:rsidR="002F3D36" w:rsidRPr="002F3D36" w:rsidRDefault="002F3D36" w:rsidP="002F3D36">
            <w:pPr>
              <w:widowControl/>
              <w:spacing w:line="0" w:lineRule="auto"/>
              <w:jc w:val="left"/>
              <w:rPr>
                <w:rFonts w:ascii="Times New Roman" w:eastAsia="微软雅黑" w:hAnsi="Times New Roman" w:cs="Times New Roman"/>
                <w:kern w:val="0"/>
                <w:sz w:val="16"/>
                <w:szCs w:val="16"/>
              </w:rPr>
            </w:pPr>
            <w:r w:rsidRPr="002F3D36">
              <w:rPr>
                <w:rFonts w:ascii="Arial" w:eastAsia="微软雅黑" w:hAnsi="Arial" w:cs="Arial"/>
                <w:b/>
                <w:bCs/>
                <w:color w:val="000000"/>
                <w:kern w:val="0"/>
                <w:sz w:val="16"/>
                <w:szCs w:val="16"/>
              </w:rPr>
              <w:t>TRANSITION REPORT PURSUANT TO SECTION 13 OR 15(d) OF THE SECURITIES EXCHANGE ACT OF 1934</w:t>
            </w:r>
          </w:p>
        </w:tc>
      </w:tr>
    </w:tbl>
    <w:p w14:paraId="1F12EFC1" w14:textId="77777777" w:rsidR="002F3D36" w:rsidRPr="002F3D36" w:rsidRDefault="002F3D36" w:rsidP="002F3D36">
      <w:pPr>
        <w:widowControl/>
        <w:jc w:val="center"/>
        <w:rPr>
          <w:rFonts w:ascii="Times New Roman" w:eastAsia="宋体" w:hAnsi="Times New Roman" w:cs="Times New Roman"/>
          <w:color w:val="000000"/>
          <w:kern w:val="0"/>
          <w:sz w:val="20"/>
          <w:szCs w:val="20"/>
        </w:rPr>
      </w:pPr>
      <w:r w:rsidRPr="002F3D36">
        <w:rPr>
          <w:rFonts w:ascii="Arial" w:eastAsia="宋体" w:hAnsi="Arial" w:cs="Arial"/>
          <w:color w:val="000000"/>
          <w:kern w:val="0"/>
          <w:sz w:val="12"/>
          <w:szCs w:val="12"/>
        </w:rPr>
        <w:t> </w:t>
      </w:r>
    </w:p>
    <w:p w14:paraId="3484736A" w14:textId="77777777" w:rsidR="002F3D36" w:rsidRPr="002F3D36" w:rsidRDefault="002F3D36" w:rsidP="002F3D36">
      <w:pPr>
        <w:widowControl/>
        <w:jc w:val="center"/>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6"/>
          <w:szCs w:val="16"/>
        </w:rPr>
        <w:t>For the transition period from _________ to _________</w:t>
      </w:r>
    </w:p>
    <w:p w14:paraId="584C7B1B"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6"/>
          <w:szCs w:val="6"/>
        </w:rPr>
        <w:t> </w:t>
      </w:r>
    </w:p>
    <w:p w14:paraId="091B8D3C" w14:textId="77777777" w:rsidR="002F3D36" w:rsidRPr="002F3D36" w:rsidRDefault="002F3D36" w:rsidP="002F3D36">
      <w:pPr>
        <w:widowControl/>
        <w:jc w:val="center"/>
        <w:rPr>
          <w:rFonts w:ascii="Times New Roman" w:eastAsia="宋体" w:hAnsi="Times New Roman" w:cs="Times New Roman"/>
          <w:color w:val="000000"/>
          <w:kern w:val="0"/>
          <w:sz w:val="20"/>
          <w:szCs w:val="20"/>
        </w:rPr>
      </w:pPr>
      <w:r w:rsidRPr="002F3D36">
        <w:rPr>
          <w:rFonts w:ascii="Arial" w:eastAsia="宋体" w:hAnsi="Arial" w:cs="Arial"/>
          <w:color w:val="000000"/>
          <w:kern w:val="0"/>
          <w:sz w:val="6"/>
          <w:szCs w:val="6"/>
        </w:rPr>
        <w:t> </w:t>
      </w:r>
    </w:p>
    <w:p w14:paraId="0105E2C9" w14:textId="77777777" w:rsidR="002F3D36" w:rsidRPr="002F3D36" w:rsidRDefault="002F3D36" w:rsidP="002F3D36">
      <w:pPr>
        <w:widowControl/>
        <w:jc w:val="center"/>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 xml:space="preserve">Commission file number: </w:t>
      </w:r>
      <w:r w:rsidRPr="002F3D36">
        <w:rPr>
          <w:rFonts w:ascii="Arial" w:eastAsia="宋体" w:hAnsi="Arial" w:cs="Arial"/>
          <w:b/>
          <w:bCs/>
          <w:color w:val="000000"/>
          <w:kern w:val="0"/>
          <w:sz w:val="18"/>
          <w:szCs w:val="18"/>
          <w:u w:val="single"/>
        </w:rPr>
        <w:t>001-12933</w:t>
      </w:r>
    </w:p>
    <w:p w14:paraId="59D9DE08" w14:textId="77777777" w:rsidR="002F3D36" w:rsidRPr="002F3D36" w:rsidRDefault="002F3D36" w:rsidP="002F3D36">
      <w:pPr>
        <w:widowControl/>
        <w:spacing w:before="120"/>
        <w:jc w:val="center"/>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30"/>
          <w:szCs w:val="30"/>
        </w:rPr>
        <w:t>AUTOLIV, INC.</w:t>
      </w:r>
    </w:p>
    <w:p w14:paraId="1627CEC6" w14:textId="77777777" w:rsidR="002F3D36" w:rsidRPr="002F3D36" w:rsidRDefault="002F3D36" w:rsidP="002F3D36">
      <w:pPr>
        <w:widowControl/>
        <w:jc w:val="center"/>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(Exact name of registrant as specified in its charter)</w:t>
      </w:r>
    </w:p>
    <w:p w14:paraId="10343628" w14:textId="77777777" w:rsidR="002F3D36" w:rsidRPr="002F3D36" w:rsidRDefault="002F3D36" w:rsidP="002F3D36">
      <w:pPr>
        <w:widowControl/>
        <w:jc w:val="left"/>
        <w:rPr>
          <w:rFonts w:ascii="Times New Roman" w:eastAsia="宋体" w:hAnsi="Times New Roman" w:cs="Times New Roman"/>
          <w:color w:val="000000"/>
          <w:kern w:val="0"/>
          <w:sz w:val="20"/>
          <w:szCs w:val="20"/>
        </w:rPr>
      </w:pPr>
      <w:r w:rsidRPr="002F3D36">
        <w:rPr>
          <w:rFonts w:ascii="Arial" w:eastAsia="宋体" w:hAnsi="Arial" w:cs="Arial"/>
          <w:color w:val="000000"/>
          <w:kern w:val="0"/>
          <w:sz w:val="12"/>
          <w:szCs w:val="12"/>
        </w:rPr>
        <w:t> </w:t>
      </w:r>
    </w:p>
    <w:tbl>
      <w:tblPr>
        <w:tblW w:w="20614" w:type="dxa"/>
        <w:tblCellSpacing w:w="15" w:type="dxa"/>
        <w:tblCellMar>
          <w:top w:w="15" w:type="dxa"/>
          <w:left w:w="15" w:type="dxa"/>
          <w:bottom w:w="15" w:type="dxa"/>
          <w:right w:w="15" w:type="dxa"/>
        </w:tblCellMar>
        <w:tblLook w:val="04A0" w:firstRow="1" w:lastRow="0" w:firstColumn="1" w:lastColumn="0" w:noHBand="0" w:noVBand="1"/>
      </w:tblPr>
      <w:tblGrid>
        <w:gridCol w:w="10307"/>
        <w:gridCol w:w="10307"/>
      </w:tblGrid>
      <w:tr w:rsidR="002F3D36" w:rsidRPr="002F3D36" w14:paraId="769EA8A8" w14:textId="77777777" w:rsidTr="002F3D36">
        <w:trPr>
          <w:tblCellSpacing w:w="15" w:type="dxa"/>
        </w:trPr>
        <w:tc>
          <w:tcPr>
            <w:tcW w:w="10277" w:type="dxa"/>
            <w:vAlign w:val="center"/>
            <w:hideMark/>
          </w:tcPr>
          <w:p w14:paraId="3E0E6729" w14:textId="77777777" w:rsidR="002F3D36" w:rsidRPr="002F3D36" w:rsidRDefault="002F3D36" w:rsidP="002F3D36">
            <w:pPr>
              <w:widowControl/>
              <w:jc w:val="left"/>
              <w:rPr>
                <w:rFonts w:ascii="Times New Roman" w:eastAsia="宋体" w:hAnsi="Times New Roman" w:cs="Times New Roman"/>
                <w:color w:val="000000"/>
                <w:kern w:val="0"/>
                <w:sz w:val="20"/>
                <w:szCs w:val="20"/>
              </w:rPr>
            </w:pPr>
          </w:p>
        </w:tc>
        <w:tc>
          <w:tcPr>
            <w:tcW w:w="10277" w:type="dxa"/>
            <w:vAlign w:val="center"/>
            <w:hideMark/>
          </w:tcPr>
          <w:p w14:paraId="49986670" w14:textId="77777777" w:rsidR="002F3D36" w:rsidRPr="002F3D36" w:rsidRDefault="002F3D36" w:rsidP="002F3D36">
            <w:pPr>
              <w:widowControl/>
              <w:jc w:val="left"/>
              <w:rPr>
                <w:rFonts w:ascii="Times New Roman" w:eastAsia="Times New Roman" w:hAnsi="Times New Roman" w:cs="Times New Roman"/>
                <w:kern w:val="0"/>
                <w:sz w:val="20"/>
                <w:szCs w:val="20"/>
              </w:rPr>
            </w:pPr>
          </w:p>
        </w:tc>
      </w:tr>
      <w:tr w:rsidR="002F3D36" w:rsidRPr="002F3D36" w14:paraId="1A2B20D2" w14:textId="77777777" w:rsidTr="002F3D36">
        <w:trPr>
          <w:trHeight w:val="180"/>
          <w:tblCellSpacing w:w="15" w:type="dxa"/>
        </w:trPr>
        <w:tc>
          <w:tcPr>
            <w:tcW w:w="0" w:type="auto"/>
            <w:shd w:val="clear" w:color="auto" w:fill="FFFFFF"/>
            <w:tcMar>
              <w:top w:w="14" w:type="dxa"/>
              <w:left w:w="15" w:type="dxa"/>
              <w:bottom w:w="15" w:type="dxa"/>
              <w:right w:w="14" w:type="dxa"/>
            </w:tcMar>
            <w:hideMark/>
          </w:tcPr>
          <w:p w14:paraId="3FB92A4B" w14:textId="77777777" w:rsidR="002F3D36" w:rsidRPr="002F3D36" w:rsidRDefault="002F3D36" w:rsidP="002F3D36">
            <w:pPr>
              <w:widowControl/>
              <w:jc w:val="center"/>
              <w:rPr>
                <w:rFonts w:ascii="Times New Roman" w:eastAsia="微软雅黑" w:hAnsi="Times New Roman" w:cs="Times New Roman"/>
                <w:kern w:val="0"/>
                <w:sz w:val="20"/>
                <w:szCs w:val="20"/>
              </w:rPr>
            </w:pPr>
            <w:r w:rsidRPr="002F3D36">
              <w:rPr>
                <w:rFonts w:ascii="Arial" w:eastAsia="微软雅黑" w:hAnsi="Arial" w:cs="Arial"/>
                <w:b/>
                <w:bCs/>
                <w:color w:val="000000"/>
                <w:kern w:val="0"/>
                <w:sz w:val="18"/>
                <w:szCs w:val="18"/>
              </w:rPr>
              <w:t>Delaware</w:t>
            </w:r>
          </w:p>
        </w:tc>
        <w:tc>
          <w:tcPr>
            <w:tcW w:w="0" w:type="auto"/>
            <w:shd w:val="clear" w:color="auto" w:fill="FFFFFF"/>
            <w:tcMar>
              <w:top w:w="14" w:type="dxa"/>
              <w:left w:w="15" w:type="dxa"/>
              <w:bottom w:w="15" w:type="dxa"/>
              <w:right w:w="14" w:type="dxa"/>
            </w:tcMar>
            <w:hideMark/>
          </w:tcPr>
          <w:p w14:paraId="3D98636D" w14:textId="77777777" w:rsidR="002F3D36" w:rsidRPr="002F3D36" w:rsidRDefault="002F3D36" w:rsidP="002F3D36">
            <w:pPr>
              <w:widowControl/>
              <w:jc w:val="center"/>
              <w:rPr>
                <w:rFonts w:ascii="Times New Roman" w:eastAsia="微软雅黑" w:hAnsi="Times New Roman" w:cs="Times New Roman"/>
                <w:kern w:val="0"/>
                <w:sz w:val="20"/>
                <w:szCs w:val="20"/>
              </w:rPr>
            </w:pPr>
            <w:r w:rsidRPr="002F3D36">
              <w:rPr>
                <w:rFonts w:ascii="Arial" w:eastAsia="微软雅黑" w:hAnsi="Arial" w:cs="Arial"/>
                <w:b/>
                <w:bCs/>
                <w:color w:val="000000"/>
                <w:kern w:val="0"/>
                <w:sz w:val="18"/>
                <w:szCs w:val="18"/>
              </w:rPr>
              <w:t>51-0378542</w:t>
            </w:r>
          </w:p>
        </w:tc>
      </w:tr>
      <w:tr w:rsidR="002F3D36" w:rsidRPr="002F3D36" w14:paraId="21B330B6" w14:textId="77777777" w:rsidTr="002F3D36">
        <w:trPr>
          <w:trHeight w:val="140"/>
          <w:tblCellSpacing w:w="15" w:type="dxa"/>
        </w:trPr>
        <w:tc>
          <w:tcPr>
            <w:tcW w:w="0" w:type="auto"/>
            <w:shd w:val="clear" w:color="auto" w:fill="FFFFFF"/>
            <w:tcMar>
              <w:top w:w="14" w:type="dxa"/>
              <w:left w:w="15" w:type="dxa"/>
              <w:bottom w:w="15" w:type="dxa"/>
              <w:right w:w="14" w:type="dxa"/>
            </w:tcMar>
            <w:hideMark/>
          </w:tcPr>
          <w:p w14:paraId="0396D210" w14:textId="77777777" w:rsidR="002F3D36" w:rsidRPr="002F3D36" w:rsidRDefault="002F3D36" w:rsidP="002F3D36">
            <w:pPr>
              <w:widowControl/>
              <w:jc w:val="center"/>
              <w:rPr>
                <w:rFonts w:ascii="Times New Roman" w:eastAsia="微软雅黑" w:hAnsi="Times New Roman" w:cs="Times New Roman"/>
                <w:kern w:val="0"/>
                <w:sz w:val="14"/>
                <w:szCs w:val="14"/>
              </w:rPr>
            </w:pPr>
            <w:r w:rsidRPr="002F3D36">
              <w:rPr>
                <w:rFonts w:ascii="Arial" w:eastAsia="微软雅黑" w:hAnsi="Arial" w:cs="Arial"/>
                <w:b/>
                <w:bCs/>
                <w:color w:val="000000"/>
                <w:kern w:val="0"/>
                <w:sz w:val="14"/>
                <w:szCs w:val="14"/>
              </w:rPr>
              <w:t>(State or other jurisdiction of</w:t>
            </w:r>
          </w:p>
          <w:p w14:paraId="4C056503" w14:textId="77777777" w:rsidR="002F3D36" w:rsidRPr="002F3D36" w:rsidRDefault="002F3D36" w:rsidP="002F3D36">
            <w:pPr>
              <w:widowControl/>
              <w:jc w:val="center"/>
              <w:rPr>
                <w:rFonts w:ascii="Times New Roman" w:eastAsia="微软雅黑" w:hAnsi="Times New Roman" w:cs="Times New Roman"/>
                <w:kern w:val="0"/>
                <w:sz w:val="14"/>
                <w:szCs w:val="14"/>
              </w:rPr>
            </w:pPr>
            <w:r w:rsidRPr="002F3D36">
              <w:rPr>
                <w:rFonts w:ascii="Arial" w:eastAsia="微软雅黑" w:hAnsi="Arial" w:cs="Arial"/>
                <w:b/>
                <w:bCs/>
                <w:color w:val="000000"/>
                <w:kern w:val="0"/>
                <w:sz w:val="14"/>
                <w:szCs w:val="14"/>
              </w:rPr>
              <w:t>incorporation or organization)</w:t>
            </w:r>
          </w:p>
        </w:tc>
        <w:tc>
          <w:tcPr>
            <w:tcW w:w="0" w:type="auto"/>
            <w:shd w:val="clear" w:color="auto" w:fill="FFFFFF"/>
            <w:tcMar>
              <w:top w:w="14" w:type="dxa"/>
              <w:left w:w="15" w:type="dxa"/>
              <w:bottom w:w="15" w:type="dxa"/>
              <w:right w:w="14" w:type="dxa"/>
            </w:tcMar>
            <w:hideMark/>
          </w:tcPr>
          <w:p w14:paraId="0600FC96" w14:textId="77777777" w:rsidR="002F3D36" w:rsidRPr="002F3D36" w:rsidRDefault="002F3D36" w:rsidP="002F3D36">
            <w:pPr>
              <w:widowControl/>
              <w:jc w:val="center"/>
              <w:rPr>
                <w:rFonts w:ascii="Times New Roman" w:eastAsia="微软雅黑" w:hAnsi="Times New Roman" w:cs="Times New Roman"/>
                <w:kern w:val="0"/>
                <w:sz w:val="14"/>
                <w:szCs w:val="14"/>
              </w:rPr>
            </w:pPr>
            <w:r w:rsidRPr="002F3D36">
              <w:rPr>
                <w:rFonts w:ascii="Arial" w:eastAsia="微软雅黑" w:hAnsi="Arial" w:cs="Arial"/>
                <w:b/>
                <w:bCs/>
                <w:color w:val="000000"/>
                <w:kern w:val="0"/>
                <w:sz w:val="14"/>
                <w:szCs w:val="14"/>
              </w:rPr>
              <w:t>(I.R.S. Employer</w:t>
            </w:r>
          </w:p>
          <w:p w14:paraId="6EE6A775" w14:textId="77777777" w:rsidR="002F3D36" w:rsidRPr="002F3D36" w:rsidRDefault="002F3D36" w:rsidP="002F3D36">
            <w:pPr>
              <w:widowControl/>
              <w:jc w:val="center"/>
              <w:rPr>
                <w:rFonts w:ascii="Times New Roman" w:eastAsia="微软雅黑" w:hAnsi="Times New Roman" w:cs="Times New Roman"/>
                <w:kern w:val="0"/>
                <w:sz w:val="14"/>
                <w:szCs w:val="14"/>
              </w:rPr>
            </w:pPr>
            <w:r w:rsidRPr="002F3D36">
              <w:rPr>
                <w:rFonts w:ascii="Arial" w:eastAsia="微软雅黑" w:hAnsi="Arial" w:cs="Arial"/>
                <w:b/>
                <w:bCs/>
                <w:color w:val="000000"/>
                <w:kern w:val="0"/>
                <w:sz w:val="14"/>
                <w:szCs w:val="14"/>
              </w:rPr>
              <w:t>Identification No.)</w:t>
            </w:r>
          </w:p>
        </w:tc>
      </w:tr>
    </w:tbl>
    <w:p w14:paraId="72607DAC"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2"/>
          <w:szCs w:val="12"/>
        </w:rPr>
        <w:t> </w:t>
      </w:r>
    </w:p>
    <w:tbl>
      <w:tblPr>
        <w:tblW w:w="20614" w:type="dxa"/>
        <w:tblCellSpacing w:w="15" w:type="dxa"/>
        <w:tblCellMar>
          <w:top w:w="15" w:type="dxa"/>
          <w:left w:w="15" w:type="dxa"/>
          <w:bottom w:w="15" w:type="dxa"/>
          <w:right w:w="15" w:type="dxa"/>
        </w:tblCellMar>
        <w:tblLook w:val="04A0" w:firstRow="1" w:lastRow="0" w:firstColumn="1" w:lastColumn="0" w:noHBand="0" w:noVBand="1"/>
      </w:tblPr>
      <w:tblGrid>
        <w:gridCol w:w="10337"/>
        <w:gridCol w:w="10277"/>
      </w:tblGrid>
      <w:tr w:rsidR="002F3D36" w:rsidRPr="002F3D36" w14:paraId="00BFC1BB" w14:textId="77777777" w:rsidTr="002F3D36">
        <w:trPr>
          <w:tblCellSpacing w:w="15" w:type="dxa"/>
        </w:trPr>
        <w:tc>
          <w:tcPr>
            <w:tcW w:w="10306" w:type="dxa"/>
            <w:vAlign w:val="center"/>
            <w:hideMark/>
          </w:tcPr>
          <w:p w14:paraId="7AC21B3A" w14:textId="77777777" w:rsidR="002F3D36" w:rsidRPr="002F3D36" w:rsidRDefault="002F3D36" w:rsidP="002F3D36">
            <w:pPr>
              <w:widowControl/>
              <w:jc w:val="left"/>
              <w:rPr>
                <w:rFonts w:ascii="Times New Roman" w:eastAsia="宋体" w:hAnsi="Times New Roman" w:cs="Times New Roman"/>
                <w:color w:val="000000"/>
                <w:kern w:val="0"/>
                <w:sz w:val="20"/>
                <w:szCs w:val="20"/>
              </w:rPr>
            </w:pPr>
          </w:p>
        </w:tc>
        <w:tc>
          <w:tcPr>
            <w:tcW w:w="10249" w:type="dxa"/>
            <w:vAlign w:val="center"/>
            <w:hideMark/>
          </w:tcPr>
          <w:p w14:paraId="039B8812" w14:textId="77777777" w:rsidR="002F3D36" w:rsidRPr="002F3D36" w:rsidRDefault="002F3D36" w:rsidP="002F3D36">
            <w:pPr>
              <w:widowControl/>
              <w:jc w:val="left"/>
              <w:rPr>
                <w:rFonts w:ascii="Times New Roman" w:eastAsia="Times New Roman" w:hAnsi="Times New Roman" w:cs="Times New Roman"/>
                <w:kern w:val="0"/>
                <w:sz w:val="20"/>
                <w:szCs w:val="20"/>
              </w:rPr>
            </w:pPr>
          </w:p>
        </w:tc>
      </w:tr>
      <w:tr w:rsidR="002F3D36" w:rsidRPr="002F3D36" w14:paraId="13480BE4" w14:textId="77777777" w:rsidTr="002F3D36">
        <w:trPr>
          <w:trHeight w:val="180"/>
          <w:tblCellSpacing w:w="15" w:type="dxa"/>
        </w:trPr>
        <w:tc>
          <w:tcPr>
            <w:tcW w:w="0" w:type="auto"/>
            <w:hideMark/>
          </w:tcPr>
          <w:p w14:paraId="5777D655" w14:textId="77777777" w:rsidR="002F3D36" w:rsidRPr="002F3D36" w:rsidRDefault="002F3D36" w:rsidP="002F3D36">
            <w:pPr>
              <w:widowControl/>
              <w:jc w:val="center"/>
              <w:rPr>
                <w:rFonts w:ascii="Times New Roman" w:eastAsia="微软雅黑" w:hAnsi="Times New Roman" w:cs="Times New Roman"/>
                <w:kern w:val="0"/>
                <w:sz w:val="20"/>
                <w:szCs w:val="20"/>
              </w:rPr>
            </w:pPr>
            <w:r w:rsidRPr="002F3D36">
              <w:rPr>
                <w:rFonts w:ascii="Arial" w:eastAsia="微软雅黑" w:hAnsi="Arial" w:cs="Arial"/>
                <w:b/>
                <w:bCs/>
                <w:color w:val="000000"/>
                <w:kern w:val="0"/>
                <w:sz w:val="18"/>
                <w:szCs w:val="18"/>
              </w:rPr>
              <w:t>Klarabergsviadukten 70, Section B7,</w:t>
            </w:r>
          </w:p>
        </w:tc>
        <w:tc>
          <w:tcPr>
            <w:tcW w:w="0" w:type="auto"/>
            <w:hideMark/>
          </w:tcPr>
          <w:p w14:paraId="2B666BF3"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r>
      <w:tr w:rsidR="002F3D36" w:rsidRPr="002F3D36" w14:paraId="6D563C53" w14:textId="77777777" w:rsidTr="002F3D36">
        <w:trPr>
          <w:trHeight w:val="180"/>
          <w:tblCellSpacing w:w="15" w:type="dxa"/>
        </w:trPr>
        <w:tc>
          <w:tcPr>
            <w:tcW w:w="0" w:type="auto"/>
            <w:hideMark/>
          </w:tcPr>
          <w:p w14:paraId="4DFCEFA9" w14:textId="77777777" w:rsidR="002F3D36" w:rsidRPr="002F3D36" w:rsidRDefault="002F3D36" w:rsidP="002F3D36">
            <w:pPr>
              <w:widowControl/>
              <w:jc w:val="center"/>
              <w:rPr>
                <w:rFonts w:ascii="Times New Roman" w:eastAsia="微软雅黑" w:hAnsi="Times New Roman" w:cs="Times New Roman"/>
                <w:kern w:val="0"/>
                <w:sz w:val="20"/>
                <w:szCs w:val="20"/>
              </w:rPr>
            </w:pPr>
            <w:r w:rsidRPr="002F3D36">
              <w:rPr>
                <w:rFonts w:ascii="Arial" w:eastAsia="微软雅黑" w:hAnsi="Arial" w:cs="Arial"/>
                <w:b/>
                <w:bCs/>
                <w:color w:val="000000"/>
                <w:kern w:val="0"/>
                <w:sz w:val="18"/>
                <w:szCs w:val="18"/>
              </w:rPr>
              <w:t>Box 70381,</w:t>
            </w:r>
          </w:p>
        </w:tc>
        <w:tc>
          <w:tcPr>
            <w:tcW w:w="0" w:type="auto"/>
            <w:hideMark/>
          </w:tcPr>
          <w:p w14:paraId="7B830B52" w14:textId="77777777" w:rsidR="002F3D36" w:rsidRPr="002F3D36" w:rsidRDefault="002F3D36" w:rsidP="002F3D36">
            <w:pPr>
              <w:widowControl/>
              <w:jc w:val="center"/>
              <w:rPr>
                <w:rFonts w:ascii="Times New Roman" w:eastAsia="微软雅黑" w:hAnsi="Times New Roman" w:cs="Times New Roman"/>
                <w:kern w:val="0"/>
                <w:sz w:val="20"/>
                <w:szCs w:val="20"/>
              </w:rPr>
            </w:pPr>
            <w:r w:rsidRPr="002F3D36">
              <w:rPr>
                <w:rFonts w:ascii="Arial" w:eastAsia="微软雅黑" w:hAnsi="Arial" w:cs="Arial"/>
                <w:b/>
                <w:bCs/>
                <w:color w:val="000000"/>
                <w:kern w:val="0"/>
                <w:sz w:val="18"/>
                <w:szCs w:val="18"/>
              </w:rPr>
              <w:t>SE-107 24</w:t>
            </w:r>
          </w:p>
        </w:tc>
      </w:tr>
      <w:tr w:rsidR="002F3D36" w:rsidRPr="002F3D36" w14:paraId="226BD9F3" w14:textId="77777777" w:rsidTr="002F3D36">
        <w:trPr>
          <w:trHeight w:val="180"/>
          <w:tblCellSpacing w:w="15" w:type="dxa"/>
        </w:trPr>
        <w:tc>
          <w:tcPr>
            <w:tcW w:w="0" w:type="auto"/>
            <w:hideMark/>
          </w:tcPr>
          <w:p w14:paraId="20553FF4" w14:textId="77777777" w:rsidR="002F3D36" w:rsidRPr="002F3D36" w:rsidRDefault="002F3D36" w:rsidP="002F3D36">
            <w:pPr>
              <w:widowControl/>
              <w:jc w:val="center"/>
              <w:rPr>
                <w:rFonts w:ascii="Times New Roman" w:eastAsia="微软雅黑" w:hAnsi="Times New Roman" w:cs="Times New Roman"/>
                <w:kern w:val="0"/>
                <w:sz w:val="20"/>
                <w:szCs w:val="20"/>
              </w:rPr>
            </w:pPr>
            <w:r w:rsidRPr="002F3D36">
              <w:rPr>
                <w:rFonts w:ascii="Arial" w:eastAsia="微软雅黑" w:hAnsi="Arial" w:cs="Arial"/>
                <w:b/>
                <w:bCs/>
                <w:color w:val="000000"/>
                <w:kern w:val="0"/>
                <w:sz w:val="18"/>
                <w:szCs w:val="18"/>
              </w:rPr>
              <w:t>Stockholm, Sweden</w:t>
            </w:r>
          </w:p>
        </w:tc>
        <w:tc>
          <w:tcPr>
            <w:tcW w:w="0" w:type="auto"/>
            <w:hideMark/>
          </w:tcPr>
          <w:p w14:paraId="01833A9A" w14:textId="77777777" w:rsidR="002F3D36" w:rsidRPr="002F3D36" w:rsidRDefault="002F3D36" w:rsidP="002F3D36">
            <w:pPr>
              <w:widowControl/>
              <w:jc w:val="center"/>
              <w:rPr>
                <w:rFonts w:ascii="Times New Roman" w:eastAsia="微软雅黑" w:hAnsi="Times New Roman" w:cs="Times New Roman"/>
                <w:kern w:val="0"/>
                <w:sz w:val="14"/>
                <w:szCs w:val="14"/>
              </w:rPr>
            </w:pPr>
            <w:r w:rsidRPr="002F3D36">
              <w:rPr>
                <w:rFonts w:ascii="Arial" w:eastAsia="微软雅黑" w:hAnsi="Arial" w:cs="Arial"/>
                <w:b/>
                <w:bCs/>
                <w:color w:val="000000"/>
                <w:kern w:val="0"/>
                <w:sz w:val="14"/>
                <w:szCs w:val="14"/>
              </w:rPr>
              <w:t>(Zip Code)</w:t>
            </w:r>
          </w:p>
        </w:tc>
      </w:tr>
      <w:tr w:rsidR="002F3D36" w:rsidRPr="002F3D36" w14:paraId="20F84848" w14:textId="77777777" w:rsidTr="002F3D36">
        <w:trPr>
          <w:trHeight w:val="140"/>
          <w:tblCellSpacing w:w="15" w:type="dxa"/>
        </w:trPr>
        <w:tc>
          <w:tcPr>
            <w:tcW w:w="0" w:type="auto"/>
            <w:hideMark/>
          </w:tcPr>
          <w:p w14:paraId="1E94F501" w14:textId="77777777" w:rsidR="002F3D36" w:rsidRPr="002F3D36" w:rsidRDefault="002F3D36" w:rsidP="002F3D36">
            <w:pPr>
              <w:widowControl/>
              <w:jc w:val="center"/>
              <w:rPr>
                <w:rFonts w:ascii="Times New Roman" w:eastAsia="微软雅黑" w:hAnsi="Times New Roman" w:cs="Times New Roman"/>
                <w:kern w:val="0"/>
                <w:sz w:val="14"/>
                <w:szCs w:val="14"/>
              </w:rPr>
            </w:pPr>
            <w:r w:rsidRPr="002F3D36">
              <w:rPr>
                <w:rFonts w:ascii="Arial" w:eastAsia="微软雅黑" w:hAnsi="Arial" w:cs="Arial"/>
                <w:b/>
                <w:bCs/>
                <w:color w:val="000000"/>
                <w:kern w:val="0"/>
                <w:sz w:val="14"/>
                <w:szCs w:val="14"/>
              </w:rPr>
              <w:t>(Address of principal executive offices)</w:t>
            </w:r>
          </w:p>
        </w:tc>
        <w:tc>
          <w:tcPr>
            <w:tcW w:w="0" w:type="auto"/>
            <w:hideMark/>
          </w:tcPr>
          <w:p w14:paraId="5387EF68"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r>
    </w:tbl>
    <w:p w14:paraId="6FF9A5B4"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2"/>
          <w:szCs w:val="12"/>
        </w:rPr>
        <w:t> </w:t>
      </w:r>
    </w:p>
    <w:p w14:paraId="5756E965" w14:textId="77777777" w:rsidR="002F3D36" w:rsidRPr="002F3D36" w:rsidRDefault="002F3D36" w:rsidP="002F3D36">
      <w:pPr>
        <w:widowControl/>
        <w:jc w:val="center"/>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 xml:space="preserve">+46 8 587 20 600 </w:t>
      </w:r>
    </w:p>
    <w:p w14:paraId="3C449D09" w14:textId="77777777" w:rsidR="002F3D36" w:rsidRPr="002F3D36" w:rsidRDefault="002F3D36" w:rsidP="002F3D36">
      <w:pPr>
        <w:widowControl/>
        <w:jc w:val="center"/>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4"/>
          <w:szCs w:val="14"/>
        </w:rPr>
        <w:t>(Registrant’s telephone number, including area code)</w:t>
      </w:r>
    </w:p>
    <w:p w14:paraId="2F4937D7"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8"/>
          <w:szCs w:val="8"/>
        </w:rPr>
        <w:t> </w:t>
      </w:r>
    </w:p>
    <w:p w14:paraId="26EFF738" w14:textId="77777777" w:rsidR="002F3D36" w:rsidRPr="002F3D36" w:rsidRDefault="002F3D36" w:rsidP="002F3D36">
      <w:pPr>
        <w:widowControl/>
        <w:jc w:val="center"/>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Securities registered pursuant to Section 12(b) of the Act:</w:t>
      </w:r>
    </w:p>
    <w:p w14:paraId="5EEBD717" w14:textId="77777777" w:rsidR="002F3D36" w:rsidRPr="002F3D36" w:rsidRDefault="002F3D36" w:rsidP="002F3D36">
      <w:pPr>
        <w:widowControl/>
        <w:jc w:val="left"/>
        <w:rPr>
          <w:rFonts w:ascii="Times New Roman" w:eastAsia="宋体" w:hAnsi="Times New Roman" w:cs="Times New Roman"/>
          <w:color w:val="000000"/>
          <w:kern w:val="0"/>
          <w:sz w:val="20"/>
          <w:szCs w:val="20"/>
        </w:rPr>
      </w:pPr>
      <w:r w:rsidRPr="002F3D36">
        <w:rPr>
          <w:rFonts w:ascii="Arial" w:eastAsia="宋体" w:hAnsi="Arial" w:cs="Arial"/>
          <w:color w:val="000000"/>
          <w:kern w:val="0"/>
          <w:sz w:val="12"/>
          <w:szCs w:val="12"/>
        </w:rPr>
        <w:t> </w:t>
      </w:r>
    </w:p>
    <w:tbl>
      <w:tblPr>
        <w:tblW w:w="20614" w:type="dxa"/>
        <w:tblCellSpacing w:w="15" w:type="dxa"/>
        <w:tblCellMar>
          <w:top w:w="15" w:type="dxa"/>
          <w:left w:w="15" w:type="dxa"/>
          <w:bottom w:w="15" w:type="dxa"/>
          <w:right w:w="15" w:type="dxa"/>
        </w:tblCellMar>
        <w:tblLook w:val="04A0" w:firstRow="1" w:lastRow="0" w:firstColumn="1" w:lastColumn="0" w:noHBand="0" w:noVBand="1"/>
      </w:tblPr>
      <w:tblGrid>
        <w:gridCol w:w="8219"/>
        <w:gridCol w:w="234"/>
        <w:gridCol w:w="3708"/>
        <w:gridCol w:w="234"/>
        <w:gridCol w:w="8219"/>
      </w:tblGrid>
      <w:tr w:rsidR="002F3D36" w:rsidRPr="002F3D36" w14:paraId="52DE07A2" w14:textId="77777777" w:rsidTr="002F3D36">
        <w:trPr>
          <w:tblCellSpacing w:w="15" w:type="dxa"/>
        </w:trPr>
        <w:tc>
          <w:tcPr>
            <w:tcW w:w="8186" w:type="dxa"/>
            <w:vAlign w:val="center"/>
            <w:hideMark/>
          </w:tcPr>
          <w:p w14:paraId="18A76C98" w14:textId="77777777" w:rsidR="002F3D36" w:rsidRPr="002F3D36" w:rsidRDefault="002F3D36" w:rsidP="002F3D36">
            <w:pPr>
              <w:widowControl/>
              <w:jc w:val="left"/>
              <w:rPr>
                <w:rFonts w:ascii="Times New Roman" w:eastAsia="宋体" w:hAnsi="Times New Roman" w:cs="Times New Roman"/>
                <w:color w:val="000000"/>
                <w:kern w:val="0"/>
                <w:sz w:val="20"/>
                <w:szCs w:val="20"/>
              </w:rPr>
            </w:pPr>
          </w:p>
        </w:tc>
        <w:tc>
          <w:tcPr>
            <w:tcW w:w="204" w:type="dxa"/>
            <w:vAlign w:val="center"/>
            <w:hideMark/>
          </w:tcPr>
          <w:p w14:paraId="69FDB186"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3683" w:type="dxa"/>
            <w:vAlign w:val="center"/>
            <w:hideMark/>
          </w:tcPr>
          <w:p w14:paraId="44904542"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04" w:type="dxa"/>
            <w:vAlign w:val="center"/>
            <w:hideMark/>
          </w:tcPr>
          <w:p w14:paraId="6DBDDE2C"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8186" w:type="dxa"/>
            <w:vAlign w:val="center"/>
            <w:hideMark/>
          </w:tcPr>
          <w:p w14:paraId="28013F16" w14:textId="77777777" w:rsidR="002F3D36" w:rsidRPr="002F3D36" w:rsidRDefault="002F3D36" w:rsidP="002F3D36">
            <w:pPr>
              <w:widowControl/>
              <w:jc w:val="left"/>
              <w:rPr>
                <w:rFonts w:ascii="Times New Roman" w:eastAsia="Times New Roman" w:hAnsi="Times New Roman" w:cs="Times New Roman"/>
                <w:kern w:val="0"/>
                <w:sz w:val="20"/>
                <w:szCs w:val="20"/>
              </w:rPr>
            </w:pPr>
          </w:p>
        </w:tc>
      </w:tr>
      <w:tr w:rsidR="002F3D36" w:rsidRPr="002F3D36" w14:paraId="4C0ED272" w14:textId="77777777" w:rsidTr="002F3D36">
        <w:trPr>
          <w:trHeight w:val="140"/>
          <w:tblCellSpacing w:w="15" w:type="dxa"/>
        </w:trPr>
        <w:tc>
          <w:tcPr>
            <w:tcW w:w="0" w:type="auto"/>
            <w:tcBorders>
              <w:bottom w:val="single" w:sz="4" w:space="0" w:color="auto"/>
            </w:tcBorders>
            <w:shd w:val="clear" w:color="auto" w:fill="FFFFFF"/>
            <w:tcMar>
              <w:top w:w="14" w:type="dxa"/>
              <w:left w:w="15" w:type="dxa"/>
              <w:bottom w:w="15" w:type="dxa"/>
              <w:right w:w="14" w:type="dxa"/>
            </w:tcMar>
            <w:hideMark/>
          </w:tcPr>
          <w:p w14:paraId="2AD7A71F" w14:textId="77777777" w:rsidR="002F3D36" w:rsidRPr="002F3D36" w:rsidRDefault="002F3D36" w:rsidP="002F3D36">
            <w:pPr>
              <w:widowControl/>
              <w:spacing w:line="0" w:lineRule="auto"/>
              <w:jc w:val="center"/>
              <w:rPr>
                <w:rFonts w:ascii="Times New Roman" w:eastAsia="微软雅黑" w:hAnsi="Times New Roman" w:cs="Times New Roman"/>
                <w:kern w:val="0"/>
                <w:sz w:val="14"/>
                <w:szCs w:val="14"/>
              </w:rPr>
            </w:pPr>
            <w:r w:rsidRPr="002F3D36">
              <w:rPr>
                <w:rFonts w:ascii="Arial" w:eastAsia="微软雅黑" w:hAnsi="Arial" w:cs="Arial"/>
                <w:b/>
                <w:bCs/>
                <w:color w:val="000000"/>
                <w:kern w:val="0"/>
                <w:sz w:val="14"/>
                <w:szCs w:val="14"/>
              </w:rPr>
              <w:t>Title of each class:</w:t>
            </w:r>
          </w:p>
        </w:tc>
        <w:tc>
          <w:tcPr>
            <w:tcW w:w="0" w:type="auto"/>
            <w:shd w:val="clear" w:color="auto" w:fill="FFFFFF"/>
            <w:hideMark/>
          </w:tcPr>
          <w:p w14:paraId="2E331EDD" w14:textId="77777777" w:rsidR="002F3D36" w:rsidRPr="002F3D36" w:rsidRDefault="002F3D36" w:rsidP="002F3D36">
            <w:pPr>
              <w:widowControl/>
              <w:spacing w:line="0" w:lineRule="auto"/>
              <w:jc w:val="center"/>
              <w:rPr>
                <w:rFonts w:ascii="Times New Roman" w:eastAsia="微软雅黑" w:hAnsi="Times New Roman" w:cs="Times New Roman"/>
                <w:kern w:val="0"/>
                <w:sz w:val="14"/>
                <w:szCs w:val="14"/>
              </w:rPr>
            </w:pPr>
            <w:r w:rsidRPr="002F3D36">
              <w:rPr>
                <w:rFonts w:ascii="Arial" w:eastAsia="微软雅黑" w:hAnsi="Arial" w:cs="Arial"/>
                <w:kern w:val="0"/>
                <w:sz w:val="14"/>
                <w:szCs w:val="14"/>
              </w:rPr>
              <w:t> </w:t>
            </w:r>
          </w:p>
        </w:tc>
        <w:tc>
          <w:tcPr>
            <w:tcW w:w="0" w:type="auto"/>
            <w:tcBorders>
              <w:bottom w:val="single" w:sz="4" w:space="0" w:color="auto"/>
            </w:tcBorders>
            <w:shd w:val="clear" w:color="auto" w:fill="FFFFFF"/>
            <w:hideMark/>
          </w:tcPr>
          <w:p w14:paraId="7A33CC83" w14:textId="77777777" w:rsidR="002F3D36" w:rsidRPr="002F3D36" w:rsidRDefault="002F3D36" w:rsidP="002F3D36">
            <w:pPr>
              <w:widowControl/>
              <w:spacing w:line="0" w:lineRule="auto"/>
              <w:jc w:val="center"/>
              <w:rPr>
                <w:rFonts w:ascii="Times New Roman" w:eastAsia="微软雅黑" w:hAnsi="Times New Roman" w:cs="Times New Roman"/>
                <w:kern w:val="0"/>
                <w:sz w:val="14"/>
                <w:szCs w:val="14"/>
              </w:rPr>
            </w:pPr>
            <w:r w:rsidRPr="002F3D36">
              <w:rPr>
                <w:rFonts w:ascii="Arial" w:eastAsia="微软雅黑" w:hAnsi="Arial" w:cs="Arial"/>
                <w:b/>
                <w:bCs/>
                <w:color w:val="000000"/>
                <w:kern w:val="0"/>
                <w:sz w:val="14"/>
                <w:szCs w:val="14"/>
              </w:rPr>
              <w:t>Trading Symbol(s):</w:t>
            </w:r>
          </w:p>
        </w:tc>
        <w:tc>
          <w:tcPr>
            <w:tcW w:w="0" w:type="auto"/>
            <w:shd w:val="clear" w:color="auto" w:fill="FFFFFF"/>
            <w:hideMark/>
          </w:tcPr>
          <w:p w14:paraId="3039C1B1" w14:textId="77777777" w:rsidR="002F3D36" w:rsidRPr="002F3D36" w:rsidRDefault="002F3D36" w:rsidP="002F3D36">
            <w:pPr>
              <w:widowControl/>
              <w:spacing w:line="0" w:lineRule="auto"/>
              <w:jc w:val="left"/>
              <w:rPr>
                <w:rFonts w:ascii="Times New Roman" w:eastAsia="微软雅黑" w:hAnsi="Times New Roman" w:cs="Times New Roman"/>
                <w:kern w:val="0"/>
                <w:sz w:val="14"/>
                <w:szCs w:val="14"/>
              </w:rPr>
            </w:pPr>
            <w:r w:rsidRPr="002F3D36">
              <w:rPr>
                <w:rFonts w:ascii="Arial" w:eastAsia="微软雅黑" w:hAnsi="Arial" w:cs="Arial"/>
                <w:kern w:val="0"/>
                <w:sz w:val="14"/>
                <w:szCs w:val="14"/>
              </w:rPr>
              <w:t> </w:t>
            </w:r>
          </w:p>
        </w:tc>
        <w:tc>
          <w:tcPr>
            <w:tcW w:w="0" w:type="auto"/>
            <w:tcBorders>
              <w:bottom w:val="single" w:sz="4" w:space="0" w:color="auto"/>
            </w:tcBorders>
            <w:shd w:val="clear" w:color="auto" w:fill="FFFFFF"/>
            <w:tcMar>
              <w:top w:w="14" w:type="dxa"/>
              <w:left w:w="15" w:type="dxa"/>
              <w:bottom w:w="15" w:type="dxa"/>
              <w:right w:w="14" w:type="dxa"/>
            </w:tcMar>
            <w:hideMark/>
          </w:tcPr>
          <w:p w14:paraId="32C85FC5" w14:textId="77777777" w:rsidR="002F3D36" w:rsidRPr="002F3D36" w:rsidRDefault="002F3D36" w:rsidP="002F3D36">
            <w:pPr>
              <w:widowControl/>
              <w:spacing w:line="0" w:lineRule="auto"/>
              <w:jc w:val="center"/>
              <w:rPr>
                <w:rFonts w:ascii="Times New Roman" w:eastAsia="微软雅黑" w:hAnsi="Times New Roman" w:cs="Times New Roman"/>
                <w:kern w:val="0"/>
                <w:sz w:val="14"/>
                <w:szCs w:val="14"/>
              </w:rPr>
            </w:pPr>
            <w:r w:rsidRPr="002F3D36">
              <w:rPr>
                <w:rFonts w:ascii="Arial" w:eastAsia="微软雅黑" w:hAnsi="Arial" w:cs="Arial"/>
                <w:b/>
                <w:bCs/>
                <w:color w:val="000000"/>
                <w:kern w:val="0"/>
                <w:sz w:val="14"/>
                <w:szCs w:val="14"/>
              </w:rPr>
              <w:t>Name of each exchange on which registered:</w:t>
            </w:r>
          </w:p>
        </w:tc>
      </w:tr>
      <w:tr w:rsidR="002F3D36" w:rsidRPr="002F3D36" w14:paraId="48FFC394" w14:textId="77777777" w:rsidTr="002F3D36">
        <w:trPr>
          <w:trHeight w:val="180"/>
          <w:tblCellSpacing w:w="15" w:type="dxa"/>
        </w:trPr>
        <w:tc>
          <w:tcPr>
            <w:tcW w:w="0" w:type="auto"/>
            <w:shd w:val="clear" w:color="auto" w:fill="FFFFFF"/>
            <w:tcMar>
              <w:top w:w="14" w:type="dxa"/>
              <w:left w:w="15" w:type="dxa"/>
              <w:bottom w:w="15" w:type="dxa"/>
              <w:right w:w="14" w:type="dxa"/>
            </w:tcMar>
            <w:hideMark/>
          </w:tcPr>
          <w:p w14:paraId="6FAC3CFF" w14:textId="77777777" w:rsidR="002F3D36" w:rsidRPr="002F3D36" w:rsidRDefault="002F3D36" w:rsidP="002F3D36">
            <w:pPr>
              <w:widowControl/>
              <w:spacing w:line="0" w:lineRule="auto"/>
              <w:jc w:val="center"/>
              <w:rPr>
                <w:rFonts w:ascii="Times New Roman" w:eastAsia="微软雅黑" w:hAnsi="Times New Roman" w:cs="Times New Roman"/>
                <w:kern w:val="0"/>
                <w:sz w:val="20"/>
                <w:szCs w:val="20"/>
              </w:rPr>
            </w:pPr>
            <w:r w:rsidRPr="002F3D36">
              <w:rPr>
                <w:rFonts w:ascii="Arial" w:eastAsia="微软雅黑" w:hAnsi="Arial" w:cs="Arial"/>
                <w:b/>
                <w:bCs/>
                <w:color w:val="000000"/>
                <w:kern w:val="0"/>
                <w:sz w:val="18"/>
                <w:szCs w:val="18"/>
              </w:rPr>
              <w:t>Common Stock (par value $1.00 per share)</w:t>
            </w:r>
          </w:p>
        </w:tc>
        <w:tc>
          <w:tcPr>
            <w:tcW w:w="0" w:type="auto"/>
            <w:shd w:val="clear" w:color="auto" w:fill="FFFFFF"/>
            <w:hideMark/>
          </w:tcPr>
          <w:p w14:paraId="3DACFDD2" w14:textId="77777777" w:rsidR="002F3D36" w:rsidRPr="002F3D36" w:rsidRDefault="002F3D36" w:rsidP="002F3D36">
            <w:pPr>
              <w:widowControl/>
              <w:spacing w:line="0" w:lineRule="auto"/>
              <w:jc w:val="center"/>
              <w:rPr>
                <w:rFonts w:ascii="Times New Roman" w:eastAsia="微软雅黑" w:hAnsi="Times New Roman" w:cs="Times New Roman"/>
                <w:kern w:val="0"/>
                <w:sz w:val="20"/>
                <w:szCs w:val="20"/>
              </w:rPr>
            </w:pPr>
            <w:r w:rsidRPr="002F3D36">
              <w:rPr>
                <w:rFonts w:ascii="Arial" w:eastAsia="微软雅黑" w:hAnsi="Arial" w:cs="Arial"/>
                <w:kern w:val="0"/>
                <w:sz w:val="20"/>
                <w:szCs w:val="20"/>
              </w:rPr>
              <w:t> </w:t>
            </w:r>
          </w:p>
        </w:tc>
        <w:tc>
          <w:tcPr>
            <w:tcW w:w="0" w:type="auto"/>
            <w:shd w:val="clear" w:color="auto" w:fill="FFFFFF"/>
            <w:hideMark/>
          </w:tcPr>
          <w:p w14:paraId="30922C72" w14:textId="77777777" w:rsidR="002F3D36" w:rsidRPr="002F3D36" w:rsidRDefault="002F3D36" w:rsidP="002F3D36">
            <w:pPr>
              <w:widowControl/>
              <w:spacing w:line="0" w:lineRule="auto"/>
              <w:jc w:val="center"/>
              <w:rPr>
                <w:rFonts w:ascii="Times New Roman" w:eastAsia="微软雅黑" w:hAnsi="Times New Roman" w:cs="Times New Roman"/>
                <w:kern w:val="0"/>
                <w:sz w:val="20"/>
                <w:szCs w:val="20"/>
              </w:rPr>
            </w:pPr>
            <w:r w:rsidRPr="002F3D36">
              <w:rPr>
                <w:rFonts w:ascii="Arial" w:eastAsia="微软雅黑" w:hAnsi="Arial" w:cs="Arial"/>
                <w:b/>
                <w:bCs/>
                <w:color w:val="000000"/>
                <w:kern w:val="0"/>
                <w:sz w:val="18"/>
                <w:szCs w:val="18"/>
              </w:rPr>
              <w:t>ALV</w:t>
            </w:r>
          </w:p>
        </w:tc>
        <w:tc>
          <w:tcPr>
            <w:tcW w:w="0" w:type="auto"/>
            <w:shd w:val="clear" w:color="auto" w:fill="FFFFFF"/>
            <w:hideMark/>
          </w:tcPr>
          <w:p w14:paraId="72BFCC01" w14:textId="77777777" w:rsidR="002F3D36" w:rsidRPr="002F3D36" w:rsidRDefault="002F3D36" w:rsidP="002F3D36">
            <w:pPr>
              <w:widowControl/>
              <w:spacing w:line="0" w:lineRule="auto"/>
              <w:jc w:val="center"/>
              <w:rPr>
                <w:rFonts w:ascii="Times New Roman" w:eastAsia="微软雅黑" w:hAnsi="Times New Roman" w:cs="Times New Roman"/>
                <w:kern w:val="0"/>
                <w:sz w:val="20"/>
                <w:szCs w:val="20"/>
              </w:rPr>
            </w:pPr>
            <w:r w:rsidRPr="002F3D36">
              <w:rPr>
                <w:rFonts w:ascii="Arial" w:eastAsia="微软雅黑" w:hAnsi="Arial" w:cs="Arial"/>
                <w:kern w:val="0"/>
                <w:sz w:val="20"/>
                <w:szCs w:val="20"/>
              </w:rPr>
              <w:t> </w:t>
            </w:r>
          </w:p>
        </w:tc>
        <w:tc>
          <w:tcPr>
            <w:tcW w:w="0" w:type="auto"/>
            <w:shd w:val="clear" w:color="auto" w:fill="FFFFFF"/>
            <w:tcMar>
              <w:top w:w="14" w:type="dxa"/>
              <w:left w:w="15" w:type="dxa"/>
              <w:bottom w:w="15" w:type="dxa"/>
              <w:right w:w="14" w:type="dxa"/>
            </w:tcMar>
            <w:hideMark/>
          </w:tcPr>
          <w:p w14:paraId="43024437" w14:textId="77777777" w:rsidR="002F3D36" w:rsidRPr="002F3D36" w:rsidRDefault="002F3D36" w:rsidP="002F3D36">
            <w:pPr>
              <w:widowControl/>
              <w:spacing w:line="0" w:lineRule="auto"/>
              <w:jc w:val="center"/>
              <w:rPr>
                <w:rFonts w:ascii="Times New Roman" w:eastAsia="微软雅黑" w:hAnsi="Times New Roman" w:cs="Times New Roman"/>
                <w:kern w:val="0"/>
                <w:sz w:val="20"/>
                <w:szCs w:val="20"/>
              </w:rPr>
            </w:pPr>
            <w:r w:rsidRPr="002F3D36">
              <w:rPr>
                <w:rFonts w:ascii="Arial" w:eastAsia="微软雅黑" w:hAnsi="Arial" w:cs="Arial"/>
                <w:b/>
                <w:bCs/>
                <w:color w:val="000000"/>
                <w:kern w:val="0"/>
                <w:sz w:val="18"/>
                <w:szCs w:val="18"/>
              </w:rPr>
              <w:t>New York Stock Exchange</w:t>
            </w:r>
          </w:p>
        </w:tc>
      </w:tr>
    </w:tbl>
    <w:p w14:paraId="16FED731"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2"/>
          <w:szCs w:val="12"/>
        </w:rPr>
        <w:t> </w:t>
      </w:r>
    </w:p>
    <w:p w14:paraId="49921EC9"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xml:space="preserve">Indicate by check mark if the registrant is a well-known seasoned issuer, as defined in Rule 405 of the Securities Act. Yes </w:t>
      </w:r>
      <w:r w:rsidRPr="002F3D36">
        <w:rPr>
          <w:rFonts w:ascii="Segoe UI Symbol" w:eastAsia="宋体" w:hAnsi="Segoe UI Symbol" w:cs="Segoe UI Symbol"/>
          <w:color w:val="000000"/>
          <w:kern w:val="0"/>
          <w:sz w:val="18"/>
          <w:szCs w:val="18"/>
        </w:rPr>
        <w:t>☒</w:t>
      </w:r>
      <w:r w:rsidRPr="002F3D36">
        <w:rPr>
          <w:rFonts w:ascii="Arial" w:eastAsia="宋体" w:hAnsi="Arial" w:cs="Arial"/>
          <w:color w:val="000000"/>
          <w:kern w:val="0"/>
          <w:sz w:val="18"/>
          <w:szCs w:val="18"/>
        </w:rPr>
        <w:t xml:space="preserve"> No </w:t>
      </w:r>
      <w:r w:rsidRPr="002F3D36">
        <w:rPr>
          <w:rFonts w:ascii="Segoe UI Symbol" w:eastAsia="宋体" w:hAnsi="Segoe UI Symbol" w:cs="Segoe UI Symbol"/>
          <w:color w:val="000000"/>
          <w:kern w:val="0"/>
          <w:sz w:val="18"/>
          <w:szCs w:val="18"/>
        </w:rPr>
        <w:t>☐</w:t>
      </w:r>
    </w:p>
    <w:p w14:paraId="05B3D067"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2"/>
          <w:szCs w:val="12"/>
        </w:rPr>
        <w:t> </w:t>
      </w:r>
    </w:p>
    <w:p w14:paraId="5E4EA88D"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lastRenderedPageBreak/>
        <w:t xml:space="preserve">Indicate by check mark if the registrant is not required to file reports pursuant to Section 13 or Section 15(d) of the Act. Yes </w:t>
      </w:r>
      <w:r w:rsidRPr="002F3D36">
        <w:rPr>
          <w:rFonts w:ascii="Segoe UI Symbol" w:eastAsia="宋体" w:hAnsi="Segoe UI Symbol" w:cs="Segoe UI Symbol"/>
          <w:color w:val="000000"/>
          <w:kern w:val="0"/>
          <w:sz w:val="18"/>
          <w:szCs w:val="18"/>
        </w:rPr>
        <w:t>☐</w:t>
      </w:r>
      <w:r w:rsidRPr="002F3D36">
        <w:rPr>
          <w:rFonts w:ascii="Arial" w:eastAsia="宋体" w:hAnsi="Arial" w:cs="Arial"/>
          <w:color w:val="000000"/>
          <w:kern w:val="0"/>
          <w:sz w:val="18"/>
          <w:szCs w:val="18"/>
        </w:rPr>
        <w:t xml:space="preserve"> No </w:t>
      </w:r>
      <w:r w:rsidRPr="002F3D36">
        <w:rPr>
          <w:rFonts w:ascii="Segoe UI Symbol" w:eastAsia="宋体" w:hAnsi="Segoe UI Symbol" w:cs="Segoe UI Symbol"/>
          <w:color w:val="000000"/>
          <w:kern w:val="0"/>
          <w:sz w:val="18"/>
          <w:szCs w:val="18"/>
        </w:rPr>
        <w:t>☒</w:t>
      </w:r>
    </w:p>
    <w:p w14:paraId="0AA51EB7"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2"/>
          <w:szCs w:val="12"/>
        </w:rPr>
        <w:t> </w:t>
      </w:r>
    </w:p>
    <w:p w14:paraId="7B97FEC3"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xml:space="preserve">Indicate by check mark whether the registrant (1) has filed all reports required to be filed by Section 13 or 15(d) of the Securities Exchange Act of 1934 during the preceding 12 months (or for such shorter period that the registrant was required to file such reports); and (2) has been subject to such filing requirements for the past 90 days. Yes: </w:t>
      </w:r>
      <w:r w:rsidRPr="002F3D36">
        <w:rPr>
          <w:rFonts w:ascii="Segoe UI Symbol" w:eastAsia="宋体" w:hAnsi="Segoe UI Symbol" w:cs="Segoe UI Symbol"/>
          <w:color w:val="000000"/>
          <w:kern w:val="0"/>
          <w:sz w:val="18"/>
          <w:szCs w:val="18"/>
        </w:rPr>
        <w:t>☒</w:t>
      </w:r>
      <w:r w:rsidRPr="002F3D36">
        <w:rPr>
          <w:rFonts w:ascii="Arial" w:eastAsia="宋体" w:hAnsi="Arial" w:cs="Arial"/>
          <w:color w:val="000000"/>
          <w:kern w:val="0"/>
          <w:sz w:val="18"/>
          <w:szCs w:val="18"/>
        </w:rPr>
        <w:t xml:space="preserve"> No: </w:t>
      </w:r>
      <w:r w:rsidRPr="002F3D36">
        <w:rPr>
          <w:rFonts w:ascii="Segoe UI Symbol" w:eastAsia="宋体" w:hAnsi="Segoe UI Symbol" w:cs="Segoe UI Symbol"/>
          <w:color w:val="000000"/>
          <w:kern w:val="0"/>
          <w:sz w:val="18"/>
          <w:szCs w:val="18"/>
        </w:rPr>
        <w:t>☐</w:t>
      </w:r>
    </w:p>
    <w:p w14:paraId="11156618"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2"/>
          <w:szCs w:val="12"/>
        </w:rPr>
        <w:t> </w:t>
      </w:r>
    </w:p>
    <w:p w14:paraId="7CFA65E1"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xml:space="preserve">Indicate by check mark whether the registrant has submitted electronically every Interactive Data File required to be submitted pursuant to Rule 405 of Regulation S-T (§ 232.405 of this chapter) during the preceding 12 months (or for such shorter period that the registrant was required to submit such files). Yes: </w:t>
      </w:r>
      <w:r w:rsidRPr="002F3D36">
        <w:rPr>
          <w:rFonts w:ascii="Segoe UI Symbol" w:eastAsia="宋体" w:hAnsi="Segoe UI Symbol" w:cs="Segoe UI Symbol"/>
          <w:color w:val="000000"/>
          <w:kern w:val="0"/>
          <w:sz w:val="18"/>
          <w:szCs w:val="18"/>
        </w:rPr>
        <w:t>☒</w:t>
      </w:r>
      <w:r w:rsidRPr="002F3D36">
        <w:rPr>
          <w:rFonts w:ascii="Arial" w:eastAsia="宋体" w:hAnsi="Arial" w:cs="Arial"/>
          <w:color w:val="000000"/>
          <w:kern w:val="0"/>
          <w:sz w:val="18"/>
          <w:szCs w:val="18"/>
        </w:rPr>
        <w:t xml:space="preserve"> No: </w:t>
      </w:r>
      <w:r w:rsidRPr="002F3D36">
        <w:rPr>
          <w:rFonts w:ascii="Segoe UI Symbol" w:eastAsia="宋体" w:hAnsi="Segoe UI Symbol" w:cs="Segoe UI Symbol"/>
          <w:color w:val="000000"/>
          <w:kern w:val="0"/>
          <w:sz w:val="18"/>
          <w:szCs w:val="18"/>
        </w:rPr>
        <w:t>☐</w:t>
      </w:r>
    </w:p>
    <w:p w14:paraId="2D236DAA"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2"/>
          <w:szCs w:val="12"/>
        </w:rPr>
        <w:t> </w:t>
      </w:r>
    </w:p>
    <w:p w14:paraId="4332CF3A"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Indicate by check mark whether the registrant is a large accelerated filer, an accelerated filer, a non-accelerated filer, smaller reporting company or an emerging growth company. See the definitions of “large accelerated filer,” “accelerated filer,” “smaller reporting company” and “emerging growth company” in Rule 12b-2 of the Exchange Act.</w:t>
      </w:r>
    </w:p>
    <w:p w14:paraId="0F44ADF4" w14:textId="77777777" w:rsidR="002F3D36" w:rsidRPr="002F3D36" w:rsidRDefault="002F3D36" w:rsidP="002F3D36">
      <w:pPr>
        <w:widowControl/>
        <w:jc w:val="left"/>
        <w:rPr>
          <w:rFonts w:ascii="Times New Roman" w:eastAsia="宋体" w:hAnsi="Times New Roman" w:cs="Times New Roman"/>
          <w:color w:val="000000"/>
          <w:kern w:val="0"/>
          <w:sz w:val="20"/>
          <w:szCs w:val="20"/>
        </w:rPr>
      </w:pPr>
      <w:r w:rsidRPr="002F3D36">
        <w:rPr>
          <w:rFonts w:ascii="Arial" w:eastAsia="宋体" w:hAnsi="Arial" w:cs="Arial"/>
          <w:color w:val="000000"/>
          <w:kern w:val="0"/>
          <w:sz w:val="12"/>
          <w:szCs w:val="12"/>
        </w:rPr>
        <w:t> </w:t>
      </w:r>
    </w:p>
    <w:tbl>
      <w:tblPr>
        <w:tblW w:w="20614" w:type="dxa"/>
        <w:tblCellSpacing w:w="15" w:type="dxa"/>
        <w:tblCellMar>
          <w:top w:w="15" w:type="dxa"/>
          <w:left w:w="15" w:type="dxa"/>
          <w:bottom w:w="15" w:type="dxa"/>
          <w:right w:w="15" w:type="dxa"/>
        </w:tblCellMar>
        <w:tblLook w:val="04A0" w:firstRow="1" w:lastRow="0" w:firstColumn="1" w:lastColumn="0" w:noHBand="0" w:noVBand="1"/>
      </w:tblPr>
      <w:tblGrid>
        <w:gridCol w:w="5061"/>
        <w:gridCol w:w="234"/>
        <w:gridCol w:w="9970"/>
        <w:gridCol w:w="262"/>
        <w:gridCol w:w="4485"/>
        <w:gridCol w:w="160"/>
        <w:gridCol w:w="442"/>
      </w:tblGrid>
      <w:tr w:rsidR="002F3D36" w:rsidRPr="002F3D36" w14:paraId="0038991A" w14:textId="77777777" w:rsidTr="002F3D36">
        <w:trPr>
          <w:tblCellSpacing w:w="15" w:type="dxa"/>
        </w:trPr>
        <w:tc>
          <w:tcPr>
            <w:tcW w:w="5024" w:type="dxa"/>
            <w:vAlign w:val="center"/>
            <w:hideMark/>
          </w:tcPr>
          <w:p w14:paraId="58D220DD" w14:textId="77777777" w:rsidR="002F3D36" w:rsidRPr="002F3D36" w:rsidRDefault="002F3D36" w:rsidP="002F3D36">
            <w:pPr>
              <w:widowControl/>
              <w:jc w:val="left"/>
              <w:rPr>
                <w:rFonts w:ascii="Times New Roman" w:eastAsia="宋体" w:hAnsi="Times New Roman" w:cs="Times New Roman"/>
                <w:color w:val="000000"/>
                <w:kern w:val="0"/>
                <w:sz w:val="20"/>
                <w:szCs w:val="20"/>
              </w:rPr>
            </w:pPr>
          </w:p>
        </w:tc>
        <w:tc>
          <w:tcPr>
            <w:tcW w:w="204" w:type="dxa"/>
            <w:vAlign w:val="center"/>
            <w:hideMark/>
          </w:tcPr>
          <w:p w14:paraId="1043931B"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9957" w:type="dxa"/>
            <w:vAlign w:val="center"/>
            <w:hideMark/>
          </w:tcPr>
          <w:p w14:paraId="0B6F3DF7"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32" w:type="dxa"/>
            <w:vAlign w:val="center"/>
            <w:hideMark/>
          </w:tcPr>
          <w:p w14:paraId="45A8E753"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4461" w:type="dxa"/>
            <w:vAlign w:val="center"/>
            <w:hideMark/>
          </w:tcPr>
          <w:p w14:paraId="7BBF36A3"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30" w:type="dxa"/>
            <w:vAlign w:val="center"/>
            <w:hideMark/>
          </w:tcPr>
          <w:p w14:paraId="71A00319"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397" w:type="dxa"/>
            <w:vAlign w:val="center"/>
            <w:hideMark/>
          </w:tcPr>
          <w:p w14:paraId="22A3C7E6" w14:textId="77777777" w:rsidR="002F3D36" w:rsidRPr="002F3D36" w:rsidRDefault="002F3D36" w:rsidP="002F3D36">
            <w:pPr>
              <w:widowControl/>
              <w:jc w:val="left"/>
              <w:rPr>
                <w:rFonts w:ascii="Times New Roman" w:eastAsia="Times New Roman" w:hAnsi="Times New Roman" w:cs="Times New Roman"/>
                <w:kern w:val="0"/>
                <w:sz w:val="20"/>
                <w:szCs w:val="20"/>
              </w:rPr>
            </w:pPr>
          </w:p>
        </w:tc>
      </w:tr>
      <w:tr w:rsidR="002F3D36" w:rsidRPr="002F3D36" w14:paraId="0E08206A" w14:textId="77777777" w:rsidTr="002F3D36">
        <w:trPr>
          <w:trHeight w:val="202"/>
          <w:tblCellSpacing w:w="15" w:type="dxa"/>
        </w:trPr>
        <w:tc>
          <w:tcPr>
            <w:tcW w:w="0" w:type="auto"/>
            <w:tcMar>
              <w:top w:w="14" w:type="dxa"/>
              <w:left w:w="15" w:type="dxa"/>
              <w:bottom w:w="15" w:type="dxa"/>
              <w:right w:w="14" w:type="dxa"/>
            </w:tcMar>
            <w:hideMark/>
          </w:tcPr>
          <w:p w14:paraId="1656260E" w14:textId="77777777" w:rsidR="002F3D36" w:rsidRPr="002F3D36" w:rsidRDefault="002F3D36" w:rsidP="002F3D36">
            <w:pPr>
              <w:widowControl/>
              <w:spacing w:after="40"/>
              <w:jc w:val="lef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Large accelerated filer</w:t>
            </w:r>
          </w:p>
        </w:tc>
        <w:tc>
          <w:tcPr>
            <w:tcW w:w="0" w:type="auto"/>
            <w:tcMar>
              <w:top w:w="14" w:type="dxa"/>
              <w:left w:w="15" w:type="dxa"/>
              <w:bottom w:w="15" w:type="dxa"/>
              <w:right w:w="14" w:type="dxa"/>
            </w:tcMar>
            <w:hideMark/>
          </w:tcPr>
          <w:p w14:paraId="01FEB5FE" w14:textId="77777777" w:rsidR="002F3D36" w:rsidRPr="002F3D36" w:rsidRDefault="002F3D36" w:rsidP="002F3D36">
            <w:pPr>
              <w:widowControl/>
              <w:spacing w:after="40"/>
              <w:jc w:val="left"/>
              <w:rPr>
                <w:rFonts w:ascii="Times New Roman" w:eastAsia="微软雅黑" w:hAnsi="Times New Roman" w:cs="Times New Roman"/>
                <w:kern w:val="0"/>
                <w:sz w:val="18"/>
                <w:szCs w:val="18"/>
              </w:rPr>
            </w:pPr>
            <w:r w:rsidRPr="002F3D36">
              <w:rPr>
                <w:rFonts w:ascii="Times New Roman" w:eastAsia="微软雅黑" w:hAnsi="Times New Roman" w:cs="Times New Roman"/>
                <w:kern w:val="0"/>
                <w:sz w:val="18"/>
                <w:szCs w:val="18"/>
              </w:rPr>
              <w:t> </w:t>
            </w:r>
          </w:p>
        </w:tc>
        <w:tc>
          <w:tcPr>
            <w:tcW w:w="0" w:type="auto"/>
            <w:tcMar>
              <w:top w:w="14" w:type="dxa"/>
              <w:left w:w="15" w:type="dxa"/>
              <w:bottom w:w="15" w:type="dxa"/>
              <w:right w:w="14" w:type="dxa"/>
            </w:tcMar>
            <w:hideMark/>
          </w:tcPr>
          <w:p w14:paraId="23987705" w14:textId="77777777" w:rsidR="002F3D36" w:rsidRPr="002F3D36" w:rsidRDefault="002F3D36" w:rsidP="002F3D36">
            <w:pPr>
              <w:widowControl/>
              <w:spacing w:after="40"/>
              <w:jc w:val="left"/>
              <w:rPr>
                <w:rFonts w:ascii="Times New Roman" w:eastAsia="微软雅黑" w:hAnsi="Times New Roman" w:cs="Times New Roman"/>
                <w:kern w:val="0"/>
                <w:sz w:val="18"/>
                <w:szCs w:val="18"/>
              </w:rPr>
            </w:pPr>
            <w:r w:rsidRPr="002F3D36">
              <w:rPr>
                <w:rFonts w:ascii="Segoe UI Symbol" w:eastAsia="微软雅黑" w:hAnsi="Segoe UI Symbol" w:cs="Segoe UI Symbol"/>
                <w:color w:val="000000"/>
                <w:kern w:val="0"/>
                <w:sz w:val="18"/>
                <w:szCs w:val="18"/>
              </w:rPr>
              <w:t>☒</w:t>
            </w:r>
          </w:p>
        </w:tc>
        <w:tc>
          <w:tcPr>
            <w:tcW w:w="0" w:type="auto"/>
            <w:tcMar>
              <w:top w:w="14" w:type="dxa"/>
              <w:left w:w="15" w:type="dxa"/>
              <w:bottom w:w="15" w:type="dxa"/>
              <w:right w:w="14" w:type="dxa"/>
            </w:tcMar>
            <w:hideMark/>
          </w:tcPr>
          <w:p w14:paraId="2B1ACB20" w14:textId="77777777" w:rsidR="002F3D36" w:rsidRPr="002F3D36" w:rsidRDefault="002F3D36" w:rsidP="002F3D36">
            <w:pPr>
              <w:widowControl/>
              <w:spacing w:after="40"/>
              <w:jc w:val="left"/>
              <w:rPr>
                <w:rFonts w:ascii="Times New Roman" w:eastAsia="微软雅黑" w:hAnsi="Times New Roman" w:cs="Times New Roman"/>
                <w:kern w:val="0"/>
                <w:sz w:val="18"/>
                <w:szCs w:val="18"/>
              </w:rPr>
            </w:pPr>
            <w:r w:rsidRPr="002F3D36">
              <w:rPr>
                <w:rFonts w:ascii="Times New Roman" w:eastAsia="微软雅黑" w:hAnsi="Times New Roman" w:cs="Times New Roman"/>
                <w:kern w:val="0"/>
                <w:sz w:val="18"/>
                <w:szCs w:val="18"/>
              </w:rPr>
              <w:t> </w:t>
            </w:r>
          </w:p>
        </w:tc>
        <w:tc>
          <w:tcPr>
            <w:tcW w:w="0" w:type="auto"/>
            <w:tcMar>
              <w:top w:w="14" w:type="dxa"/>
              <w:left w:w="15" w:type="dxa"/>
              <w:bottom w:w="15" w:type="dxa"/>
              <w:right w:w="14" w:type="dxa"/>
            </w:tcMar>
            <w:hideMark/>
          </w:tcPr>
          <w:p w14:paraId="3DEF5225" w14:textId="77777777" w:rsidR="002F3D36" w:rsidRPr="002F3D36" w:rsidRDefault="002F3D36" w:rsidP="002F3D36">
            <w:pPr>
              <w:widowControl/>
              <w:spacing w:after="40"/>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Accelerated filer</w:t>
            </w:r>
          </w:p>
        </w:tc>
        <w:tc>
          <w:tcPr>
            <w:tcW w:w="0" w:type="auto"/>
            <w:tcMar>
              <w:top w:w="14" w:type="dxa"/>
              <w:left w:w="15" w:type="dxa"/>
              <w:bottom w:w="15" w:type="dxa"/>
              <w:right w:w="14" w:type="dxa"/>
            </w:tcMar>
            <w:hideMark/>
          </w:tcPr>
          <w:p w14:paraId="212F2A86" w14:textId="77777777" w:rsidR="002F3D36" w:rsidRPr="002F3D36" w:rsidRDefault="002F3D36" w:rsidP="002F3D36">
            <w:pPr>
              <w:widowControl/>
              <w:spacing w:after="40"/>
              <w:jc w:val="left"/>
              <w:rPr>
                <w:rFonts w:ascii="Times New Roman" w:eastAsia="微软雅黑" w:hAnsi="Times New Roman" w:cs="Times New Roman"/>
                <w:kern w:val="0"/>
                <w:sz w:val="18"/>
                <w:szCs w:val="18"/>
              </w:rPr>
            </w:pPr>
            <w:r w:rsidRPr="002F3D36">
              <w:rPr>
                <w:rFonts w:ascii="Times New Roman" w:eastAsia="微软雅黑" w:hAnsi="Times New Roman" w:cs="Times New Roman"/>
                <w:kern w:val="0"/>
                <w:sz w:val="18"/>
                <w:szCs w:val="18"/>
              </w:rPr>
              <w:t> </w:t>
            </w:r>
          </w:p>
        </w:tc>
        <w:tc>
          <w:tcPr>
            <w:tcW w:w="0" w:type="auto"/>
            <w:tcMar>
              <w:top w:w="14" w:type="dxa"/>
              <w:left w:w="15" w:type="dxa"/>
              <w:bottom w:w="15" w:type="dxa"/>
              <w:right w:w="14" w:type="dxa"/>
            </w:tcMar>
            <w:hideMark/>
          </w:tcPr>
          <w:p w14:paraId="297F2701" w14:textId="77777777" w:rsidR="002F3D36" w:rsidRPr="002F3D36" w:rsidRDefault="002F3D36" w:rsidP="002F3D36">
            <w:pPr>
              <w:widowControl/>
              <w:spacing w:after="40"/>
              <w:jc w:val="left"/>
              <w:rPr>
                <w:rFonts w:ascii="Times New Roman" w:eastAsia="微软雅黑" w:hAnsi="Times New Roman" w:cs="Times New Roman"/>
                <w:kern w:val="0"/>
                <w:sz w:val="18"/>
                <w:szCs w:val="18"/>
              </w:rPr>
            </w:pPr>
            <w:r w:rsidRPr="002F3D36">
              <w:rPr>
                <w:rFonts w:ascii="Segoe UI Symbol" w:eastAsia="微软雅黑" w:hAnsi="Segoe UI Symbol" w:cs="Segoe UI Symbol"/>
                <w:color w:val="000000"/>
                <w:kern w:val="0"/>
                <w:sz w:val="18"/>
                <w:szCs w:val="18"/>
              </w:rPr>
              <w:t>☐</w:t>
            </w:r>
          </w:p>
        </w:tc>
      </w:tr>
      <w:tr w:rsidR="002F3D36" w:rsidRPr="002F3D36" w14:paraId="42748D3E" w14:textId="77777777" w:rsidTr="002F3D36">
        <w:trPr>
          <w:trHeight w:val="180"/>
          <w:tblCellSpacing w:w="15" w:type="dxa"/>
        </w:trPr>
        <w:tc>
          <w:tcPr>
            <w:tcW w:w="0" w:type="auto"/>
            <w:tcMar>
              <w:top w:w="14" w:type="dxa"/>
              <w:left w:w="15" w:type="dxa"/>
              <w:bottom w:w="15" w:type="dxa"/>
              <w:right w:w="14" w:type="dxa"/>
            </w:tcMar>
            <w:hideMark/>
          </w:tcPr>
          <w:p w14:paraId="68D04E2F" w14:textId="77777777" w:rsidR="002F3D36" w:rsidRPr="002F3D36" w:rsidRDefault="002F3D36" w:rsidP="002F3D36">
            <w:pPr>
              <w:widowControl/>
              <w:spacing w:after="40"/>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Non-accelerated filer</w:t>
            </w:r>
          </w:p>
        </w:tc>
        <w:tc>
          <w:tcPr>
            <w:tcW w:w="0" w:type="auto"/>
            <w:tcMar>
              <w:top w:w="14" w:type="dxa"/>
              <w:left w:w="15" w:type="dxa"/>
              <w:bottom w:w="15" w:type="dxa"/>
              <w:right w:w="14" w:type="dxa"/>
            </w:tcMar>
            <w:hideMark/>
          </w:tcPr>
          <w:p w14:paraId="1A544C73" w14:textId="77777777" w:rsidR="002F3D36" w:rsidRPr="002F3D36" w:rsidRDefault="002F3D36" w:rsidP="002F3D36">
            <w:pPr>
              <w:widowControl/>
              <w:spacing w:after="40"/>
              <w:jc w:val="left"/>
              <w:rPr>
                <w:rFonts w:ascii="Times New Roman" w:eastAsia="微软雅黑" w:hAnsi="Times New Roman" w:cs="Times New Roman"/>
                <w:kern w:val="0"/>
                <w:sz w:val="18"/>
                <w:szCs w:val="18"/>
              </w:rPr>
            </w:pPr>
            <w:r w:rsidRPr="002F3D36">
              <w:rPr>
                <w:rFonts w:ascii="Times New Roman" w:eastAsia="微软雅黑" w:hAnsi="Times New Roman" w:cs="Times New Roman"/>
                <w:kern w:val="0"/>
                <w:sz w:val="18"/>
                <w:szCs w:val="18"/>
              </w:rPr>
              <w:t> </w:t>
            </w:r>
          </w:p>
        </w:tc>
        <w:tc>
          <w:tcPr>
            <w:tcW w:w="0" w:type="auto"/>
            <w:tcMar>
              <w:top w:w="14" w:type="dxa"/>
              <w:left w:w="15" w:type="dxa"/>
              <w:bottom w:w="15" w:type="dxa"/>
              <w:right w:w="14" w:type="dxa"/>
            </w:tcMar>
            <w:hideMark/>
          </w:tcPr>
          <w:p w14:paraId="2F05966B" w14:textId="77777777" w:rsidR="002F3D36" w:rsidRPr="002F3D36" w:rsidRDefault="002F3D36" w:rsidP="002F3D36">
            <w:pPr>
              <w:widowControl/>
              <w:spacing w:after="40"/>
              <w:jc w:val="left"/>
              <w:rPr>
                <w:rFonts w:ascii="Times New Roman" w:eastAsia="微软雅黑" w:hAnsi="Times New Roman" w:cs="Times New Roman"/>
                <w:kern w:val="0"/>
                <w:sz w:val="18"/>
                <w:szCs w:val="18"/>
              </w:rPr>
            </w:pPr>
            <w:r w:rsidRPr="002F3D36">
              <w:rPr>
                <w:rFonts w:ascii="Segoe UI Symbol" w:eastAsia="微软雅黑" w:hAnsi="Segoe UI Symbol" w:cs="Segoe UI Symbol"/>
                <w:color w:val="000000"/>
                <w:kern w:val="0"/>
                <w:sz w:val="18"/>
                <w:szCs w:val="18"/>
              </w:rPr>
              <w:t>☐</w:t>
            </w:r>
          </w:p>
        </w:tc>
        <w:tc>
          <w:tcPr>
            <w:tcW w:w="0" w:type="auto"/>
            <w:tcMar>
              <w:top w:w="14" w:type="dxa"/>
              <w:left w:w="15" w:type="dxa"/>
              <w:bottom w:w="15" w:type="dxa"/>
              <w:right w:w="14" w:type="dxa"/>
            </w:tcMar>
            <w:hideMark/>
          </w:tcPr>
          <w:p w14:paraId="04685B05" w14:textId="77777777" w:rsidR="002F3D36" w:rsidRPr="002F3D36" w:rsidRDefault="002F3D36" w:rsidP="002F3D36">
            <w:pPr>
              <w:widowControl/>
              <w:spacing w:after="40"/>
              <w:jc w:val="left"/>
              <w:rPr>
                <w:rFonts w:ascii="Times New Roman" w:eastAsia="微软雅黑" w:hAnsi="Times New Roman" w:cs="Times New Roman"/>
                <w:kern w:val="0"/>
                <w:sz w:val="18"/>
                <w:szCs w:val="18"/>
              </w:rPr>
            </w:pPr>
            <w:r w:rsidRPr="002F3D36">
              <w:rPr>
                <w:rFonts w:ascii="Times New Roman" w:eastAsia="微软雅黑" w:hAnsi="Times New Roman" w:cs="Times New Roman"/>
                <w:kern w:val="0"/>
                <w:sz w:val="18"/>
                <w:szCs w:val="18"/>
              </w:rPr>
              <w:t> </w:t>
            </w:r>
          </w:p>
        </w:tc>
        <w:tc>
          <w:tcPr>
            <w:tcW w:w="0" w:type="auto"/>
            <w:tcMar>
              <w:top w:w="14" w:type="dxa"/>
              <w:left w:w="15" w:type="dxa"/>
              <w:bottom w:w="15" w:type="dxa"/>
              <w:right w:w="14" w:type="dxa"/>
            </w:tcMar>
            <w:hideMark/>
          </w:tcPr>
          <w:p w14:paraId="3278819E" w14:textId="77777777" w:rsidR="002F3D36" w:rsidRPr="002F3D36" w:rsidRDefault="002F3D36" w:rsidP="002F3D36">
            <w:pPr>
              <w:widowControl/>
              <w:spacing w:after="40"/>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Smaller reporting company</w:t>
            </w:r>
          </w:p>
        </w:tc>
        <w:tc>
          <w:tcPr>
            <w:tcW w:w="0" w:type="auto"/>
            <w:tcMar>
              <w:top w:w="14" w:type="dxa"/>
              <w:left w:w="15" w:type="dxa"/>
              <w:bottom w:w="15" w:type="dxa"/>
              <w:right w:w="14" w:type="dxa"/>
            </w:tcMar>
            <w:hideMark/>
          </w:tcPr>
          <w:p w14:paraId="54116A15" w14:textId="77777777" w:rsidR="002F3D36" w:rsidRPr="002F3D36" w:rsidRDefault="002F3D36" w:rsidP="002F3D36">
            <w:pPr>
              <w:widowControl/>
              <w:spacing w:after="40"/>
              <w:jc w:val="left"/>
              <w:rPr>
                <w:rFonts w:ascii="Times New Roman" w:eastAsia="微软雅黑" w:hAnsi="Times New Roman" w:cs="Times New Roman"/>
                <w:kern w:val="0"/>
                <w:sz w:val="18"/>
                <w:szCs w:val="18"/>
              </w:rPr>
            </w:pPr>
            <w:r w:rsidRPr="002F3D36">
              <w:rPr>
                <w:rFonts w:ascii="Times New Roman" w:eastAsia="微软雅黑" w:hAnsi="Times New Roman" w:cs="Times New Roman"/>
                <w:kern w:val="0"/>
                <w:sz w:val="18"/>
                <w:szCs w:val="18"/>
              </w:rPr>
              <w:t> </w:t>
            </w:r>
          </w:p>
        </w:tc>
        <w:tc>
          <w:tcPr>
            <w:tcW w:w="0" w:type="auto"/>
            <w:tcMar>
              <w:top w:w="14" w:type="dxa"/>
              <w:left w:w="15" w:type="dxa"/>
              <w:bottom w:w="15" w:type="dxa"/>
              <w:right w:w="14" w:type="dxa"/>
            </w:tcMar>
            <w:hideMark/>
          </w:tcPr>
          <w:p w14:paraId="3B1F7FBF" w14:textId="77777777" w:rsidR="002F3D36" w:rsidRPr="002F3D36" w:rsidRDefault="002F3D36" w:rsidP="002F3D36">
            <w:pPr>
              <w:widowControl/>
              <w:spacing w:after="40"/>
              <w:jc w:val="left"/>
              <w:rPr>
                <w:rFonts w:ascii="Times New Roman" w:eastAsia="微软雅黑" w:hAnsi="Times New Roman" w:cs="Times New Roman"/>
                <w:kern w:val="0"/>
                <w:sz w:val="20"/>
                <w:szCs w:val="20"/>
              </w:rPr>
            </w:pPr>
            <w:r w:rsidRPr="002F3D36">
              <w:rPr>
                <w:rFonts w:ascii="Segoe UI Symbol" w:eastAsia="微软雅黑" w:hAnsi="Segoe UI Symbol" w:cs="Segoe UI Symbol"/>
                <w:color w:val="000000"/>
                <w:kern w:val="0"/>
                <w:sz w:val="18"/>
                <w:szCs w:val="18"/>
              </w:rPr>
              <w:t>☐</w:t>
            </w:r>
          </w:p>
        </w:tc>
      </w:tr>
      <w:tr w:rsidR="002F3D36" w:rsidRPr="002F3D36" w14:paraId="6AC86D55" w14:textId="77777777" w:rsidTr="002F3D36">
        <w:trPr>
          <w:trHeight w:val="180"/>
          <w:tblCellSpacing w:w="15" w:type="dxa"/>
        </w:trPr>
        <w:tc>
          <w:tcPr>
            <w:tcW w:w="0" w:type="auto"/>
            <w:tcMar>
              <w:top w:w="14" w:type="dxa"/>
              <w:left w:w="15" w:type="dxa"/>
              <w:bottom w:w="15" w:type="dxa"/>
              <w:right w:w="14" w:type="dxa"/>
            </w:tcMar>
            <w:hideMark/>
          </w:tcPr>
          <w:p w14:paraId="0C5B489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Emerging growth company</w:t>
            </w:r>
          </w:p>
        </w:tc>
        <w:tc>
          <w:tcPr>
            <w:tcW w:w="0" w:type="auto"/>
            <w:tcMar>
              <w:top w:w="14" w:type="dxa"/>
              <w:left w:w="15" w:type="dxa"/>
              <w:bottom w:w="15" w:type="dxa"/>
              <w:right w:w="14" w:type="dxa"/>
            </w:tcMar>
            <w:hideMark/>
          </w:tcPr>
          <w:p w14:paraId="24FD4E4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Mar>
              <w:top w:w="14" w:type="dxa"/>
              <w:left w:w="15" w:type="dxa"/>
              <w:bottom w:w="15" w:type="dxa"/>
              <w:right w:w="14" w:type="dxa"/>
            </w:tcMar>
            <w:hideMark/>
          </w:tcPr>
          <w:p w14:paraId="24B0F02F" w14:textId="77777777" w:rsidR="002F3D36" w:rsidRPr="002F3D36" w:rsidRDefault="002F3D36" w:rsidP="002F3D36">
            <w:pPr>
              <w:widowControl/>
              <w:jc w:val="left"/>
              <w:rPr>
                <w:rFonts w:ascii="Times New Roman" w:eastAsia="微软雅黑" w:hAnsi="Times New Roman" w:cs="Times New Roman"/>
                <w:kern w:val="0"/>
                <w:sz w:val="20"/>
                <w:szCs w:val="20"/>
              </w:rPr>
            </w:pPr>
            <w:r w:rsidRPr="002F3D36">
              <w:rPr>
                <w:rFonts w:ascii="Segoe UI Symbol" w:eastAsia="微软雅黑" w:hAnsi="Segoe UI Symbol" w:cs="Segoe UI Symbol"/>
                <w:color w:val="000000"/>
                <w:kern w:val="0"/>
                <w:sz w:val="18"/>
                <w:szCs w:val="18"/>
              </w:rPr>
              <w:t>☐</w:t>
            </w:r>
          </w:p>
        </w:tc>
        <w:tc>
          <w:tcPr>
            <w:tcW w:w="0" w:type="auto"/>
            <w:tcMar>
              <w:top w:w="14" w:type="dxa"/>
              <w:left w:w="15" w:type="dxa"/>
              <w:bottom w:w="15" w:type="dxa"/>
              <w:right w:w="14" w:type="dxa"/>
            </w:tcMar>
            <w:hideMark/>
          </w:tcPr>
          <w:p w14:paraId="32FAEE4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Mar>
              <w:top w:w="14" w:type="dxa"/>
              <w:left w:w="15" w:type="dxa"/>
              <w:bottom w:w="15" w:type="dxa"/>
              <w:right w:w="14" w:type="dxa"/>
            </w:tcMar>
            <w:hideMark/>
          </w:tcPr>
          <w:p w14:paraId="5F92E96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Mar>
              <w:top w:w="14" w:type="dxa"/>
              <w:left w:w="15" w:type="dxa"/>
              <w:bottom w:w="15" w:type="dxa"/>
              <w:right w:w="14" w:type="dxa"/>
            </w:tcMar>
            <w:hideMark/>
          </w:tcPr>
          <w:p w14:paraId="22114B0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Mar>
              <w:top w:w="14" w:type="dxa"/>
              <w:left w:w="15" w:type="dxa"/>
              <w:bottom w:w="15" w:type="dxa"/>
              <w:right w:w="14" w:type="dxa"/>
            </w:tcMar>
            <w:hideMark/>
          </w:tcPr>
          <w:p w14:paraId="0C77CB8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bl>
    <w:p w14:paraId="26174DEA"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2"/>
          <w:szCs w:val="12"/>
        </w:rPr>
        <w:t> </w:t>
      </w:r>
    </w:p>
    <w:p w14:paraId="6714E38C"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xml:space="preserve">If an emerging growth company, indicate by check mark if the registrant has elected not to use the extended transition period for complying with any new or revised financial accounting standards pursuant to Section 13(a) of the Exchange Act. </w:t>
      </w:r>
      <w:r w:rsidRPr="002F3D36">
        <w:rPr>
          <w:rFonts w:ascii="Segoe UI Symbol" w:eastAsia="宋体" w:hAnsi="Segoe UI Symbol" w:cs="Segoe UI Symbol"/>
          <w:color w:val="000000"/>
          <w:kern w:val="0"/>
          <w:sz w:val="18"/>
          <w:szCs w:val="18"/>
        </w:rPr>
        <w:t>☐</w:t>
      </w:r>
    </w:p>
    <w:p w14:paraId="276A4E06"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w:t>
      </w:r>
    </w:p>
    <w:p w14:paraId="343FFFB1"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xml:space="preserve">Indicate by check mark whether the registrant has filed a report on and attestation to its management’s assessment of the effectiveness of its internal control over financial reporting under Section 404(b) of the Sarbanes-Oxley Act (15 U.S.C. 7262 (b)) by the registered public accounting firm that prepared or issued its audit report. </w:t>
      </w:r>
      <w:r w:rsidRPr="002F3D36">
        <w:rPr>
          <w:rFonts w:ascii="Segoe UI Symbol" w:eastAsia="宋体" w:hAnsi="Segoe UI Symbol" w:cs="Segoe UI Symbol"/>
          <w:color w:val="000000"/>
          <w:kern w:val="0"/>
          <w:sz w:val="18"/>
          <w:szCs w:val="18"/>
        </w:rPr>
        <w:t>☒</w:t>
      </w:r>
    </w:p>
    <w:p w14:paraId="1640F608"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2"/>
          <w:szCs w:val="12"/>
        </w:rPr>
        <w:t> </w:t>
      </w:r>
    </w:p>
    <w:p w14:paraId="552B4462"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xml:space="preserve">Indicate by check mark whether the registrant is a shell company (as defined in Rule 12b-2 of the Act). Yes: </w:t>
      </w:r>
      <w:r w:rsidRPr="002F3D36">
        <w:rPr>
          <w:rFonts w:ascii="Segoe UI Symbol" w:eastAsia="宋体" w:hAnsi="Segoe UI Symbol" w:cs="Segoe UI Symbol"/>
          <w:color w:val="000000"/>
          <w:kern w:val="0"/>
          <w:sz w:val="18"/>
          <w:szCs w:val="18"/>
        </w:rPr>
        <w:t>☐</w:t>
      </w:r>
      <w:r w:rsidRPr="002F3D36">
        <w:rPr>
          <w:rFonts w:ascii="Arial" w:eastAsia="宋体" w:hAnsi="Arial" w:cs="Arial"/>
          <w:color w:val="000000"/>
          <w:kern w:val="0"/>
          <w:sz w:val="18"/>
          <w:szCs w:val="18"/>
        </w:rPr>
        <w:t xml:space="preserve"> No: </w:t>
      </w:r>
      <w:r w:rsidRPr="002F3D36">
        <w:rPr>
          <w:rFonts w:ascii="Segoe UI Symbol" w:eastAsia="宋体" w:hAnsi="Segoe UI Symbol" w:cs="Segoe UI Symbol"/>
          <w:color w:val="000000"/>
          <w:kern w:val="0"/>
          <w:sz w:val="18"/>
          <w:szCs w:val="18"/>
        </w:rPr>
        <w:t>☒</w:t>
      </w:r>
    </w:p>
    <w:p w14:paraId="77EB3545"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2"/>
          <w:szCs w:val="12"/>
        </w:rPr>
        <w:t> </w:t>
      </w:r>
    </w:p>
    <w:p w14:paraId="156797D2"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The aggregate market value of the voting and non-voting common equity of Autoliv, Inc. held by non-affiliates as of the last business day of the second fiscal quarter of 2021 amounted to $8,551 million.</w:t>
      </w:r>
    </w:p>
    <w:p w14:paraId="42382197"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2"/>
          <w:szCs w:val="12"/>
        </w:rPr>
        <w:t> </w:t>
      </w:r>
    </w:p>
    <w:p w14:paraId="7E6D7093"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Number of shares of Common Stock outstanding as of February 10, 2022: 87,488,549.</w:t>
      </w:r>
    </w:p>
    <w:p w14:paraId="4784A59F"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w:t>
      </w:r>
    </w:p>
    <w:p w14:paraId="46D2A618"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Auditor Firm Id: 1433 Auditor Name: Ernst &amp; Young AB Auditor Location: Stockholm, Sweden</w:t>
      </w:r>
    </w:p>
    <w:p w14:paraId="1A3ABEB0"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w:t>
      </w:r>
    </w:p>
    <w:p w14:paraId="5AB222DA" w14:textId="77777777" w:rsidR="002F3D36" w:rsidRPr="002F3D36" w:rsidRDefault="002F3D36" w:rsidP="002F3D36">
      <w:pPr>
        <w:widowControl/>
        <w:jc w:val="center"/>
        <w:rPr>
          <w:rFonts w:ascii="Times New Roman" w:eastAsia="宋体" w:hAnsi="Times New Roman" w:cs="Times New Roman"/>
          <w:color w:val="000000"/>
          <w:kern w:val="0"/>
          <w:sz w:val="20"/>
          <w:szCs w:val="20"/>
        </w:rPr>
      </w:pPr>
      <w:r w:rsidRPr="002F3D36">
        <w:rPr>
          <w:rFonts w:ascii="Arial" w:eastAsia="宋体" w:hAnsi="Arial" w:cs="Arial"/>
          <w:color w:val="000000"/>
          <w:kern w:val="0"/>
          <w:sz w:val="12"/>
          <w:szCs w:val="12"/>
        </w:rPr>
        <w:t> </w:t>
      </w:r>
    </w:p>
    <w:p w14:paraId="7EEFF8E2" w14:textId="77777777" w:rsidR="002F3D36" w:rsidRPr="002F3D36" w:rsidRDefault="002F3D36" w:rsidP="002F3D36">
      <w:pPr>
        <w:widowControl/>
        <w:jc w:val="center"/>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DOCUMENTS INCORPORATED BY REFERENCE</w:t>
      </w:r>
    </w:p>
    <w:p w14:paraId="572BE153"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2"/>
          <w:szCs w:val="12"/>
        </w:rPr>
        <w:lastRenderedPageBreak/>
        <w:t> </w:t>
      </w:r>
    </w:p>
    <w:p w14:paraId="4970044B"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Portions of the registrant’s definitive Proxy Statement for the annual stockholders’ meeting to be held on May 10, 2022, to be dated on or around March 25, 2022 (the “2022 Proxy Statement”), are incorporated by reference into Part III of this Annual Report on Form 10-K. The 2022 Proxy Statement will be filed with the Securities and Exchange Commission within 120 days after December 31, 2021.</w:t>
      </w:r>
    </w:p>
    <w:p w14:paraId="69619499"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Times New Roman" w:eastAsia="宋体" w:hAnsi="Times New Roman" w:cs="Times New Roman"/>
          <w:color w:val="000000"/>
          <w:kern w:val="0"/>
          <w:sz w:val="20"/>
          <w:szCs w:val="20"/>
        </w:rPr>
        <w:t> </w:t>
      </w:r>
    </w:p>
    <w:p w14:paraId="5F8EAC3D" w14:textId="77777777" w:rsidR="002F3D36" w:rsidRPr="002F3D36" w:rsidRDefault="002F3D36" w:rsidP="002F3D36">
      <w:pPr>
        <w:widowControl/>
        <w:jc w:val="left"/>
        <w:rPr>
          <w:rFonts w:ascii="Times New Roman" w:eastAsia="宋体" w:hAnsi="Times New Roman" w:cs="Times New Roman"/>
          <w:color w:val="000000"/>
          <w:kern w:val="0"/>
          <w:sz w:val="20"/>
          <w:szCs w:val="20"/>
        </w:rPr>
      </w:pPr>
      <w:r w:rsidRPr="002F3D36">
        <w:rPr>
          <w:rFonts w:ascii="Arial" w:eastAsia="宋体" w:hAnsi="Arial" w:cs="Arial"/>
          <w:color w:val="000000"/>
          <w:kern w:val="0"/>
          <w:sz w:val="2"/>
          <w:szCs w:val="2"/>
        </w:rPr>
        <w:t> </w:t>
      </w:r>
    </w:p>
    <w:p w14:paraId="7F728742" w14:textId="77777777" w:rsidR="002F3D36" w:rsidRPr="002F3D36" w:rsidRDefault="002F3D36" w:rsidP="002F3D36">
      <w:pPr>
        <w:widowControl/>
        <w:jc w:val="left"/>
        <w:rPr>
          <w:rFonts w:ascii="宋体" w:eastAsia="宋体" w:hAnsi="宋体" w:cs="宋体"/>
          <w:kern w:val="0"/>
          <w:sz w:val="24"/>
          <w:szCs w:val="24"/>
        </w:rPr>
      </w:pPr>
      <w:r w:rsidRPr="002F3D36">
        <w:rPr>
          <w:rFonts w:ascii="宋体" w:eastAsia="宋体" w:hAnsi="宋体" w:cs="宋体"/>
          <w:kern w:val="0"/>
          <w:sz w:val="24"/>
          <w:szCs w:val="24"/>
        </w:rPr>
        <w:pict w14:anchorId="3A914D26">
          <v:rect id="_x0000_i1025" style="width:0;height:1.5pt" o:hralign="center" o:hrstd="t" o:hrnoshade="t" o:hr="t" fillcolor="black" stroked="f"/>
        </w:pict>
      </w:r>
    </w:p>
    <w:p w14:paraId="67BBECC7" w14:textId="77777777" w:rsidR="002F3D36" w:rsidRPr="002F3D36" w:rsidRDefault="002F3D36" w:rsidP="002F3D36">
      <w:pPr>
        <w:widowControl/>
        <w:spacing w:line="20" w:lineRule="atLeast"/>
        <w:jc w:val="left"/>
        <w:rPr>
          <w:rFonts w:ascii="Times New Roman" w:eastAsia="宋体" w:hAnsi="Times New Roman" w:cs="Times New Roman"/>
          <w:color w:val="000000"/>
          <w:kern w:val="0"/>
          <w:sz w:val="20"/>
          <w:szCs w:val="20"/>
        </w:rPr>
      </w:pPr>
      <w:r w:rsidRPr="002F3D36">
        <w:rPr>
          <w:rFonts w:ascii="Arial" w:eastAsia="宋体" w:hAnsi="Arial" w:cs="Arial"/>
          <w:color w:val="000000"/>
          <w:kern w:val="0"/>
          <w:sz w:val="2"/>
          <w:szCs w:val="2"/>
        </w:rPr>
        <w:t> </w:t>
      </w:r>
    </w:p>
    <w:p w14:paraId="2F778D99" w14:textId="77777777" w:rsidR="002F3D36" w:rsidRPr="002F3D36" w:rsidRDefault="002F3D36" w:rsidP="002F3D36">
      <w:pPr>
        <w:widowControl/>
        <w:jc w:val="center"/>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AUTOLIV, INC.</w:t>
      </w:r>
    </w:p>
    <w:p w14:paraId="187FF15D" w14:textId="77777777" w:rsidR="002F3D36" w:rsidRPr="002F3D36" w:rsidRDefault="002F3D36" w:rsidP="002F3D36">
      <w:pPr>
        <w:widowControl/>
        <w:spacing w:before="240"/>
        <w:jc w:val="center"/>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Index</w:t>
      </w:r>
    </w:p>
    <w:p w14:paraId="7F5B3AE6" w14:textId="77777777" w:rsidR="002F3D36" w:rsidRPr="002F3D36" w:rsidRDefault="002F3D36" w:rsidP="002F3D36">
      <w:pPr>
        <w:widowControl/>
        <w:jc w:val="left"/>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w:t>
      </w:r>
    </w:p>
    <w:tbl>
      <w:tblPr>
        <w:tblW w:w="20614" w:type="dxa"/>
        <w:tblCellSpacing w:w="15" w:type="dxa"/>
        <w:tblCellMar>
          <w:top w:w="15" w:type="dxa"/>
          <w:left w:w="15" w:type="dxa"/>
          <w:bottom w:w="15" w:type="dxa"/>
          <w:right w:w="15" w:type="dxa"/>
        </w:tblCellMar>
        <w:tblLook w:val="04A0" w:firstRow="1" w:lastRow="0" w:firstColumn="1" w:lastColumn="0" w:noHBand="0" w:noVBand="1"/>
      </w:tblPr>
      <w:tblGrid>
        <w:gridCol w:w="1614"/>
        <w:gridCol w:w="476"/>
        <w:gridCol w:w="17276"/>
        <w:gridCol w:w="1248"/>
      </w:tblGrid>
      <w:tr w:rsidR="002F3D36" w:rsidRPr="002F3D36" w14:paraId="357BF3BF" w14:textId="77777777" w:rsidTr="002F3D36">
        <w:trPr>
          <w:tblCellSpacing w:w="15" w:type="dxa"/>
        </w:trPr>
        <w:tc>
          <w:tcPr>
            <w:tcW w:w="1570" w:type="dxa"/>
            <w:vAlign w:val="center"/>
            <w:hideMark/>
          </w:tcPr>
          <w:p w14:paraId="69EF79A5" w14:textId="77777777" w:rsidR="002F3D36" w:rsidRPr="002F3D36" w:rsidRDefault="002F3D36" w:rsidP="002F3D36">
            <w:pPr>
              <w:widowControl/>
              <w:jc w:val="left"/>
              <w:rPr>
                <w:rFonts w:ascii="Times New Roman" w:eastAsia="宋体" w:hAnsi="Times New Roman" w:cs="Times New Roman"/>
                <w:color w:val="000000"/>
                <w:kern w:val="0"/>
                <w:sz w:val="20"/>
                <w:szCs w:val="20"/>
              </w:rPr>
            </w:pPr>
          </w:p>
        </w:tc>
        <w:tc>
          <w:tcPr>
            <w:tcW w:w="447" w:type="dxa"/>
            <w:vAlign w:val="center"/>
            <w:hideMark/>
          </w:tcPr>
          <w:p w14:paraId="231AA4F5"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7273" w:type="dxa"/>
            <w:vAlign w:val="center"/>
            <w:hideMark/>
          </w:tcPr>
          <w:p w14:paraId="503701B3"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205" w:type="dxa"/>
            <w:vAlign w:val="center"/>
            <w:hideMark/>
          </w:tcPr>
          <w:p w14:paraId="694920CB" w14:textId="77777777" w:rsidR="002F3D36" w:rsidRPr="002F3D36" w:rsidRDefault="002F3D36" w:rsidP="002F3D36">
            <w:pPr>
              <w:widowControl/>
              <w:jc w:val="left"/>
              <w:rPr>
                <w:rFonts w:ascii="Times New Roman" w:eastAsia="Times New Roman" w:hAnsi="Times New Roman" w:cs="Times New Roman"/>
                <w:kern w:val="0"/>
                <w:sz w:val="20"/>
                <w:szCs w:val="20"/>
              </w:rPr>
            </w:pPr>
          </w:p>
        </w:tc>
      </w:tr>
      <w:tr w:rsidR="002F3D36" w:rsidRPr="002F3D36" w14:paraId="6F81BAFB" w14:textId="77777777" w:rsidTr="002F3D36">
        <w:trPr>
          <w:trHeight w:val="180"/>
          <w:tblCellSpacing w:w="15" w:type="dxa"/>
        </w:trPr>
        <w:tc>
          <w:tcPr>
            <w:tcW w:w="0" w:type="auto"/>
            <w:gridSpan w:val="4"/>
            <w:hideMark/>
          </w:tcPr>
          <w:p w14:paraId="6F42C4B8" w14:textId="77777777" w:rsidR="002F3D36" w:rsidRPr="002F3D36" w:rsidRDefault="002F3D36" w:rsidP="002F3D36">
            <w:pPr>
              <w:widowControl/>
              <w:jc w:val="center"/>
              <w:rPr>
                <w:rFonts w:ascii="Times New Roman" w:eastAsia="微软雅黑" w:hAnsi="Times New Roman" w:cs="Times New Roman"/>
                <w:kern w:val="0"/>
                <w:sz w:val="18"/>
                <w:szCs w:val="18"/>
              </w:rPr>
            </w:pPr>
            <w:hyperlink r:id="rId6" w:anchor="part_i" w:history="1">
              <w:r w:rsidRPr="002F3D36">
                <w:rPr>
                  <w:rFonts w:ascii="Arial" w:eastAsia="微软雅黑" w:hAnsi="Arial" w:cs="Arial"/>
                  <w:b/>
                  <w:bCs/>
                  <w:color w:val="0000FF"/>
                  <w:kern w:val="0"/>
                  <w:sz w:val="18"/>
                  <w:szCs w:val="18"/>
                  <w:u w:val="single"/>
                </w:rPr>
                <w:t>PART I</w:t>
              </w:r>
            </w:hyperlink>
          </w:p>
        </w:tc>
      </w:tr>
      <w:tr w:rsidR="002F3D36" w:rsidRPr="002F3D36" w14:paraId="4513F61E" w14:textId="77777777" w:rsidTr="002F3D36">
        <w:trPr>
          <w:tblCellSpacing w:w="15" w:type="dxa"/>
        </w:trPr>
        <w:tc>
          <w:tcPr>
            <w:tcW w:w="0" w:type="auto"/>
            <w:hideMark/>
          </w:tcPr>
          <w:p w14:paraId="5EEF1E0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165ED8B8" w14:textId="77777777" w:rsidR="002F3D36" w:rsidRPr="002F3D36" w:rsidRDefault="002F3D36" w:rsidP="002F3D36">
            <w:pPr>
              <w:widowControl/>
              <w:jc w:val="center"/>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4FACC1D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31953B62"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44B7D785" w14:textId="77777777" w:rsidTr="002F3D36">
        <w:trPr>
          <w:trHeight w:val="180"/>
          <w:tblCellSpacing w:w="15" w:type="dxa"/>
        </w:trPr>
        <w:tc>
          <w:tcPr>
            <w:tcW w:w="0" w:type="auto"/>
            <w:hideMark/>
          </w:tcPr>
          <w:p w14:paraId="29D5BCB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Item 1.</w:t>
            </w:r>
          </w:p>
        </w:tc>
        <w:tc>
          <w:tcPr>
            <w:tcW w:w="0" w:type="auto"/>
            <w:hideMark/>
          </w:tcPr>
          <w:p w14:paraId="07B637FD" w14:textId="77777777" w:rsidR="002F3D36" w:rsidRPr="002F3D36" w:rsidRDefault="002F3D36" w:rsidP="002F3D36">
            <w:pPr>
              <w:widowControl/>
              <w:jc w:val="center"/>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748EA785" w14:textId="77777777" w:rsidR="002F3D36" w:rsidRPr="002F3D36" w:rsidRDefault="002F3D36" w:rsidP="002F3D36">
            <w:pPr>
              <w:widowControl/>
              <w:jc w:val="left"/>
              <w:rPr>
                <w:rFonts w:ascii="Times New Roman" w:eastAsia="微软雅黑" w:hAnsi="Times New Roman" w:cs="Times New Roman"/>
                <w:kern w:val="0"/>
                <w:sz w:val="18"/>
                <w:szCs w:val="18"/>
              </w:rPr>
            </w:pPr>
            <w:hyperlink r:id="rId7" w:anchor="item_1_business" w:history="1">
              <w:r w:rsidRPr="002F3D36">
                <w:rPr>
                  <w:rFonts w:ascii="Arial" w:eastAsia="微软雅黑" w:hAnsi="Arial" w:cs="Arial"/>
                  <w:color w:val="0000FF"/>
                  <w:kern w:val="0"/>
                  <w:sz w:val="18"/>
                  <w:szCs w:val="18"/>
                  <w:u w:val="single"/>
                </w:rPr>
                <w:t>Business</w:t>
              </w:r>
            </w:hyperlink>
          </w:p>
        </w:tc>
        <w:tc>
          <w:tcPr>
            <w:tcW w:w="0" w:type="auto"/>
            <w:hideMark/>
          </w:tcPr>
          <w:p w14:paraId="1FBD8584"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3</w:t>
            </w:r>
          </w:p>
        </w:tc>
      </w:tr>
      <w:tr w:rsidR="002F3D36" w:rsidRPr="002F3D36" w14:paraId="3187ACFF" w14:textId="77777777" w:rsidTr="002F3D36">
        <w:trPr>
          <w:trHeight w:val="180"/>
          <w:tblCellSpacing w:w="15" w:type="dxa"/>
        </w:trPr>
        <w:tc>
          <w:tcPr>
            <w:tcW w:w="0" w:type="auto"/>
            <w:hideMark/>
          </w:tcPr>
          <w:p w14:paraId="5BD3D67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Item 1A.</w:t>
            </w:r>
          </w:p>
        </w:tc>
        <w:tc>
          <w:tcPr>
            <w:tcW w:w="0" w:type="auto"/>
            <w:hideMark/>
          </w:tcPr>
          <w:p w14:paraId="68D87D0F" w14:textId="77777777" w:rsidR="002F3D36" w:rsidRPr="002F3D36" w:rsidRDefault="002F3D36" w:rsidP="002F3D36">
            <w:pPr>
              <w:widowControl/>
              <w:jc w:val="center"/>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544287C2" w14:textId="77777777" w:rsidR="002F3D36" w:rsidRPr="002F3D36" w:rsidRDefault="002F3D36" w:rsidP="002F3D36">
            <w:pPr>
              <w:widowControl/>
              <w:jc w:val="left"/>
              <w:rPr>
                <w:rFonts w:ascii="Times New Roman" w:eastAsia="微软雅黑" w:hAnsi="Times New Roman" w:cs="Times New Roman"/>
                <w:kern w:val="0"/>
                <w:sz w:val="18"/>
                <w:szCs w:val="18"/>
              </w:rPr>
            </w:pPr>
            <w:hyperlink r:id="rId8" w:anchor="item_1a_risk_factors" w:history="1">
              <w:r w:rsidRPr="002F3D36">
                <w:rPr>
                  <w:rFonts w:ascii="Arial" w:eastAsia="微软雅黑" w:hAnsi="Arial" w:cs="Arial"/>
                  <w:color w:val="0000FF"/>
                  <w:kern w:val="0"/>
                  <w:sz w:val="18"/>
                  <w:szCs w:val="18"/>
                  <w:u w:val="single"/>
                </w:rPr>
                <w:t>Risk Factors</w:t>
              </w:r>
            </w:hyperlink>
          </w:p>
        </w:tc>
        <w:tc>
          <w:tcPr>
            <w:tcW w:w="0" w:type="auto"/>
            <w:hideMark/>
          </w:tcPr>
          <w:p w14:paraId="175EF91E"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11</w:t>
            </w:r>
          </w:p>
        </w:tc>
      </w:tr>
      <w:tr w:rsidR="002F3D36" w:rsidRPr="002F3D36" w14:paraId="3014E2BC" w14:textId="77777777" w:rsidTr="002F3D36">
        <w:trPr>
          <w:trHeight w:val="180"/>
          <w:tblCellSpacing w:w="15" w:type="dxa"/>
        </w:trPr>
        <w:tc>
          <w:tcPr>
            <w:tcW w:w="0" w:type="auto"/>
            <w:hideMark/>
          </w:tcPr>
          <w:p w14:paraId="3D0475D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Item 1B.</w:t>
            </w:r>
          </w:p>
        </w:tc>
        <w:tc>
          <w:tcPr>
            <w:tcW w:w="0" w:type="auto"/>
            <w:hideMark/>
          </w:tcPr>
          <w:p w14:paraId="6F29DD0C" w14:textId="77777777" w:rsidR="002F3D36" w:rsidRPr="002F3D36" w:rsidRDefault="002F3D36" w:rsidP="002F3D36">
            <w:pPr>
              <w:widowControl/>
              <w:jc w:val="center"/>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3411FFAF" w14:textId="77777777" w:rsidR="002F3D36" w:rsidRPr="002F3D36" w:rsidRDefault="002F3D36" w:rsidP="002F3D36">
            <w:pPr>
              <w:widowControl/>
              <w:jc w:val="left"/>
              <w:rPr>
                <w:rFonts w:ascii="Times New Roman" w:eastAsia="微软雅黑" w:hAnsi="Times New Roman" w:cs="Times New Roman"/>
                <w:kern w:val="0"/>
                <w:sz w:val="18"/>
                <w:szCs w:val="18"/>
              </w:rPr>
            </w:pPr>
            <w:hyperlink r:id="rId9" w:anchor="item_1b_unresolved_staff_comments" w:history="1">
              <w:r w:rsidRPr="002F3D36">
                <w:rPr>
                  <w:rFonts w:ascii="Arial" w:eastAsia="微软雅黑" w:hAnsi="Arial" w:cs="Arial"/>
                  <w:color w:val="0000FF"/>
                  <w:kern w:val="0"/>
                  <w:sz w:val="18"/>
                  <w:szCs w:val="18"/>
                  <w:u w:val="single"/>
                </w:rPr>
                <w:t>Unresolved Staff Comments</w:t>
              </w:r>
            </w:hyperlink>
          </w:p>
        </w:tc>
        <w:tc>
          <w:tcPr>
            <w:tcW w:w="0" w:type="auto"/>
            <w:hideMark/>
          </w:tcPr>
          <w:p w14:paraId="318AACD3"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24</w:t>
            </w:r>
          </w:p>
        </w:tc>
      </w:tr>
      <w:tr w:rsidR="002F3D36" w:rsidRPr="002F3D36" w14:paraId="6946E4D3" w14:textId="77777777" w:rsidTr="002F3D36">
        <w:trPr>
          <w:trHeight w:val="180"/>
          <w:tblCellSpacing w:w="15" w:type="dxa"/>
        </w:trPr>
        <w:tc>
          <w:tcPr>
            <w:tcW w:w="0" w:type="auto"/>
            <w:hideMark/>
          </w:tcPr>
          <w:p w14:paraId="2C4B161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Item 2.</w:t>
            </w:r>
          </w:p>
        </w:tc>
        <w:tc>
          <w:tcPr>
            <w:tcW w:w="0" w:type="auto"/>
            <w:hideMark/>
          </w:tcPr>
          <w:p w14:paraId="579B81B7" w14:textId="77777777" w:rsidR="002F3D36" w:rsidRPr="002F3D36" w:rsidRDefault="002F3D36" w:rsidP="002F3D36">
            <w:pPr>
              <w:widowControl/>
              <w:jc w:val="center"/>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03CC3202" w14:textId="77777777" w:rsidR="002F3D36" w:rsidRPr="002F3D36" w:rsidRDefault="002F3D36" w:rsidP="002F3D36">
            <w:pPr>
              <w:widowControl/>
              <w:jc w:val="left"/>
              <w:rPr>
                <w:rFonts w:ascii="Times New Roman" w:eastAsia="微软雅黑" w:hAnsi="Times New Roman" w:cs="Times New Roman"/>
                <w:kern w:val="0"/>
                <w:sz w:val="18"/>
                <w:szCs w:val="18"/>
              </w:rPr>
            </w:pPr>
            <w:hyperlink r:id="rId10" w:anchor="item_2_properties" w:history="1">
              <w:r w:rsidRPr="002F3D36">
                <w:rPr>
                  <w:rFonts w:ascii="Arial" w:eastAsia="微软雅黑" w:hAnsi="Arial" w:cs="Arial"/>
                  <w:color w:val="0000FF"/>
                  <w:kern w:val="0"/>
                  <w:sz w:val="18"/>
                  <w:szCs w:val="18"/>
                  <w:u w:val="single"/>
                </w:rPr>
                <w:t>Properties</w:t>
              </w:r>
            </w:hyperlink>
          </w:p>
        </w:tc>
        <w:tc>
          <w:tcPr>
            <w:tcW w:w="0" w:type="auto"/>
            <w:hideMark/>
          </w:tcPr>
          <w:p w14:paraId="4BA7391D"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25</w:t>
            </w:r>
          </w:p>
        </w:tc>
      </w:tr>
      <w:tr w:rsidR="002F3D36" w:rsidRPr="002F3D36" w14:paraId="6B95C60F" w14:textId="77777777" w:rsidTr="002F3D36">
        <w:trPr>
          <w:trHeight w:val="180"/>
          <w:tblCellSpacing w:w="15" w:type="dxa"/>
        </w:trPr>
        <w:tc>
          <w:tcPr>
            <w:tcW w:w="0" w:type="auto"/>
            <w:hideMark/>
          </w:tcPr>
          <w:p w14:paraId="5FC563F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Item 3.</w:t>
            </w:r>
          </w:p>
        </w:tc>
        <w:tc>
          <w:tcPr>
            <w:tcW w:w="0" w:type="auto"/>
            <w:hideMark/>
          </w:tcPr>
          <w:p w14:paraId="329806F8" w14:textId="77777777" w:rsidR="002F3D36" w:rsidRPr="002F3D36" w:rsidRDefault="002F3D36" w:rsidP="002F3D36">
            <w:pPr>
              <w:widowControl/>
              <w:jc w:val="center"/>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0D501996" w14:textId="77777777" w:rsidR="002F3D36" w:rsidRPr="002F3D36" w:rsidRDefault="002F3D36" w:rsidP="002F3D36">
            <w:pPr>
              <w:widowControl/>
              <w:jc w:val="left"/>
              <w:rPr>
                <w:rFonts w:ascii="Times New Roman" w:eastAsia="微软雅黑" w:hAnsi="Times New Roman" w:cs="Times New Roman"/>
                <w:kern w:val="0"/>
                <w:sz w:val="18"/>
                <w:szCs w:val="18"/>
              </w:rPr>
            </w:pPr>
            <w:hyperlink r:id="rId11" w:anchor="item_3_legal_proceedings" w:history="1">
              <w:r w:rsidRPr="002F3D36">
                <w:rPr>
                  <w:rFonts w:ascii="Arial" w:eastAsia="微软雅黑" w:hAnsi="Arial" w:cs="Arial"/>
                  <w:color w:val="0000FF"/>
                  <w:kern w:val="0"/>
                  <w:sz w:val="18"/>
                  <w:szCs w:val="18"/>
                  <w:u w:val="single"/>
                </w:rPr>
                <w:t>Legal Proceedings</w:t>
              </w:r>
            </w:hyperlink>
          </w:p>
        </w:tc>
        <w:tc>
          <w:tcPr>
            <w:tcW w:w="0" w:type="auto"/>
            <w:hideMark/>
          </w:tcPr>
          <w:p w14:paraId="54F23987"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28</w:t>
            </w:r>
          </w:p>
        </w:tc>
      </w:tr>
      <w:tr w:rsidR="002F3D36" w:rsidRPr="002F3D36" w14:paraId="161C18F8" w14:textId="77777777" w:rsidTr="002F3D36">
        <w:trPr>
          <w:trHeight w:val="180"/>
          <w:tblCellSpacing w:w="15" w:type="dxa"/>
        </w:trPr>
        <w:tc>
          <w:tcPr>
            <w:tcW w:w="0" w:type="auto"/>
            <w:hideMark/>
          </w:tcPr>
          <w:p w14:paraId="6BDC1B5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Item 4.</w:t>
            </w:r>
          </w:p>
        </w:tc>
        <w:tc>
          <w:tcPr>
            <w:tcW w:w="0" w:type="auto"/>
            <w:hideMark/>
          </w:tcPr>
          <w:p w14:paraId="7612D0F8" w14:textId="77777777" w:rsidR="002F3D36" w:rsidRPr="002F3D36" w:rsidRDefault="002F3D36" w:rsidP="002F3D36">
            <w:pPr>
              <w:widowControl/>
              <w:jc w:val="center"/>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4AE7A29E" w14:textId="77777777" w:rsidR="002F3D36" w:rsidRPr="002F3D36" w:rsidRDefault="002F3D36" w:rsidP="002F3D36">
            <w:pPr>
              <w:widowControl/>
              <w:jc w:val="left"/>
              <w:rPr>
                <w:rFonts w:ascii="Times New Roman" w:eastAsia="微软雅黑" w:hAnsi="Times New Roman" w:cs="Times New Roman"/>
                <w:kern w:val="0"/>
                <w:sz w:val="18"/>
                <w:szCs w:val="18"/>
              </w:rPr>
            </w:pPr>
            <w:hyperlink r:id="rId12" w:anchor="item_4_mine_safety_disclosures" w:history="1">
              <w:r w:rsidRPr="002F3D36">
                <w:rPr>
                  <w:rFonts w:ascii="Arial" w:eastAsia="微软雅黑" w:hAnsi="Arial" w:cs="Arial"/>
                  <w:color w:val="0000FF"/>
                  <w:kern w:val="0"/>
                  <w:sz w:val="18"/>
                  <w:szCs w:val="18"/>
                  <w:u w:val="single"/>
                </w:rPr>
                <w:t>Mine Safety Disclosures</w:t>
              </w:r>
            </w:hyperlink>
          </w:p>
        </w:tc>
        <w:tc>
          <w:tcPr>
            <w:tcW w:w="0" w:type="auto"/>
            <w:hideMark/>
          </w:tcPr>
          <w:p w14:paraId="33567039"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28</w:t>
            </w:r>
          </w:p>
        </w:tc>
      </w:tr>
      <w:tr w:rsidR="002F3D36" w:rsidRPr="002F3D36" w14:paraId="272B363F" w14:textId="77777777" w:rsidTr="002F3D36">
        <w:trPr>
          <w:tblCellSpacing w:w="15" w:type="dxa"/>
        </w:trPr>
        <w:tc>
          <w:tcPr>
            <w:tcW w:w="0" w:type="auto"/>
            <w:hideMark/>
          </w:tcPr>
          <w:p w14:paraId="4EF6A8E7" w14:textId="77777777" w:rsidR="002F3D36" w:rsidRPr="002F3D36" w:rsidRDefault="002F3D36" w:rsidP="002F3D36">
            <w:pPr>
              <w:widowControl/>
              <w:jc w:val="left"/>
              <w:rPr>
                <w:rFonts w:ascii="Times New Roman" w:eastAsia="微软雅黑" w:hAnsi="Times New Roman" w:cs="Times New Roman"/>
                <w:kern w:val="0"/>
                <w:sz w:val="20"/>
                <w:szCs w:val="20"/>
              </w:rPr>
            </w:pPr>
            <w:r w:rsidRPr="002F3D36">
              <w:rPr>
                <w:rFonts w:ascii="Arial" w:eastAsia="微软雅黑" w:hAnsi="Arial" w:cs="Arial"/>
                <w:kern w:val="0"/>
                <w:sz w:val="20"/>
                <w:szCs w:val="20"/>
              </w:rPr>
              <w:t> </w:t>
            </w:r>
          </w:p>
        </w:tc>
        <w:tc>
          <w:tcPr>
            <w:tcW w:w="0" w:type="auto"/>
            <w:hideMark/>
          </w:tcPr>
          <w:p w14:paraId="67BA7258" w14:textId="77777777" w:rsidR="002F3D36" w:rsidRPr="002F3D36" w:rsidRDefault="002F3D36" w:rsidP="002F3D36">
            <w:pPr>
              <w:widowControl/>
              <w:jc w:val="center"/>
              <w:rPr>
                <w:rFonts w:ascii="Times New Roman" w:eastAsia="微软雅黑" w:hAnsi="Times New Roman" w:cs="Times New Roman"/>
                <w:kern w:val="0"/>
                <w:sz w:val="20"/>
                <w:szCs w:val="20"/>
              </w:rPr>
            </w:pPr>
            <w:r w:rsidRPr="002F3D36">
              <w:rPr>
                <w:rFonts w:ascii="Arial" w:eastAsia="微软雅黑" w:hAnsi="Arial" w:cs="Arial"/>
                <w:kern w:val="0"/>
                <w:sz w:val="20"/>
                <w:szCs w:val="20"/>
              </w:rPr>
              <w:t> </w:t>
            </w:r>
          </w:p>
        </w:tc>
        <w:tc>
          <w:tcPr>
            <w:tcW w:w="0" w:type="auto"/>
            <w:hideMark/>
          </w:tcPr>
          <w:p w14:paraId="76C17E4B" w14:textId="77777777" w:rsidR="002F3D36" w:rsidRPr="002F3D36" w:rsidRDefault="002F3D36" w:rsidP="002F3D36">
            <w:pPr>
              <w:widowControl/>
              <w:jc w:val="left"/>
              <w:rPr>
                <w:rFonts w:ascii="Times New Roman" w:eastAsia="微软雅黑" w:hAnsi="Times New Roman" w:cs="Times New Roman"/>
                <w:kern w:val="0"/>
                <w:sz w:val="20"/>
                <w:szCs w:val="20"/>
              </w:rPr>
            </w:pPr>
            <w:r w:rsidRPr="002F3D36">
              <w:rPr>
                <w:rFonts w:ascii="Arial" w:eastAsia="微软雅黑" w:hAnsi="Arial" w:cs="Arial"/>
                <w:kern w:val="0"/>
                <w:sz w:val="20"/>
                <w:szCs w:val="20"/>
              </w:rPr>
              <w:t> </w:t>
            </w:r>
          </w:p>
        </w:tc>
        <w:tc>
          <w:tcPr>
            <w:tcW w:w="0" w:type="auto"/>
            <w:hideMark/>
          </w:tcPr>
          <w:p w14:paraId="78170BC3"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kern w:val="0"/>
                <w:sz w:val="20"/>
                <w:szCs w:val="20"/>
              </w:rPr>
              <w:t> </w:t>
            </w:r>
          </w:p>
        </w:tc>
      </w:tr>
      <w:tr w:rsidR="002F3D36" w:rsidRPr="002F3D36" w14:paraId="2FC19F02" w14:textId="77777777" w:rsidTr="002F3D36">
        <w:trPr>
          <w:trHeight w:val="180"/>
          <w:tblCellSpacing w:w="15" w:type="dxa"/>
        </w:trPr>
        <w:tc>
          <w:tcPr>
            <w:tcW w:w="0" w:type="auto"/>
            <w:gridSpan w:val="4"/>
            <w:hideMark/>
          </w:tcPr>
          <w:p w14:paraId="3FCCD2D9" w14:textId="77777777" w:rsidR="002F3D36" w:rsidRPr="002F3D36" w:rsidRDefault="002F3D36" w:rsidP="002F3D36">
            <w:pPr>
              <w:widowControl/>
              <w:jc w:val="center"/>
              <w:rPr>
                <w:rFonts w:ascii="Times New Roman" w:eastAsia="微软雅黑" w:hAnsi="Times New Roman" w:cs="Times New Roman"/>
                <w:kern w:val="0"/>
                <w:sz w:val="18"/>
                <w:szCs w:val="18"/>
              </w:rPr>
            </w:pPr>
            <w:hyperlink r:id="rId13" w:anchor="part_ii" w:history="1">
              <w:r w:rsidRPr="002F3D36">
                <w:rPr>
                  <w:rFonts w:ascii="Arial" w:eastAsia="微软雅黑" w:hAnsi="Arial" w:cs="Arial"/>
                  <w:b/>
                  <w:bCs/>
                  <w:color w:val="0000FF"/>
                  <w:kern w:val="0"/>
                  <w:sz w:val="18"/>
                  <w:szCs w:val="18"/>
                  <w:u w:val="single"/>
                </w:rPr>
                <w:t>PART II</w:t>
              </w:r>
            </w:hyperlink>
          </w:p>
        </w:tc>
      </w:tr>
      <w:tr w:rsidR="002F3D36" w:rsidRPr="002F3D36" w14:paraId="20E69542" w14:textId="77777777" w:rsidTr="002F3D36">
        <w:trPr>
          <w:tblCellSpacing w:w="15" w:type="dxa"/>
        </w:trPr>
        <w:tc>
          <w:tcPr>
            <w:tcW w:w="0" w:type="auto"/>
            <w:hideMark/>
          </w:tcPr>
          <w:p w14:paraId="31FDD0D7" w14:textId="77777777" w:rsidR="002F3D36" w:rsidRPr="002F3D36" w:rsidRDefault="002F3D36" w:rsidP="002F3D36">
            <w:pPr>
              <w:widowControl/>
              <w:jc w:val="left"/>
              <w:rPr>
                <w:rFonts w:ascii="Times New Roman" w:eastAsia="微软雅黑" w:hAnsi="Times New Roman" w:cs="Times New Roman"/>
                <w:kern w:val="0"/>
                <w:sz w:val="20"/>
                <w:szCs w:val="20"/>
              </w:rPr>
            </w:pPr>
            <w:r w:rsidRPr="002F3D36">
              <w:rPr>
                <w:rFonts w:ascii="Arial" w:eastAsia="微软雅黑" w:hAnsi="Arial" w:cs="Arial"/>
                <w:kern w:val="0"/>
                <w:sz w:val="20"/>
                <w:szCs w:val="20"/>
              </w:rPr>
              <w:t> </w:t>
            </w:r>
          </w:p>
        </w:tc>
        <w:tc>
          <w:tcPr>
            <w:tcW w:w="0" w:type="auto"/>
            <w:hideMark/>
          </w:tcPr>
          <w:p w14:paraId="71419C06" w14:textId="77777777" w:rsidR="002F3D36" w:rsidRPr="002F3D36" w:rsidRDefault="002F3D36" w:rsidP="002F3D36">
            <w:pPr>
              <w:widowControl/>
              <w:jc w:val="center"/>
              <w:rPr>
                <w:rFonts w:ascii="Times New Roman" w:eastAsia="微软雅黑" w:hAnsi="Times New Roman" w:cs="Times New Roman"/>
                <w:kern w:val="0"/>
                <w:sz w:val="20"/>
                <w:szCs w:val="20"/>
              </w:rPr>
            </w:pPr>
            <w:r w:rsidRPr="002F3D36">
              <w:rPr>
                <w:rFonts w:ascii="Arial" w:eastAsia="微软雅黑" w:hAnsi="Arial" w:cs="Arial"/>
                <w:kern w:val="0"/>
                <w:sz w:val="20"/>
                <w:szCs w:val="20"/>
              </w:rPr>
              <w:t> </w:t>
            </w:r>
          </w:p>
        </w:tc>
        <w:tc>
          <w:tcPr>
            <w:tcW w:w="0" w:type="auto"/>
            <w:hideMark/>
          </w:tcPr>
          <w:p w14:paraId="7D0B7CCD" w14:textId="77777777" w:rsidR="002F3D36" w:rsidRPr="002F3D36" w:rsidRDefault="002F3D36" w:rsidP="002F3D36">
            <w:pPr>
              <w:widowControl/>
              <w:jc w:val="left"/>
              <w:rPr>
                <w:rFonts w:ascii="Times New Roman" w:eastAsia="微软雅黑" w:hAnsi="Times New Roman" w:cs="Times New Roman"/>
                <w:kern w:val="0"/>
                <w:sz w:val="20"/>
                <w:szCs w:val="20"/>
              </w:rPr>
            </w:pPr>
            <w:r w:rsidRPr="002F3D36">
              <w:rPr>
                <w:rFonts w:ascii="Arial" w:eastAsia="微软雅黑" w:hAnsi="Arial" w:cs="Arial"/>
                <w:kern w:val="0"/>
                <w:sz w:val="20"/>
                <w:szCs w:val="20"/>
              </w:rPr>
              <w:t> </w:t>
            </w:r>
          </w:p>
        </w:tc>
        <w:tc>
          <w:tcPr>
            <w:tcW w:w="0" w:type="auto"/>
            <w:hideMark/>
          </w:tcPr>
          <w:p w14:paraId="3CBFB098"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kern w:val="0"/>
                <w:sz w:val="20"/>
                <w:szCs w:val="20"/>
              </w:rPr>
              <w:t> </w:t>
            </w:r>
          </w:p>
        </w:tc>
      </w:tr>
      <w:tr w:rsidR="002F3D36" w:rsidRPr="002F3D36" w14:paraId="62E7E6A6" w14:textId="77777777" w:rsidTr="002F3D36">
        <w:trPr>
          <w:trHeight w:val="200"/>
          <w:tblCellSpacing w:w="15" w:type="dxa"/>
        </w:trPr>
        <w:tc>
          <w:tcPr>
            <w:tcW w:w="0" w:type="auto"/>
            <w:hideMark/>
          </w:tcPr>
          <w:p w14:paraId="48F8B6E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 xml:space="preserve">Item 5. </w:t>
            </w:r>
          </w:p>
        </w:tc>
        <w:tc>
          <w:tcPr>
            <w:tcW w:w="0" w:type="auto"/>
            <w:hideMark/>
          </w:tcPr>
          <w:p w14:paraId="088CAE88" w14:textId="77777777" w:rsidR="002F3D36" w:rsidRPr="002F3D36" w:rsidRDefault="002F3D36" w:rsidP="002F3D36">
            <w:pPr>
              <w:widowControl/>
              <w:jc w:val="center"/>
              <w:rPr>
                <w:rFonts w:ascii="Times New Roman" w:eastAsia="微软雅黑" w:hAnsi="Times New Roman" w:cs="Times New Roman"/>
                <w:kern w:val="0"/>
                <w:sz w:val="20"/>
                <w:szCs w:val="20"/>
              </w:rPr>
            </w:pPr>
            <w:r w:rsidRPr="002F3D36">
              <w:rPr>
                <w:rFonts w:ascii="Arial" w:eastAsia="微软雅黑" w:hAnsi="Arial" w:cs="Arial"/>
                <w:kern w:val="0"/>
                <w:sz w:val="20"/>
                <w:szCs w:val="20"/>
              </w:rPr>
              <w:t> </w:t>
            </w:r>
          </w:p>
        </w:tc>
        <w:tc>
          <w:tcPr>
            <w:tcW w:w="0" w:type="auto"/>
            <w:hideMark/>
          </w:tcPr>
          <w:p w14:paraId="18105440" w14:textId="77777777" w:rsidR="002F3D36" w:rsidRPr="002F3D36" w:rsidRDefault="002F3D36" w:rsidP="002F3D36">
            <w:pPr>
              <w:widowControl/>
              <w:jc w:val="left"/>
              <w:rPr>
                <w:rFonts w:ascii="Times New Roman" w:eastAsia="微软雅黑" w:hAnsi="Times New Roman" w:cs="Times New Roman"/>
                <w:kern w:val="0"/>
                <w:sz w:val="18"/>
                <w:szCs w:val="18"/>
              </w:rPr>
            </w:pPr>
            <w:hyperlink r:id="rId14" w:anchor="item_5_market_for_registrants_common_equ" w:history="1">
              <w:r w:rsidRPr="002F3D36">
                <w:rPr>
                  <w:rFonts w:ascii="Arial" w:eastAsia="微软雅黑" w:hAnsi="Arial" w:cs="Arial"/>
                  <w:color w:val="0000FF"/>
                  <w:kern w:val="0"/>
                  <w:sz w:val="18"/>
                  <w:szCs w:val="18"/>
                  <w:u w:val="single"/>
                </w:rPr>
                <w:t>Market for Registrant’s Common Equity, Related Stockholder Matters and Issuer Purchases of Equity Securities</w:t>
              </w:r>
            </w:hyperlink>
          </w:p>
        </w:tc>
        <w:tc>
          <w:tcPr>
            <w:tcW w:w="0" w:type="auto"/>
            <w:hideMark/>
          </w:tcPr>
          <w:p w14:paraId="457CE19C"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20"/>
                <w:szCs w:val="20"/>
              </w:rPr>
              <w:t>29</w:t>
            </w:r>
          </w:p>
        </w:tc>
      </w:tr>
      <w:tr w:rsidR="002F3D36" w:rsidRPr="002F3D36" w14:paraId="24097F56" w14:textId="77777777" w:rsidTr="002F3D36">
        <w:trPr>
          <w:trHeight w:val="180"/>
          <w:tblCellSpacing w:w="15" w:type="dxa"/>
        </w:trPr>
        <w:tc>
          <w:tcPr>
            <w:tcW w:w="0" w:type="auto"/>
            <w:hideMark/>
          </w:tcPr>
          <w:p w14:paraId="75886B5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 xml:space="preserve">Item 6. </w:t>
            </w:r>
          </w:p>
        </w:tc>
        <w:tc>
          <w:tcPr>
            <w:tcW w:w="0" w:type="auto"/>
            <w:hideMark/>
          </w:tcPr>
          <w:p w14:paraId="0D8B8855" w14:textId="77777777" w:rsidR="002F3D36" w:rsidRPr="002F3D36" w:rsidRDefault="002F3D36" w:rsidP="002F3D36">
            <w:pPr>
              <w:widowControl/>
              <w:jc w:val="center"/>
              <w:rPr>
                <w:rFonts w:ascii="Times New Roman" w:eastAsia="微软雅黑" w:hAnsi="Times New Roman" w:cs="Times New Roman"/>
                <w:kern w:val="0"/>
                <w:sz w:val="20"/>
                <w:szCs w:val="20"/>
              </w:rPr>
            </w:pPr>
            <w:r w:rsidRPr="002F3D36">
              <w:rPr>
                <w:rFonts w:ascii="Arial" w:eastAsia="微软雅黑" w:hAnsi="Arial" w:cs="Arial"/>
                <w:kern w:val="0"/>
                <w:sz w:val="20"/>
                <w:szCs w:val="20"/>
              </w:rPr>
              <w:t> </w:t>
            </w:r>
          </w:p>
        </w:tc>
        <w:tc>
          <w:tcPr>
            <w:tcW w:w="0" w:type="auto"/>
            <w:hideMark/>
          </w:tcPr>
          <w:p w14:paraId="3CF9EB8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FF"/>
                <w:kern w:val="0"/>
                <w:sz w:val="18"/>
                <w:szCs w:val="18"/>
              </w:rPr>
              <w:t>Reserved</w:t>
            </w:r>
          </w:p>
        </w:tc>
        <w:tc>
          <w:tcPr>
            <w:tcW w:w="0" w:type="auto"/>
            <w:hideMark/>
          </w:tcPr>
          <w:p w14:paraId="5ACDCB9F"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Times New Roman" w:eastAsia="微软雅黑" w:hAnsi="Times New Roman" w:cs="Times New Roman"/>
                <w:kern w:val="0"/>
                <w:sz w:val="20"/>
                <w:szCs w:val="20"/>
              </w:rPr>
              <w:t> </w:t>
            </w:r>
          </w:p>
        </w:tc>
      </w:tr>
      <w:tr w:rsidR="002F3D36" w:rsidRPr="002F3D36" w14:paraId="445FEE2F" w14:textId="77777777" w:rsidTr="002F3D36">
        <w:trPr>
          <w:trHeight w:val="200"/>
          <w:tblCellSpacing w:w="15" w:type="dxa"/>
        </w:trPr>
        <w:tc>
          <w:tcPr>
            <w:tcW w:w="0" w:type="auto"/>
            <w:hideMark/>
          </w:tcPr>
          <w:p w14:paraId="1B66C14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 xml:space="preserve">Item 7. </w:t>
            </w:r>
          </w:p>
        </w:tc>
        <w:tc>
          <w:tcPr>
            <w:tcW w:w="0" w:type="auto"/>
            <w:hideMark/>
          </w:tcPr>
          <w:p w14:paraId="5011EC74" w14:textId="77777777" w:rsidR="002F3D36" w:rsidRPr="002F3D36" w:rsidRDefault="002F3D36" w:rsidP="002F3D36">
            <w:pPr>
              <w:widowControl/>
              <w:jc w:val="center"/>
              <w:rPr>
                <w:rFonts w:ascii="Times New Roman" w:eastAsia="微软雅黑" w:hAnsi="Times New Roman" w:cs="Times New Roman"/>
                <w:kern w:val="0"/>
                <w:sz w:val="20"/>
                <w:szCs w:val="20"/>
              </w:rPr>
            </w:pPr>
            <w:r w:rsidRPr="002F3D36">
              <w:rPr>
                <w:rFonts w:ascii="Arial" w:eastAsia="微软雅黑" w:hAnsi="Arial" w:cs="Arial"/>
                <w:kern w:val="0"/>
                <w:sz w:val="20"/>
                <w:szCs w:val="20"/>
              </w:rPr>
              <w:t> </w:t>
            </w:r>
          </w:p>
        </w:tc>
        <w:tc>
          <w:tcPr>
            <w:tcW w:w="0" w:type="auto"/>
            <w:hideMark/>
          </w:tcPr>
          <w:p w14:paraId="5AA8FD4C" w14:textId="77777777" w:rsidR="002F3D36" w:rsidRPr="002F3D36" w:rsidRDefault="002F3D36" w:rsidP="002F3D36">
            <w:pPr>
              <w:widowControl/>
              <w:jc w:val="left"/>
              <w:rPr>
                <w:rFonts w:ascii="Times New Roman" w:eastAsia="微软雅黑" w:hAnsi="Times New Roman" w:cs="Times New Roman"/>
                <w:kern w:val="0"/>
                <w:sz w:val="18"/>
                <w:szCs w:val="18"/>
              </w:rPr>
            </w:pPr>
            <w:hyperlink r:id="rId15" w:anchor="item_7_managements_discussion_analysis_f" w:history="1">
              <w:r w:rsidRPr="002F3D36">
                <w:rPr>
                  <w:rFonts w:ascii="Arial" w:eastAsia="微软雅黑" w:hAnsi="Arial" w:cs="Arial"/>
                  <w:color w:val="0000FF"/>
                  <w:kern w:val="0"/>
                  <w:sz w:val="18"/>
                  <w:szCs w:val="18"/>
                  <w:u w:val="single"/>
                </w:rPr>
                <w:t>Management’s Discussion and Analysis of Financial Condition and Results of Operations</w:t>
              </w:r>
            </w:hyperlink>
          </w:p>
        </w:tc>
        <w:tc>
          <w:tcPr>
            <w:tcW w:w="0" w:type="auto"/>
            <w:hideMark/>
          </w:tcPr>
          <w:p w14:paraId="200A40AD"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20"/>
                <w:szCs w:val="20"/>
              </w:rPr>
              <w:t>31</w:t>
            </w:r>
          </w:p>
        </w:tc>
      </w:tr>
      <w:tr w:rsidR="002F3D36" w:rsidRPr="002F3D36" w14:paraId="702ECF67" w14:textId="77777777" w:rsidTr="002F3D36">
        <w:trPr>
          <w:trHeight w:val="200"/>
          <w:tblCellSpacing w:w="15" w:type="dxa"/>
        </w:trPr>
        <w:tc>
          <w:tcPr>
            <w:tcW w:w="0" w:type="auto"/>
            <w:hideMark/>
          </w:tcPr>
          <w:p w14:paraId="2F4169E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Item 7A.</w:t>
            </w:r>
          </w:p>
        </w:tc>
        <w:tc>
          <w:tcPr>
            <w:tcW w:w="0" w:type="auto"/>
            <w:hideMark/>
          </w:tcPr>
          <w:p w14:paraId="7B887AD0" w14:textId="77777777" w:rsidR="002F3D36" w:rsidRPr="002F3D36" w:rsidRDefault="002F3D36" w:rsidP="002F3D36">
            <w:pPr>
              <w:widowControl/>
              <w:jc w:val="center"/>
              <w:rPr>
                <w:rFonts w:ascii="Times New Roman" w:eastAsia="微软雅黑" w:hAnsi="Times New Roman" w:cs="Times New Roman"/>
                <w:kern w:val="0"/>
                <w:sz w:val="20"/>
                <w:szCs w:val="20"/>
              </w:rPr>
            </w:pPr>
            <w:r w:rsidRPr="002F3D36">
              <w:rPr>
                <w:rFonts w:ascii="Arial" w:eastAsia="微软雅黑" w:hAnsi="Arial" w:cs="Arial"/>
                <w:kern w:val="0"/>
                <w:sz w:val="20"/>
                <w:szCs w:val="20"/>
              </w:rPr>
              <w:t> </w:t>
            </w:r>
          </w:p>
        </w:tc>
        <w:tc>
          <w:tcPr>
            <w:tcW w:w="0" w:type="auto"/>
            <w:hideMark/>
          </w:tcPr>
          <w:p w14:paraId="3DDC6ABC" w14:textId="77777777" w:rsidR="002F3D36" w:rsidRPr="002F3D36" w:rsidRDefault="002F3D36" w:rsidP="002F3D36">
            <w:pPr>
              <w:widowControl/>
              <w:jc w:val="left"/>
              <w:rPr>
                <w:rFonts w:ascii="Times New Roman" w:eastAsia="微软雅黑" w:hAnsi="Times New Roman" w:cs="Times New Roman"/>
                <w:kern w:val="0"/>
                <w:sz w:val="18"/>
                <w:szCs w:val="18"/>
              </w:rPr>
            </w:pPr>
            <w:hyperlink r:id="rId16" w:anchor="item_7a_quantitative_qualitative_disclos" w:history="1">
              <w:r w:rsidRPr="002F3D36">
                <w:rPr>
                  <w:rFonts w:ascii="Arial" w:eastAsia="微软雅黑" w:hAnsi="Arial" w:cs="Arial"/>
                  <w:color w:val="0000FF"/>
                  <w:kern w:val="0"/>
                  <w:sz w:val="18"/>
                  <w:szCs w:val="18"/>
                  <w:u w:val="single"/>
                </w:rPr>
                <w:t>Quantitative and Qualitative Disclosures about Market Risk</w:t>
              </w:r>
            </w:hyperlink>
          </w:p>
        </w:tc>
        <w:tc>
          <w:tcPr>
            <w:tcW w:w="0" w:type="auto"/>
            <w:hideMark/>
          </w:tcPr>
          <w:p w14:paraId="4BF77ACC"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20"/>
                <w:szCs w:val="20"/>
              </w:rPr>
              <w:t>49</w:t>
            </w:r>
          </w:p>
        </w:tc>
      </w:tr>
      <w:tr w:rsidR="002F3D36" w:rsidRPr="002F3D36" w14:paraId="42A97873" w14:textId="77777777" w:rsidTr="002F3D36">
        <w:trPr>
          <w:trHeight w:val="200"/>
          <w:tblCellSpacing w:w="15" w:type="dxa"/>
        </w:trPr>
        <w:tc>
          <w:tcPr>
            <w:tcW w:w="0" w:type="auto"/>
            <w:hideMark/>
          </w:tcPr>
          <w:p w14:paraId="4ED7A6D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 xml:space="preserve">Item 8. </w:t>
            </w:r>
          </w:p>
        </w:tc>
        <w:tc>
          <w:tcPr>
            <w:tcW w:w="0" w:type="auto"/>
            <w:hideMark/>
          </w:tcPr>
          <w:p w14:paraId="42277844" w14:textId="77777777" w:rsidR="002F3D36" w:rsidRPr="002F3D36" w:rsidRDefault="002F3D36" w:rsidP="002F3D36">
            <w:pPr>
              <w:widowControl/>
              <w:jc w:val="center"/>
              <w:rPr>
                <w:rFonts w:ascii="Times New Roman" w:eastAsia="微软雅黑" w:hAnsi="Times New Roman" w:cs="Times New Roman"/>
                <w:kern w:val="0"/>
                <w:sz w:val="20"/>
                <w:szCs w:val="20"/>
              </w:rPr>
            </w:pPr>
            <w:r w:rsidRPr="002F3D36">
              <w:rPr>
                <w:rFonts w:ascii="Arial" w:eastAsia="微软雅黑" w:hAnsi="Arial" w:cs="Arial"/>
                <w:kern w:val="0"/>
                <w:sz w:val="20"/>
                <w:szCs w:val="20"/>
              </w:rPr>
              <w:t> </w:t>
            </w:r>
          </w:p>
        </w:tc>
        <w:tc>
          <w:tcPr>
            <w:tcW w:w="0" w:type="auto"/>
            <w:hideMark/>
          </w:tcPr>
          <w:p w14:paraId="7F3DA875" w14:textId="77777777" w:rsidR="002F3D36" w:rsidRPr="002F3D36" w:rsidRDefault="002F3D36" w:rsidP="002F3D36">
            <w:pPr>
              <w:widowControl/>
              <w:jc w:val="left"/>
              <w:rPr>
                <w:rFonts w:ascii="Times New Roman" w:eastAsia="微软雅黑" w:hAnsi="Times New Roman" w:cs="Times New Roman"/>
                <w:kern w:val="0"/>
                <w:sz w:val="18"/>
                <w:szCs w:val="18"/>
              </w:rPr>
            </w:pPr>
            <w:hyperlink r:id="rId17" w:anchor="item_8_financial_statements_supplementar" w:history="1">
              <w:r w:rsidRPr="002F3D36">
                <w:rPr>
                  <w:rFonts w:ascii="Arial" w:eastAsia="微软雅黑" w:hAnsi="Arial" w:cs="Arial"/>
                  <w:color w:val="0000FF"/>
                  <w:kern w:val="0"/>
                  <w:sz w:val="18"/>
                  <w:szCs w:val="18"/>
                  <w:u w:val="single"/>
                </w:rPr>
                <w:t>Financial Statements and Supplementary Data</w:t>
              </w:r>
            </w:hyperlink>
          </w:p>
        </w:tc>
        <w:tc>
          <w:tcPr>
            <w:tcW w:w="0" w:type="auto"/>
            <w:hideMark/>
          </w:tcPr>
          <w:p w14:paraId="7B7495F3"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20"/>
                <w:szCs w:val="20"/>
              </w:rPr>
              <w:t>51</w:t>
            </w:r>
          </w:p>
        </w:tc>
      </w:tr>
      <w:tr w:rsidR="002F3D36" w:rsidRPr="002F3D36" w14:paraId="5084DF28" w14:textId="77777777" w:rsidTr="002F3D36">
        <w:trPr>
          <w:trHeight w:val="200"/>
          <w:tblCellSpacing w:w="15" w:type="dxa"/>
        </w:trPr>
        <w:tc>
          <w:tcPr>
            <w:tcW w:w="0" w:type="auto"/>
            <w:hideMark/>
          </w:tcPr>
          <w:p w14:paraId="7A7EA04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 xml:space="preserve">Item 9. </w:t>
            </w:r>
          </w:p>
        </w:tc>
        <w:tc>
          <w:tcPr>
            <w:tcW w:w="0" w:type="auto"/>
            <w:hideMark/>
          </w:tcPr>
          <w:p w14:paraId="66D7AF17" w14:textId="77777777" w:rsidR="002F3D36" w:rsidRPr="002F3D36" w:rsidRDefault="002F3D36" w:rsidP="002F3D36">
            <w:pPr>
              <w:widowControl/>
              <w:jc w:val="center"/>
              <w:rPr>
                <w:rFonts w:ascii="Times New Roman" w:eastAsia="微软雅黑" w:hAnsi="Times New Roman" w:cs="Times New Roman"/>
                <w:kern w:val="0"/>
                <w:sz w:val="20"/>
                <w:szCs w:val="20"/>
              </w:rPr>
            </w:pPr>
            <w:r w:rsidRPr="002F3D36">
              <w:rPr>
                <w:rFonts w:ascii="Arial" w:eastAsia="微软雅黑" w:hAnsi="Arial" w:cs="Arial"/>
                <w:kern w:val="0"/>
                <w:sz w:val="20"/>
                <w:szCs w:val="20"/>
              </w:rPr>
              <w:t> </w:t>
            </w:r>
          </w:p>
        </w:tc>
        <w:tc>
          <w:tcPr>
            <w:tcW w:w="0" w:type="auto"/>
            <w:hideMark/>
          </w:tcPr>
          <w:p w14:paraId="7B64E363" w14:textId="77777777" w:rsidR="002F3D36" w:rsidRPr="002F3D36" w:rsidRDefault="002F3D36" w:rsidP="002F3D36">
            <w:pPr>
              <w:widowControl/>
              <w:jc w:val="left"/>
              <w:rPr>
                <w:rFonts w:ascii="Times New Roman" w:eastAsia="微软雅黑" w:hAnsi="Times New Roman" w:cs="Times New Roman"/>
                <w:kern w:val="0"/>
                <w:sz w:val="18"/>
                <w:szCs w:val="18"/>
              </w:rPr>
            </w:pPr>
            <w:hyperlink r:id="rId18" w:anchor="item_9_changes_in_disagreements_with_acc" w:history="1">
              <w:r w:rsidRPr="002F3D36">
                <w:rPr>
                  <w:rFonts w:ascii="Arial" w:eastAsia="微软雅黑" w:hAnsi="Arial" w:cs="Arial"/>
                  <w:color w:val="0000FF"/>
                  <w:kern w:val="0"/>
                  <w:sz w:val="18"/>
                  <w:szCs w:val="18"/>
                  <w:u w:val="single"/>
                </w:rPr>
                <w:t>Changes in and Disagreements with Accountants on Accounting and Financial Disclosure</w:t>
              </w:r>
            </w:hyperlink>
          </w:p>
        </w:tc>
        <w:tc>
          <w:tcPr>
            <w:tcW w:w="0" w:type="auto"/>
            <w:hideMark/>
          </w:tcPr>
          <w:p w14:paraId="68744B97"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20"/>
                <w:szCs w:val="20"/>
              </w:rPr>
              <w:t>91</w:t>
            </w:r>
          </w:p>
        </w:tc>
      </w:tr>
      <w:tr w:rsidR="002F3D36" w:rsidRPr="002F3D36" w14:paraId="31514417" w14:textId="77777777" w:rsidTr="002F3D36">
        <w:trPr>
          <w:trHeight w:val="200"/>
          <w:tblCellSpacing w:w="15" w:type="dxa"/>
        </w:trPr>
        <w:tc>
          <w:tcPr>
            <w:tcW w:w="0" w:type="auto"/>
            <w:hideMark/>
          </w:tcPr>
          <w:p w14:paraId="1471F2A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Item 9A.</w:t>
            </w:r>
          </w:p>
        </w:tc>
        <w:tc>
          <w:tcPr>
            <w:tcW w:w="0" w:type="auto"/>
            <w:hideMark/>
          </w:tcPr>
          <w:p w14:paraId="727794F6" w14:textId="77777777" w:rsidR="002F3D36" w:rsidRPr="002F3D36" w:rsidRDefault="002F3D36" w:rsidP="002F3D36">
            <w:pPr>
              <w:widowControl/>
              <w:jc w:val="center"/>
              <w:rPr>
                <w:rFonts w:ascii="Times New Roman" w:eastAsia="微软雅黑" w:hAnsi="Times New Roman" w:cs="Times New Roman"/>
                <w:kern w:val="0"/>
                <w:sz w:val="20"/>
                <w:szCs w:val="20"/>
              </w:rPr>
            </w:pPr>
            <w:r w:rsidRPr="002F3D36">
              <w:rPr>
                <w:rFonts w:ascii="Arial" w:eastAsia="微软雅黑" w:hAnsi="Arial" w:cs="Arial"/>
                <w:kern w:val="0"/>
                <w:sz w:val="20"/>
                <w:szCs w:val="20"/>
              </w:rPr>
              <w:t> </w:t>
            </w:r>
          </w:p>
        </w:tc>
        <w:tc>
          <w:tcPr>
            <w:tcW w:w="0" w:type="auto"/>
            <w:hideMark/>
          </w:tcPr>
          <w:p w14:paraId="709A9175" w14:textId="77777777" w:rsidR="002F3D36" w:rsidRPr="002F3D36" w:rsidRDefault="002F3D36" w:rsidP="002F3D36">
            <w:pPr>
              <w:widowControl/>
              <w:jc w:val="left"/>
              <w:rPr>
                <w:rFonts w:ascii="Times New Roman" w:eastAsia="微软雅黑" w:hAnsi="Times New Roman" w:cs="Times New Roman"/>
                <w:kern w:val="0"/>
                <w:sz w:val="18"/>
                <w:szCs w:val="18"/>
              </w:rPr>
            </w:pPr>
            <w:hyperlink r:id="rId19" w:anchor="item_9a_controls_procedures" w:history="1">
              <w:r w:rsidRPr="002F3D36">
                <w:rPr>
                  <w:rFonts w:ascii="Arial" w:eastAsia="微软雅黑" w:hAnsi="Arial" w:cs="Arial"/>
                  <w:color w:val="0000FF"/>
                  <w:kern w:val="0"/>
                  <w:sz w:val="18"/>
                  <w:szCs w:val="18"/>
                  <w:u w:val="single"/>
                </w:rPr>
                <w:t>Controls and Procedures</w:t>
              </w:r>
            </w:hyperlink>
          </w:p>
        </w:tc>
        <w:tc>
          <w:tcPr>
            <w:tcW w:w="0" w:type="auto"/>
            <w:hideMark/>
          </w:tcPr>
          <w:p w14:paraId="74CB2B83"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20"/>
                <w:szCs w:val="20"/>
              </w:rPr>
              <w:t>91</w:t>
            </w:r>
          </w:p>
        </w:tc>
      </w:tr>
      <w:tr w:rsidR="002F3D36" w:rsidRPr="002F3D36" w14:paraId="3E585C31" w14:textId="77777777" w:rsidTr="002F3D36">
        <w:trPr>
          <w:trHeight w:val="200"/>
          <w:tblCellSpacing w:w="15" w:type="dxa"/>
        </w:trPr>
        <w:tc>
          <w:tcPr>
            <w:tcW w:w="0" w:type="auto"/>
            <w:hideMark/>
          </w:tcPr>
          <w:p w14:paraId="15ADF7C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Item 9B.</w:t>
            </w:r>
          </w:p>
        </w:tc>
        <w:tc>
          <w:tcPr>
            <w:tcW w:w="0" w:type="auto"/>
            <w:hideMark/>
          </w:tcPr>
          <w:p w14:paraId="4E085E52" w14:textId="77777777" w:rsidR="002F3D36" w:rsidRPr="002F3D36" w:rsidRDefault="002F3D36" w:rsidP="002F3D36">
            <w:pPr>
              <w:widowControl/>
              <w:jc w:val="center"/>
              <w:rPr>
                <w:rFonts w:ascii="Times New Roman" w:eastAsia="微软雅黑" w:hAnsi="Times New Roman" w:cs="Times New Roman"/>
                <w:kern w:val="0"/>
                <w:sz w:val="20"/>
                <w:szCs w:val="20"/>
              </w:rPr>
            </w:pPr>
            <w:r w:rsidRPr="002F3D36">
              <w:rPr>
                <w:rFonts w:ascii="Arial" w:eastAsia="微软雅黑" w:hAnsi="Arial" w:cs="Arial"/>
                <w:kern w:val="0"/>
                <w:sz w:val="20"/>
                <w:szCs w:val="20"/>
              </w:rPr>
              <w:t> </w:t>
            </w:r>
          </w:p>
        </w:tc>
        <w:tc>
          <w:tcPr>
            <w:tcW w:w="0" w:type="auto"/>
            <w:hideMark/>
          </w:tcPr>
          <w:p w14:paraId="32174A61" w14:textId="77777777" w:rsidR="002F3D36" w:rsidRPr="002F3D36" w:rsidRDefault="002F3D36" w:rsidP="002F3D36">
            <w:pPr>
              <w:widowControl/>
              <w:jc w:val="left"/>
              <w:rPr>
                <w:rFonts w:ascii="Times New Roman" w:eastAsia="微软雅黑" w:hAnsi="Times New Roman" w:cs="Times New Roman"/>
                <w:kern w:val="0"/>
                <w:sz w:val="18"/>
                <w:szCs w:val="18"/>
              </w:rPr>
            </w:pPr>
            <w:hyperlink r:id="rId20" w:anchor="item_9b_or_information" w:history="1">
              <w:r w:rsidRPr="002F3D36">
                <w:rPr>
                  <w:rFonts w:ascii="Arial" w:eastAsia="微软雅黑" w:hAnsi="Arial" w:cs="Arial"/>
                  <w:color w:val="0000FF"/>
                  <w:kern w:val="0"/>
                  <w:sz w:val="18"/>
                  <w:szCs w:val="18"/>
                  <w:u w:val="single"/>
                </w:rPr>
                <w:t>Other Information</w:t>
              </w:r>
            </w:hyperlink>
          </w:p>
        </w:tc>
        <w:tc>
          <w:tcPr>
            <w:tcW w:w="0" w:type="auto"/>
            <w:hideMark/>
          </w:tcPr>
          <w:p w14:paraId="428D35DE"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20"/>
                <w:szCs w:val="20"/>
              </w:rPr>
              <w:t>91</w:t>
            </w:r>
          </w:p>
        </w:tc>
      </w:tr>
      <w:tr w:rsidR="002F3D36" w:rsidRPr="002F3D36" w14:paraId="2DAEA7D8" w14:textId="77777777" w:rsidTr="002F3D36">
        <w:trPr>
          <w:tblCellSpacing w:w="15" w:type="dxa"/>
        </w:trPr>
        <w:tc>
          <w:tcPr>
            <w:tcW w:w="0" w:type="auto"/>
            <w:hideMark/>
          </w:tcPr>
          <w:p w14:paraId="5ED595C5" w14:textId="77777777" w:rsidR="002F3D36" w:rsidRPr="002F3D36" w:rsidRDefault="002F3D36" w:rsidP="002F3D36">
            <w:pPr>
              <w:widowControl/>
              <w:jc w:val="left"/>
              <w:rPr>
                <w:rFonts w:ascii="Times New Roman" w:eastAsia="微软雅黑" w:hAnsi="Times New Roman" w:cs="Times New Roman"/>
                <w:kern w:val="0"/>
                <w:sz w:val="20"/>
                <w:szCs w:val="20"/>
              </w:rPr>
            </w:pPr>
            <w:r w:rsidRPr="002F3D36">
              <w:rPr>
                <w:rFonts w:ascii="Arial" w:eastAsia="微软雅黑" w:hAnsi="Arial" w:cs="Arial"/>
                <w:kern w:val="0"/>
                <w:sz w:val="20"/>
                <w:szCs w:val="20"/>
              </w:rPr>
              <w:t> </w:t>
            </w:r>
          </w:p>
        </w:tc>
        <w:tc>
          <w:tcPr>
            <w:tcW w:w="0" w:type="auto"/>
            <w:hideMark/>
          </w:tcPr>
          <w:p w14:paraId="42DF9BD4" w14:textId="77777777" w:rsidR="002F3D36" w:rsidRPr="002F3D36" w:rsidRDefault="002F3D36" w:rsidP="002F3D36">
            <w:pPr>
              <w:widowControl/>
              <w:jc w:val="center"/>
              <w:rPr>
                <w:rFonts w:ascii="Times New Roman" w:eastAsia="微软雅黑" w:hAnsi="Times New Roman" w:cs="Times New Roman"/>
                <w:kern w:val="0"/>
                <w:sz w:val="20"/>
                <w:szCs w:val="20"/>
              </w:rPr>
            </w:pPr>
            <w:r w:rsidRPr="002F3D36">
              <w:rPr>
                <w:rFonts w:ascii="Arial" w:eastAsia="微软雅黑" w:hAnsi="Arial" w:cs="Arial"/>
                <w:kern w:val="0"/>
                <w:sz w:val="20"/>
                <w:szCs w:val="20"/>
              </w:rPr>
              <w:t> </w:t>
            </w:r>
          </w:p>
        </w:tc>
        <w:tc>
          <w:tcPr>
            <w:tcW w:w="0" w:type="auto"/>
            <w:hideMark/>
          </w:tcPr>
          <w:p w14:paraId="1769F81F" w14:textId="77777777" w:rsidR="002F3D36" w:rsidRPr="002F3D36" w:rsidRDefault="002F3D36" w:rsidP="002F3D36">
            <w:pPr>
              <w:widowControl/>
              <w:jc w:val="center"/>
              <w:rPr>
                <w:rFonts w:ascii="Times New Roman" w:eastAsia="微软雅黑" w:hAnsi="Times New Roman" w:cs="Times New Roman"/>
                <w:kern w:val="0"/>
                <w:sz w:val="20"/>
                <w:szCs w:val="20"/>
              </w:rPr>
            </w:pPr>
            <w:r w:rsidRPr="002F3D36">
              <w:rPr>
                <w:rFonts w:ascii="Arial" w:eastAsia="微软雅黑" w:hAnsi="Arial" w:cs="Arial"/>
                <w:kern w:val="0"/>
                <w:sz w:val="20"/>
                <w:szCs w:val="20"/>
              </w:rPr>
              <w:t> </w:t>
            </w:r>
          </w:p>
        </w:tc>
        <w:tc>
          <w:tcPr>
            <w:tcW w:w="0" w:type="auto"/>
            <w:hideMark/>
          </w:tcPr>
          <w:p w14:paraId="57608A83"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kern w:val="0"/>
                <w:sz w:val="20"/>
                <w:szCs w:val="20"/>
              </w:rPr>
              <w:t> </w:t>
            </w:r>
          </w:p>
        </w:tc>
      </w:tr>
      <w:tr w:rsidR="002F3D36" w:rsidRPr="002F3D36" w14:paraId="1975DD0C" w14:textId="77777777" w:rsidTr="002F3D36">
        <w:trPr>
          <w:trHeight w:val="180"/>
          <w:tblCellSpacing w:w="15" w:type="dxa"/>
        </w:trPr>
        <w:tc>
          <w:tcPr>
            <w:tcW w:w="0" w:type="auto"/>
            <w:gridSpan w:val="4"/>
            <w:hideMark/>
          </w:tcPr>
          <w:p w14:paraId="2069E4A9" w14:textId="77777777" w:rsidR="002F3D36" w:rsidRPr="002F3D36" w:rsidRDefault="002F3D36" w:rsidP="002F3D36">
            <w:pPr>
              <w:widowControl/>
              <w:jc w:val="center"/>
              <w:rPr>
                <w:rFonts w:ascii="Times New Roman" w:eastAsia="微软雅黑" w:hAnsi="Times New Roman" w:cs="Times New Roman"/>
                <w:kern w:val="0"/>
                <w:sz w:val="18"/>
                <w:szCs w:val="18"/>
              </w:rPr>
            </w:pPr>
            <w:hyperlink r:id="rId21" w:anchor="part_iii" w:history="1">
              <w:r w:rsidRPr="002F3D36">
                <w:rPr>
                  <w:rFonts w:ascii="Arial" w:eastAsia="微软雅黑" w:hAnsi="Arial" w:cs="Arial"/>
                  <w:b/>
                  <w:bCs/>
                  <w:color w:val="0000FF"/>
                  <w:kern w:val="0"/>
                  <w:sz w:val="18"/>
                  <w:szCs w:val="18"/>
                  <w:u w:val="single"/>
                </w:rPr>
                <w:t>PART III</w:t>
              </w:r>
            </w:hyperlink>
          </w:p>
        </w:tc>
      </w:tr>
      <w:tr w:rsidR="002F3D36" w:rsidRPr="002F3D36" w14:paraId="125DCD9D" w14:textId="77777777" w:rsidTr="002F3D36">
        <w:trPr>
          <w:tblCellSpacing w:w="15" w:type="dxa"/>
        </w:trPr>
        <w:tc>
          <w:tcPr>
            <w:tcW w:w="0" w:type="auto"/>
            <w:hideMark/>
          </w:tcPr>
          <w:p w14:paraId="59ADCAE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7B4F07CA" w14:textId="77777777" w:rsidR="002F3D36" w:rsidRPr="002F3D36" w:rsidRDefault="002F3D36" w:rsidP="002F3D36">
            <w:pPr>
              <w:widowControl/>
              <w:jc w:val="center"/>
              <w:rPr>
                <w:rFonts w:ascii="Times New Roman" w:eastAsia="微软雅黑" w:hAnsi="Times New Roman" w:cs="Times New Roman"/>
                <w:kern w:val="0"/>
                <w:sz w:val="20"/>
                <w:szCs w:val="20"/>
              </w:rPr>
            </w:pPr>
            <w:r w:rsidRPr="002F3D36">
              <w:rPr>
                <w:rFonts w:ascii="Arial" w:eastAsia="微软雅黑" w:hAnsi="Arial" w:cs="Arial"/>
                <w:kern w:val="0"/>
                <w:sz w:val="20"/>
                <w:szCs w:val="20"/>
              </w:rPr>
              <w:t> </w:t>
            </w:r>
          </w:p>
        </w:tc>
        <w:tc>
          <w:tcPr>
            <w:tcW w:w="0" w:type="auto"/>
            <w:hideMark/>
          </w:tcPr>
          <w:p w14:paraId="21EACFD7" w14:textId="77777777" w:rsidR="002F3D36" w:rsidRPr="002F3D36" w:rsidRDefault="002F3D36" w:rsidP="002F3D36">
            <w:pPr>
              <w:widowControl/>
              <w:jc w:val="left"/>
              <w:rPr>
                <w:rFonts w:ascii="Times New Roman" w:eastAsia="微软雅黑" w:hAnsi="Times New Roman" w:cs="Times New Roman"/>
                <w:kern w:val="0"/>
                <w:sz w:val="20"/>
                <w:szCs w:val="20"/>
              </w:rPr>
            </w:pPr>
            <w:r w:rsidRPr="002F3D36">
              <w:rPr>
                <w:rFonts w:ascii="Arial" w:eastAsia="微软雅黑" w:hAnsi="Arial" w:cs="Arial"/>
                <w:kern w:val="0"/>
                <w:sz w:val="20"/>
                <w:szCs w:val="20"/>
              </w:rPr>
              <w:t> </w:t>
            </w:r>
          </w:p>
        </w:tc>
        <w:tc>
          <w:tcPr>
            <w:tcW w:w="0" w:type="auto"/>
            <w:hideMark/>
          </w:tcPr>
          <w:p w14:paraId="48341D88"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kern w:val="0"/>
                <w:sz w:val="20"/>
                <w:szCs w:val="20"/>
              </w:rPr>
              <w:t> </w:t>
            </w:r>
          </w:p>
        </w:tc>
      </w:tr>
      <w:tr w:rsidR="002F3D36" w:rsidRPr="002F3D36" w14:paraId="760C7280" w14:textId="77777777" w:rsidTr="002F3D36">
        <w:trPr>
          <w:trHeight w:val="200"/>
          <w:tblCellSpacing w:w="15" w:type="dxa"/>
        </w:trPr>
        <w:tc>
          <w:tcPr>
            <w:tcW w:w="0" w:type="auto"/>
            <w:hideMark/>
          </w:tcPr>
          <w:p w14:paraId="33A5C66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Item 10.</w:t>
            </w:r>
          </w:p>
        </w:tc>
        <w:tc>
          <w:tcPr>
            <w:tcW w:w="0" w:type="auto"/>
            <w:hideMark/>
          </w:tcPr>
          <w:p w14:paraId="79B8D9AB" w14:textId="77777777" w:rsidR="002F3D36" w:rsidRPr="002F3D36" w:rsidRDefault="002F3D36" w:rsidP="002F3D36">
            <w:pPr>
              <w:widowControl/>
              <w:jc w:val="center"/>
              <w:rPr>
                <w:rFonts w:ascii="Times New Roman" w:eastAsia="微软雅黑" w:hAnsi="Times New Roman" w:cs="Times New Roman"/>
                <w:kern w:val="0"/>
                <w:sz w:val="20"/>
                <w:szCs w:val="20"/>
              </w:rPr>
            </w:pPr>
            <w:r w:rsidRPr="002F3D36">
              <w:rPr>
                <w:rFonts w:ascii="Arial" w:eastAsia="微软雅黑" w:hAnsi="Arial" w:cs="Arial"/>
                <w:kern w:val="0"/>
                <w:sz w:val="20"/>
                <w:szCs w:val="20"/>
              </w:rPr>
              <w:t> </w:t>
            </w:r>
          </w:p>
        </w:tc>
        <w:tc>
          <w:tcPr>
            <w:tcW w:w="0" w:type="auto"/>
            <w:hideMark/>
          </w:tcPr>
          <w:p w14:paraId="4383722D" w14:textId="77777777" w:rsidR="002F3D36" w:rsidRPr="002F3D36" w:rsidRDefault="002F3D36" w:rsidP="002F3D36">
            <w:pPr>
              <w:widowControl/>
              <w:jc w:val="left"/>
              <w:rPr>
                <w:rFonts w:ascii="Times New Roman" w:eastAsia="微软雅黑" w:hAnsi="Times New Roman" w:cs="Times New Roman"/>
                <w:kern w:val="0"/>
                <w:sz w:val="18"/>
                <w:szCs w:val="18"/>
              </w:rPr>
            </w:pPr>
            <w:hyperlink r:id="rId22" w:anchor="item_10_directors_executive_ficers_corpo" w:history="1">
              <w:r w:rsidRPr="002F3D36">
                <w:rPr>
                  <w:rFonts w:ascii="Arial" w:eastAsia="微软雅黑" w:hAnsi="Arial" w:cs="Arial"/>
                  <w:color w:val="0000FF"/>
                  <w:kern w:val="0"/>
                  <w:sz w:val="18"/>
                  <w:szCs w:val="18"/>
                  <w:u w:val="single"/>
                </w:rPr>
                <w:t>Directors, Executive Officers and Corporate Governance</w:t>
              </w:r>
            </w:hyperlink>
          </w:p>
        </w:tc>
        <w:tc>
          <w:tcPr>
            <w:tcW w:w="0" w:type="auto"/>
            <w:hideMark/>
          </w:tcPr>
          <w:p w14:paraId="24C00855"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20"/>
                <w:szCs w:val="20"/>
              </w:rPr>
              <w:t>92</w:t>
            </w:r>
          </w:p>
        </w:tc>
      </w:tr>
      <w:tr w:rsidR="002F3D36" w:rsidRPr="002F3D36" w14:paraId="173C1BCE" w14:textId="77777777" w:rsidTr="002F3D36">
        <w:trPr>
          <w:trHeight w:val="200"/>
          <w:tblCellSpacing w:w="15" w:type="dxa"/>
        </w:trPr>
        <w:tc>
          <w:tcPr>
            <w:tcW w:w="0" w:type="auto"/>
            <w:hideMark/>
          </w:tcPr>
          <w:p w14:paraId="56919F9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Item 11.</w:t>
            </w:r>
          </w:p>
        </w:tc>
        <w:tc>
          <w:tcPr>
            <w:tcW w:w="0" w:type="auto"/>
            <w:hideMark/>
          </w:tcPr>
          <w:p w14:paraId="2BA4773E" w14:textId="77777777" w:rsidR="002F3D36" w:rsidRPr="002F3D36" w:rsidRDefault="002F3D36" w:rsidP="002F3D36">
            <w:pPr>
              <w:widowControl/>
              <w:jc w:val="center"/>
              <w:rPr>
                <w:rFonts w:ascii="Times New Roman" w:eastAsia="微软雅黑" w:hAnsi="Times New Roman" w:cs="Times New Roman"/>
                <w:kern w:val="0"/>
                <w:sz w:val="20"/>
                <w:szCs w:val="20"/>
              </w:rPr>
            </w:pPr>
            <w:r w:rsidRPr="002F3D36">
              <w:rPr>
                <w:rFonts w:ascii="Arial" w:eastAsia="微软雅黑" w:hAnsi="Arial" w:cs="Arial"/>
                <w:kern w:val="0"/>
                <w:sz w:val="20"/>
                <w:szCs w:val="20"/>
              </w:rPr>
              <w:t> </w:t>
            </w:r>
          </w:p>
        </w:tc>
        <w:tc>
          <w:tcPr>
            <w:tcW w:w="0" w:type="auto"/>
            <w:hideMark/>
          </w:tcPr>
          <w:p w14:paraId="5F7F4403" w14:textId="77777777" w:rsidR="002F3D36" w:rsidRPr="002F3D36" w:rsidRDefault="002F3D36" w:rsidP="002F3D36">
            <w:pPr>
              <w:widowControl/>
              <w:jc w:val="left"/>
              <w:rPr>
                <w:rFonts w:ascii="Times New Roman" w:eastAsia="微软雅黑" w:hAnsi="Times New Roman" w:cs="Times New Roman"/>
                <w:kern w:val="0"/>
                <w:sz w:val="18"/>
                <w:szCs w:val="18"/>
              </w:rPr>
            </w:pPr>
            <w:hyperlink r:id="rId23" w:anchor="item_11_executive_compensation" w:history="1">
              <w:r w:rsidRPr="002F3D36">
                <w:rPr>
                  <w:rFonts w:ascii="Arial" w:eastAsia="微软雅黑" w:hAnsi="Arial" w:cs="Arial"/>
                  <w:color w:val="0000FF"/>
                  <w:kern w:val="0"/>
                  <w:sz w:val="18"/>
                  <w:szCs w:val="18"/>
                  <w:u w:val="single"/>
                </w:rPr>
                <w:t>Executive Compensation</w:t>
              </w:r>
            </w:hyperlink>
          </w:p>
        </w:tc>
        <w:tc>
          <w:tcPr>
            <w:tcW w:w="0" w:type="auto"/>
            <w:hideMark/>
          </w:tcPr>
          <w:p w14:paraId="306113AA"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20"/>
                <w:szCs w:val="20"/>
              </w:rPr>
              <w:t>92</w:t>
            </w:r>
          </w:p>
        </w:tc>
      </w:tr>
      <w:tr w:rsidR="002F3D36" w:rsidRPr="002F3D36" w14:paraId="6883F9E2" w14:textId="77777777" w:rsidTr="002F3D36">
        <w:trPr>
          <w:trHeight w:val="200"/>
          <w:tblCellSpacing w:w="15" w:type="dxa"/>
        </w:trPr>
        <w:tc>
          <w:tcPr>
            <w:tcW w:w="0" w:type="auto"/>
            <w:hideMark/>
          </w:tcPr>
          <w:p w14:paraId="7803666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Item 12.</w:t>
            </w:r>
          </w:p>
        </w:tc>
        <w:tc>
          <w:tcPr>
            <w:tcW w:w="0" w:type="auto"/>
            <w:hideMark/>
          </w:tcPr>
          <w:p w14:paraId="357C82F1" w14:textId="77777777" w:rsidR="002F3D36" w:rsidRPr="002F3D36" w:rsidRDefault="002F3D36" w:rsidP="002F3D36">
            <w:pPr>
              <w:widowControl/>
              <w:jc w:val="center"/>
              <w:rPr>
                <w:rFonts w:ascii="Times New Roman" w:eastAsia="微软雅黑" w:hAnsi="Times New Roman" w:cs="Times New Roman"/>
                <w:kern w:val="0"/>
                <w:sz w:val="20"/>
                <w:szCs w:val="20"/>
              </w:rPr>
            </w:pPr>
            <w:r w:rsidRPr="002F3D36">
              <w:rPr>
                <w:rFonts w:ascii="Arial" w:eastAsia="微软雅黑" w:hAnsi="Arial" w:cs="Arial"/>
                <w:kern w:val="0"/>
                <w:sz w:val="20"/>
                <w:szCs w:val="20"/>
              </w:rPr>
              <w:t> </w:t>
            </w:r>
          </w:p>
        </w:tc>
        <w:tc>
          <w:tcPr>
            <w:tcW w:w="0" w:type="auto"/>
            <w:hideMark/>
          </w:tcPr>
          <w:p w14:paraId="04B82568" w14:textId="77777777" w:rsidR="002F3D36" w:rsidRPr="002F3D36" w:rsidRDefault="002F3D36" w:rsidP="002F3D36">
            <w:pPr>
              <w:widowControl/>
              <w:jc w:val="left"/>
              <w:rPr>
                <w:rFonts w:ascii="Times New Roman" w:eastAsia="微软雅黑" w:hAnsi="Times New Roman" w:cs="Times New Roman"/>
                <w:kern w:val="0"/>
                <w:sz w:val="18"/>
                <w:szCs w:val="18"/>
              </w:rPr>
            </w:pPr>
            <w:hyperlink r:id="rId24" w:anchor="item_12_security_ownership_certain_benef" w:history="1">
              <w:r w:rsidRPr="002F3D36">
                <w:rPr>
                  <w:rFonts w:ascii="Arial" w:eastAsia="微软雅黑" w:hAnsi="Arial" w:cs="Arial"/>
                  <w:color w:val="0000FF"/>
                  <w:kern w:val="0"/>
                  <w:sz w:val="18"/>
                  <w:szCs w:val="18"/>
                  <w:u w:val="single"/>
                </w:rPr>
                <w:t>Security Ownership of Certain Beneficial Owners and Management and Related Stockholder Matters</w:t>
              </w:r>
            </w:hyperlink>
          </w:p>
        </w:tc>
        <w:tc>
          <w:tcPr>
            <w:tcW w:w="0" w:type="auto"/>
            <w:hideMark/>
          </w:tcPr>
          <w:p w14:paraId="277FAFB2"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20"/>
                <w:szCs w:val="20"/>
              </w:rPr>
              <w:t>92</w:t>
            </w:r>
          </w:p>
        </w:tc>
      </w:tr>
      <w:tr w:rsidR="002F3D36" w:rsidRPr="002F3D36" w14:paraId="607E02E9" w14:textId="77777777" w:rsidTr="002F3D36">
        <w:trPr>
          <w:trHeight w:val="200"/>
          <w:tblCellSpacing w:w="15" w:type="dxa"/>
        </w:trPr>
        <w:tc>
          <w:tcPr>
            <w:tcW w:w="0" w:type="auto"/>
            <w:hideMark/>
          </w:tcPr>
          <w:p w14:paraId="2A16321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Item 13.</w:t>
            </w:r>
          </w:p>
        </w:tc>
        <w:tc>
          <w:tcPr>
            <w:tcW w:w="0" w:type="auto"/>
            <w:hideMark/>
          </w:tcPr>
          <w:p w14:paraId="308D424D" w14:textId="77777777" w:rsidR="002F3D36" w:rsidRPr="002F3D36" w:rsidRDefault="002F3D36" w:rsidP="002F3D36">
            <w:pPr>
              <w:widowControl/>
              <w:jc w:val="center"/>
              <w:rPr>
                <w:rFonts w:ascii="Times New Roman" w:eastAsia="微软雅黑" w:hAnsi="Times New Roman" w:cs="Times New Roman"/>
                <w:kern w:val="0"/>
                <w:sz w:val="20"/>
                <w:szCs w:val="20"/>
              </w:rPr>
            </w:pPr>
            <w:r w:rsidRPr="002F3D36">
              <w:rPr>
                <w:rFonts w:ascii="Arial" w:eastAsia="微软雅黑" w:hAnsi="Arial" w:cs="Arial"/>
                <w:kern w:val="0"/>
                <w:sz w:val="20"/>
                <w:szCs w:val="20"/>
              </w:rPr>
              <w:t> </w:t>
            </w:r>
          </w:p>
        </w:tc>
        <w:tc>
          <w:tcPr>
            <w:tcW w:w="0" w:type="auto"/>
            <w:hideMark/>
          </w:tcPr>
          <w:p w14:paraId="36354D8E" w14:textId="77777777" w:rsidR="002F3D36" w:rsidRPr="002F3D36" w:rsidRDefault="002F3D36" w:rsidP="002F3D36">
            <w:pPr>
              <w:widowControl/>
              <w:jc w:val="left"/>
              <w:rPr>
                <w:rFonts w:ascii="Times New Roman" w:eastAsia="微软雅黑" w:hAnsi="Times New Roman" w:cs="Times New Roman"/>
                <w:kern w:val="0"/>
                <w:sz w:val="18"/>
                <w:szCs w:val="18"/>
              </w:rPr>
            </w:pPr>
            <w:hyperlink r:id="rId25" w:anchor="item_13_certain_relationships_related_tr" w:history="1">
              <w:r w:rsidRPr="002F3D36">
                <w:rPr>
                  <w:rFonts w:ascii="Arial" w:eastAsia="微软雅黑" w:hAnsi="Arial" w:cs="Arial"/>
                  <w:color w:val="0000FF"/>
                  <w:kern w:val="0"/>
                  <w:sz w:val="18"/>
                  <w:szCs w:val="18"/>
                  <w:u w:val="single"/>
                </w:rPr>
                <w:t>Certain Relationships and Related Transactions, and Director Independence</w:t>
              </w:r>
            </w:hyperlink>
          </w:p>
        </w:tc>
        <w:tc>
          <w:tcPr>
            <w:tcW w:w="0" w:type="auto"/>
            <w:hideMark/>
          </w:tcPr>
          <w:p w14:paraId="35ED024D"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20"/>
                <w:szCs w:val="20"/>
              </w:rPr>
              <w:t>92</w:t>
            </w:r>
          </w:p>
        </w:tc>
      </w:tr>
      <w:tr w:rsidR="002F3D36" w:rsidRPr="002F3D36" w14:paraId="5BFA7B27" w14:textId="77777777" w:rsidTr="002F3D36">
        <w:trPr>
          <w:trHeight w:val="200"/>
          <w:tblCellSpacing w:w="15" w:type="dxa"/>
        </w:trPr>
        <w:tc>
          <w:tcPr>
            <w:tcW w:w="0" w:type="auto"/>
            <w:hideMark/>
          </w:tcPr>
          <w:p w14:paraId="5D4294A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lastRenderedPageBreak/>
              <w:t>Item 14.</w:t>
            </w:r>
          </w:p>
        </w:tc>
        <w:tc>
          <w:tcPr>
            <w:tcW w:w="0" w:type="auto"/>
            <w:hideMark/>
          </w:tcPr>
          <w:p w14:paraId="5E4E0670" w14:textId="77777777" w:rsidR="002F3D36" w:rsidRPr="002F3D36" w:rsidRDefault="002F3D36" w:rsidP="002F3D36">
            <w:pPr>
              <w:widowControl/>
              <w:jc w:val="center"/>
              <w:rPr>
                <w:rFonts w:ascii="Times New Roman" w:eastAsia="微软雅黑" w:hAnsi="Times New Roman" w:cs="Times New Roman"/>
                <w:kern w:val="0"/>
                <w:sz w:val="20"/>
                <w:szCs w:val="20"/>
              </w:rPr>
            </w:pPr>
            <w:r w:rsidRPr="002F3D36">
              <w:rPr>
                <w:rFonts w:ascii="Arial" w:eastAsia="微软雅黑" w:hAnsi="Arial" w:cs="Arial"/>
                <w:kern w:val="0"/>
                <w:sz w:val="20"/>
                <w:szCs w:val="20"/>
              </w:rPr>
              <w:t> </w:t>
            </w:r>
          </w:p>
        </w:tc>
        <w:tc>
          <w:tcPr>
            <w:tcW w:w="0" w:type="auto"/>
            <w:hideMark/>
          </w:tcPr>
          <w:p w14:paraId="7259D7DE" w14:textId="77777777" w:rsidR="002F3D36" w:rsidRPr="002F3D36" w:rsidRDefault="002F3D36" w:rsidP="002F3D36">
            <w:pPr>
              <w:widowControl/>
              <w:jc w:val="left"/>
              <w:rPr>
                <w:rFonts w:ascii="Times New Roman" w:eastAsia="微软雅黑" w:hAnsi="Times New Roman" w:cs="Times New Roman"/>
                <w:kern w:val="0"/>
                <w:sz w:val="18"/>
                <w:szCs w:val="18"/>
              </w:rPr>
            </w:pPr>
            <w:hyperlink r:id="rId26" w:anchor="item_14_principal_accounting_fees_servic" w:history="1">
              <w:r w:rsidRPr="002F3D36">
                <w:rPr>
                  <w:rFonts w:ascii="Arial" w:eastAsia="微软雅黑" w:hAnsi="Arial" w:cs="Arial"/>
                  <w:color w:val="0000FF"/>
                  <w:kern w:val="0"/>
                  <w:sz w:val="18"/>
                  <w:szCs w:val="18"/>
                  <w:u w:val="single"/>
                </w:rPr>
                <w:t>Principal Accounting Fees and Services</w:t>
              </w:r>
            </w:hyperlink>
          </w:p>
        </w:tc>
        <w:tc>
          <w:tcPr>
            <w:tcW w:w="0" w:type="auto"/>
            <w:hideMark/>
          </w:tcPr>
          <w:p w14:paraId="7BBB500A"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20"/>
                <w:szCs w:val="20"/>
              </w:rPr>
              <w:t>92</w:t>
            </w:r>
          </w:p>
        </w:tc>
      </w:tr>
      <w:tr w:rsidR="002F3D36" w:rsidRPr="002F3D36" w14:paraId="17C8FB51" w14:textId="77777777" w:rsidTr="002F3D36">
        <w:trPr>
          <w:tblCellSpacing w:w="15" w:type="dxa"/>
        </w:trPr>
        <w:tc>
          <w:tcPr>
            <w:tcW w:w="0" w:type="auto"/>
            <w:hideMark/>
          </w:tcPr>
          <w:p w14:paraId="33537A2F" w14:textId="77777777" w:rsidR="002F3D36" w:rsidRPr="002F3D36" w:rsidRDefault="002F3D36" w:rsidP="002F3D36">
            <w:pPr>
              <w:widowControl/>
              <w:jc w:val="left"/>
              <w:rPr>
                <w:rFonts w:ascii="Times New Roman" w:eastAsia="微软雅黑" w:hAnsi="Times New Roman" w:cs="Times New Roman"/>
                <w:kern w:val="0"/>
                <w:sz w:val="20"/>
                <w:szCs w:val="20"/>
              </w:rPr>
            </w:pPr>
            <w:r w:rsidRPr="002F3D36">
              <w:rPr>
                <w:rFonts w:ascii="Arial" w:eastAsia="微软雅黑" w:hAnsi="Arial" w:cs="Arial"/>
                <w:kern w:val="0"/>
                <w:sz w:val="20"/>
                <w:szCs w:val="20"/>
              </w:rPr>
              <w:t> </w:t>
            </w:r>
          </w:p>
        </w:tc>
        <w:tc>
          <w:tcPr>
            <w:tcW w:w="0" w:type="auto"/>
            <w:hideMark/>
          </w:tcPr>
          <w:p w14:paraId="24832FF2" w14:textId="77777777" w:rsidR="002F3D36" w:rsidRPr="002F3D36" w:rsidRDefault="002F3D36" w:rsidP="002F3D36">
            <w:pPr>
              <w:widowControl/>
              <w:jc w:val="center"/>
              <w:rPr>
                <w:rFonts w:ascii="Times New Roman" w:eastAsia="微软雅黑" w:hAnsi="Times New Roman" w:cs="Times New Roman"/>
                <w:kern w:val="0"/>
                <w:sz w:val="20"/>
                <w:szCs w:val="20"/>
              </w:rPr>
            </w:pPr>
            <w:r w:rsidRPr="002F3D36">
              <w:rPr>
                <w:rFonts w:ascii="Arial" w:eastAsia="微软雅黑" w:hAnsi="Arial" w:cs="Arial"/>
                <w:kern w:val="0"/>
                <w:sz w:val="20"/>
                <w:szCs w:val="20"/>
              </w:rPr>
              <w:t> </w:t>
            </w:r>
          </w:p>
        </w:tc>
        <w:tc>
          <w:tcPr>
            <w:tcW w:w="0" w:type="auto"/>
            <w:hideMark/>
          </w:tcPr>
          <w:p w14:paraId="57D32CB5" w14:textId="77777777" w:rsidR="002F3D36" w:rsidRPr="002F3D36" w:rsidRDefault="002F3D36" w:rsidP="002F3D36">
            <w:pPr>
              <w:widowControl/>
              <w:jc w:val="center"/>
              <w:rPr>
                <w:rFonts w:ascii="Times New Roman" w:eastAsia="微软雅黑" w:hAnsi="Times New Roman" w:cs="Times New Roman"/>
                <w:kern w:val="0"/>
                <w:sz w:val="20"/>
                <w:szCs w:val="20"/>
              </w:rPr>
            </w:pPr>
            <w:r w:rsidRPr="002F3D36">
              <w:rPr>
                <w:rFonts w:ascii="Arial" w:eastAsia="微软雅黑" w:hAnsi="Arial" w:cs="Arial"/>
                <w:kern w:val="0"/>
                <w:sz w:val="20"/>
                <w:szCs w:val="20"/>
              </w:rPr>
              <w:t> </w:t>
            </w:r>
          </w:p>
        </w:tc>
        <w:tc>
          <w:tcPr>
            <w:tcW w:w="0" w:type="auto"/>
            <w:hideMark/>
          </w:tcPr>
          <w:p w14:paraId="5B66F4C4"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kern w:val="0"/>
                <w:sz w:val="20"/>
                <w:szCs w:val="20"/>
              </w:rPr>
              <w:t> </w:t>
            </w:r>
          </w:p>
        </w:tc>
      </w:tr>
      <w:tr w:rsidR="002F3D36" w:rsidRPr="002F3D36" w14:paraId="770F5556" w14:textId="77777777" w:rsidTr="002F3D36">
        <w:trPr>
          <w:trHeight w:val="180"/>
          <w:tblCellSpacing w:w="15" w:type="dxa"/>
        </w:trPr>
        <w:tc>
          <w:tcPr>
            <w:tcW w:w="0" w:type="auto"/>
            <w:gridSpan w:val="4"/>
            <w:hideMark/>
          </w:tcPr>
          <w:p w14:paraId="145E0C6C" w14:textId="77777777" w:rsidR="002F3D36" w:rsidRPr="002F3D36" w:rsidRDefault="002F3D36" w:rsidP="002F3D36">
            <w:pPr>
              <w:widowControl/>
              <w:jc w:val="center"/>
              <w:rPr>
                <w:rFonts w:ascii="Times New Roman" w:eastAsia="微软雅黑" w:hAnsi="Times New Roman" w:cs="Times New Roman"/>
                <w:kern w:val="0"/>
                <w:sz w:val="18"/>
                <w:szCs w:val="18"/>
              </w:rPr>
            </w:pPr>
            <w:hyperlink r:id="rId27" w:anchor="part_iv" w:history="1">
              <w:r w:rsidRPr="002F3D36">
                <w:rPr>
                  <w:rFonts w:ascii="Arial" w:eastAsia="微软雅黑" w:hAnsi="Arial" w:cs="Arial"/>
                  <w:b/>
                  <w:bCs/>
                  <w:color w:val="0000FF"/>
                  <w:kern w:val="0"/>
                  <w:sz w:val="18"/>
                  <w:szCs w:val="18"/>
                  <w:u w:val="single"/>
                </w:rPr>
                <w:t>PART IV</w:t>
              </w:r>
            </w:hyperlink>
          </w:p>
        </w:tc>
      </w:tr>
      <w:tr w:rsidR="002F3D36" w:rsidRPr="002F3D36" w14:paraId="06DDA4BF" w14:textId="77777777" w:rsidTr="002F3D36">
        <w:trPr>
          <w:tblCellSpacing w:w="15" w:type="dxa"/>
        </w:trPr>
        <w:tc>
          <w:tcPr>
            <w:tcW w:w="0" w:type="auto"/>
            <w:hideMark/>
          </w:tcPr>
          <w:p w14:paraId="2249B6B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00F412C2" w14:textId="77777777" w:rsidR="002F3D36" w:rsidRPr="002F3D36" w:rsidRDefault="002F3D36" w:rsidP="002F3D36">
            <w:pPr>
              <w:widowControl/>
              <w:jc w:val="center"/>
              <w:rPr>
                <w:rFonts w:ascii="Times New Roman" w:eastAsia="微软雅黑" w:hAnsi="Times New Roman" w:cs="Times New Roman"/>
                <w:kern w:val="0"/>
                <w:sz w:val="20"/>
                <w:szCs w:val="20"/>
              </w:rPr>
            </w:pPr>
            <w:r w:rsidRPr="002F3D36">
              <w:rPr>
                <w:rFonts w:ascii="Arial" w:eastAsia="微软雅黑" w:hAnsi="Arial" w:cs="Arial"/>
                <w:kern w:val="0"/>
                <w:sz w:val="20"/>
                <w:szCs w:val="20"/>
              </w:rPr>
              <w:t> </w:t>
            </w:r>
          </w:p>
        </w:tc>
        <w:tc>
          <w:tcPr>
            <w:tcW w:w="0" w:type="auto"/>
            <w:hideMark/>
          </w:tcPr>
          <w:p w14:paraId="2E804264" w14:textId="77777777" w:rsidR="002F3D36" w:rsidRPr="002F3D36" w:rsidRDefault="002F3D36" w:rsidP="002F3D36">
            <w:pPr>
              <w:widowControl/>
              <w:jc w:val="left"/>
              <w:rPr>
                <w:rFonts w:ascii="Times New Roman" w:eastAsia="微软雅黑" w:hAnsi="Times New Roman" w:cs="Times New Roman"/>
                <w:kern w:val="0"/>
                <w:sz w:val="20"/>
                <w:szCs w:val="20"/>
              </w:rPr>
            </w:pPr>
            <w:r w:rsidRPr="002F3D36">
              <w:rPr>
                <w:rFonts w:ascii="Arial" w:eastAsia="微软雅黑" w:hAnsi="Arial" w:cs="Arial"/>
                <w:kern w:val="0"/>
                <w:sz w:val="20"/>
                <w:szCs w:val="20"/>
              </w:rPr>
              <w:t> </w:t>
            </w:r>
          </w:p>
        </w:tc>
        <w:tc>
          <w:tcPr>
            <w:tcW w:w="0" w:type="auto"/>
            <w:hideMark/>
          </w:tcPr>
          <w:p w14:paraId="097FCCBA"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kern w:val="0"/>
                <w:sz w:val="20"/>
                <w:szCs w:val="20"/>
              </w:rPr>
              <w:t> </w:t>
            </w:r>
          </w:p>
        </w:tc>
      </w:tr>
      <w:tr w:rsidR="002F3D36" w:rsidRPr="002F3D36" w14:paraId="2A741B91" w14:textId="77777777" w:rsidTr="002F3D36">
        <w:trPr>
          <w:trHeight w:val="180"/>
          <w:tblCellSpacing w:w="15" w:type="dxa"/>
        </w:trPr>
        <w:tc>
          <w:tcPr>
            <w:tcW w:w="0" w:type="auto"/>
            <w:hideMark/>
          </w:tcPr>
          <w:p w14:paraId="0005F2D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Item 15.</w:t>
            </w:r>
          </w:p>
        </w:tc>
        <w:tc>
          <w:tcPr>
            <w:tcW w:w="0" w:type="auto"/>
            <w:hideMark/>
          </w:tcPr>
          <w:p w14:paraId="7F40F953" w14:textId="77777777" w:rsidR="002F3D36" w:rsidRPr="002F3D36" w:rsidRDefault="002F3D36" w:rsidP="002F3D36">
            <w:pPr>
              <w:widowControl/>
              <w:jc w:val="center"/>
              <w:rPr>
                <w:rFonts w:ascii="Times New Roman" w:eastAsia="微软雅黑" w:hAnsi="Times New Roman" w:cs="Times New Roman"/>
                <w:kern w:val="0"/>
                <w:sz w:val="20"/>
                <w:szCs w:val="20"/>
              </w:rPr>
            </w:pPr>
            <w:r w:rsidRPr="002F3D36">
              <w:rPr>
                <w:rFonts w:ascii="Arial" w:eastAsia="微软雅黑" w:hAnsi="Arial" w:cs="Arial"/>
                <w:kern w:val="0"/>
                <w:sz w:val="20"/>
                <w:szCs w:val="20"/>
              </w:rPr>
              <w:t> </w:t>
            </w:r>
          </w:p>
        </w:tc>
        <w:tc>
          <w:tcPr>
            <w:tcW w:w="0" w:type="auto"/>
            <w:hideMark/>
          </w:tcPr>
          <w:p w14:paraId="7AA9F2F4" w14:textId="77777777" w:rsidR="002F3D36" w:rsidRPr="002F3D36" w:rsidRDefault="002F3D36" w:rsidP="002F3D36">
            <w:pPr>
              <w:widowControl/>
              <w:jc w:val="left"/>
              <w:rPr>
                <w:rFonts w:ascii="Times New Roman" w:eastAsia="微软雅黑" w:hAnsi="Times New Roman" w:cs="Times New Roman"/>
                <w:kern w:val="0"/>
                <w:sz w:val="18"/>
                <w:szCs w:val="18"/>
              </w:rPr>
            </w:pPr>
            <w:hyperlink r:id="rId28" w:anchor="item_15_exhibits_financial_statement_sch" w:history="1">
              <w:r w:rsidRPr="002F3D36">
                <w:rPr>
                  <w:rFonts w:ascii="Arial" w:eastAsia="微软雅黑" w:hAnsi="Arial" w:cs="Arial"/>
                  <w:color w:val="0000FF"/>
                  <w:kern w:val="0"/>
                  <w:sz w:val="18"/>
                  <w:szCs w:val="18"/>
                  <w:u w:val="single"/>
                </w:rPr>
                <w:t>Exhibits and Financial Statement Schedules</w:t>
              </w:r>
            </w:hyperlink>
          </w:p>
        </w:tc>
        <w:tc>
          <w:tcPr>
            <w:tcW w:w="0" w:type="auto"/>
            <w:hideMark/>
          </w:tcPr>
          <w:p w14:paraId="64DA6C28"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93</w:t>
            </w:r>
          </w:p>
        </w:tc>
      </w:tr>
    </w:tbl>
    <w:p w14:paraId="435245C5"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Times New Roman" w:eastAsia="宋体" w:hAnsi="Times New Roman" w:cs="Times New Roman"/>
          <w:color w:val="000000"/>
          <w:kern w:val="0"/>
          <w:sz w:val="20"/>
          <w:szCs w:val="20"/>
        </w:rPr>
        <w:t> </w:t>
      </w:r>
    </w:p>
    <w:p w14:paraId="464B63F8" w14:textId="77777777" w:rsidR="002F3D36" w:rsidRPr="002F3D36" w:rsidRDefault="002F3D36" w:rsidP="002F3D36">
      <w:pPr>
        <w:widowControl/>
        <w:spacing w:before="240"/>
        <w:jc w:val="center"/>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1</w:t>
      </w:r>
    </w:p>
    <w:p w14:paraId="5546ECEC" w14:textId="77777777" w:rsidR="002F3D36" w:rsidRPr="002F3D36" w:rsidRDefault="002F3D36" w:rsidP="002F3D36">
      <w:pPr>
        <w:widowControl/>
        <w:jc w:val="left"/>
        <w:rPr>
          <w:rFonts w:ascii="宋体" w:eastAsia="宋体" w:hAnsi="宋体" w:cs="宋体"/>
          <w:kern w:val="0"/>
          <w:sz w:val="24"/>
          <w:szCs w:val="24"/>
        </w:rPr>
      </w:pPr>
      <w:r w:rsidRPr="002F3D36">
        <w:rPr>
          <w:rFonts w:ascii="宋体" w:eastAsia="宋体" w:hAnsi="宋体" w:cs="宋体"/>
          <w:kern w:val="0"/>
          <w:sz w:val="24"/>
          <w:szCs w:val="24"/>
        </w:rPr>
        <w:pict w14:anchorId="73498D42">
          <v:rect id="_x0000_i1026" style="width:0;height:1.5pt" o:hralign="center" o:hrstd="t" o:hrnoshade="t" o:hr="t" fillcolor="black" stroked="f"/>
        </w:pict>
      </w:r>
    </w:p>
    <w:p w14:paraId="1CFBECAF" w14:textId="77777777" w:rsidR="002F3D36" w:rsidRPr="002F3D36" w:rsidRDefault="002F3D36" w:rsidP="002F3D36">
      <w:pPr>
        <w:widowControl/>
        <w:spacing w:line="20" w:lineRule="atLeast"/>
        <w:jc w:val="left"/>
        <w:rPr>
          <w:rFonts w:ascii="Times New Roman" w:eastAsia="宋体" w:hAnsi="Times New Roman" w:cs="Times New Roman"/>
          <w:color w:val="000000"/>
          <w:kern w:val="0"/>
          <w:sz w:val="20"/>
          <w:szCs w:val="20"/>
        </w:rPr>
      </w:pPr>
      <w:r w:rsidRPr="002F3D36">
        <w:rPr>
          <w:rFonts w:ascii="Arial" w:eastAsia="宋体" w:hAnsi="Arial" w:cs="Arial"/>
          <w:color w:val="000000"/>
          <w:kern w:val="0"/>
          <w:sz w:val="2"/>
          <w:szCs w:val="2"/>
        </w:rPr>
        <w:t> </w:t>
      </w:r>
    </w:p>
    <w:p w14:paraId="07B3ABFA" w14:textId="77777777" w:rsidR="002F3D36" w:rsidRPr="002F3D36" w:rsidRDefault="002F3D36" w:rsidP="002F3D36">
      <w:pPr>
        <w:widowControl/>
        <w:jc w:val="center"/>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NOTE ABOUT FORWARD-LOOKING STATEMENTS</w:t>
      </w:r>
    </w:p>
    <w:p w14:paraId="12D9445B"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24"/>
          <w:szCs w:val="24"/>
        </w:rPr>
        <w:t> </w:t>
      </w:r>
    </w:p>
    <w:p w14:paraId="342002D1"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This Annual Report on Form 10-K contains statements that are not historical facts but rather forward-looking statements within the meaning of the Private Securities Litigation Reform Act of 1995. Such forward-looking statements include those that address activities, events or developments that Autoliv, Inc. (“Autoliv,” the “Company” or “we”) or its management believes or anticipates may occur in the future. All forward-looking statements are based upon our current expectations, various assumptions and/or data available from third parties. Our expectations and assumptions are expressed in good faith and we believe there is a reasonable basis for them. However, there can be no assurance that such forward-looking statements will materialize or prove to be correct as forward-looking statements are inherently subject to known and unknown risks, uncertainties and other factors which may cause actual future results, performance or achievements to differ materially from the future results, performance or achievements expressed in or implied by such forward-looking statements.</w:t>
      </w:r>
    </w:p>
    <w:p w14:paraId="4B18E8C3"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w:t>
      </w:r>
    </w:p>
    <w:p w14:paraId="15A65CB4" w14:textId="77777777" w:rsidR="002F3D36" w:rsidRPr="002F3D36" w:rsidRDefault="002F3D36" w:rsidP="002F3D36">
      <w:pPr>
        <w:widowControl/>
        <w:spacing w:before="6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In some cases, you can identify these statements by forward-looking words such as “estimates,” “expects,” “anticipates,” “projects,” “plans,” “intends,” “believes,” “may,” “likely,” “might,” “would,” “should,” “could,” or the negative of these terms and other comparable terminology, although not all forward-looking statements contain such words.</w:t>
      </w:r>
    </w:p>
    <w:p w14:paraId="2A3F3365"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w:t>
      </w:r>
    </w:p>
    <w:p w14:paraId="55A3608A" w14:textId="77777777" w:rsidR="002F3D36" w:rsidRPr="002F3D36" w:rsidRDefault="002F3D36" w:rsidP="002F3D36">
      <w:pPr>
        <w:widowControl/>
        <w:spacing w:before="6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xml:space="preserve">Because these forward-looking statements involve risks and uncertainties, the outcome could differ materially from those set out in the forward-looking statements for a variety of reasons, including without limitation: general economic conditions, including inflation; the impacts of the coronavirus (COVID-19) pandemic on the Company’s financial condition, business operations, operating costs, liquidity, competition and the global economy; changes in light vehicle production; fluctuation in vehicle production schedules for which the Company is a supplier; global supply chain disruptions including port, transportation and distribution delays or interruptions; supply chain disruptions and component shortages specific to the automotive industry or the Company; changes in general industry and market conditions or regional growth or decline; changes in and the successful execution of our capacity alignment: restructuring and cost reduction and efficiency initiatives and the market reaction thereto; loss of business from increased competition; higher raw material, fuel and energy costs; changes in consumer and customer preferences for end products; customer losses; changes in regulatory conditions; customer bankruptcies; consolidations or restructuring; or divestiture of customer brands; unfavorable fluctuations in currencies or interest rates among the various jurisdictions in which we operate; component shortages; </w:t>
      </w:r>
      <w:r w:rsidRPr="002F3D36">
        <w:rPr>
          <w:rFonts w:ascii="Arial" w:eastAsia="宋体" w:hAnsi="Arial" w:cs="Arial"/>
          <w:color w:val="000000"/>
          <w:kern w:val="0"/>
          <w:sz w:val="18"/>
          <w:szCs w:val="18"/>
        </w:rPr>
        <w:lastRenderedPageBreak/>
        <w:t>market acceptance of our new products; costs or difficulties related to the integration of any new or acquired businesses and technologies; continued uncertainty in pricing negotiations with customers; successful integration of acquisitions and operations of joint ventures; successful implementation of strategic partnerships and collaborations; our ability to be awarded new business; product liability, warranty and recall claims and investigations and other litigation, civil judgements or financial penalties and customer reactions thereto; higher expenses for our pension and other postretirement benefits, including higher funding needs for our pension plans; work stoppages or other labor issues; possible adverse results of pending or future litigation or infringement claims, and the availability of insurance with respect to such matters; our ability to protect our intellectual property rights; negative impacts of antitrust investigations or other governmental investigations and associated litigation relating to the conduct of our business; tax assessments by governmental authorities and changes in our effective tax rate; dependence on key personnel; legislative or regulatory changes impacting or limiting our business; our ability to meet our sustainability targets, goals and commitments; political conditions; dependence on and relationships with customers and suppliers; and other risks and uncertainties identified in Item 1A -“Risk Factors” and Item 7 - “Management’s Discussion and Analysis of Financial Condition and Results of Operations” in this Annual Report.</w:t>
      </w:r>
    </w:p>
    <w:p w14:paraId="77BB6678"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w:t>
      </w:r>
    </w:p>
    <w:p w14:paraId="6B570FB7" w14:textId="77777777" w:rsidR="002F3D36" w:rsidRPr="002F3D36" w:rsidRDefault="002F3D36" w:rsidP="002F3D36">
      <w:pPr>
        <w:widowControl/>
        <w:spacing w:before="6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For any forward-looking statements contained in this or any other document, we claim the protection of the safe harbor for forward- looking statements contained in the Private Securities Litigation Reform Act of 1995, and we assume no obligation to update publicly or revise any forward-looking statements in light of new information or future events, except as required by law.</w:t>
      </w:r>
    </w:p>
    <w:p w14:paraId="0602BEB8" w14:textId="77777777" w:rsidR="002F3D36" w:rsidRPr="002F3D36" w:rsidRDefault="002F3D36" w:rsidP="002F3D36">
      <w:pPr>
        <w:widowControl/>
        <w:spacing w:before="240"/>
        <w:jc w:val="center"/>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2</w:t>
      </w:r>
    </w:p>
    <w:p w14:paraId="325B473A" w14:textId="77777777" w:rsidR="002F3D36" w:rsidRPr="002F3D36" w:rsidRDefault="002F3D36" w:rsidP="002F3D36">
      <w:pPr>
        <w:widowControl/>
        <w:jc w:val="left"/>
        <w:rPr>
          <w:rFonts w:ascii="宋体" w:eastAsia="宋体" w:hAnsi="宋体" w:cs="宋体"/>
          <w:kern w:val="0"/>
          <w:sz w:val="24"/>
          <w:szCs w:val="24"/>
        </w:rPr>
      </w:pPr>
      <w:r w:rsidRPr="002F3D36">
        <w:rPr>
          <w:rFonts w:ascii="宋体" w:eastAsia="宋体" w:hAnsi="宋体" w:cs="宋体"/>
          <w:kern w:val="0"/>
          <w:sz w:val="24"/>
          <w:szCs w:val="24"/>
        </w:rPr>
        <w:pict w14:anchorId="67BD10BD">
          <v:rect id="_x0000_i1027" style="width:0;height:1.5pt" o:hralign="center" o:hrstd="t" o:hrnoshade="t" o:hr="t" fillcolor="black" stroked="f"/>
        </w:pict>
      </w:r>
    </w:p>
    <w:p w14:paraId="72C84041" w14:textId="77777777" w:rsidR="002F3D36" w:rsidRPr="002F3D36" w:rsidRDefault="002F3D36" w:rsidP="002F3D36">
      <w:pPr>
        <w:widowControl/>
        <w:spacing w:line="20" w:lineRule="atLeast"/>
        <w:jc w:val="left"/>
        <w:rPr>
          <w:rFonts w:ascii="Times New Roman" w:eastAsia="宋体" w:hAnsi="Times New Roman" w:cs="Times New Roman"/>
          <w:color w:val="000000"/>
          <w:kern w:val="0"/>
          <w:sz w:val="20"/>
          <w:szCs w:val="20"/>
        </w:rPr>
      </w:pPr>
      <w:r w:rsidRPr="002F3D36">
        <w:rPr>
          <w:rFonts w:ascii="Arial" w:eastAsia="宋体" w:hAnsi="Arial" w:cs="Arial"/>
          <w:color w:val="000000"/>
          <w:kern w:val="0"/>
          <w:sz w:val="2"/>
          <w:szCs w:val="2"/>
        </w:rPr>
        <w:t> </w:t>
      </w:r>
    </w:p>
    <w:p w14:paraId="0755E2B2" w14:textId="77777777" w:rsidR="002F3D36" w:rsidRPr="002F3D36" w:rsidRDefault="002F3D36" w:rsidP="002F3D36">
      <w:pPr>
        <w:widowControl/>
        <w:jc w:val="center"/>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PART I</w:t>
      </w:r>
    </w:p>
    <w:p w14:paraId="04E67B7E"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w:t>
      </w:r>
    </w:p>
    <w:p w14:paraId="191C466D" w14:textId="77777777" w:rsidR="002F3D36" w:rsidRPr="002F3D36" w:rsidRDefault="002F3D36" w:rsidP="002F3D36">
      <w:pPr>
        <w:widowControl/>
        <w:spacing w:before="6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22"/>
        </w:rPr>
        <w:t>Item 1. Business</w:t>
      </w:r>
    </w:p>
    <w:p w14:paraId="6CC6792B"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2"/>
          <w:szCs w:val="12"/>
        </w:rPr>
        <w:t> </w:t>
      </w:r>
    </w:p>
    <w:p w14:paraId="152361F5"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General</w:t>
      </w:r>
    </w:p>
    <w:p w14:paraId="0971A6E2"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Autoliv, Inc. (“Autoliv”, the “Company” or “we”) is a Delaware corporation with its principal executive offices in Stockholm, Sweden. The Company functions as a holding corporation and owns two principal subsidiaries, Autoliv AB and Autoliv ASP, Inc. The Company's fiscal year ends on December 31.</w:t>
      </w:r>
    </w:p>
    <w:p w14:paraId="681BEC63"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xml:space="preserve">The Company is a leading developer, manufacturer and supplier of passive safety systems to the automotive industry with a broad range of product offerings. </w:t>
      </w:r>
    </w:p>
    <w:p w14:paraId="12488C53"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xml:space="preserve">Passive safety systems are primarily meant to improve safety for occupants in a vehicle. Passive safety systems include modules and components for frontal-impact airbag protection systems, side-impact airbag protection systems, seatbelts, steering wheels, inflator technologies and battery cut-off switches. </w:t>
      </w:r>
    </w:p>
    <w:p w14:paraId="043C1762"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xml:space="preserve">To </w:t>
      </w:r>
      <w:r w:rsidRPr="002F3D36">
        <w:rPr>
          <w:rFonts w:ascii="Arial" w:eastAsia="宋体" w:hAnsi="Arial" w:cs="Arial"/>
          <w:color w:val="000000"/>
          <w:kern w:val="0"/>
          <w:sz w:val="18"/>
          <w:szCs w:val="18"/>
          <w:shd w:val="clear" w:color="auto" w:fill="FFFFFF"/>
        </w:rPr>
        <w:t xml:space="preserve">extend into new markets areas beyond light vehicles and occupant safety, the Company has formed Mobility Safety Solutions. </w:t>
      </w:r>
      <w:r w:rsidRPr="002F3D36">
        <w:rPr>
          <w:rFonts w:ascii="Arial" w:eastAsia="宋体" w:hAnsi="Arial" w:cs="Arial"/>
          <w:color w:val="000000"/>
          <w:kern w:val="0"/>
          <w:sz w:val="18"/>
          <w:szCs w:val="18"/>
        </w:rPr>
        <w:t xml:space="preserve">By combining its core competence and industry experience, the Company also develops and manufactures mobility safety solutions such as pedestrian protection, battery cut-off switches, connected safety services and safety solutions for riders of powered two wheelers. </w:t>
      </w:r>
    </w:p>
    <w:p w14:paraId="1059CC2B"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lastRenderedPageBreak/>
        <w:t>The Company has approximately 62 production facilities in 25 countries and its customers include the world’s largest car manufacturers. The Company’s sales in 2021 were $8.2 billion, approximately 65% of which consisted of airbag and steering wheel products and approximately 35% of which consisted of seatbelt products. The Company's business is conducted in the following geographical regions: Europe, the Americas, China, Japan and the Rest of Asia (ROA).</w:t>
      </w:r>
    </w:p>
    <w:p w14:paraId="5FFA3E9F"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The Company’s head office is located in Stockholm, Sweden, where it currently employs approximately 95 people. At December 31, 2021, the Company had a total number of personnel of approximately 60,600 worldwide, whereof 8 % were temporary personnel.</w:t>
      </w:r>
    </w:p>
    <w:p w14:paraId="1E415206"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Additional information required by this Item 1 regarding developments in the Company’s business during 2021 is contained under Item 7 in this Annual Report.</w:t>
      </w:r>
    </w:p>
    <w:p w14:paraId="4AF4781C"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w:t>
      </w:r>
    </w:p>
    <w:p w14:paraId="1FB0B266" w14:textId="77777777" w:rsidR="002F3D36" w:rsidRPr="002F3D36" w:rsidRDefault="002F3D36" w:rsidP="002F3D36">
      <w:pPr>
        <w:widowControl/>
        <w:spacing w:before="16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Reportable Segment</w:t>
      </w:r>
    </w:p>
    <w:p w14:paraId="58B8BFEE"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The Company has one reportable segment based on the way the Company evaluates its financial performance and manages its operations. The Company's business is comprised of passive safety products - principally airbags (including steering wheels and inflators) and seatbelts. For more information regarding the Company’s segment reporting, see Note 1 to the Consolidated Financial Statements in this Annual Report.</w:t>
      </w:r>
    </w:p>
    <w:p w14:paraId="42A7F53D"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w:t>
      </w:r>
    </w:p>
    <w:p w14:paraId="4077EE97" w14:textId="77777777" w:rsidR="002F3D36" w:rsidRPr="002F3D36" w:rsidRDefault="002F3D36" w:rsidP="002F3D36">
      <w:pPr>
        <w:widowControl/>
        <w:spacing w:before="1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Products, Market and Competition</w:t>
      </w:r>
    </w:p>
    <w:p w14:paraId="5408F0FE" w14:textId="77777777" w:rsidR="002F3D36" w:rsidRPr="002F3D36" w:rsidRDefault="002F3D36" w:rsidP="002F3D36">
      <w:pPr>
        <w:widowControl/>
        <w:spacing w:before="18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u w:val="single"/>
        </w:rPr>
        <w:t>Products</w:t>
      </w:r>
    </w:p>
    <w:p w14:paraId="76122DD1" w14:textId="77777777" w:rsidR="002F3D36" w:rsidRPr="002F3D36" w:rsidRDefault="002F3D36" w:rsidP="002F3D36">
      <w:pPr>
        <w:widowControl/>
        <w:spacing w:before="10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shd w:val="clear" w:color="auto" w:fill="FFFFFF"/>
        </w:rPr>
        <w:t xml:space="preserve">Providing life-saving solutions </w:t>
      </w:r>
      <w:r w:rsidRPr="002F3D36">
        <w:rPr>
          <w:rFonts w:ascii="Arial" w:eastAsia="宋体" w:hAnsi="Arial" w:cs="Arial"/>
          <w:color w:val="000000"/>
          <w:kern w:val="0"/>
          <w:sz w:val="18"/>
          <w:szCs w:val="18"/>
        </w:rPr>
        <w:t xml:space="preserve">is a key priority as the world population grows and develops. However, population expansion in growth markets and the rise of megacities creates new complexities. To meet this challenge, the Company develops safety solutions </w:t>
      </w:r>
      <w:r w:rsidRPr="002F3D36">
        <w:rPr>
          <w:rFonts w:ascii="Arial" w:eastAsia="宋体" w:hAnsi="Arial" w:cs="Arial"/>
          <w:color w:val="000000"/>
          <w:kern w:val="0"/>
          <w:sz w:val="18"/>
          <w:szCs w:val="18"/>
          <w:shd w:val="clear" w:color="auto" w:fill="FFFFFF"/>
        </w:rPr>
        <w:t>for both mobility and society</w:t>
      </w:r>
      <w:r w:rsidRPr="002F3D36">
        <w:rPr>
          <w:rFonts w:ascii="Arial" w:eastAsia="宋体" w:hAnsi="Arial" w:cs="Arial"/>
          <w:color w:val="000000"/>
          <w:kern w:val="0"/>
          <w:sz w:val="18"/>
          <w:szCs w:val="18"/>
        </w:rPr>
        <w:t xml:space="preserve"> that work in real life situations.</w:t>
      </w:r>
      <w:r w:rsidRPr="002F3D36">
        <w:rPr>
          <w:rFonts w:ascii="Verdana" w:eastAsia="宋体" w:hAnsi="Verdana" w:cs="Times New Roman"/>
          <w:color w:val="000000"/>
          <w:kern w:val="0"/>
          <w:sz w:val="18"/>
          <w:szCs w:val="18"/>
        </w:rPr>
        <w:t xml:space="preserve"> </w:t>
      </w:r>
    </w:p>
    <w:p w14:paraId="32749A32" w14:textId="77777777" w:rsidR="002F3D36" w:rsidRPr="002F3D36" w:rsidRDefault="002F3D36" w:rsidP="002F3D36">
      <w:pPr>
        <w:widowControl/>
        <w:spacing w:before="10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The Company's safety systems such as seatbelts and airbags substantially mitigate human consequences of traffic accidents.</w:t>
      </w:r>
    </w:p>
    <w:p w14:paraId="3E4C3FF7" w14:textId="77777777" w:rsidR="002F3D36" w:rsidRPr="002F3D36" w:rsidRDefault="002F3D36" w:rsidP="002F3D36">
      <w:pPr>
        <w:widowControl/>
        <w:spacing w:before="10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xml:space="preserve">The airbag module is designed to inflate extremely rapidly then quickly deflate during a collision or impact. It consists of the container, an airbag cushion and an inflator. The purpose of the airbag is to provide the occupants a cushioning and restraint during a crash event to prevent any impact or impact-caused injuries between the occupant and the interior of the vehicle. </w:t>
      </w:r>
    </w:p>
    <w:p w14:paraId="0E3EAB5E" w14:textId="77777777" w:rsidR="002F3D36" w:rsidRPr="002F3D36" w:rsidRDefault="002F3D36" w:rsidP="002F3D36">
      <w:pPr>
        <w:widowControl/>
        <w:spacing w:before="10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Seatbelts can reduce the overall risk of serious injuries in frontal crashes by as much as 60% due to advanced seatbelt technologies such as pretensioners and load limiters.</w:t>
      </w:r>
    </w:p>
    <w:p w14:paraId="1540F750" w14:textId="77777777" w:rsidR="002F3D36" w:rsidRPr="002F3D36" w:rsidRDefault="002F3D36" w:rsidP="002F3D36">
      <w:pPr>
        <w:widowControl/>
        <w:spacing w:before="10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The Company also manufactures steering wheels that are crafted to ensure they meet safety requirements and are functional as well as stylish.</w:t>
      </w:r>
    </w:p>
    <w:p w14:paraId="785C7A72" w14:textId="77777777" w:rsidR="002F3D36" w:rsidRPr="002F3D36" w:rsidRDefault="002F3D36" w:rsidP="002F3D36">
      <w:pPr>
        <w:widowControl/>
        <w:spacing w:before="18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u w:val="single"/>
        </w:rPr>
        <w:t>Market and Competition</w:t>
      </w:r>
    </w:p>
    <w:p w14:paraId="0ED26512"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Consumer research clearly shows that consumers want safe vehicles, and several significant trends are likely to have a positive influence on overall safety content per vehicle. These include:</w:t>
      </w:r>
    </w:p>
    <w:p w14:paraId="387C2E8B" w14:textId="77777777" w:rsidR="002F3D36" w:rsidRPr="002F3D36" w:rsidRDefault="002F3D36" w:rsidP="002F3D36">
      <w:pPr>
        <w:widowControl/>
        <w:spacing w:before="100"/>
        <w:ind w:left="934"/>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1) Society becoming increasingly focused on Vision Zero, which includes a goal of reducing traffic fatalities and their associated costs;</w:t>
      </w:r>
    </w:p>
    <w:p w14:paraId="0F125D85" w14:textId="77777777" w:rsidR="002F3D36" w:rsidRPr="002F3D36" w:rsidRDefault="002F3D36" w:rsidP="002F3D36">
      <w:pPr>
        <w:widowControl/>
        <w:spacing w:before="100"/>
        <w:ind w:left="934"/>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lastRenderedPageBreak/>
        <w:t>2) Demographic trends of increased urbanization, aging driver populations and increased safety focus in growth markets;</w:t>
      </w:r>
    </w:p>
    <w:p w14:paraId="4E9A74AF" w14:textId="77777777" w:rsidR="002F3D36" w:rsidRPr="002F3D36" w:rsidRDefault="002F3D36" w:rsidP="002F3D36">
      <w:pPr>
        <w:widowControl/>
        <w:spacing w:before="100"/>
        <w:ind w:left="934"/>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3) Evolving government regulations and test rating systems to improve the safety of vehicles in various markets, such as the updated Euro New Car Assessment Program (NCAP), China NCAP and USNCAP; and</w:t>
      </w:r>
    </w:p>
    <w:p w14:paraId="167B2E5A" w14:textId="77777777" w:rsidR="002F3D36" w:rsidRPr="002F3D36" w:rsidRDefault="002F3D36" w:rsidP="002F3D36">
      <w:pPr>
        <w:widowControl/>
        <w:spacing w:before="100"/>
        <w:ind w:left="934"/>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4) The trend towards autonomous driving vehicles will require new and more complex solutions as to provide protection of occupants in new seating positions, regardless of how a driver or other passenger are seated.</w:t>
      </w:r>
    </w:p>
    <w:p w14:paraId="0EADDED5" w14:textId="77777777" w:rsidR="002F3D36" w:rsidRPr="002F3D36" w:rsidRDefault="002F3D36" w:rsidP="002F3D36">
      <w:pPr>
        <w:widowControl/>
        <w:spacing w:before="240"/>
        <w:jc w:val="center"/>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3</w:t>
      </w:r>
    </w:p>
    <w:p w14:paraId="3F4A4455" w14:textId="77777777" w:rsidR="002F3D36" w:rsidRPr="002F3D36" w:rsidRDefault="002F3D36" w:rsidP="002F3D36">
      <w:pPr>
        <w:widowControl/>
        <w:jc w:val="left"/>
        <w:rPr>
          <w:rFonts w:ascii="宋体" w:eastAsia="宋体" w:hAnsi="宋体" w:cs="宋体"/>
          <w:kern w:val="0"/>
          <w:sz w:val="24"/>
          <w:szCs w:val="24"/>
        </w:rPr>
      </w:pPr>
      <w:r w:rsidRPr="002F3D36">
        <w:rPr>
          <w:rFonts w:ascii="宋体" w:eastAsia="宋体" w:hAnsi="宋体" w:cs="宋体"/>
          <w:kern w:val="0"/>
          <w:sz w:val="24"/>
          <w:szCs w:val="24"/>
        </w:rPr>
        <w:pict w14:anchorId="5B3814ED">
          <v:rect id="_x0000_i1028" style="width:0;height:1.5pt" o:hralign="center" o:hrstd="t" o:hrnoshade="t" o:hr="t" fillcolor="black" stroked="f"/>
        </w:pict>
      </w:r>
    </w:p>
    <w:p w14:paraId="1F2C3823" w14:textId="77777777" w:rsidR="002F3D36" w:rsidRPr="002F3D36" w:rsidRDefault="002F3D36" w:rsidP="002F3D36">
      <w:pPr>
        <w:widowControl/>
        <w:spacing w:line="20" w:lineRule="atLeast"/>
        <w:jc w:val="left"/>
        <w:rPr>
          <w:rFonts w:ascii="Times New Roman" w:eastAsia="宋体" w:hAnsi="Times New Roman" w:cs="Times New Roman"/>
          <w:color w:val="000000"/>
          <w:kern w:val="0"/>
          <w:sz w:val="20"/>
          <w:szCs w:val="20"/>
        </w:rPr>
      </w:pPr>
      <w:r w:rsidRPr="002F3D36">
        <w:rPr>
          <w:rFonts w:ascii="Arial" w:eastAsia="宋体" w:hAnsi="Arial" w:cs="Arial"/>
          <w:color w:val="000000"/>
          <w:kern w:val="0"/>
          <w:sz w:val="2"/>
          <w:szCs w:val="2"/>
        </w:rPr>
        <w:t> </w:t>
      </w:r>
    </w:p>
    <w:p w14:paraId="7E726696" w14:textId="77777777" w:rsidR="002F3D36" w:rsidRPr="002F3D36" w:rsidRDefault="002F3D36" w:rsidP="002F3D36">
      <w:pPr>
        <w:widowControl/>
        <w:spacing w:before="24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The automotive safety market is driven by two primary factors: light vehicle production (LVP) and content per vehicle (CPV).</w:t>
      </w:r>
    </w:p>
    <w:p w14:paraId="05D67A76"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xml:space="preserve">The first growth driver, LVP, has increased at an average annual growth rate of around 1.3% since the start of Autoliv in 1997 despite the substantial drop in LVP in 2020 and 2021 due to the COVID-19 pandemic, supply chain disruptions and semiconductor shortages. LVP is forecasted to grow to close to 92 million by 2024 from approximately 73 million in 2021, as the market is expected to recover from the effects of the COVID-19 pandemic and component shortages, according to IHS Markit. </w:t>
      </w:r>
    </w:p>
    <w:p w14:paraId="1024BEFC"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xml:space="preserve">Unlike LVP, where Autoliv can only aim to be on the best-selling platforms, Autoliv can influence CPV more directly by continuously developing and introducing new technologies with higher value-added features. Over the long term, this increases average safety CPV and has caused the Company's markets to grow faster than the LVP. </w:t>
      </w:r>
    </w:p>
    <w:p w14:paraId="6CBF9346"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Since 1997, the Company’s sales compound annual growth rate (CAGR) for passive safety has been around 5% compared to the market rate of around 2% which includes an LVP growth of around 1%. The Company's outperformance is a result of a steady flow of new passive safety technologies, strong focus on quality and a superior global footprint both in products and engineering. This has enabled Autoliv to increase its global market share in passive safety from 27% in 1997 to 43% in 2021.</w:t>
      </w:r>
    </w:p>
    <w:p w14:paraId="0C81DA72"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In the Developed Markets (Western Europe, North America, Japan and South Korea) the CPV is around $310. CPV growth in these regions mainly come from new safety systems such as active seatbelts, knee airbags and front-center airbags along with improved protection for pedestrians and rear-seat occupants like bag-in-belt or more advanced seatbelts.</w:t>
      </w:r>
    </w:p>
    <w:p w14:paraId="6CA5FE2F"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xml:space="preserve">In the Growth Markets (all markets other than the Developed Markets), the Company sees great opportunities for CPV growth from more airbags and advanced seatbelt products. Average CPV in the Growth Markets is around $200, approximately $110 less than in the Developed Markets. </w:t>
      </w:r>
    </w:p>
    <w:p w14:paraId="371548CF"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xml:space="preserve">As a result of higher installation rates of airbags, more advanced seatbelt products and more complex steering wheels, CPV is expected to increase at a similar pace in both Developed and Growth Markets over the next three years. LVP in the Developed Markets is expected to increase faster than in the Growth Markets during the same period. This is because the Developed Markets are expected to recover from the negative effects of the COVID-19 pandemic and semiconductor shortages experienced in 2021. Supported by a positive LVP mix effect from higher growth in higher CPV markets, the annual passive </w:t>
      </w:r>
      <w:r w:rsidRPr="002F3D36">
        <w:rPr>
          <w:rFonts w:ascii="Arial" w:eastAsia="宋体" w:hAnsi="Arial" w:cs="Arial"/>
          <w:color w:val="000000"/>
          <w:kern w:val="0"/>
          <w:sz w:val="18"/>
          <w:szCs w:val="18"/>
        </w:rPr>
        <w:lastRenderedPageBreak/>
        <w:t>safety market (seatbelts and airbags, including steering wheels), is expected to grow from around $18 billion in 2021 to more than $25 billion over the next three years, based on the current macro-economic outlook and the Company's internal market intelligence and estimates. The highest growth rate is expected in steering wheels, where Autoliv has a global market share of around 36%, generated by the trend toward higher-value steering wheels with leather and additional features.</w:t>
      </w:r>
    </w:p>
    <w:p w14:paraId="4697113A"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In seatbelts, Autoliv has reached a global market share of around 44%, primarily due to being the technology leader with several important innovations such as pretensioners and active seatbelts. The Company's strong market position is also a reflection of its superior global footprint. Seatbelts are the primary life-saving safety product and are also an important requirement in low-end vehicles in the Growth Markets. This provides the Company with an excellent opportunity to benefit from the expected growth in this segment of the market.</w:t>
      </w:r>
    </w:p>
    <w:p w14:paraId="2C7CCAB8"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xml:space="preserve">The market for airbags, where Autoliv has a global market share of around 43%, is expected to grow mainly as result of higher installation rates of inflatable curtains, side airbags and knee airbags. Additionally, the new front center airbag is expected to start to contribute to the market growth. </w:t>
      </w:r>
    </w:p>
    <w:p w14:paraId="4A79B6DB"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The Company's ability to consistently outperform market growth is rooted in a steady flow of new safety technologies, a strong focus on quality and a superior production and engineering footprint.</w:t>
      </w:r>
    </w:p>
    <w:p w14:paraId="3A68CA5F" w14:textId="77777777" w:rsidR="002F3D36" w:rsidRPr="002F3D36" w:rsidRDefault="002F3D36" w:rsidP="002F3D36">
      <w:pPr>
        <w:widowControl/>
        <w:spacing w:before="20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u w:val="single"/>
        </w:rPr>
        <w:t>The Company's competitors</w:t>
      </w:r>
    </w:p>
    <w:p w14:paraId="61287E0B"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xml:space="preserve">Autoliv is the clear market leader in passive safety components and systems for the automotive industry with an estimated global market share of 43%. </w:t>
      </w:r>
    </w:p>
    <w:p w14:paraId="69785C89"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ZF, the Company's largest competitor, is a global leader in driveline and chassis technology as well as in passive safety technologies, and is one of the largest global automotive suppliers.</w:t>
      </w:r>
    </w:p>
    <w:p w14:paraId="4982ED3A"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The Company's second largest competitor is U.S.-based Joyson Safety Systems (JSS). JSS is a Chinese owned company and is the result of the merger between Key Safety Systems (KSS) and Takata Corporation after KSS acquired Takata in 2018.</w:t>
      </w:r>
    </w:p>
    <w:p w14:paraId="3ED3B4C5"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In Japan, Brazil, South Korea and China, there are a number of local suppliers that have close ties with the domestic vehicle manufacturers. For example, Toyota uses “keiretsu” (in-house) suppliers Tokai Rika for seatbelts and Toyoda Gosei for airbags and steering wheels. These suppliers generally receive most of the Toyota business in Japan, in the same way, Mobis, a major supplier to Hyundai/Kia in South Korea, generally receives a significant part of their business.</w:t>
      </w:r>
    </w:p>
    <w:p w14:paraId="5ACAB637"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Other competitors include Nihon Plast and Ashimori of Japan, Yanfeng and Jinheng of China, Samsong in South Korea and Chris Cintos de Seguranca in South America. Collectively, these competitors account for the majority of the remaining market share in passive safety.</w:t>
      </w:r>
    </w:p>
    <w:p w14:paraId="2DBD5537"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Additional information concerning the Company's products, markets and competition is included in the “Risks and Risk Management” section under Item 7 of this Annual Report.</w:t>
      </w:r>
    </w:p>
    <w:p w14:paraId="537AF4C6"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Manufacturing and Production</w:t>
      </w:r>
    </w:p>
    <w:p w14:paraId="2F0D28F2"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xml:space="preserve">See “Item 2. Properties” for a description of Autoliv’s principal properties. The component factories manufacture inflators, propellant, initiators, textile cushions, webbing, pressed steel parts, springs and overmolded steel parts used in seatbelt and airbag assembly and steering wheels. The assembly factories source components from a number of parties, including Autoliv’s own component factories, and assemble </w:t>
      </w:r>
      <w:r w:rsidRPr="002F3D36">
        <w:rPr>
          <w:rFonts w:ascii="Arial" w:eastAsia="宋体" w:hAnsi="Arial" w:cs="Arial"/>
          <w:color w:val="000000"/>
          <w:kern w:val="0"/>
          <w:sz w:val="18"/>
          <w:szCs w:val="18"/>
        </w:rPr>
        <w:lastRenderedPageBreak/>
        <w:t>complete restraint systems for “just-in-time” delivery to customers. The products manufactured by Autoliv’s consolidated subsidiaries in 2021 consisted of 127 million complete seatbelt systems (of which 82 million were fitted with pretensioners), 92 million side airbags (including curtain airbags and front center airbags), 52 million frontal airbags, 0.4 million other airbags and 18 million steering wheels.</w:t>
      </w:r>
    </w:p>
    <w:p w14:paraId="26E89DAA" w14:textId="77777777" w:rsidR="002F3D36" w:rsidRPr="002F3D36" w:rsidRDefault="002F3D36" w:rsidP="002F3D36">
      <w:pPr>
        <w:widowControl/>
        <w:spacing w:before="240"/>
        <w:jc w:val="center"/>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4</w:t>
      </w:r>
    </w:p>
    <w:p w14:paraId="44F53CC1" w14:textId="77777777" w:rsidR="002F3D36" w:rsidRPr="002F3D36" w:rsidRDefault="002F3D36" w:rsidP="002F3D36">
      <w:pPr>
        <w:widowControl/>
        <w:jc w:val="left"/>
        <w:rPr>
          <w:rFonts w:ascii="宋体" w:eastAsia="宋体" w:hAnsi="宋体" w:cs="宋体"/>
          <w:kern w:val="0"/>
          <w:sz w:val="24"/>
          <w:szCs w:val="24"/>
        </w:rPr>
      </w:pPr>
      <w:r w:rsidRPr="002F3D36">
        <w:rPr>
          <w:rFonts w:ascii="宋体" w:eastAsia="宋体" w:hAnsi="宋体" w:cs="宋体"/>
          <w:kern w:val="0"/>
          <w:sz w:val="24"/>
          <w:szCs w:val="24"/>
        </w:rPr>
        <w:pict w14:anchorId="1187A204">
          <v:rect id="_x0000_i1029" style="width:0;height:1.5pt" o:hralign="center" o:hrstd="t" o:hrnoshade="t" o:hr="t" fillcolor="black" stroked="f"/>
        </w:pict>
      </w:r>
    </w:p>
    <w:p w14:paraId="0F288238" w14:textId="77777777" w:rsidR="002F3D36" w:rsidRPr="002F3D36" w:rsidRDefault="002F3D36" w:rsidP="002F3D36">
      <w:pPr>
        <w:widowControl/>
        <w:spacing w:line="20" w:lineRule="atLeast"/>
        <w:jc w:val="left"/>
        <w:rPr>
          <w:rFonts w:ascii="Times New Roman" w:eastAsia="宋体" w:hAnsi="Times New Roman" w:cs="Times New Roman"/>
          <w:color w:val="000000"/>
          <w:kern w:val="0"/>
          <w:sz w:val="20"/>
          <w:szCs w:val="20"/>
        </w:rPr>
      </w:pPr>
      <w:r w:rsidRPr="002F3D36">
        <w:rPr>
          <w:rFonts w:ascii="Arial" w:eastAsia="宋体" w:hAnsi="Arial" w:cs="Arial"/>
          <w:color w:val="000000"/>
          <w:kern w:val="0"/>
          <w:sz w:val="2"/>
          <w:szCs w:val="2"/>
        </w:rPr>
        <w:t> </w:t>
      </w:r>
    </w:p>
    <w:p w14:paraId="20186A79"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Autoliv’s “just-in-time” delivery system is designed to accommodate the specific requirements of each customer for low levels of inventory and rapid stock delivery service. “Just-in-time” deliveries require final assembly or, at least, distribution centers in geographic areas close to customers to facilitate rapid delivery. The fact that the major automobile manufacturers are continually expanding their production activities into more countries and require the same or similar safety systems as those produced in Europe, Japan or the U.S. increases the importance for suppliers to have assembly capacity in several countries. Consolidation among the Company's customers also supports this trend.</w:t>
      </w:r>
    </w:p>
    <w:p w14:paraId="63B96C69"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Autoliv’s assembly operations generally are not constrained by capacity considerations unless there is a disruption in the supply of raw materials and components. When dramatic shifts in LVP occur, Autoliv can generally adjust capacity in response to any changes in demand within a few days by adding or removing work shifts and within a few months by adding or removing standardized production and assembly lines. Most of Autoliv’s assembly factories can make sufficient space available to accommodate additional production lines to satisfy foreseeable increases in capacity. As a result, Autoliv can usually adjust its manufacturing capacity faster than its customers can adjust their capacity as a result of fluctuations in the general demand for vehicles or in the demand for a specific vehicle model, provided that customers promptly notify Autoliv when they become aware of such changes in demand.</w:t>
      </w:r>
    </w:p>
    <w:p w14:paraId="5B80EAC9"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When dramatic shifts in LVP occur or when there is a shift in regional LVP, the capacity adjustments can take more time and be more costly. Additionally, when there is significant demand for a given product due to a major recall of a competitor’s product, like certain of the Company's customers have experienced, capacity adjustments may take time.</w:t>
      </w:r>
    </w:p>
    <w:p w14:paraId="7BBBF769"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The Company could experience disruption in its supply or delivery chain, which could cause one or more of its customers to halt or delay production. For more information, see Item 1A – “Risk Factors” in this Annual Report.</w:t>
      </w:r>
    </w:p>
    <w:p w14:paraId="750F618A"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Quality Management</w:t>
      </w:r>
    </w:p>
    <w:p w14:paraId="6A1DE8A3"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Autoliv believes that superior quality is a prerequisite to being considered a leading global supplier of automotive safety systems and is key to the Company's financial performance, because quality excellence is critical for winning new orders, preventing recalls and maintaining low scrap rates. Autoliv has for many years emphasized a “zero-defect” proactive quality policy and continues to strive to improve its working methods. This means that Autoliv’s products are expected to always meet performance expectations and be delivered to its customers at the right times and in the right amounts. Furthermore, the Company believes its continued quality improvements further enhance the Company's reputation among its customers, employees and governmental authorities.</w:t>
      </w:r>
    </w:p>
    <w:p w14:paraId="187298A6"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lastRenderedPageBreak/>
        <w:t>Although quality has always been paramount in the automotive industry, especially for safety products, automobile manufacturers have become increasingly focused on quality with even less tolerance for any deviations. This intensified focus on quality is partially due to an increase in the number of vehicle recalls for a variety of reasons (not just safety), including a few high-profile vehicle recalls. This trend is likely to continue as automobile manufacturers introduce even stricter quality requirements and regulating agencies and other authorities increase the level of scrutiny given to vehicle safety issues. The Company has not been immune to the recalls that have been impacting the automotive industry.</w:t>
      </w:r>
    </w:p>
    <w:p w14:paraId="7F56CD33"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The Company continues to drive its quality initiative called “Q5” which was initiated in the summer of 2010. It is an integral part of the Company's strategy of shaping a proactive quality culture of zero defects. It is called “Q5” because it addresses quality in five dimensions: products, customers, growth, behavior and suppliers. The goal of Q5 is to firmly tie together quality with value within all of the Company's processes and for all of its employees, thereby leading to the best value for its customers. Since 2010, the Company has continually expanded this quality initiative to provide additional skills training to more employees and suppliers. These activities have significantly improved the Company's quality performance.</w:t>
      </w:r>
    </w:p>
    <w:p w14:paraId="400B26DF"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In the Company's pursuit of excellence in quality, the Company has developed a chain of four “defense lines” against potential quality issues. These defense lines consist of: 1) robust product designs, 2) flawless components from suppliers and the Company's own in-house component companies, 3) manufacturing flawless products with a system for verifying that the Company's products conform with specifications and 4) an advanced traceability system in the event of a recall.</w:t>
      </w:r>
    </w:p>
    <w:p w14:paraId="06DF10E8"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The Company's pursuit of quality excellence extends from the earliest phases of product development to the proper disposal of a product following many years of use in a vehicle. Autoliv’s comprehensive Autoliv Product Development System includes several key check points during the process of developing new products that are designed to ensure that such products are well-built and have no hidden defects. Through this process, the Company works closely with its suppliers and customers to set clear standards that help to ensure robust component design and lowest cost for function in order to proactively prevent problems and ensure the Company delivers only the best designs to the market.</w:t>
      </w:r>
    </w:p>
    <w:p w14:paraId="36984A3B"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The Autoliv Production System (“APS”), based on the goals of improving quality and efficiency, is at the core of Autoliv’s manufacturing philosophy. APS integrates essential quality elements, such as mistake proofing, statistical process control and operator involvement, into the manufacturing processes so all Autoliv associates are aware of and understand the critical connection between themselves and the Company's lifesaving products. This “zero-defect” principle extends beyond Autoliv to the entire supplier base. All of the Company's suppliers must accept the strict quality standards in the global Autoliv Supplier Manual, which defines the Company's quality requirements and focuses on preventing bad parts from being produced by its suppliers and helps eliminate defective intermediate products in the Company's assembly lines as early as possible. In addition, Autoliv’s One Product One Process (“1P1P”) initiative is its strategy for developing and managing standardization of both core products and customer-specific features, leading not only to improved quality, but also greater cost efficiency and more efficient supply chain management.</w:t>
      </w:r>
    </w:p>
    <w:p w14:paraId="0B648AE2"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IATF 16949:2016 is one of the automotive industry’s most widely used international standards for quality management. All of the Company's facilities that ship products to OEMs are regularly certified according to the International Automotive Task Force (IATF) standards.</w:t>
      </w:r>
    </w:p>
    <w:p w14:paraId="2B30C496" w14:textId="77777777" w:rsidR="002F3D36" w:rsidRPr="002F3D36" w:rsidRDefault="002F3D36" w:rsidP="002F3D36">
      <w:pPr>
        <w:widowControl/>
        <w:spacing w:before="240"/>
        <w:jc w:val="center"/>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5</w:t>
      </w:r>
    </w:p>
    <w:p w14:paraId="08F28916" w14:textId="77777777" w:rsidR="002F3D36" w:rsidRPr="002F3D36" w:rsidRDefault="002F3D36" w:rsidP="002F3D36">
      <w:pPr>
        <w:widowControl/>
        <w:jc w:val="left"/>
        <w:rPr>
          <w:rFonts w:ascii="宋体" w:eastAsia="宋体" w:hAnsi="宋体" w:cs="宋体"/>
          <w:kern w:val="0"/>
          <w:sz w:val="24"/>
          <w:szCs w:val="24"/>
        </w:rPr>
      </w:pPr>
      <w:r w:rsidRPr="002F3D36">
        <w:rPr>
          <w:rFonts w:ascii="宋体" w:eastAsia="宋体" w:hAnsi="宋体" w:cs="宋体"/>
          <w:kern w:val="0"/>
          <w:sz w:val="24"/>
          <w:szCs w:val="24"/>
        </w:rPr>
        <w:lastRenderedPageBreak/>
        <w:pict w14:anchorId="1B5F25BC">
          <v:rect id="_x0000_i1030" style="width:0;height:1.5pt" o:hralign="center" o:hrstd="t" o:hrnoshade="t" o:hr="t" fillcolor="black" stroked="f"/>
        </w:pict>
      </w:r>
    </w:p>
    <w:p w14:paraId="5B81B542" w14:textId="77777777" w:rsidR="002F3D36" w:rsidRPr="002F3D36" w:rsidRDefault="002F3D36" w:rsidP="002F3D36">
      <w:pPr>
        <w:widowControl/>
        <w:spacing w:line="20" w:lineRule="atLeast"/>
        <w:jc w:val="left"/>
        <w:rPr>
          <w:rFonts w:ascii="Times New Roman" w:eastAsia="宋体" w:hAnsi="Times New Roman" w:cs="Times New Roman"/>
          <w:color w:val="000000"/>
          <w:kern w:val="0"/>
          <w:sz w:val="20"/>
          <w:szCs w:val="20"/>
        </w:rPr>
      </w:pPr>
      <w:r w:rsidRPr="002F3D36">
        <w:rPr>
          <w:rFonts w:ascii="Arial" w:eastAsia="宋体" w:hAnsi="Arial" w:cs="Arial"/>
          <w:color w:val="000000"/>
          <w:kern w:val="0"/>
          <w:sz w:val="2"/>
          <w:szCs w:val="2"/>
        </w:rPr>
        <w:t> </w:t>
      </w:r>
    </w:p>
    <w:p w14:paraId="1A137B85"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Environmental and Safety Regulations</w:t>
      </w:r>
    </w:p>
    <w:p w14:paraId="78766F49" w14:textId="77777777" w:rsidR="002F3D36" w:rsidRPr="002F3D36" w:rsidRDefault="002F3D36" w:rsidP="002F3D36">
      <w:pPr>
        <w:widowControl/>
        <w:spacing w:before="120"/>
        <w:jc w:val="left"/>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For information on how environmental and safety regulations impact the Company's business, see “Risk Factors – ‘Our business may be adversely affected by laws or regulations, including environmental, occupational health and safety or other governmental regulations’, “Global climate change could negatively affect our business”, “Our aspirations, goals, and initiatives related to sustainability and emissions reduction, and our public statements and disclosures regarding them, expose the Company to numerous risks” and “Our business may be adversely affected by changes in automotive safety regulations or concerns that drive further regulation of the automobile safety market”” in Item 1A and “Risks and Risk Management” in Item 7 of this Annual Report.</w:t>
      </w:r>
    </w:p>
    <w:p w14:paraId="729838C8"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Climate change</w:t>
      </w:r>
    </w:p>
    <w:p w14:paraId="54C734D6"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The Company is committed to operating its business in an environmentally sustainable manner, meaning developing and producing products in a resource efficient way while limiting the Company's environmental impact in the most material areas of greenhouse gas emissions, energy use, waste and water. With particular emphasis on climate action, the Company actively engages with its customers, suppliers and others to drive sustainable mobility.</w:t>
      </w:r>
    </w:p>
    <w:p w14:paraId="7942CA09" w14:textId="77777777" w:rsidR="002F3D36" w:rsidRPr="002F3D36" w:rsidRDefault="002F3D36" w:rsidP="002F3D36">
      <w:pPr>
        <w:widowControl/>
        <w:spacing w:before="120"/>
        <w:jc w:val="left"/>
        <w:rPr>
          <w:rFonts w:ascii="Times New Roman" w:eastAsia="宋体" w:hAnsi="Times New Roman" w:cs="Times New Roman"/>
          <w:color w:val="000000"/>
          <w:kern w:val="0"/>
          <w:sz w:val="20"/>
          <w:szCs w:val="20"/>
        </w:rPr>
      </w:pPr>
      <w:r w:rsidRPr="002F3D36">
        <w:rPr>
          <w:rFonts w:ascii="Arial" w:eastAsia="宋体" w:hAnsi="Arial" w:cs="Arial"/>
          <w:color w:val="1A1A1A"/>
          <w:kern w:val="0"/>
          <w:sz w:val="18"/>
          <w:szCs w:val="18"/>
        </w:rPr>
        <w:t>In June 2021, the Company launched an updated climate strategy including new long-term climate ambitions:</w:t>
      </w:r>
    </w:p>
    <w:p w14:paraId="124DA260" w14:textId="77777777" w:rsidR="002F3D36" w:rsidRPr="002F3D36" w:rsidRDefault="002F3D36" w:rsidP="002F3D36">
      <w:pPr>
        <w:widowControl/>
        <w:jc w:val="left"/>
        <w:rPr>
          <w:rFonts w:ascii="微软雅黑" w:eastAsia="微软雅黑" w:hAnsi="微软雅黑" w:cs="宋体"/>
          <w:color w:val="000000"/>
          <w:kern w:val="0"/>
          <w:sz w:val="27"/>
          <w:szCs w:val="27"/>
        </w:rPr>
      </w:pPr>
      <w:r w:rsidRPr="002F3D36">
        <w:rPr>
          <w:rFonts w:ascii="Times New Roman" w:eastAsia="微软雅黑" w:hAnsi="Times New Roman" w:cs="Times New Roman"/>
          <w:color w:val="1A1A1A"/>
          <w:kern w:val="0"/>
          <w:sz w:val="18"/>
          <w:szCs w:val="18"/>
        </w:rPr>
        <w:t>•</w:t>
      </w:r>
    </w:p>
    <w:p w14:paraId="475AEDF4" w14:textId="77777777" w:rsidR="002F3D36" w:rsidRPr="002F3D36" w:rsidRDefault="002F3D36" w:rsidP="002F3D36">
      <w:pPr>
        <w:widowControl/>
        <w:jc w:val="left"/>
        <w:rPr>
          <w:rFonts w:ascii="微软雅黑" w:eastAsia="微软雅黑" w:hAnsi="微软雅黑" w:cs="宋体" w:hint="eastAsia"/>
          <w:color w:val="000000"/>
          <w:kern w:val="0"/>
          <w:sz w:val="27"/>
          <w:szCs w:val="27"/>
        </w:rPr>
      </w:pPr>
      <w:r w:rsidRPr="002F3D36">
        <w:rPr>
          <w:rFonts w:ascii="Arial" w:eastAsia="微软雅黑" w:hAnsi="Arial" w:cs="Arial"/>
          <w:color w:val="1A1A1A"/>
          <w:kern w:val="0"/>
          <w:sz w:val="18"/>
          <w:szCs w:val="18"/>
        </w:rPr>
        <w:t>Carbon neutrality in own operations by 2030</w:t>
      </w:r>
    </w:p>
    <w:p w14:paraId="06678282" w14:textId="77777777" w:rsidR="002F3D36" w:rsidRPr="002F3D36" w:rsidRDefault="002F3D36" w:rsidP="002F3D36">
      <w:pPr>
        <w:widowControl/>
        <w:jc w:val="left"/>
        <w:rPr>
          <w:rFonts w:ascii="微软雅黑" w:eastAsia="微软雅黑" w:hAnsi="微软雅黑" w:cs="宋体" w:hint="eastAsia"/>
          <w:color w:val="000000"/>
          <w:kern w:val="0"/>
          <w:sz w:val="27"/>
          <w:szCs w:val="27"/>
        </w:rPr>
      </w:pPr>
      <w:r w:rsidRPr="002F3D36">
        <w:rPr>
          <w:rFonts w:ascii="Times New Roman" w:eastAsia="微软雅黑" w:hAnsi="Times New Roman" w:cs="Times New Roman"/>
          <w:color w:val="1A1A1A"/>
          <w:kern w:val="0"/>
          <w:sz w:val="18"/>
          <w:szCs w:val="18"/>
        </w:rPr>
        <w:t>•</w:t>
      </w:r>
    </w:p>
    <w:p w14:paraId="4C067909" w14:textId="77777777" w:rsidR="002F3D36" w:rsidRPr="002F3D36" w:rsidRDefault="002F3D36" w:rsidP="002F3D36">
      <w:pPr>
        <w:widowControl/>
        <w:jc w:val="left"/>
        <w:rPr>
          <w:rFonts w:ascii="微软雅黑" w:eastAsia="微软雅黑" w:hAnsi="微软雅黑" w:cs="宋体" w:hint="eastAsia"/>
          <w:color w:val="000000"/>
          <w:kern w:val="0"/>
          <w:sz w:val="27"/>
          <w:szCs w:val="27"/>
        </w:rPr>
      </w:pPr>
      <w:r w:rsidRPr="002F3D36">
        <w:rPr>
          <w:rFonts w:ascii="Arial" w:eastAsia="微软雅黑" w:hAnsi="Arial" w:cs="Arial"/>
          <w:color w:val="1A1A1A"/>
          <w:kern w:val="0"/>
          <w:sz w:val="18"/>
          <w:szCs w:val="18"/>
        </w:rPr>
        <w:t>Net-zero across our supply chain by 2040</w:t>
      </w:r>
    </w:p>
    <w:p w14:paraId="2F5E36DF" w14:textId="77777777" w:rsidR="002F3D36" w:rsidRPr="002F3D36" w:rsidRDefault="002F3D36" w:rsidP="002F3D36">
      <w:pPr>
        <w:widowControl/>
        <w:spacing w:before="120"/>
        <w:jc w:val="left"/>
        <w:rPr>
          <w:rFonts w:ascii="Times New Roman" w:eastAsia="宋体" w:hAnsi="Times New Roman" w:cs="Times New Roman" w:hint="eastAsia"/>
          <w:color w:val="000000"/>
          <w:kern w:val="0"/>
          <w:sz w:val="20"/>
          <w:szCs w:val="20"/>
        </w:rPr>
      </w:pPr>
      <w:r w:rsidRPr="002F3D36">
        <w:rPr>
          <w:rFonts w:ascii="Arial" w:eastAsia="宋体" w:hAnsi="Arial" w:cs="Arial"/>
          <w:color w:val="1A1A1A"/>
          <w:kern w:val="0"/>
          <w:sz w:val="18"/>
          <w:szCs w:val="18"/>
        </w:rPr>
        <w:t>These industry-leading climate ambitions are aligned with a 1.5°C trajectory and represent a serious step-up in ambition level from earlier short-term climate targets. They should position the Company as the supplier of choice for the most progressive customers, helping to ensure the Company's competitiveness now and in the future. In addition to these ambitions, the Company adopted Science Based Targets (SBT) for 2030 covering its own operations as well as the supply chain. The targets were approved in January 2022 and are available at the SBTi website.</w:t>
      </w:r>
    </w:p>
    <w:p w14:paraId="4C6BD25E"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For more information about how climate change impacts the Company's business, see "Operational Risks - Climate impact" in Item 7 and "Risk factors – Our business may be adversely affected by climate change-related risks” in Item 1A of this Annual Report.</w:t>
      </w:r>
    </w:p>
    <w:p w14:paraId="5F723351"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Raw Materials</w:t>
      </w:r>
    </w:p>
    <w:p w14:paraId="3B279C18" w14:textId="77777777" w:rsidR="002F3D36" w:rsidRPr="002F3D36" w:rsidRDefault="002F3D36" w:rsidP="002F3D36">
      <w:pPr>
        <w:widowControl/>
        <w:spacing w:before="16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xml:space="preserve">Direct material purchased from external suppliers represents approximately 50% of the Company's net sales in 2021. The Company mainly purchases manufactured components and raw materials for its operations. The Company takes several actions to mitigate cost increases for raw material, such as competitive sourcing and looking for alternative materials. </w:t>
      </w:r>
    </w:p>
    <w:p w14:paraId="799C0D3F"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lastRenderedPageBreak/>
        <w:t>For information on the sources and availability of raw materials, see "Operational Risks - Component costs" in Item 7 and “Risk Factors – ‘Changes in the source, cost, availability of and regulations pertaining to raw materials and components may adversely affect our profit margins’” in Item 1A of this Annual Report.</w:t>
      </w:r>
    </w:p>
    <w:p w14:paraId="72B5237E"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Intellectual Property</w:t>
      </w:r>
    </w:p>
    <w:p w14:paraId="2A1F917C"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The Company has developed a considerable amount of proprietary technology related to automotive safety systems and relies on many patents to protect such technology. The Company's intellectual property plays an important role in maintaining its competitive position in a number of the markets the Company serves. For information on the Company's use of intellectual property and its importance to the Company, see “Risk Factors – ‘If our patents are declared invalid or our technology infringes on the proprietary rights of others, our ability to compete may be impaired’” in Item 1A of this Annual Report.</w:t>
      </w:r>
    </w:p>
    <w:p w14:paraId="181D0D81"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Backlog</w:t>
      </w:r>
    </w:p>
    <w:p w14:paraId="2D9BBDF8"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The Company has frame contracts with automobile manufacturers and such contracts are typically entered into up to three years before the start of production of the relevant car model or platform and provide for a term covering the life of such car model or platform including service parts after a vehicle model is no longer produced. However, typically these contracts do not provide minimum quantities, firm prices or exclusivity but instead permit the automobile manufacturer to resource the relevant products at given intervals (or at any time) from other suppliers.</w:t>
      </w:r>
    </w:p>
    <w:p w14:paraId="4AD39E19"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Dependence on Customers</w:t>
      </w:r>
    </w:p>
    <w:p w14:paraId="3364F81B"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In 2021, the Company's top five customers represented around 51% of its annual sales and the Company's top ten customers represented around 80% of its annual sales. This reflects the concentration of manufacturers in the automotive industry. The five largest OEMs in 2021 accounted for around 50% of global LVP, and the ten largest OEMs accounted for around 73% of global LVP. A delivery contract is typically for the lifetime of a vehicle model, which is normally between five and seven years depending on customer platform sourcing preferences and strategies.</w:t>
      </w:r>
    </w:p>
    <w:p w14:paraId="438EE12D"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For information on the Company's dependence on customers, see “Risk Factors – ‘Our business could be materially and adversely affected if we lost any of our largest customers or if they were unable to pay their invoices’” in Item 1A of this Annual Report, and “Dependence on Customers” under the section “Strategic Risks” in Item 7 of this Annual Report, and Note 20 to the Consolidated Financial Statements.</w:t>
      </w:r>
    </w:p>
    <w:p w14:paraId="5B614C1E" w14:textId="77777777" w:rsidR="002F3D36" w:rsidRPr="002F3D36" w:rsidRDefault="002F3D36" w:rsidP="002F3D36">
      <w:pPr>
        <w:widowControl/>
        <w:spacing w:before="240"/>
        <w:jc w:val="center"/>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6</w:t>
      </w:r>
    </w:p>
    <w:p w14:paraId="3EB213C2" w14:textId="77777777" w:rsidR="002F3D36" w:rsidRPr="002F3D36" w:rsidRDefault="002F3D36" w:rsidP="002F3D36">
      <w:pPr>
        <w:widowControl/>
        <w:jc w:val="left"/>
        <w:rPr>
          <w:rFonts w:ascii="宋体" w:eastAsia="宋体" w:hAnsi="宋体" w:cs="宋体"/>
          <w:kern w:val="0"/>
          <w:sz w:val="24"/>
          <w:szCs w:val="24"/>
        </w:rPr>
      </w:pPr>
      <w:r w:rsidRPr="002F3D36">
        <w:rPr>
          <w:rFonts w:ascii="宋体" w:eastAsia="宋体" w:hAnsi="宋体" w:cs="宋体"/>
          <w:kern w:val="0"/>
          <w:sz w:val="24"/>
          <w:szCs w:val="24"/>
        </w:rPr>
        <w:pict w14:anchorId="2C374C34">
          <v:rect id="_x0000_i1031" style="width:0;height:1.5pt" o:hralign="center" o:hrstd="t" o:hrnoshade="t" o:hr="t" fillcolor="black" stroked="f"/>
        </w:pict>
      </w:r>
    </w:p>
    <w:p w14:paraId="50ACD2CA" w14:textId="77777777" w:rsidR="002F3D36" w:rsidRPr="002F3D36" w:rsidRDefault="002F3D36" w:rsidP="002F3D36">
      <w:pPr>
        <w:widowControl/>
        <w:spacing w:line="20" w:lineRule="atLeast"/>
        <w:jc w:val="left"/>
        <w:rPr>
          <w:rFonts w:ascii="Times New Roman" w:eastAsia="宋体" w:hAnsi="Times New Roman" w:cs="Times New Roman"/>
          <w:color w:val="000000"/>
          <w:kern w:val="0"/>
          <w:sz w:val="20"/>
          <w:szCs w:val="20"/>
        </w:rPr>
      </w:pPr>
      <w:r w:rsidRPr="002F3D36">
        <w:rPr>
          <w:rFonts w:ascii="Arial" w:eastAsia="宋体" w:hAnsi="Arial" w:cs="Arial"/>
          <w:color w:val="000000"/>
          <w:kern w:val="0"/>
          <w:sz w:val="2"/>
          <w:szCs w:val="2"/>
        </w:rPr>
        <w:t> </w:t>
      </w:r>
    </w:p>
    <w:p w14:paraId="111F7D02"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Customer sales trends</w:t>
      </w:r>
    </w:p>
    <w:p w14:paraId="000B5F3E"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xml:space="preserve">Asian vehicle producers have steadily become more important to Autoliv and now represent around 45% of the Company's global sales compared to 44% five years ago. The largest increase comes from Japanese OEMs that represented 28% of the Company's global sales five years ago but now account for 32% of the Company's global sales in 2021. This is a result of the Company's stronger market position based on its local presence in Japan. European based brands accounted for 31% of the Company's global </w:t>
      </w:r>
      <w:r w:rsidRPr="002F3D36">
        <w:rPr>
          <w:rFonts w:ascii="Arial" w:eastAsia="宋体" w:hAnsi="Arial" w:cs="Arial"/>
          <w:color w:val="000000"/>
          <w:kern w:val="0"/>
          <w:sz w:val="18"/>
          <w:szCs w:val="18"/>
        </w:rPr>
        <w:lastRenderedPageBreak/>
        <w:t>sales in 2021. The U.S. based OEMs (including Tesla and Chrysler) accounted for 22% of the Company's global sales in 2021. The local Chinese OEMs as a group accounted for around 4% of the Company's global sales in 2021, with Great Wall representing 2%. One of the strongest growing customers from 2020 to 2021 was Toyota.</w:t>
      </w:r>
    </w:p>
    <w:p w14:paraId="4F5172C3"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Research, Development and Engineering, net (R,D&amp;E)</w:t>
      </w:r>
    </w:p>
    <w:p w14:paraId="02AC8740"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No single customer project accounted for more than 5% of Autoliv’s total R,D&amp;E, net spending during 2021. To fuel Autoliv’s product portfolio, additional expertise is brought in-house via technology partnerships and licensing agreements.</w:t>
      </w:r>
    </w:p>
    <w:p w14:paraId="2FCD4C49"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During 2021, gross expenditures for R,D&amp;E amounted to $594 million compared to $557 million in 2020. Of these amounts, $203 million in 2021 and $181 million in 2020 were related to customer-funded engineering projects and crash tests reimbursed by the customers. Net of this income, R,D&amp;E expenditures increased in 2021 compared to 2020 by approximately 4% to $391 million. Of the R,D&amp;E, net expense in 2021, 80% was for projects and programs where the Company has customer orders, typically related to vehicle models in development. The remaining 20% was not only for completely new innovations but also for improvements of existing products, standardization and cost reduction projects that will yield greater benefits over time.</w:t>
      </w:r>
    </w:p>
    <w:p w14:paraId="71F46289"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Regulatory Costs</w:t>
      </w:r>
    </w:p>
    <w:p w14:paraId="477526B1"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The fitting of seatbelts in most types of motor vehicles is mandatory in almost all countries and many countries have strict laws regarding the use of seatbelts while in vehicles. In addition, most developed countries require that seats in intercity buses and commercial vehicles be fitted with seatbelts. In the U.S., federal legislation requires frontal airbags on the driver-side and the passenger-side of all new passenger cars since 1998 and in all sport utility vehicles, pickup trucks, and vans since 1999.</w:t>
      </w:r>
    </w:p>
    <w:p w14:paraId="745A3721"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For information concerning the material effects on the Company's business relating to its compliance with government safety regulations, see “Risk Factors – ‘Our business may be adversely affected by laws or regulations, including environmental, occupational health and safety or other governmental regulations’ and ‘Our business may be adversely affected by changes in automotive safety regulations or concerns that drive further regulation of the automobile safety market’” in Item 1A of this Annual Report and in Item 7 under the section “Risks and Risk Management” of this Annual Report.</w:t>
      </w:r>
    </w:p>
    <w:p w14:paraId="4401DD3B" w14:textId="77777777" w:rsidR="002F3D36" w:rsidRPr="002F3D36" w:rsidRDefault="002F3D36" w:rsidP="002F3D36">
      <w:pPr>
        <w:widowControl/>
        <w:spacing w:before="240"/>
        <w:jc w:val="center"/>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7</w:t>
      </w:r>
    </w:p>
    <w:p w14:paraId="1690FE2C" w14:textId="77777777" w:rsidR="002F3D36" w:rsidRPr="002F3D36" w:rsidRDefault="002F3D36" w:rsidP="002F3D36">
      <w:pPr>
        <w:widowControl/>
        <w:jc w:val="left"/>
        <w:rPr>
          <w:rFonts w:ascii="宋体" w:eastAsia="宋体" w:hAnsi="宋体" w:cs="宋体"/>
          <w:kern w:val="0"/>
          <w:sz w:val="24"/>
          <w:szCs w:val="24"/>
        </w:rPr>
      </w:pPr>
      <w:r w:rsidRPr="002F3D36">
        <w:rPr>
          <w:rFonts w:ascii="宋体" w:eastAsia="宋体" w:hAnsi="宋体" w:cs="宋体"/>
          <w:kern w:val="0"/>
          <w:sz w:val="24"/>
          <w:szCs w:val="24"/>
        </w:rPr>
        <w:pict w14:anchorId="6073357D">
          <v:rect id="_x0000_i1032" style="width:0;height:1.5pt" o:hralign="center" o:hrstd="t" o:hrnoshade="t" o:hr="t" fillcolor="black" stroked="f"/>
        </w:pict>
      </w:r>
    </w:p>
    <w:p w14:paraId="53739A60" w14:textId="77777777" w:rsidR="002F3D36" w:rsidRPr="002F3D36" w:rsidRDefault="002F3D36" w:rsidP="002F3D36">
      <w:pPr>
        <w:widowControl/>
        <w:spacing w:line="20" w:lineRule="atLeast"/>
        <w:jc w:val="left"/>
        <w:rPr>
          <w:rFonts w:ascii="Times New Roman" w:eastAsia="宋体" w:hAnsi="Times New Roman" w:cs="Times New Roman"/>
          <w:color w:val="000000"/>
          <w:kern w:val="0"/>
          <w:sz w:val="20"/>
          <w:szCs w:val="20"/>
        </w:rPr>
      </w:pPr>
      <w:r w:rsidRPr="002F3D36">
        <w:rPr>
          <w:rFonts w:ascii="Arial" w:eastAsia="宋体" w:hAnsi="Arial" w:cs="Arial"/>
          <w:color w:val="000000"/>
          <w:kern w:val="0"/>
          <w:sz w:val="2"/>
          <w:szCs w:val="2"/>
        </w:rPr>
        <w:t> </w:t>
      </w:r>
    </w:p>
    <w:p w14:paraId="14F63E27"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Human Capital Management</w:t>
      </w:r>
    </w:p>
    <w:p w14:paraId="45BB1983"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The Company's drive for excellence is what makes Autoliv the world’s leading supplier of automotive safety systems. From the earliest stages of product development to sales and design to the final delivery of the finished product, Autoliv's employees are driven by the Company's mission to save more lives.</w:t>
      </w:r>
    </w:p>
    <w:p w14:paraId="35CE8B09"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xml:space="preserve">The successful execution of the Company's strategies relies on its ability to shape a quality and performance-oriented culture, and to adapt quickly to sudden shifts in its circumstances, as illustrated by the ongoing COVID-19 pandemic. A turbulent external environment presents many challenges but also </w:t>
      </w:r>
      <w:r w:rsidRPr="002F3D36">
        <w:rPr>
          <w:rFonts w:ascii="Arial" w:eastAsia="宋体" w:hAnsi="Arial" w:cs="Arial"/>
          <w:color w:val="000000"/>
          <w:kern w:val="0"/>
          <w:sz w:val="18"/>
          <w:szCs w:val="18"/>
        </w:rPr>
        <w:lastRenderedPageBreak/>
        <w:t xml:space="preserve">opportunities. As the Company moves forward its workforce strives to respond with agility to new possibilities to grow and improve the Company's business whilst delivering with excellence to its customers. The Company builds a winning team by focusing on creating a work environment that attracts, retains, and engages its employees. The Company's employees take great pride in working together to provide safety solutions for mobility and society that work in real life situations, and the Company is always looking for new team members who share this passion. For additional information, see the Company's corporate website. </w:t>
      </w:r>
    </w:p>
    <w:p w14:paraId="4FB8A6F2"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The table below shows the Company's total workforce as of December 31, 2021 and 2020.</w:t>
      </w:r>
    </w:p>
    <w:p w14:paraId="79E9611C"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4"/>
          <w:szCs w:val="4"/>
        </w:rPr>
        <w:t> </w:t>
      </w:r>
    </w:p>
    <w:tbl>
      <w:tblPr>
        <w:tblW w:w="20614" w:type="dxa"/>
        <w:tblCellSpacing w:w="15" w:type="dxa"/>
        <w:tblCellMar>
          <w:top w:w="15" w:type="dxa"/>
          <w:left w:w="15" w:type="dxa"/>
          <w:bottom w:w="15" w:type="dxa"/>
          <w:right w:w="15" w:type="dxa"/>
        </w:tblCellMar>
        <w:tblLook w:val="04A0" w:firstRow="1" w:lastRow="0" w:firstColumn="1" w:lastColumn="0" w:noHBand="0" w:noVBand="1"/>
      </w:tblPr>
      <w:tblGrid>
        <w:gridCol w:w="8812"/>
        <w:gridCol w:w="466"/>
        <w:gridCol w:w="152"/>
        <w:gridCol w:w="4855"/>
        <w:gridCol w:w="420"/>
        <w:gridCol w:w="466"/>
        <w:gridCol w:w="152"/>
        <w:gridCol w:w="4855"/>
        <w:gridCol w:w="436"/>
      </w:tblGrid>
      <w:tr w:rsidR="002F3D36" w:rsidRPr="002F3D36" w14:paraId="21C55120" w14:textId="77777777" w:rsidTr="002F3D36">
        <w:trPr>
          <w:tblCellSpacing w:w="15" w:type="dxa"/>
        </w:trPr>
        <w:tc>
          <w:tcPr>
            <w:tcW w:w="8781" w:type="dxa"/>
            <w:vAlign w:val="center"/>
            <w:hideMark/>
          </w:tcPr>
          <w:p w14:paraId="093F6F27" w14:textId="77777777" w:rsidR="002F3D36" w:rsidRPr="002F3D36" w:rsidRDefault="002F3D36" w:rsidP="002F3D36">
            <w:pPr>
              <w:widowControl/>
              <w:jc w:val="left"/>
              <w:rPr>
                <w:rFonts w:ascii="Times New Roman" w:eastAsia="宋体" w:hAnsi="Times New Roman" w:cs="Times New Roman"/>
                <w:color w:val="000000"/>
                <w:kern w:val="0"/>
                <w:sz w:val="20"/>
                <w:szCs w:val="20"/>
              </w:rPr>
            </w:pPr>
          </w:p>
        </w:tc>
        <w:tc>
          <w:tcPr>
            <w:tcW w:w="437" w:type="dxa"/>
            <w:vAlign w:val="center"/>
            <w:hideMark/>
          </w:tcPr>
          <w:p w14:paraId="6197E7EF"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22" w:type="dxa"/>
            <w:vAlign w:val="center"/>
            <w:hideMark/>
          </w:tcPr>
          <w:p w14:paraId="1BA9A194"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4832" w:type="dxa"/>
            <w:vAlign w:val="center"/>
            <w:hideMark/>
          </w:tcPr>
          <w:p w14:paraId="55A877DE"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390" w:type="dxa"/>
            <w:vAlign w:val="center"/>
            <w:hideMark/>
          </w:tcPr>
          <w:p w14:paraId="3B0B55F7"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437" w:type="dxa"/>
            <w:vAlign w:val="center"/>
            <w:hideMark/>
          </w:tcPr>
          <w:p w14:paraId="3CEDC829"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22" w:type="dxa"/>
            <w:vAlign w:val="center"/>
            <w:hideMark/>
          </w:tcPr>
          <w:p w14:paraId="0924A829"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4832" w:type="dxa"/>
            <w:vAlign w:val="center"/>
            <w:hideMark/>
          </w:tcPr>
          <w:p w14:paraId="5E53E983"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391" w:type="dxa"/>
            <w:vAlign w:val="center"/>
            <w:hideMark/>
          </w:tcPr>
          <w:p w14:paraId="54321E68" w14:textId="77777777" w:rsidR="002F3D36" w:rsidRPr="002F3D36" w:rsidRDefault="002F3D36" w:rsidP="002F3D36">
            <w:pPr>
              <w:widowControl/>
              <w:jc w:val="left"/>
              <w:rPr>
                <w:rFonts w:ascii="Times New Roman" w:eastAsia="Times New Roman" w:hAnsi="Times New Roman" w:cs="Times New Roman"/>
                <w:kern w:val="0"/>
                <w:sz w:val="20"/>
                <w:szCs w:val="20"/>
              </w:rPr>
            </w:pPr>
          </w:p>
        </w:tc>
      </w:tr>
      <w:tr w:rsidR="002F3D36" w:rsidRPr="002F3D36" w14:paraId="5771BD55" w14:textId="77777777" w:rsidTr="002F3D36">
        <w:trPr>
          <w:trHeight w:val="160"/>
          <w:tblCellSpacing w:w="15" w:type="dxa"/>
        </w:trPr>
        <w:tc>
          <w:tcPr>
            <w:tcW w:w="0" w:type="auto"/>
            <w:shd w:val="clear" w:color="auto" w:fill="FFFFFF"/>
            <w:vAlign w:val="bottom"/>
            <w:hideMark/>
          </w:tcPr>
          <w:p w14:paraId="29C60E32"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Times New Roman" w:eastAsia="微软雅黑" w:hAnsi="Times New Roman" w:cs="Times New Roman"/>
                <w:kern w:val="0"/>
                <w:sz w:val="16"/>
                <w:szCs w:val="16"/>
              </w:rPr>
              <w:t> </w:t>
            </w:r>
          </w:p>
        </w:tc>
        <w:tc>
          <w:tcPr>
            <w:tcW w:w="0" w:type="auto"/>
            <w:shd w:val="clear" w:color="auto" w:fill="FFFFFF"/>
            <w:vAlign w:val="bottom"/>
            <w:hideMark/>
          </w:tcPr>
          <w:p w14:paraId="2E1B5846" w14:textId="77777777" w:rsidR="002F3D36" w:rsidRPr="002F3D36" w:rsidRDefault="002F3D36" w:rsidP="002F3D36">
            <w:pPr>
              <w:widowControl/>
              <w:jc w:val="right"/>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gridSpan w:val="2"/>
            <w:tcBorders>
              <w:bottom w:val="single" w:sz="4" w:space="0" w:color="000000"/>
            </w:tcBorders>
            <w:shd w:val="clear" w:color="auto" w:fill="FFFFFF"/>
            <w:vAlign w:val="bottom"/>
            <w:hideMark/>
          </w:tcPr>
          <w:p w14:paraId="6A16538A"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b/>
                <w:bCs/>
                <w:color w:val="000000"/>
                <w:kern w:val="0"/>
                <w:sz w:val="16"/>
                <w:szCs w:val="16"/>
              </w:rPr>
              <w:t>2021</w:t>
            </w:r>
          </w:p>
        </w:tc>
        <w:tc>
          <w:tcPr>
            <w:tcW w:w="0" w:type="auto"/>
            <w:shd w:val="clear" w:color="auto" w:fill="FFFFFF"/>
            <w:vAlign w:val="bottom"/>
            <w:hideMark/>
          </w:tcPr>
          <w:p w14:paraId="758FB45D"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shd w:val="clear" w:color="auto" w:fill="FFFFFF"/>
            <w:vAlign w:val="bottom"/>
            <w:hideMark/>
          </w:tcPr>
          <w:p w14:paraId="25074ED2"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gridSpan w:val="2"/>
            <w:tcBorders>
              <w:bottom w:val="single" w:sz="4" w:space="0" w:color="000000"/>
            </w:tcBorders>
            <w:shd w:val="clear" w:color="auto" w:fill="FFFFFF"/>
            <w:vAlign w:val="bottom"/>
            <w:hideMark/>
          </w:tcPr>
          <w:p w14:paraId="24678BA8"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b/>
                <w:bCs/>
                <w:color w:val="000000"/>
                <w:kern w:val="0"/>
                <w:sz w:val="16"/>
                <w:szCs w:val="16"/>
              </w:rPr>
              <w:t>2020</w:t>
            </w:r>
          </w:p>
        </w:tc>
        <w:tc>
          <w:tcPr>
            <w:tcW w:w="0" w:type="auto"/>
            <w:shd w:val="clear" w:color="auto" w:fill="FFFFFF"/>
            <w:vAlign w:val="bottom"/>
            <w:hideMark/>
          </w:tcPr>
          <w:p w14:paraId="33657CCE"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r>
      <w:tr w:rsidR="002F3D36" w:rsidRPr="002F3D36" w14:paraId="280FFA10" w14:textId="77777777" w:rsidTr="002F3D36">
        <w:trPr>
          <w:trHeight w:val="180"/>
          <w:tblCellSpacing w:w="15" w:type="dxa"/>
        </w:trPr>
        <w:tc>
          <w:tcPr>
            <w:tcW w:w="0" w:type="auto"/>
            <w:shd w:val="clear" w:color="auto" w:fill="CFF0FC"/>
            <w:vAlign w:val="bottom"/>
            <w:hideMark/>
          </w:tcPr>
          <w:p w14:paraId="41793F3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Total workforce</w:t>
            </w:r>
          </w:p>
        </w:tc>
        <w:tc>
          <w:tcPr>
            <w:tcW w:w="0" w:type="auto"/>
            <w:shd w:val="clear" w:color="auto" w:fill="CFF0FC"/>
            <w:vAlign w:val="bottom"/>
            <w:hideMark/>
          </w:tcPr>
          <w:p w14:paraId="637A286B"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606D871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64E508C6"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60,600</w:t>
            </w:r>
          </w:p>
        </w:tc>
        <w:tc>
          <w:tcPr>
            <w:tcW w:w="0" w:type="auto"/>
            <w:shd w:val="clear" w:color="auto" w:fill="CFF0FC"/>
            <w:vAlign w:val="bottom"/>
            <w:hideMark/>
          </w:tcPr>
          <w:p w14:paraId="418E785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11AB3E02"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7176802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6A1E7509"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68,200</w:t>
            </w:r>
          </w:p>
        </w:tc>
        <w:tc>
          <w:tcPr>
            <w:tcW w:w="0" w:type="auto"/>
            <w:shd w:val="clear" w:color="auto" w:fill="CFF0FC"/>
            <w:vAlign w:val="bottom"/>
            <w:hideMark/>
          </w:tcPr>
          <w:p w14:paraId="2D7CCEA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19B87E04" w14:textId="77777777" w:rsidTr="002F3D36">
        <w:trPr>
          <w:trHeight w:val="180"/>
          <w:tblCellSpacing w:w="15" w:type="dxa"/>
        </w:trPr>
        <w:tc>
          <w:tcPr>
            <w:tcW w:w="0" w:type="auto"/>
            <w:shd w:val="clear" w:color="auto" w:fill="FFFFFF"/>
            <w:vAlign w:val="bottom"/>
            <w:hideMark/>
          </w:tcPr>
          <w:p w14:paraId="07F9102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Whereof:</w:t>
            </w:r>
          </w:p>
        </w:tc>
        <w:tc>
          <w:tcPr>
            <w:tcW w:w="0" w:type="auto"/>
            <w:shd w:val="clear" w:color="auto" w:fill="FFFFFF"/>
            <w:vAlign w:val="bottom"/>
            <w:hideMark/>
          </w:tcPr>
          <w:p w14:paraId="78ED87EC"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gridSpan w:val="2"/>
            <w:vAlign w:val="bottom"/>
            <w:hideMark/>
          </w:tcPr>
          <w:p w14:paraId="4B846E2E"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3283C7E2"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0497F588"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gridSpan w:val="2"/>
            <w:vAlign w:val="bottom"/>
            <w:hideMark/>
          </w:tcPr>
          <w:p w14:paraId="54B3205F"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76EDBEAA"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077B0B0E" w14:textId="77777777" w:rsidTr="002F3D36">
        <w:trPr>
          <w:trHeight w:val="180"/>
          <w:tblCellSpacing w:w="15" w:type="dxa"/>
        </w:trPr>
        <w:tc>
          <w:tcPr>
            <w:tcW w:w="0" w:type="auto"/>
            <w:shd w:val="clear" w:color="auto" w:fill="CFF0FC"/>
            <w:vAlign w:val="bottom"/>
            <w:hideMark/>
          </w:tcPr>
          <w:p w14:paraId="55C7157A" w14:textId="77777777" w:rsidR="002F3D36" w:rsidRPr="002F3D36" w:rsidRDefault="002F3D36" w:rsidP="002F3D36">
            <w:pPr>
              <w:widowControl/>
              <w:ind w:left="200"/>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Direct workforce in manufacturing</w:t>
            </w:r>
          </w:p>
        </w:tc>
        <w:tc>
          <w:tcPr>
            <w:tcW w:w="0" w:type="auto"/>
            <w:shd w:val="clear" w:color="auto" w:fill="CFF0FC"/>
            <w:vAlign w:val="bottom"/>
            <w:hideMark/>
          </w:tcPr>
          <w:p w14:paraId="518FC1BC"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1308300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3C273125"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43,000</w:t>
            </w:r>
          </w:p>
        </w:tc>
        <w:tc>
          <w:tcPr>
            <w:tcW w:w="0" w:type="auto"/>
            <w:shd w:val="clear" w:color="auto" w:fill="CFF0FC"/>
            <w:vAlign w:val="bottom"/>
            <w:hideMark/>
          </w:tcPr>
          <w:p w14:paraId="46951F8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61E82628"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220CC6B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5F312450"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50,300</w:t>
            </w:r>
          </w:p>
        </w:tc>
        <w:tc>
          <w:tcPr>
            <w:tcW w:w="0" w:type="auto"/>
            <w:shd w:val="clear" w:color="auto" w:fill="CFF0FC"/>
            <w:vAlign w:val="bottom"/>
            <w:hideMark/>
          </w:tcPr>
          <w:p w14:paraId="7B4B013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313144B1" w14:textId="77777777" w:rsidTr="002F3D36">
        <w:trPr>
          <w:trHeight w:val="180"/>
          <w:tblCellSpacing w:w="15" w:type="dxa"/>
        </w:trPr>
        <w:tc>
          <w:tcPr>
            <w:tcW w:w="0" w:type="auto"/>
            <w:shd w:val="clear" w:color="auto" w:fill="FFFFFF"/>
            <w:vAlign w:val="bottom"/>
            <w:hideMark/>
          </w:tcPr>
          <w:p w14:paraId="1663CAAA" w14:textId="77777777" w:rsidR="002F3D36" w:rsidRPr="002F3D36" w:rsidRDefault="002F3D36" w:rsidP="002F3D36">
            <w:pPr>
              <w:widowControl/>
              <w:ind w:left="200"/>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Indirect workforce</w:t>
            </w:r>
          </w:p>
        </w:tc>
        <w:tc>
          <w:tcPr>
            <w:tcW w:w="0" w:type="auto"/>
            <w:shd w:val="clear" w:color="auto" w:fill="FFFFFF"/>
            <w:vAlign w:val="bottom"/>
            <w:hideMark/>
          </w:tcPr>
          <w:p w14:paraId="0D62A68A"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1C9BBA4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1D44F2FB"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17,600</w:t>
            </w:r>
          </w:p>
        </w:tc>
        <w:tc>
          <w:tcPr>
            <w:tcW w:w="0" w:type="auto"/>
            <w:vAlign w:val="bottom"/>
            <w:hideMark/>
          </w:tcPr>
          <w:p w14:paraId="792A56D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68520670"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2DCDE79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4F3AF4E2"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17,900</w:t>
            </w:r>
          </w:p>
        </w:tc>
        <w:tc>
          <w:tcPr>
            <w:tcW w:w="0" w:type="auto"/>
            <w:vAlign w:val="bottom"/>
            <w:hideMark/>
          </w:tcPr>
          <w:p w14:paraId="23D1583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711C8E51" w14:textId="77777777" w:rsidTr="002F3D36">
        <w:trPr>
          <w:trHeight w:val="180"/>
          <w:tblCellSpacing w:w="15" w:type="dxa"/>
        </w:trPr>
        <w:tc>
          <w:tcPr>
            <w:tcW w:w="0" w:type="auto"/>
            <w:shd w:val="clear" w:color="auto" w:fill="CFF0FC"/>
            <w:vAlign w:val="bottom"/>
            <w:hideMark/>
          </w:tcPr>
          <w:p w14:paraId="4A24FB90" w14:textId="77777777" w:rsidR="002F3D36" w:rsidRPr="002F3D36" w:rsidRDefault="002F3D36" w:rsidP="002F3D36">
            <w:pPr>
              <w:widowControl/>
              <w:ind w:left="200"/>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Temporary workforce</w:t>
            </w:r>
          </w:p>
        </w:tc>
        <w:tc>
          <w:tcPr>
            <w:tcW w:w="0" w:type="auto"/>
            <w:shd w:val="clear" w:color="auto" w:fill="CFF0FC"/>
            <w:vAlign w:val="bottom"/>
            <w:hideMark/>
          </w:tcPr>
          <w:p w14:paraId="07D3A52C"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5D74450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5087FDCC"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8</w:t>
            </w:r>
          </w:p>
        </w:tc>
        <w:tc>
          <w:tcPr>
            <w:tcW w:w="0" w:type="auto"/>
            <w:shd w:val="clear" w:color="auto" w:fill="CFF0FC"/>
            <w:vAlign w:val="bottom"/>
            <w:hideMark/>
          </w:tcPr>
          <w:p w14:paraId="0C204B1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shd w:val="clear" w:color="auto" w:fill="CFF0FC"/>
            <w:vAlign w:val="bottom"/>
            <w:hideMark/>
          </w:tcPr>
          <w:p w14:paraId="4DEC5105"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7DED0D1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0A1C6196"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11</w:t>
            </w:r>
          </w:p>
        </w:tc>
        <w:tc>
          <w:tcPr>
            <w:tcW w:w="0" w:type="auto"/>
            <w:shd w:val="clear" w:color="auto" w:fill="CFF0FC"/>
            <w:vAlign w:val="bottom"/>
            <w:hideMark/>
          </w:tcPr>
          <w:p w14:paraId="7DD8616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r>
    </w:tbl>
    <w:p w14:paraId="6F8CAFBC"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w:t>
      </w:r>
    </w:p>
    <w:p w14:paraId="033EB84F" w14:textId="77777777" w:rsidR="002F3D36" w:rsidRPr="002F3D36" w:rsidRDefault="002F3D36" w:rsidP="002F3D36">
      <w:pPr>
        <w:widowControl/>
        <w:spacing w:after="20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u w:val="single"/>
        </w:rPr>
        <w:t>Diversity and Inclusion</w:t>
      </w:r>
    </w:p>
    <w:p w14:paraId="18316FAA"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xml:space="preserve">When attracting, developing and retaining talent, the Company seeks individuals who hold varied experiences and viewpoints to create an inclusive and diverse workplace that allows each employee to do their best work and drive the Company's collective success. The Company's workforce reflects the diversity of the countries and cultures in which it operates. At the end of 2021, 47% of the Company's workforce and 17% of the Company's senior management positions were filled by women. </w:t>
      </w:r>
    </w:p>
    <w:p w14:paraId="3B9592BE"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xml:space="preserve">The Company has operations in 27 different countries, with 17% of its workforce located in Asia (excluding China), 28% in the Americas, 13% in China, and 42% in Europe (including South Africa, Tunisia, Russia, and Turkey). </w:t>
      </w:r>
    </w:p>
    <w:p w14:paraId="742B6686"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The table below show the Company's workforce by age group and gender in % at the end of 2021.</w:t>
      </w:r>
    </w:p>
    <w:p w14:paraId="40092B46"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w:t>
      </w:r>
    </w:p>
    <w:tbl>
      <w:tblPr>
        <w:tblW w:w="20614" w:type="dxa"/>
        <w:tblCellSpacing w:w="15" w:type="dxa"/>
        <w:tblCellMar>
          <w:top w:w="15" w:type="dxa"/>
          <w:left w:w="15" w:type="dxa"/>
          <w:bottom w:w="15" w:type="dxa"/>
          <w:right w:w="15" w:type="dxa"/>
        </w:tblCellMar>
        <w:tblLook w:val="04A0" w:firstRow="1" w:lastRow="0" w:firstColumn="1" w:lastColumn="0" w:noHBand="0" w:noVBand="1"/>
      </w:tblPr>
      <w:tblGrid>
        <w:gridCol w:w="6391"/>
        <w:gridCol w:w="6804"/>
        <w:gridCol w:w="7419"/>
      </w:tblGrid>
      <w:tr w:rsidR="002F3D36" w:rsidRPr="002F3D36" w14:paraId="7BBD40BC" w14:textId="77777777" w:rsidTr="002F3D36">
        <w:trPr>
          <w:tblCellSpacing w:w="15" w:type="dxa"/>
        </w:trPr>
        <w:tc>
          <w:tcPr>
            <w:tcW w:w="6355" w:type="dxa"/>
            <w:vAlign w:val="center"/>
            <w:hideMark/>
          </w:tcPr>
          <w:p w14:paraId="3ACDFB5D" w14:textId="77777777" w:rsidR="002F3D36" w:rsidRPr="002F3D36" w:rsidRDefault="002F3D36" w:rsidP="002F3D36">
            <w:pPr>
              <w:widowControl/>
              <w:jc w:val="left"/>
              <w:rPr>
                <w:rFonts w:ascii="Times New Roman" w:eastAsia="宋体" w:hAnsi="Times New Roman" w:cs="Times New Roman"/>
                <w:color w:val="000000"/>
                <w:kern w:val="0"/>
                <w:sz w:val="20"/>
                <w:szCs w:val="20"/>
              </w:rPr>
            </w:pPr>
          </w:p>
        </w:tc>
        <w:tc>
          <w:tcPr>
            <w:tcW w:w="6784" w:type="dxa"/>
            <w:vAlign w:val="center"/>
            <w:hideMark/>
          </w:tcPr>
          <w:p w14:paraId="0B30FDF3"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7385" w:type="dxa"/>
            <w:vAlign w:val="center"/>
            <w:hideMark/>
          </w:tcPr>
          <w:p w14:paraId="718AFA9D" w14:textId="77777777" w:rsidR="002F3D36" w:rsidRPr="002F3D36" w:rsidRDefault="002F3D36" w:rsidP="002F3D36">
            <w:pPr>
              <w:widowControl/>
              <w:jc w:val="left"/>
              <w:rPr>
                <w:rFonts w:ascii="Times New Roman" w:eastAsia="Times New Roman" w:hAnsi="Times New Roman" w:cs="Times New Roman"/>
                <w:kern w:val="0"/>
                <w:sz w:val="20"/>
                <w:szCs w:val="20"/>
              </w:rPr>
            </w:pPr>
          </w:p>
        </w:tc>
      </w:tr>
      <w:tr w:rsidR="002F3D36" w:rsidRPr="002F3D36" w14:paraId="49C504BA" w14:textId="77777777" w:rsidTr="002F3D36">
        <w:trPr>
          <w:trHeight w:val="160"/>
          <w:tblCellSpacing w:w="15" w:type="dxa"/>
        </w:trPr>
        <w:tc>
          <w:tcPr>
            <w:tcW w:w="0" w:type="auto"/>
            <w:tcBorders>
              <w:bottom w:val="single" w:sz="4" w:space="0" w:color="000000"/>
            </w:tcBorders>
            <w:vAlign w:val="bottom"/>
            <w:hideMark/>
          </w:tcPr>
          <w:p w14:paraId="26695520"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b/>
                <w:bCs/>
                <w:color w:val="000000"/>
                <w:kern w:val="0"/>
                <w:sz w:val="16"/>
                <w:szCs w:val="16"/>
              </w:rPr>
              <w:t>% of Men</w:t>
            </w:r>
          </w:p>
        </w:tc>
        <w:tc>
          <w:tcPr>
            <w:tcW w:w="0" w:type="auto"/>
            <w:tcBorders>
              <w:bottom w:val="single" w:sz="4" w:space="0" w:color="000000"/>
            </w:tcBorders>
            <w:vAlign w:val="bottom"/>
            <w:hideMark/>
          </w:tcPr>
          <w:p w14:paraId="31F36499"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b/>
                <w:bCs/>
                <w:color w:val="000000"/>
                <w:kern w:val="0"/>
                <w:sz w:val="16"/>
                <w:szCs w:val="16"/>
              </w:rPr>
              <w:t>Age group</w:t>
            </w:r>
          </w:p>
        </w:tc>
        <w:tc>
          <w:tcPr>
            <w:tcW w:w="0" w:type="auto"/>
            <w:tcBorders>
              <w:bottom w:val="single" w:sz="4" w:space="0" w:color="000000"/>
            </w:tcBorders>
            <w:vAlign w:val="bottom"/>
            <w:hideMark/>
          </w:tcPr>
          <w:p w14:paraId="61670F5B"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b/>
                <w:bCs/>
                <w:color w:val="000000"/>
                <w:kern w:val="0"/>
                <w:sz w:val="16"/>
                <w:szCs w:val="16"/>
              </w:rPr>
              <w:t>% of Women</w:t>
            </w:r>
          </w:p>
        </w:tc>
      </w:tr>
      <w:tr w:rsidR="002F3D36" w:rsidRPr="002F3D36" w14:paraId="490B940D" w14:textId="77777777" w:rsidTr="002F3D36">
        <w:trPr>
          <w:trHeight w:val="180"/>
          <w:tblCellSpacing w:w="15" w:type="dxa"/>
        </w:trPr>
        <w:tc>
          <w:tcPr>
            <w:tcW w:w="0" w:type="auto"/>
            <w:shd w:val="clear" w:color="auto" w:fill="CCECFF"/>
            <w:vAlign w:val="bottom"/>
            <w:hideMark/>
          </w:tcPr>
          <w:p w14:paraId="26533847" w14:textId="77777777" w:rsidR="002F3D36" w:rsidRPr="002F3D36" w:rsidRDefault="002F3D36" w:rsidP="002F3D36">
            <w:pPr>
              <w:widowControl/>
              <w:jc w:val="center"/>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3%</w:t>
            </w:r>
          </w:p>
        </w:tc>
        <w:tc>
          <w:tcPr>
            <w:tcW w:w="0" w:type="auto"/>
            <w:shd w:val="clear" w:color="auto" w:fill="CCECFF"/>
            <w:vAlign w:val="bottom"/>
            <w:hideMark/>
          </w:tcPr>
          <w:p w14:paraId="61A2B410" w14:textId="77777777" w:rsidR="002F3D36" w:rsidRPr="002F3D36" w:rsidRDefault="002F3D36" w:rsidP="002F3D36">
            <w:pPr>
              <w:widowControl/>
              <w:jc w:val="center"/>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&gt;60</w:t>
            </w:r>
          </w:p>
        </w:tc>
        <w:tc>
          <w:tcPr>
            <w:tcW w:w="0" w:type="auto"/>
            <w:shd w:val="clear" w:color="auto" w:fill="CCECFF"/>
            <w:vAlign w:val="bottom"/>
            <w:hideMark/>
          </w:tcPr>
          <w:p w14:paraId="39E2B376" w14:textId="77777777" w:rsidR="002F3D36" w:rsidRPr="002F3D36" w:rsidRDefault="002F3D36" w:rsidP="002F3D36">
            <w:pPr>
              <w:widowControl/>
              <w:jc w:val="center"/>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1%</w:t>
            </w:r>
          </w:p>
        </w:tc>
      </w:tr>
      <w:tr w:rsidR="002F3D36" w:rsidRPr="002F3D36" w14:paraId="33274005" w14:textId="77777777" w:rsidTr="002F3D36">
        <w:trPr>
          <w:trHeight w:val="180"/>
          <w:tblCellSpacing w:w="15" w:type="dxa"/>
        </w:trPr>
        <w:tc>
          <w:tcPr>
            <w:tcW w:w="0" w:type="auto"/>
            <w:vAlign w:val="bottom"/>
            <w:hideMark/>
          </w:tcPr>
          <w:p w14:paraId="5C3B9CEC" w14:textId="77777777" w:rsidR="002F3D36" w:rsidRPr="002F3D36" w:rsidRDefault="002F3D36" w:rsidP="002F3D36">
            <w:pPr>
              <w:widowControl/>
              <w:jc w:val="center"/>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5%</w:t>
            </w:r>
          </w:p>
        </w:tc>
        <w:tc>
          <w:tcPr>
            <w:tcW w:w="0" w:type="auto"/>
            <w:vAlign w:val="bottom"/>
            <w:hideMark/>
          </w:tcPr>
          <w:p w14:paraId="760000A5" w14:textId="77777777" w:rsidR="002F3D36" w:rsidRPr="002F3D36" w:rsidRDefault="002F3D36" w:rsidP="002F3D36">
            <w:pPr>
              <w:widowControl/>
              <w:jc w:val="center"/>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51-60</w:t>
            </w:r>
          </w:p>
        </w:tc>
        <w:tc>
          <w:tcPr>
            <w:tcW w:w="0" w:type="auto"/>
            <w:vAlign w:val="bottom"/>
            <w:hideMark/>
          </w:tcPr>
          <w:p w14:paraId="79259DE5" w14:textId="77777777" w:rsidR="002F3D36" w:rsidRPr="002F3D36" w:rsidRDefault="002F3D36" w:rsidP="002F3D36">
            <w:pPr>
              <w:widowControl/>
              <w:jc w:val="center"/>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5%</w:t>
            </w:r>
          </w:p>
        </w:tc>
      </w:tr>
      <w:tr w:rsidR="002F3D36" w:rsidRPr="002F3D36" w14:paraId="1617EC79" w14:textId="77777777" w:rsidTr="002F3D36">
        <w:trPr>
          <w:trHeight w:val="180"/>
          <w:tblCellSpacing w:w="15" w:type="dxa"/>
        </w:trPr>
        <w:tc>
          <w:tcPr>
            <w:tcW w:w="0" w:type="auto"/>
            <w:shd w:val="clear" w:color="auto" w:fill="CCECFF"/>
            <w:vAlign w:val="bottom"/>
            <w:hideMark/>
          </w:tcPr>
          <w:p w14:paraId="03CFD3F7" w14:textId="77777777" w:rsidR="002F3D36" w:rsidRPr="002F3D36" w:rsidRDefault="002F3D36" w:rsidP="002F3D36">
            <w:pPr>
              <w:widowControl/>
              <w:jc w:val="center"/>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10%</w:t>
            </w:r>
          </w:p>
        </w:tc>
        <w:tc>
          <w:tcPr>
            <w:tcW w:w="0" w:type="auto"/>
            <w:shd w:val="clear" w:color="auto" w:fill="CCECFF"/>
            <w:vAlign w:val="bottom"/>
            <w:hideMark/>
          </w:tcPr>
          <w:p w14:paraId="57035D88" w14:textId="77777777" w:rsidR="002F3D36" w:rsidRPr="002F3D36" w:rsidRDefault="002F3D36" w:rsidP="002F3D36">
            <w:pPr>
              <w:widowControl/>
              <w:jc w:val="center"/>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41-50</w:t>
            </w:r>
          </w:p>
        </w:tc>
        <w:tc>
          <w:tcPr>
            <w:tcW w:w="0" w:type="auto"/>
            <w:shd w:val="clear" w:color="auto" w:fill="CCECFF"/>
            <w:vAlign w:val="bottom"/>
            <w:hideMark/>
          </w:tcPr>
          <w:p w14:paraId="37280A17" w14:textId="77777777" w:rsidR="002F3D36" w:rsidRPr="002F3D36" w:rsidRDefault="002F3D36" w:rsidP="002F3D36">
            <w:pPr>
              <w:widowControl/>
              <w:jc w:val="center"/>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11%</w:t>
            </w:r>
          </w:p>
        </w:tc>
      </w:tr>
      <w:tr w:rsidR="002F3D36" w:rsidRPr="002F3D36" w14:paraId="41808A08" w14:textId="77777777" w:rsidTr="002F3D36">
        <w:trPr>
          <w:trHeight w:val="180"/>
          <w:tblCellSpacing w:w="15" w:type="dxa"/>
        </w:trPr>
        <w:tc>
          <w:tcPr>
            <w:tcW w:w="0" w:type="auto"/>
            <w:vAlign w:val="bottom"/>
            <w:hideMark/>
          </w:tcPr>
          <w:p w14:paraId="2ED7A8D0" w14:textId="77777777" w:rsidR="002F3D36" w:rsidRPr="002F3D36" w:rsidRDefault="002F3D36" w:rsidP="002F3D36">
            <w:pPr>
              <w:widowControl/>
              <w:jc w:val="center"/>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17%</w:t>
            </w:r>
          </w:p>
        </w:tc>
        <w:tc>
          <w:tcPr>
            <w:tcW w:w="0" w:type="auto"/>
            <w:vAlign w:val="bottom"/>
            <w:hideMark/>
          </w:tcPr>
          <w:p w14:paraId="2273F8A6" w14:textId="77777777" w:rsidR="002F3D36" w:rsidRPr="002F3D36" w:rsidRDefault="002F3D36" w:rsidP="002F3D36">
            <w:pPr>
              <w:widowControl/>
              <w:jc w:val="center"/>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31-40</w:t>
            </w:r>
          </w:p>
        </w:tc>
        <w:tc>
          <w:tcPr>
            <w:tcW w:w="0" w:type="auto"/>
            <w:vAlign w:val="bottom"/>
            <w:hideMark/>
          </w:tcPr>
          <w:p w14:paraId="5616BDE9" w14:textId="77777777" w:rsidR="002F3D36" w:rsidRPr="002F3D36" w:rsidRDefault="002F3D36" w:rsidP="002F3D36">
            <w:pPr>
              <w:widowControl/>
              <w:jc w:val="center"/>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15%</w:t>
            </w:r>
          </w:p>
        </w:tc>
      </w:tr>
      <w:tr w:rsidR="002F3D36" w:rsidRPr="002F3D36" w14:paraId="3120DC43" w14:textId="77777777" w:rsidTr="002F3D36">
        <w:trPr>
          <w:trHeight w:val="180"/>
          <w:tblCellSpacing w:w="15" w:type="dxa"/>
        </w:trPr>
        <w:tc>
          <w:tcPr>
            <w:tcW w:w="0" w:type="auto"/>
            <w:shd w:val="clear" w:color="auto" w:fill="CCECFF"/>
            <w:vAlign w:val="bottom"/>
            <w:hideMark/>
          </w:tcPr>
          <w:p w14:paraId="7B3C2E71" w14:textId="77777777" w:rsidR="002F3D36" w:rsidRPr="002F3D36" w:rsidRDefault="002F3D36" w:rsidP="002F3D36">
            <w:pPr>
              <w:widowControl/>
              <w:jc w:val="center"/>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16%</w:t>
            </w:r>
          </w:p>
        </w:tc>
        <w:tc>
          <w:tcPr>
            <w:tcW w:w="0" w:type="auto"/>
            <w:shd w:val="clear" w:color="auto" w:fill="CCECFF"/>
            <w:vAlign w:val="bottom"/>
            <w:hideMark/>
          </w:tcPr>
          <w:p w14:paraId="4ECEA793" w14:textId="77777777" w:rsidR="002F3D36" w:rsidRPr="002F3D36" w:rsidRDefault="002F3D36" w:rsidP="002F3D36">
            <w:pPr>
              <w:widowControl/>
              <w:jc w:val="center"/>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21-30</w:t>
            </w:r>
          </w:p>
        </w:tc>
        <w:tc>
          <w:tcPr>
            <w:tcW w:w="0" w:type="auto"/>
            <w:shd w:val="clear" w:color="auto" w:fill="CCECFF"/>
            <w:vAlign w:val="bottom"/>
            <w:hideMark/>
          </w:tcPr>
          <w:p w14:paraId="68FF9C6C" w14:textId="77777777" w:rsidR="002F3D36" w:rsidRPr="002F3D36" w:rsidRDefault="002F3D36" w:rsidP="002F3D36">
            <w:pPr>
              <w:widowControl/>
              <w:jc w:val="center"/>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14%</w:t>
            </w:r>
          </w:p>
        </w:tc>
      </w:tr>
      <w:tr w:rsidR="002F3D36" w:rsidRPr="002F3D36" w14:paraId="635AC631" w14:textId="77777777" w:rsidTr="002F3D36">
        <w:trPr>
          <w:trHeight w:val="180"/>
          <w:tblCellSpacing w:w="15" w:type="dxa"/>
        </w:trPr>
        <w:tc>
          <w:tcPr>
            <w:tcW w:w="0" w:type="auto"/>
            <w:vAlign w:val="bottom"/>
            <w:hideMark/>
          </w:tcPr>
          <w:p w14:paraId="54AEC7F0" w14:textId="77777777" w:rsidR="002F3D36" w:rsidRPr="002F3D36" w:rsidRDefault="002F3D36" w:rsidP="002F3D36">
            <w:pPr>
              <w:widowControl/>
              <w:jc w:val="center"/>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2%</w:t>
            </w:r>
          </w:p>
        </w:tc>
        <w:tc>
          <w:tcPr>
            <w:tcW w:w="0" w:type="auto"/>
            <w:vAlign w:val="bottom"/>
            <w:hideMark/>
          </w:tcPr>
          <w:p w14:paraId="5039149C" w14:textId="77777777" w:rsidR="002F3D36" w:rsidRPr="002F3D36" w:rsidRDefault="002F3D36" w:rsidP="002F3D36">
            <w:pPr>
              <w:widowControl/>
              <w:jc w:val="center"/>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&lt;20</w:t>
            </w:r>
          </w:p>
        </w:tc>
        <w:tc>
          <w:tcPr>
            <w:tcW w:w="0" w:type="auto"/>
            <w:vAlign w:val="bottom"/>
            <w:hideMark/>
          </w:tcPr>
          <w:p w14:paraId="38D87705" w14:textId="77777777" w:rsidR="002F3D36" w:rsidRPr="002F3D36" w:rsidRDefault="002F3D36" w:rsidP="002F3D36">
            <w:pPr>
              <w:widowControl/>
              <w:jc w:val="center"/>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1%</w:t>
            </w:r>
          </w:p>
        </w:tc>
      </w:tr>
    </w:tbl>
    <w:p w14:paraId="2C723BAA"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w:t>
      </w:r>
    </w:p>
    <w:p w14:paraId="3567B7E2"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u w:val="single"/>
        </w:rPr>
        <w:t>Talent Attraction, Development and Retention</w:t>
      </w:r>
    </w:p>
    <w:p w14:paraId="67062BBF"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w:t>
      </w:r>
    </w:p>
    <w:p w14:paraId="72C925A3"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xml:space="preserve">The Company believes that attraction, development, and retention of talent is essential to its success, especially in today's environment. The Company offers an inclusive work environment where its </w:t>
      </w:r>
      <w:r w:rsidRPr="002F3D36">
        <w:rPr>
          <w:rFonts w:ascii="Arial" w:eastAsia="宋体" w:hAnsi="Arial" w:cs="Arial"/>
          <w:color w:val="000000"/>
          <w:kern w:val="0"/>
          <w:sz w:val="18"/>
          <w:szCs w:val="18"/>
        </w:rPr>
        <w:lastRenderedPageBreak/>
        <w:t>employees are challenged and achieve great things together. Supporting the development of the employees is essential in a highly competitive and rapidly changing environment. An important cornerstone of each employee’s growth is the ongoing dialogue between the team member and manager, which is summarized during an annual Performance and Development Dialogue (PDD). During the year, almost all targeted employees conducted a PDD with their managers. To provide opportunities for professional and personal growth of the employees, the Company has a multitude of development channels, including technical and specialist career paths, international assignments and other such programs. The Company promotes continuous development on the job every day, despite restrictions related to COVID-19.</w:t>
      </w:r>
    </w:p>
    <w:p w14:paraId="29B5C398"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The Company provides market-based competitive compensation through its salary, annual incentive, and long-term incentive programs and benefits packages that promote employee well-being across all aspects of their lives.</w:t>
      </w:r>
    </w:p>
    <w:p w14:paraId="3D1D6EEB" w14:textId="77777777" w:rsidR="002F3D36" w:rsidRPr="002F3D36" w:rsidRDefault="002F3D36" w:rsidP="002F3D36">
      <w:pPr>
        <w:widowControl/>
        <w:spacing w:before="240"/>
        <w:jc w:val="center"/>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8</w:t>
      </w:r>
    </w:p>
    <w:p w14:paraId="2D34F8E6" w14:textId="77777777" w:rsidR="002F3D36" w:rsidRPr="002F3D36" w:rsidRDefault="002F3D36" w:rsidP="002F3D36">
      <w:pPr>
        <w:widowControl/>
        <w:jc w:val="left"/>
        <w:rPr>
          <w:rFonts w:ascii="宋体" w:eastAsia="宋体" w:hAnsi="宋体" w:cs="宋体"/>
          <w:kern w:val="0"/>
          <w:sz w:val="24"/>
          <w:szCs w:val="24"/>
        </w:rPr>
      </w:pPr>
      <w:r w:rsidRPr="002F3D36">
        <w:rPr>
          <w:rFonts w:ascii="宋体" w:eastAsia="宋体" w:hAnsi="宋体" w:cs="宋体"/>
          <w:kern w:val="0"/>
          <w:sz w:val="24"/>
          <w:szCs w:val="24"/>
        </w:rPr>
        <w:pict w14:anchorId="3ED7EB01">
          <v:rect id="_x0000_i1033" style="width:0;height:1.5pt" o:hralign="center" o:hrstd="t" o:hrnoshade="t" o:hr="t" fillcolor="black" stroked="f"/>
        </w:pict>
      </w:r>
    </w:p>
    <w:p w14:paraId="643D6CFD" w14:textId="77777777" w:rsidR="002F3D36" w:rsidRPr="002F3D36" w:rsidRDefault="002F3D36" w:rsidP="002F3D36">
      <w:pPr>
        <w:widowControl/>
        <w:spacing w:line="20" w:lineRule="atLeast"/>
        <w:jc w:val="left"/>
        <w:rPr>
          <w:rFonts w:ascii="Times New Roman" w:eastAsia="宋体" w:hAnsi="Times New Roman" w:cs="Times New Roman"/>
          <w:color w:val="000000"/>
          <w:kern w:val="0"/>
          <w:sz w:val="20"/>
          <w:szCs w:val="20"/>
        </w:rPr>
      </w:pPr>
      <w:r w:rsidRPr="002F3D36">
        <w:rPr>
          <w:rFonts w:ascii="Arial" w:eastAsia="宋体" w:hAnsi="Arial" w:cs="Arial"/>
          <w:color w:val="000000"/>
          <w:kern w:val="0"/>
          <w:sz w:val="2"/>
          <w:szCs w:val="2"/>
        </w:rPr>
        <w:t> </w:t>
      </w:r>
    </w:p>
    <w:p w14:paraId="238B1328"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w:t>
      </w:r>
    </w:p>
    <w:p w14:paraId="296AB8EE"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u w:val="single"/>
        </w:rPr>
        <w:t>Health and Safety</w:t>
      </w:r>
    </w:p>
    <w:p w14:paraId="7E453C4D"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The Company is committed to providing a work environment that promotes the health, safety and welfare of its employees. Each Autoliv facility implements the Company's health and safety management system, which is supported by leadership teams. The implementation of the system is monitored through internal and external audits. Throughout the COVID-19 pandemic, the Company has protected its employee's health and well-being by providing the technology and communication equipment necessary to allow many of its employees to work remotely. For those who cannot effectively do their jobs remotely, the Company has put protocols in place to ensure a safe working environment.</w:t>
      </w:r>
    </w:p>
    <w:p w14:paraId="41275EDE"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w:t>
      </w:r>
    </w:p>
    <w:p w14:paraId="1E6F3F18"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u w:val="single"/>
        </w:rPr>
        <w:t>Labor Relations</w:t>
      </w:r>
    </w:p>
    <w:p w14:paraId="2CD44A65"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The Company offers fair terms and conditions of employment. The Company's overall purpose, Code of Conduct, talent development strategies and employment policies support the principles in the United Nations Universal Declaration of Human Rights, and the International Labor Organization’s Fundamental Principles and Labor Standards.</w:t>
      </w:r>
    </w:p>
    <w:p w14:paraId="6736D3E3"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The Company considers its relationship with its personnel to be good. While there have been a small number of minor labor disputes historically, such disputes have not had a significant or lasting impact on the Company's relationship with its employees, customer perception of its employee practices or its business results.</w:t>
      </w:r>
    </w:p>
    <w:p w14:paraId="3D6BAB71"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xml:space="preserve">Major unions to which some of the Company's employees belong in Europe include: IG Metall in Germany; Unite the union in the United Kingdom; Confédération Générale des Travailleurs (CGT), Confédération Française Démocratique du Travail (CFDT), Confédération Française de l’Encadrement Confédération Générale des cadres (CFE-CGC), Force Ouvrière (FO), Confédération Française des Travailleurs Chrétiens (CFTC), Solidaires, Unitaires, Démocratiques (SUD) and Conféderation Autonome du Travail (CAT) in France; Union General de Trabajadores (UGT), Union Sindical Obrera (USO), Comisiones Obereras (CCOO) and Confederacion General de Trabajadores (CGT) in Spain; IF Metall, Unionen, Sveriges Ingenjörer and Ledarna in Sweden; Industriaal- ja Metallitöötajate Ametiühingute Liit (IMTAL) in </w:t>
      </w:r>
      <w:r w:rsidRPr="002F3D36">
        <w:rPr>
          <w:rFonts w:ascii="Arial" w:eastAsia="宋体" w:hAnsi="Arial" w:cs="Arial"/>
          <w:color w:val="000000"/>
          <w:kern w:val="0"/>
          <w:sz w:val="18"/>
          <w:szCs w:val="18"/>
        </w:rPr>
        <w:lastRenderedPageBreak/>
        <w:t>Estonia; Vasas Szakszervezeti Szövetség (Hungarian Metallworkers‘ Federation) in Hungary; Samorządny NiezaleĪny Związek Zawodowy Pracowników and Zakáadowa Organizacja Związkowa NSZZ SolidarnoĞü in Poland; National Union of Metal Workers South Africa (NUMSA) in South Africa; Union Générale des Travailleurs Tunisiens (UGTT) and Union des travailleurs Tunisiens (UTT) in Tunisia and Montaj ve Yardımcı İşçileri Sendikası in Turkey.</w:t>
      </w:r>
    </w:p>
    <w:p w14:paraId="669CF12E"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In addition, the Company’s employees in other regions are represented by the following unions: Unifor in Canada; Sindicato de Jornaleros y Obreros Industriales y de la Industria Maquiladora de H.Matamoros, Tamaulipas (CTM); Sindicato Nacional de Trabajadores de la Industria Metalúrgica y Similares (CTM); Sindicato Nacional de Trabajadores de la Industria Arnesera, Eléctrica, Automotriz y Aeronáutica de la República Mexicana; “Nueva Cultura Laboral” “de trabajadores de la fabricación, manufactura, ensamble de autopartes mecánicas y eléctricas y componentes de la industria Automotriz (CROC); Sindicato Nacional de Trabajadores de la Industria de Autopartes en General y/o Similares, Conexos y sus Servicios de la República Mexicana, in Mexico; Sindicato dos Metalúrgicos de Taubaté e Região in Brazil; Autoliv India Employees Association, Bangalore in India; the Korean Metal Workers Union (FKTU) in Korea; Autoliv Japan Roudou Kumiai in Japan and Federasi Perjuangan Buruh Indonesia (FPBI) in Indonesia.</w:t>
      </w:r>
    </w:p>
    <w:p w14:paraId="2DDD5777"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In many European countries, Canada, Mexico, Brazil and Korea, wages, salaries and general working conditions are negotiated with local unions and/or are subject to centrally negotiated collective bargaining agreements. The terms of the Company's various agreements with unions typically range between 1-3 years. Some of the Company's subsidiaries in Europe, Canada, Mexico, Brazil and Korea must negotiate with the applicable local unions with respect to important changes in operations, working and employment conditions. Twice a year, members of the Company’s management conduct a meeting with the European Works Council (EWC) to provide employee representatives with important information about the Company and a forum for the exchange of ideas and opinions.</w:t>
      </w:r>
    </w:p>
    <w:p w14:paraId="1F713D56"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In many Asia Pacific countries, the central or regional governments provide guidance each year for salary adjustments or statutory minimum wage for workers. The Company's employees may join associations in accordance with local legislation and rules, although the level of unionization varies significantly throughout its operations.</w:t>
      </w:r>
    </w:p>
    <w:p w14:paraId="564ABC32"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w:t>
      </w:r>
    </w:p>
    <w:p w14:paraId="0C22AD99"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u w:val="single"/>
        </w:rPr>
        <w:t>Key Performance Indicators (KPIs)</w:t>
      </w:r>
    </w:p>
    <w:p w14:paraId="296A7B7C"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The table below reflects certain KPIs on which the Company is particularly focused on with respect to the management of its workforce.</w:t>
      </w:r>
    </w:p>
    <w:p w14:paraId="751000A9"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w:t>
      </w:r>
    </w:p>
    <w:tbl>
      <w:tblPr>
        <w:tblW w:w="20614" w:type="dxa"/>
        <w:tblCellSpacing w:w="15" w:type="dxa"/>
        <w:tblCellMar>
          <w:top w:w="15" w:type="dxa"/>
          <w:left w:w="15" w:type="dxa"/>
          <w:bottom w:w="15" w:type="dxa"/>
          <w:right w:w="15" w:type="dxa"/>
        </w:tblCellMar>
        <w:tblLook w:val="04A0" w:firstRow="1" w:lastRow="0" w:firstColumn="1" w:lastColumn="0" w:noHBand="0" w:noVBand="1"/>
      </w:tblPr>
      <w:tblGrid>
        <w:gridCol w:w="13210"/>
        <w:gridCol w:w="153"/>
        <w:gridCol w:w="2806"/>
        <w:gridCol w:w="421"/>
        <w:gridCol w:w="153"/>
        <w:gridCol w:w="3434"/>
        <w:gridCol w:w="437"/>
      </w:tblGrid>
      <w:tr w:rsidR="002F3D36" w:rsidRPr="002F3D36" w14:paraId="5CAC4950" w14:textId="77777777" w:rsidTr="002F3D36">
        <w:trPr>
          <w:tblCellSpacing w:w="15" w:type="dxa"/>
        </w:trPr>
        <w:tc>
          <w:tcPr>
            <w:tcW w:w="13186" w:type="dxa"/>
            <w:vAlign w:val="center"/>
            <w:hideMark/>
          </w:tcPr>
          <w:p w14:paraId="01F65194" w14:textId="77777777" w:rsidR="002F3D36" w:rsidRPr="002F3D36" w:rsidRDefault="002F3D36" w:rsidP="002F3D36">
            <w:pPr>
              <w:widowControl/>
              <w:jc w:val="left"/>
              <w:rPr>
                <w:rFonts w:ascii="Times New Roman" w:eastAsia="宋体" w:hAnsi="Times New Roman" w:cs="Times New Roman"/>
                <w:color w:val="000000"/>
                <w:kern w:val="0"/>
                <w:sz w:val="20"/>
                <w:szCs w:val="20"/>
              </w:rPr>
            </w:pPr>
          </w:p>
        </w:tc>
        <w:tc>
          <w:tcPr>
            <w:tcW w:w="123" w:type="dxa"/>
            <w:vAlign w:val="center"/>
            <w:hideMark/>
          </w:tcPr>
          <w:p w14:paraId="61A449BE"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780" w:type="dxa"/>
            <w:vAlign w:val="center"/>
            <w:hideMark/>
          </w:tcPr>
          <w:p w14:paraId="76ADF9F4"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391" w:type="dxa"/>
            <w:vAlign w:val="center"/>
            <w:hideMark/>
          </w:tcPr>
          <w:p w14:paraId="0B5B071F"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23" w:type="dxa"/>
            <w:vAlign w:val="center"/>
            <w:hideMark/>
          </w:tcPr>
          <w:p w14:paraId="3E2CDEF1"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3409" w:type="dxa"/>
            <w:vAlign w:val="center"/>
            <w:hideMark/>
          </w:tcPr>
          <w:p w14:paraId="5A71A39C"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392" w:type="dxa"/>
            <w:vAlign w:val="center"/>
            <w:hideMark/>
          </w:tcPr>
          <w:p w14:paraId="549E6C44" w14:textId="77777777" w:rsidR="002F3D36" w:rsidRPr="002F3D36" w:rsidRDefault="002F3D36" w:rsidP="002F3D36">
            <w:pPr>
              <w:widowControl/>
              <w:jc w:val="left"/>
              <w:rPr>
                <w:rFonts w:ascii="Times New Roman" w:eastAsia="Times New Roman" w:hAnsi="Times New Roman" w:cs="Times New Roman"/>
                <w:kern w:val="0"/>
                <w:sz w:val="20"/>
                <w:szCs w:val="20"/>
              </w:rPr>
            </w:pPr>
          </w:p>
        </w:tc>
      </w:tr>
      <w:tr w:rsidR="002F3D36" w:rsidRPr="002F3D36" w14:paraId="662DA188" w14:textId="77777777" w:rsidTr="002F3D36">
        <w:trPr>
          <w:trHeight w:val="160"/>
          <w:tblCellSpacing w:w="15" w:type="dxa"/>
        </w:trPr>
        <w:tc>
          <w:tcPr>
            <w:tcW w:w="0" w:type="auto"/>
            <w:tcBorders>
              <w:bottom w:val="single" w:sz="4" w:space="0" w:color="000000"/>
              <w:right w:val="single" w:sz="18" w:space="0" w:color="FFFFFF"/>
            </w:tcBorders>
            <w:shd w:val="clear" w:color="auto" w:fill="FFFFFF"/>
            <w:vAlign w:val="center"/>
            <w:hideMark/>
          </w:tcPr>
          <w:p w14:paraId="58856F62" w14:textId="77777777" w:rsidR="002F3D36" w:rsidRPr="002F3D36" w:rsidRDefault="002F3D36" w:rsidP="002F3D36">
            <w:pPr>
              <w:widowControl/>
              <w:jc w:val="left"/>
              <w:rPr>
                <w:rFonts w:ascii="Times New Roman" w:eastAsia="微软雅黑" w:hAnsi="Times New Roman" w:cs="Times New Roman"/>
                <w:kern w:val="0"/>
                <w:sz w:val="16"/>
                <w:szCs w:val="16"/>
              </w:rPr>
            </w:pPr>
            <w:r w:rsidRPr="002F3D36">
              <w:rPr>
                <w:rFonts w:ascii="Arial" w:eastAsia="微软雅黑" w:hAnsi="Arial" w:cs="Arial"/>
                <w:b/>
                <w:bCs/>
                <w:color w:val="000000"/>
                <w:kern w:val="0"/>
                <w:sz w:val="16"/>
                <w:szCs w:val="16"/>
              </w:rPr>
              <w:t>KPI</w:t>
            </w:r>
          </w:p>
        </w:tc>
        <w:tc>
          <w:tcPr>
            <w:tcW w:w="0" w:type="auto"/>
            <w:gridSpan w:val="2"/>
            <w:tcBorders>
              <w:bottom w:val="single" w:sz="4" w:space="0" w:color="000000"/>
            </w:tcBorders>
            <w:shd w:val="clear" w:color="auto" w:fill="FFFFFF"/>
            <w:vAlign w:val="center"/>
            <w:hideMark/>
          </w:tcPr>
          <w:p w14:paraId="120EDCF8" w14:textId="77777777" w:rsidR="002F3D36" w:rsidRPr="002F3D36" w:rsidRDefault="002F3D36" w:rsidP="002F3D36">
            <w:pPr>
              <w:widowControl/>
              <w:jc w:val="right"/>
              <w:rPr>
                <w:rFonts w:ascii="Times New Roman" w:eastAsia="微软雅黑" w:hAnsi="Times New Roman" w:cs="Times New Roman"/>
                <w:kern w:val="0"/>
                <w:sz w:val="16"/>
                <w:szCs w:val="16"/>
              </w:rPr>
            </w:pPr>
            <w:r w:rsidRPr="002F3D36">
              <w:rPr>
                <w:rFonts w:ascii="Arial" w:eastAsia="微软雅黑" w:hAnsi="Arial" w:cs="Arial"/>
                <w:b/>
                <w:bCs/>
                <w:color w:val="000000"/>
                <w:kern w:val="0"/>
                <w:sz w:val="16"/>
                <w:szCs w:val="16"/>
              </w:rPr>
              <w:t>2021</w:t>
            </w:r>
          </w:p>
        </w:tc>
        <w:tc>
          <w:tcPr>
            <w:tcW w:w="0" w:type="auto"/>
            <w:shd w:val="clear" w:color="auto" w:fill="FFFFFF"/>
            <w:vAlign w:val="center"/>
            <w:hideMark/>
          </w:tcPr>
          <w:p w14:paraId="5F3FCBD1" w14:textId="77777777" w:rsidR="002F3D36" w:rsidRPr="002F3D36" w:rsidRDefault="002F3D36" w:rsidP="002F3D36">
            <w:pPr>
              <w:widowControl/>
              <w:jc w:val="right"/>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gridSpan w:val="2"/>
            <w:tcBorders>
              <w:left w:val="single" w:sz="18" w:space="0" w:color="FFFFFF"/>
              <w:bottom w:val="single" w:sz="4" w:space="0" w:color="000000"/>
            </w:tcBorders>
            <w:shd w:val="clear" w:color="auto" w:fill="FFFFFF"/>
            <w:vAlign w:val="center"/>
            <w:hideMark/>
          </w:tcPr>
          <w:p w14:paraId="2D7AF3D5" w14:textId="77777777" w:rsidR="002F3D36" w:rsidRPr="002F3D36" w:rsidRDefault="002F3D36" w:rsidP="002F3D36">
            <w:pPr>
              <w:widowControl/>
              <w:jc w:val="right"/>
              <w:rPr>
                <w:rFonts w:ascii="Times New Roman" w:eastAsia="微软雅黑" w:hAnsi="Times New Roman" w:cs="Times New Roman"/>
                <w:kern w:val="0"/>
                <w:sz w:val="16"/>
                <w:szCs w:val="16"/>
              </w:rPr>
            </w:pPr>
            <w:r w:rsidRPr="002F3D36">
              <w:rPr>
                <w:rFonts w:ascii="Arial" w:eastAsia="微软雅黑" w:hAnsi="Arial" w:cs="Arial"/>
                <w:b/>
                <w:bCs/>
                <w:color w:val="000000"/>
                <w:kern w:val="0"/>
                <w:sz w:val="16"/>
                <w:szCs w:val="16"/>
              </w:rPr>
              <w:t>2020</w:t>
            </w:r>
          </w:p>
        </w:tc>
        <w:tc>
          <w:tcPr>
            <w:tcW w:w="0" w:type="auto"/>
            <w:shd w:val="clear" w:color="auto" w:fill="FFFFFF"/>
            <w:vAlign w:val="center"/>
            <w:hideMark/>
          </w:tcPr>
          <w:p w14:paraId="60E9033A" w14:textId="77777777" w:rsidR="002F3D36" w:rsidRPr="002F3D36" w:rsidRDefault="002F3D36" w:rsidP="002F3D36">
            <w:pPr>
              <w:widowControl/>
              <w:jc w:val="right"/>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r>
      <w:tr w:rsidR="002F3D36" w:rsidRPr="002F3D36" w14:paraId="3F2B8A57" w14:textId="77777777" w:rsidTr="002F3D36">
        <w:trPr>
          <w:trHeight w:val="180"/>
          <w:tblCellSpacing w:w="15" w:type="dxa"/>
        </w:trPr>
        <w:tc>
          <w:tcPr>
            <w:tcW w:w="0" w:type="auto"/>
            <w:shd w:val="clear" w:color="auto" w:fill="CCECFF"/>
            <w:vAlign w:val="center"/>
            <w:hideMark/>
          </w:tcPr>
          <w:p w14:paraId="7F9AD9F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 of Autoliv facilities certified (OHSAS 18001 or ISO 45001)</w:t>
            </w:r>
          </w:p>
        </w:tc>
        <w:tc>
          <w:tcPr>
            <w:tcW w:w="0" w:type="auto"/>
            <w:shd w:val="clear" w:color="auto" w:fill="CCECFF"/>
            <w:vAlign w:val="center"/>
            <w:hideMark/>
          </w:tcPr>
          <w:p w14:paraId="72A8A05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CECFF"/>
            <w:vAlign w:val="center"/>
            <w:hideMark/>
          </w:tcPr>
          <w:p w14:paraId="4A1CDC23"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29</w:t>
            </w:r>
          </w:p>
        </w:tc>
        <w:tc>
          <w:tcPr>
            <w:tcW w:w="0" w:type="auto"/>
            <w:shd w:val="clear" w:color="auto" w:fill="CCECFF"/>
            <w:vAlign w:val="center"/>
            <w:hideMark/>
          </w:tcPr>
          <w:p w14:paraId="5036082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shd w:val="clear" w:color="auto" w:fill="CCECFF"/>
            <w:vAlign w:val="center"/>
            <w:hideMark/>
          </w:tcPr>
          <w:p w14:paraId="43E3870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CECFF"/>
            <w:vAlign w:val="center"/>
            <w:hideMark/>
          </w:tcPr>
          <w:p w14:paraId="0AC0D11F"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15</w:t>
            </w:r>
          </w:p>
        </w:tc>
        <w:tc>
          <w:tcPr>
            <w:tcW w:w="0" w:type="auto"/>
            <w:shd w:val="clear" w:color="auto" w:fill="CCECFF"/>
            <w:vAlign w:val="center"/>
            <w:hideMark/>
          </w:tcPr>
          <w:p w14:paraId="22234C1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r>
      <w:tr w:rsidR="002F3D36" w:rsidRPr="002F3D36" w14:paraId="190EA360" w14:textId="77777777" w:rsidTr="002F3D36">
        <w:trPr>
          <w:trHeight w:val="180"/>
          <w:tblCellSpacing w:w="15" w:type="dxa"/>
        </w:trPr>
        <w:tc>
          <w:tcPr>
            <w:tcW w:w="0" w:type="auto"/>
            <w:tcBorders>
              <w:left w:val="single" w:sz="18" w:space="0" w:color="FFFFFF"/>
              <w:right w:val="single" w:sz="18" w:space="0" w:color="FFFFFF"/>
            </w:tcBorders>
            <w:vAlign w:val="center"/>
            <w:hideMark/>
          </w:tcPr>
          <w:p w14:paraId="0466FFF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Incident rate</w:t>
            </w:r>
            <w:r w:rsidRPr="002F3D36">
              <w:rPr>
                <w:rFonts w:ascii="Arial" w:eastAsia="微软雅黑" w:hAnsi="Arial" w:cs="Arial"/>
                <w:color w:val="000000"/>
                <w:kern w:val="0"/>
                <w:sz w:val="12"/>
                <w:szCs w:val="12"/>
              </w:rPr>
              <w:t>1)</w:t>
            </w:r>
          </w:p>
        </w:tc>
        <w:tc>
          <w:tcPr>
            <w:tcW w:w="0" w:type="auto"/>
            <w:gridSpan w:val="2"/>
            <w:vAlign w:val="center"/>
            <w:hideMark/>
          </w:tcPr>
          <w:p w14:paraId="7E76E186"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0.39</w:t>
            </w:r>
          </w:p>
        </w:tc>
        <w:tc>
          <w:tcPr>
            <w:tcW w:w="0" w:type="auto"/>
            <w:vAlign w:val="center"/>
            <w:hideMark/>
          </w:tcPr>
          <w:p w14:paraId="31B6CB5D"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gridSpan w:val="2"/>
            <w:tcBorders>
              <w:left w:val="single" w:sz="18" w:space="0" w:color="FFFFFF"/>
            </w:tcBorders>
            <w:vAlign w:val="center"/>
            <w:hideMark/>
          </w:tcPr>
          <w:p w14:paraId="4CA48806"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0.48</w:t>
            </w:r>
          </w:p>
        </w:tc>
        <w:tc>
          <w:tcPr>
            <w:tcW w:w="0" w:type="auto"/>
            <w:vAlign w:val="center"/>
            <w:hideMark/>
          </w:tcPr>
          <w:p w14:paraId="5F0334D4"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118482AB" w14:textId="77777777" w:rsidTr="002F3D36">
        <w:trPr>
          <w:trHeight w:val="180"/>
          <w:tblCellSpacing w:w="15" w:type="dxa"/>
        </w:trPr>
        <w:tc>
          <w:tcPr>
            <w:tcW w:w="0" w:type="auto"/>
            <w:shd w:val="clear" w:color="auto" w:fill="CCECFF"/>
            <w:vAlign w:val="center"/>
            <w:hideMark/>
          </w:tcPr>
          <w:p w14:paraId="619E651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Severity rate</w:t>
            </w:r>
            <w:r w:rsidRPr="002F3D36">
              <w:rPr>
                <w:rFonts w:ascii="Arial" w:eastAsia="微软雅黑" w:hAnsi="Arial" w:cs="Arial"/>
                <w:color w:val="000000"/>
                <w:kern w:val="0"/>
                <w:sz w:val="12"/>
                <w:szCs w:val="12"/>
              </w:rPr>
              <w:t>2)</w:t>
            </w:r>
          </w:p>
        </w:tc>
        <w:tc>
          <w:tcPr>
            <w:tcW w:w="0" w:type="auto"/>
            <w:gridSpan w:val="2"/>
            <w:shd w:val="clear" w:color="auto" w:fill="CCECFF"/>
            <w:vAlign w:val="center"/>
            <w:hideMark/>
          </w:tcPr>
          <w:p w14:paraId="14997E60"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5.51</w:t>
            </w:r>
          </w:p>
        </w:tc>
        <w:tc>
          <w:tcPr>
            <w:tcW w:w="0" w:type="auto"/>
            <w:shd w:val="clear" w:color="auto" w:fill="CCECFF"/>
            <w:vAlign w:val="center"/>
            <w:hideMark/>
          </w:tcPr>
          <w:p w14:paraId="5F91D9E0"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gridSpan w:val="2"/>
            <w:shd w:val="clear" w:color="auto" w:fill="CCECFF"/>
            <w:vAlign w:val="center"/>
            <w:hideMark/>
          </w:tcPr>
          <w:p w14:paraId="79605EA2"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4.26</w:t>
            </w:r>
          </w:p>
        </w:tc>
        <w:tc>
          <w:tcPr>
            <w:tcW w:w="0" w:type="auto"/>
            <w:shd w:val="clear" w:color="auto" w:fill="CCECFF"/>
            <w:vAlign w:val="center"/>
            <w:hideMark/>
          </w:tcPr>
          <w:p w14:paraId="011B5B26"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68C9CAE9" w14:textId="77777777" w:rsidTr="002F3D36">
        <w:trPr>
          <w:trHeight w:val="180"/>
          <w:tblCellSpacing w:w="15" w:type="dxa"/>
        </w:trPr>
        <w:tc>
          <w:tcPr>
            <w:tcW w:w="0" w:type="auto"/>
            <w:shd w:val="clear" w:color="auto" w:fill="CCECFF"/>
            <w:vAlign w:val="center"/>
            <w:hideMark/>
          </w:tcPr>
          <w:p w14:paraId="2395A70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 women in workforce</w:t>
            </w:r>
          </w:p>
        </w:tc>
        <w:tc>
          <w:tcPr>
            <w:tcW w:w="0" w:type="auto"/>
            <w:shd w:val="clear" w:color="auto" w:fill="CCECFF"/>
            <w:vAlign w:val="center"/>
            <w:hideMark/>
          </w:tcPr>
          <w:p w14:paraId="3F3477E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CECFF"/>
            <w:vAlign w:val="center"/>
            <w:hideMark/>
          </w:tcPr>
          <w:p w14:paraId="5AE92416"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47</w:t>
            </w:r>
          </w:p>
        </w:tc>
        <w:tc>
          <w:tcPr>
            <w:tcW w:w="0" w:type="auto"/>
            <w:shd w:val="clear" w:color="auto" w:fill="CCECFF"/>
            <w:vAlign w:val="center"/>
            <w:hideMark/>
          </w:tcPr>
          <w:p w14:paraId="3D1A3A8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shd w:val="clear" w:color="auto" w:fill="CCECFF"/>
            <w:vAlign w:val="center"/>
            <w:hideMark/>
          </w:tcPr>
          <w:p w14:paraId="324350E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CECFF"/>
            <w:vAlign w:val="center"/>
            <w:hideMark/>
          </w:tcPr>
          <w:p w14:paraId="5B82EF20"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47</w:t>
            </w:r>
          </w:p>
        </w:tc>
        <w:tc>
          <w:tcPr>
            <w:tcW w:w="0" w:type="auto"/>
            <w:shd w:val="clear" w:color="auto" w:fill="CCECFF"/>
            <w:vAlign w:val="center"/>
            <w:hideMark/>
          </w:tcPr>
          <w:p w14:paraId="491C969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r>
      <w:tr w:rsidR="002F3D36" w:rsidRPr="002F3D36" w14:paraId="1D0FE5E6" w14:textId="77777777" w:rsidTr="002F3D36">
        <w:trPr>
          <w:trHeight w:val="180"/>
          <w:tblCellSpacing w:w="15" w:type="dxa"/>
        </w:trPr>
        <w:tc>
          <w:tcPr>
            <w:tcW w:w="0" w:type="auto"/>
            <w:shd w:val="clear" w:color="auto" w:fill="FFFFFF"/>
            <w:vAlign w:val="center"/>
            <w:hideMark/>
          </w:tcPr>
          <w:p w14:paraId="207A455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 women in senior management positions</w:t>
            </w:r>
          </w:p>
        </w:tc>
        <w:tc>
          <w:tcPr>
            <w:tcW w:w="0" w:type="auto"/>
            <w:shd w:val="clear" w:color="auto" w:fill="FFFFFF"/>
            <w:vAlign w:val="center"/>
            <w:hideMark/>
          </w:tcPr>
          <w:p w14:paraId="0DC37F7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center"/>
            <w:hideMark/>
          </w:tcPr>
          <w:p w14:paraId="1FFCBB30"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17</w:t>
            </w:r>
          </w:p>
        </w:tc>
        <w:tc>
          <w:tcPr>
            <w:tcW w:w="0" w:type="auto"/>
            <w:shd w:val="clear" w:color="auto" w:fill="FFFFFF"/>
            <w:vAlign w:val="center"/>
            <w:hideMark/>
          </w:tcPr>
          <w:p w14:paraId="3DA5EF9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shd w:val="clear" w:color="auto" w:fill="FFFFFF"/>
            <w:vAlign w:val="center"/>
            <w:hideMark/>
          </w:tcPr>
          <w:p w14:paraId="21E439F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center"/>
            <w:hideMark/>
          </w:tcPr>
          <w:p w14:paraId="4B905341"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22</w:t>
            </w:r>
          </w:p>
        </w:tc>
        <w:tc>
          <w:tcPr>
            <w:tcW w:w="0" w:type="auto"/>
            <w:shd w:val="clear" w:color="auto" w:fill="FFFFFF"/>
            <w:vAlign w:val="center"/>
            <w:hideMark/>
          </w:tcPr>
          <w:p w14:paraId="7AD6C9F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r>
      <w:tr w:rsidR="002F3D36" w:rsidRPr="002F3D36" w14:paraId="4A00A83E" w14:textId="77777777" w:rsidTr="002F3D36">
        <w:trPr>
          <w:trHeight w:val="180"/>
          <w:tblCellSpacing w:w="15" w:type="dxa"/>
        </w:trPr>
        <w:tc>
          <w:tcPr>
            <w:tcW w:w="0" w:type="auto"/>
            <w:shd w:val="clear" w:color="auto" w:fill="CCECFF"/>
            <w:vAlign w:val="center"/>
            <w:hideMark/>
          </w:tcPr>
          <w:p w14:paraId="05F36D1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 PDD rate</w:t>
            </w:r>
            <w:r w:rsidRPr="002F3D36">
              <w:rPr>
                <w:rFonts w:ascii="Arial" w:eastAsia="微软雅黑" w:hAnsi="Arial" w:cs="Arial"/>
                <w:color w:val="000000"/>
                <w:kern w:val="0"/>
                <w:sz w:val="12"/>
                <w:szCs w:val="12"/>
              </w:rPr>
              <w:t>3)</w:t>
            </w:r>
          </w:p>
        </w:tc>
        <w:tc>
          <w:tcPr>
            <w:tcW w:w="0" w:type="auto"/>
            <w:shd w:val="clear" w:color="auto" w:fill="CCECFF"/>
            <w:vAlign w:val="center"/>
            <w:hideMark/>
          </w:tcPr>
          <w:p w14:paraId="66ADD31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CECFF"/>
            <w:vAlign w:val="center"/>
            <w:hideMark/>
          </w:tcPr>
          <w:p w14:paraId="3588063A"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99</w:t>
            </w:r>
          </w:p>
        </w:tc>
        <w:tc>
          <w:tcPr>
            <w:tcW w:w="0" w:type="auto"/>
            <w:shd w:val="clear" w:color="auto" w:fill="CCECFF"/>
            <w:vAlign w:val="center"/>
            <w:hideMark/>
          </w:tcPr>
          <w:p w14:paraId="3E63B5F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gridSpan w:val="2"/>
            <w:shd w:val="clear" w:color="auto" w:fill="CCECFF"/>
            <w:vAlign w:val="center"/>
            <w:hideMark/>
          </w:tcPr>
          <w:p w14:paraId="1249795D"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Close to 100%</w:t>
            </w:r>
          </w:p>
        </w:tc>
        <w:tc>
          <w:tcPr>
            <w:tcW w:w="0" w:type="auto"/>
            <w:shd w:val="clear" w:color="auto" w:fill="CCECFF"/>
            <w:vAlign w:val="center"/>
            <w:hideMark/>
          </w:tcPr>
          <w:p w14:paraId="27C19F15"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715024A6" w14:textId="77777777" w:rsidTr="002F3D36">
        <w:trPr>
          <w:trHeight w:val="180"/>
          <w:tblCellSpacing w:w="15" w:type="dxa"/>
        </w:trPr>
        <w:tc>
          <w:tcPr>
            <w:tcW w:w="0" w:type="auto"/>
            <w:shd w:val="clear" w:color="auto" w:fill="FFFFFF"/>
            <w:vAlign w:val="center"/>
            <w:hideMark/>
          </w:tcPr>
          <w:p w14:paraId="1643348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No. of employees attended at least one training program</w:t>
            </w:r>
          </w:p>
        </w:tc>
        <w:tc>
          <w:tcPr>
            <w:tcW w:w="0" w:type="auto"/>
            <w:shd w:val="clear" w:color="auto" w:fill="FFFFFF"/>
            <w:vAlign w:val="center"/>
            <w:hideMark/>
          </w:tcPr>
          <w:p w14:paraId="2B430F5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center"/>
            <w:hideMark/>
          </w:tcPr>
          <w:p w14:paraId="46B120FA"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4,400</w:t>
            </w:r>
          </w:p>
        </w:tc>
        <w:tc>
          <w:tcPr>
            <w:tcW w:w="0" w:type="auto"/>
            <w:shd w:val="clear" w:color="auto" w:fill="FFFFFF"/>
            <w:vAlign w:val="center"/>
            <w:hideMark/>
          </w:tcPr>
          <w:p w14:paraId="144AE78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center"/>
            <w:hideMark/>
          </w:tcPr>
          <w:p w14:paraId="18A0A4D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center"/>
            <w:hideMark/>
          </w:tcPr>
          <w:p w14:paraId="65E0CFE7"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1,500</w:t>
            </w:r>
          </w:p>
        </w:tc>
        <w:tc>
          <w:tcPr>
            <w:tcW w:w="0" w:type="auto"/>
            <w:shd w:val="clear" w:color="auto" w:fill="FFFFFF"/>
            <w:vAlign w:val="center"/>
            <w:hideMark/>
          </w:tcPr>
          <w:p w14:paraId="7C94BE2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25B71AAE" w14:textId="77777777" w:rsidTr="002F3D36">
        <w:trPr>
          <w:tblCellSpacing w:w="15" w:type="dxa"/>
        </w:trPr>
        <w:tc>
          <w:tcPr>
            <w:tcW w:w="0" w:type="auto"/>
            <w:shd w:val="clear" w:color="auto" w:fill="FFFFFF"/>
            <w:vAlign w:val="center"/>
            <w:hideMark/>
          </w:tcPr>
          <w:p w14:paraId="2A9AFAF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lastRenderedPageBreak/>
              <w:t> </w:t>
            </w:r>
          </w:p>
        </w:tc>
        <w:tc>
          <w:tcPr>
            <w:tcW w:w="0" w:type="auto"/>
            <w:gridSpan w:val="2"/>
            <w:shd w:val="clear" w:color="auto" w:fill="FFFFFF"/>
            <w:vAlign w:val="center"/>
            <w:hideMark/>
          </w:tcPr>
          <w:p w14:paraId="169A25DB"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center"/>
            <w:hideMark/>
          </w:tcPr>
          <w:p w14:paraId="32AAF36A"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gridSpan w:val="2"/>
            <w:shd w:val="clear" w:color="auto" w:fill="FFFFFF"/>
            <w:vAlign w:val="center"/>
            <w:hideMark/>
          </w:tcPr>
          <w:p w14:paraId="6348ED77"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center"/>
            <w:hideMark/>
          </w:tcPr>
          <w:p w14:paraId="7FCAE4C3"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1F89839D" w14:textId="77777777" w:rsidTr="002F3D36">
        <w:trPr>
          <w:trHeight w:val="160"/>
          <w:tblCellSpacing w:w="15" w:type="dxa"/>
        </w:trPr>
        <w:tc>
          <w:tcPr>
            <w:tcW w:w="0" w:type="auto"/>
            <w:gridSpan w:val="6"/>
            <w:vAlign w:val="bottom"/>
            <w:hideMark/>
          </w:tcPr>
          <w:p w14:paraId="7C875934" w14:textId="77777777" w:rsidR="002F3D36" w:rsidRPr="002F3D36" w:rsidRDefault="002F3D36" w:rsidP="002F3D36">
            <w:pPr>
              <w:widowControl/>
              <w:jc w:val="left"/>
              <w:rPr>
                <w:rFonts w:ascii="Times New Roman" w:eastAsia="微软雅黑" w:hAnsi="Times New Roman" w:cs="Times New Roman"/>
                <w:kern w:val="0"/>
                <w:sz w:val="16"/>
                <w:szCs w:val="16"/>
              </w:rPr>
            </w:pPr>
            <w:r w:rsidRPr="002F3D36">
              <w:rPr>
                <w:rFonts w:ascii="Arial" w:eastAsia="微软雅黑" w:hAnsi="Arial" w:cs="Arial"/>
                <w:color w:val="000000"/>
                <w:kern w:val="0"/>
                <w:sz w:val="11"/>
                <w:szCs w:val="11"/>
              </w:rPr>
              <w:t>1)</w:t>
            </w:r>
            <w:r w:rsidRPr="002F3D36">
              <w:rPr>
                <w:rFonts w:ascii="Arial" w:eastAsia="微软雅黑" w:hAnsi="Arial" w:cs="Arial"/>
                <w:color w:val="000000"/>
                <w:kern w:val="0"/>
                <w:sz w:val="16"/>
                <w:szCs w:val="16"/>
              </w:rPr>
              <w:t> Number of reportable injuries per 200,000 employee hours of exposure.</w:t>
            </w:r>
          </w:p>
        </w:tc>
        <w:tc>
          <w:tcPr>
            <w:tcW w:w="0" w:type="auto"/>
            <w:vAlign w:val="bottom"/>
            <w:hideMark/>
          </w:tcPr>
          <w:p w14:paraId="6F76117B" w14:textId="77777777" w:rsidR="002F3D36" w:rsidRPr="002F3D36" w:rsidRDefault="002F3D36" w:rsidP="002F3D36">
            <w:pPr>
              <w:widowControl/>
              <w:jc w:val="left"/>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r>
      <w:tr w:rsidR="002F3D36" w:rsidRPr="002F3D36" w14:paraId="57708760" w14:textId="77777777" w:rsidTr="002F3D36">
        <w:trPr>
          <w:trHeight w:val="160"/>
          <w:tblCellSpacing w:w="15" w:type="dxa"/>
        </w:trPr>
        <w:tc>
          <w:tcPr>
            <w:tcW w:w="0" w:type="auto"/>
            <w:gridSpan w:val="6"/>
            <w:vAlign w:val="bottom"/>
            <w:hideMark/>
          </w:tcPr>
          <w:p w14:paraId="798ACF1C" w14:textId="77777777" w:rsidR="002F3D36" w:rsidRPr="002F3D36" w:rsidRDefault="002F3D36" w:rsidP="002F3D36">
            <w:pPr>
              <w:widowControl/>
              <w:jc w:val="left"/>
              <w:rPr>
                <w:rFonts w:ascii="Times New Roman" w:eastAsia="微软雅黑" w:hAnsi="Times New Roman" w:cs="Times New Roman"/>
                <w:kern w:val="0"/>
                <w:sz w:val="16"/>
                <w:szCs w:val="16"/>
              </w:rPr>
            </w:pPr>
            <w:r w:rsidRPr="002F3D36">
              <w:rPr>
                <w:rFonts w:ascii="Arial" w:eastAsia="微软雅黑" w:hAnsi="Arial" w:cs="Arial"/>
                <w:color w:val="000000"/>
                <w:kern w:val="0"/>
                <w:sz w:val="11"/>
                <w:szCs w:val="11"/>
              </w:rPr>
              <w:t>2)</w:t>
            </w:r>
            <w:r w:rsidRPr="002F3D36">
              <w:rPr>
                <w:rFonts w:ascii="Arial" w:eastAsia="微软雅黑" w:hAnsi="Arial" w:cs="Arial"/>
                <w:color w:val="000000"/>
                <w:kern w:val="0"/>
                <w:sz w:val="16"/>
                <w:szCs w:val="16"/>
              </w:rPr>
              <w:t> Total days away from work due to a work-related reportable injury and/or illness per 200,000 employee hours of exposure.</w:t>
            </w:r>
          </w:p>
        </w:tc>
        <w:tc>
          <w:tcPr>
            <w:tcW w:w="0" w:type="auto"/>
            <w:vAlign w:val="bottom"/>
            <w:hideMark/>
          </w:tcPr>
          <w:p w14:paraId="5D386466" w14:textId="77777777" w:rsidR="002F3D36" w:rsidRPr="002F3D36" w:rsidRDefault="002F3D36" w:rsidP="002F3D36">
            <w:pPr>
              <w:widowControl/>
              <w:jc w:val="left"/>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r>
      <w:tr w:rsidR="002F3D36" w:rsidRPr="002F3D36" w14:paraId="789662AE" w14:textId="77777777" w:rsidTr="002F3D36">
        <w:trPr>
          <w:trHeight w:val="160"/>
          <w:tblCellSpacing w:w="15" w:type="dxa"/>
        </w:trPr>
        <w:tc>
          <w:tcPr>
            <w:tcW w:w="0" w:type="auto"/>
            <w:gridSpan w:val="6"/>
            <w:vAlign w:val="bottom"/>
            <w:hideMark/>
          </w:tcPr>
          <w:p w14:paraId="1306646A" w14:textId="77777777" w:rsidR="002F3D36" w:rsidRPr="002F3D36" w:rsidRDefault="002F3D36" w:rsidP="002F3D36">
            <w:pPr>
              <w:widowControl/>
              <w:jc w:val="left"/>
              <w:rPr>
                <w:rFonts w:ascii="Times New Roman" w:eastAsia="微软雅黑" w:hAnsi="Times New Roman" w:cs="Times New Roman"/>
                <w:kern w:val="0"/>
                <w:sz w:val="16"/>
                <w:szCs w:val="16"/>
              </w:rPr>
            </w:pPr>
            <w:r w:rsidRPr="002F3D36">
              <w:rPr>
                <w:rFonts w:ascii="Arial" w:eastAsia="微软雅黑" w:hAnsi="Arial" w:cs="Arial"/>
                <w:color w:val="000000"/>
                <w:kern w:val="0"/>
                <w:sz w:val="11"/>
                <w:szCs w:val="11"/>
              </w:rPr>
              <w:t>3)</w:t>
            </w:r>
            <w:r w:rsidRPr="002F3D36">
              <w:rPr>
                <w:rFonts w:ascii="Arial" w:eastAsia="微软雅黑" w:hAnsi="Arial" w:cs="Arial"/>
                <w:color w:val="000000"/>
                <w:kern w:val="0"/>
                <w:sz w:val="16"/>
                <w:szCs w:val="16"/>
              </w:rPr>
              <w:t> Percentage of total employees participating in Autoliv's annual Performance and Development Dialogue (PDD).</w:t>
            </w:r>
          </w:p>
        </w:tc>
        <w:tc>
          <w:tcPr>
            <w:tcW w:w="0" w:type="auto"/>
            <w:vAlign w:val="bottom"/>
            <w:hideMark/>
          </w:tcPr>
          <w:p w14:paraId="7746F79E" w14:textId="77777777" w:rsidR="002F3D36" w:rsidRPr="002F3D36" w:rsidRDefault="002F3D36" w:rsidP="002F3D36">
            <w:pPr>
              <w:widowControl/>
              <w:jc w:val="left"/>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r>
    </w:tbl>
    <w:p w14:paraId="3C5497D6" w14:textId="77777777" w:rsidR="002F3D36" w:rsidRPr="002F3D36" w:rsidRDefault="002F3D36" w:rsidP="002F3D36">
      <w:pPr>
        <w:widowControl/>
        <w:jc w:val="left"/>
        <w:rPr>
          <w:rFonts w:ascii="Times New Roman" w:eastAsia="宋体" w:hAnsi="Times New Roman" w:cs="Times New Roman"/>
          <w:color w:val="000000"/>
          <w:kern w:val="0"/>
          <w:sz w:val="20"/>
          <w:szCs w:val="20"/>
        </w:rPr>
      </w:pPr>
      <w:r w:rsidRPr="002F3D36">
        <w:rPr>
          <w:rFonts w:ascii="Times New Roman" w:eastAsia="宋体" w:hAnsi="Times New Roman" w:cs="Times New Roman"/>
          <w:color w:val="000000"/>
          <w:kern w:val="0"/>
          <w:sz w:val="20"/>
          <w:szCs w:val="20"/>
        </w:rPr>
        <w:t> </w:t>
      </w:r>
    </w:p>
    <w:p w14:paraId="1451B281" w14:textId="77777777" w:rsidR="002F3D36" w:rsidRPr="002F3D36" w:rsidRDefault="002F3D36" w:rsidP="002F3D36">
      <w:pPr>
        <w:widowControl/>
        <w:spacing w:before="240"/>
        <w:jc w:val="center"/>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9</w:t>
      </w:r>
    </w:p>
    <w:p w14:paraId="1D39B676" w14:textId="77777777" w:rsidR="002F3D36" w:rsidRPr="002F3D36" w:rsidRDefault="002F3D36" w:rsidP="002F3D36">
      <w:pPr>
        <w:widowControl/>
        <w:jc w:val="left"/>
        <w:rPr>
          <w:rFonts w:ascii="宋体" w:eastAsia="宋体" w:hAnsi="宋体" w:cs="宋体"/>
          <w:kern w:val="0"/>
          <w:sz w:val="24"/>
          <w:szCs w:val="24"/>
        </w:rPr>
      </w:pPr>
      <w:r w:rsidRPr="002F3D36">
        <w:rPr>
          <w:rFonts w:ascii="宋体" w:eastAsia="宋体" w:hAnsi="宋体" w:cs="宋体"/>
          <w:kern w:val="0"/>
          <w:sz w:val="24"/>
          <w:szCs w:val="24"/>
        </w:rPr>
        <w:pict w14:anchorId="7C5F6318">
          <v:rect id="_x0000_i1034" style="width:0;height:1.5pt" o:hralign="center" o:hrstd="t" o:hrnoshade="t" o:hr="t" fillcolor="black" stroked="f"/>
        </w:pict>
      </w:r>
    </w:p>
    <w:p w14:paraId="4A199E2A" w14:textId="77777777" w:rsidR="002F3D36" w:rsidRPr="002F3D36" w:rsidRDefault="002F3D36" w:rsidP="002F3D36">
      <w:pPr>
        <w:widowControl/>
        <w:spacing w:line="20" w:lineRule="atLeast"/>
        <w:jc w:val="left"/>
        <w:rPr>
          <w:rFonts w:ascii="Times New Roman" w:eastAsia="宋体" w:hAnsi="Times New Roman" w:cs="Times New Roman"/>
          <w:color w:val="000000"/>
          <w:kern w:val="0"/>
          <w:sz w:val="20"/>
          <w:szCs w:val="20"/>
        </w:rPr>
      </w:pPr>
      <w:r w:rsidRPr="002F3D36">
        <w:rPr>
          <w:rFonts w:ascii="Arial" w:eastAsia="宋体" w:hAnsi="Arial" w:cs="Arial"/>
          <w:color w:val="000000"/>
          <w:kern w:val="0"/>
          <w:sz w:val="2"/>
          <w:szCs w:val="2"/>
        </w:rPr>
        <w:t> </w:t>
      </w:r>
    </w:p>
    <w:p w14:paraId="53D58E2B" w14:textId="77777777" w:rsidR="002F3D36" w:rsidRPr="002F3D36" w:rsidRDefault="002F3D36" w:rsidP="002F3D36">
      <w:pPr>
        <w:widowControl/>
        <w:spacing w:before="16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Available information</w:t>
      </w:r>
    </w:p>
    <w:p w14:paraId="42BBEA74"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The Company files or furnishes with the United States Securities and Exchange Commission (the “SEC”) periodic reports and amendments thereto, which include annual reports on Form 10-K, quarterly reports on Form 10-Q, current reports on Form 8-K, proxy statements and other information. Such reports, amendments, proxy statements and other information are made available free of charge on the Company's corporate website at www.autoliv.com and are available as soon as reasonably practicable after they are electronically filed with the SEC. The Company's Corporate Governance Guidelines, committee charters, code of conduct and other documents governing the Company are also available on its corporate website at www.autoliv.com. The SEC maintains an internet site that contains reports, proxy statements and other information at www.sec.gov. Hard copies of the above-mentioned documents can be obtained free of charge by contacting the Company at: Autoliv, Inc., P.O. Box 70381, SE-107 24, Stockholm, Sweden.</w:t>
      </w:r>
    </w:p>
    <w:p w14:paraId="3E1E2E05"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w:t>
      </w:r>
    </w:p>
    <w:p w14:paraId="26D85367"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Times New Roman" w:eastAsia="宋体" w:hAnsi="Times New Roman" w:cs="Times New Roman"/>
          <w:color w:val="000000"/>
          <w:kern w:val="0"/>
          <w:sz w:val="20"/>
          <w:szCs w:val="20"/>
        </w:rPr>
        <w:t> </w:t>
      </w:r>
    </w:p>
    <w:p w14:paraId="54046B3C" w14:textId="77777777" w:rsidR="002F3D36" w:rsidRPr="002F3D36" w:rsidRDefault="002F3D36" w:rsidP="002F3D36">
      <w:pPr>
        <w:widowControl/>
        <w:spacing w:before="240"/>
        <w:jc w:val="center"/>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10</w:t>
      </w:r>
    </w:p>
    <w:p w14:paraId="4892CE50" w14:textId="77777777" w:rsidR="002F3D36" w:rsidRPr="002F3D36" w:rsidRDefault="002F3D36" w:rsidP="002F3D36">
      <w:pPr>
        <w:widowControl/>
        <w:jc w:val="left"/>
        <w:rPr>
          <w:rFonts w:ascii="宋体" w:eastAsia="宋体" w:hAnsi="宋体" w:cs="宋体"/>
          <w:kern w:val="0"/>
          <w:sz w:val="24"/>
          <w:szCs w:val="24"/>
        </w:rPr>
      </w:pPr>
      <w:r w:rsidRPr="002F3D36">
        <w:rPr>
          <w:rFonts w:ascii="宋体" w:eastAsia="宋体" w:hAnsi="宋体" w:cs="宋体"/>
          <w:kern w:val="0"/>
          <w:sz w:val="24"/>
          <w:szCs w:val="24"/>
        </w:rPr>
        <w:pict w14:anchorId="726998D6">
          <v:rect id="_x0000_i1035" style="width:0;height:1.5pt" o:hralign="center" o:hrstd="t" o:hrnoshade="t" o:hr="t" fillcolor="black" stroked="f"/>
        </w:pict>
      </w:r>
    </w:p>
    <w:p w14:paraId="4301B405" w14:textId="77777777" w:rsidR="002F3D36" w:rsidRPr="002F3D36" w:rsidRDefault="002F3D36" w:rsidP="002F3D36">
      <w:pPr>
        <w:widowControl/>
        <w:spacing w:line="20" w:lineRule="atLeast"/>
        <w:jc w:val="left"/>
        <w:rPr>
          <w:rFonts w:ascii="Times New Roman" w:eastAsia="宋体" w:hAnsi="Times New Roman" w:cs="Times New Roman"/>
          <w:color w:val="000000"/>
          <w:kern w:val="0"/>
          <w:sz w:val="20"/>
          <w:szCs w:val="20"/>
        </w:rPr>
      </w:pPr>
      <w:r w:rsidRPr="002F3D36">
        <w:rPr>
          <w:rFonts w:ascii="Arial" w:eastAsia="宋体" w:hAnsi="Arial" w:cs="Arial"/>
          <w:color w:val="000000"/>
          <w:kern w:val="0"/>
          <w:sz w:val="2"/>
          <w:szCs w:val="2"/>
        </w:rPr>
        <w:t> </w:t>
      </w:r>
    </w:p>
    <w:p w14:paraId="3363FF4E" w14:textId="77777777" w:rsidR="002F3D36" w:rsidRPr="002F3D36" w:rsidRDefault="002F3D36" w:rsidP="002F3D36">
      <w:pPr>
        <w:widowControl/>
        <w:jc w:val="left"/>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22"/>
        </w:rPr>
        <w:t>Item 1A. Risk Factors</w:t>
      </w:r>
    </w:p>
    <w:p w14:paraId="1E4624DC" w14:textId="77777777" w:rsidR="002F3D36" w:rsidRPr="002F3D36" w:rsidRDefault="002F3D36" w:rsidP="002F3D36">
      <w:pPr>
        <w:widowControl/>
        <w:spacing w:before="6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Our business, financial condition, operating results and cash flows may be impacted by a number of factors. A discussion of the risks associated with these material risk factors is included below.</w:t>
      </w:r>
    </w:p>
    <w:p w14:paraId="0400D761" w14:textId="77777777" w:rsidR="002F3D36" w:rsidRPr="002F3D36" w:rsidRDefault="002F3D36" w:rsidP="002F3D36">
      <w:pPr>
        <w:widowControl/>
        <w:spacing w:before="240"/>
        <w:jc w:val="center"/>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shd w:val="clear" w:color="auto" w:fill="FFFFFF"/>
        </w:rPr>
        <w:t>RISKS RELATED TO COVID-19 PANDEMIC</w:t>
      </w:r>
    </w:p>
    <w:p w14:paraId="2F535458" w14:textId="77777777" w:rsidR="002F3D36" w:rsidRPr="002F3D36" w:rsidRDefault="002F3D36" w:rsidP="002F3D36">
      <w:pPr>
        <w:widowControl/>
        <w:spacing w:before="6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shd w:val="clear" w:color="auto" w:fill="FFFFFF"/>
        </w:rPr>
        <w:t>We face risks related to the novel coronavirus (COVID-19) pandemic that have, and are expected to continue to have, an adverse impact on our business and financial performance</w:t>
      </w:r>
    </w:p>
    <w:p w14:paraId="2AD77EF9" w14:textId="77777777" w:rsidR="002F3D36" w:rsidRPr="002F3D36" w:rsidRDefault="002F3D36" w:rsidP="002F3D36">
      <w:pPr>
        <w:widowControl/>
        <w:spacing w:before="6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xml:space="preserve">The COVID-19 pandemic has created significant volatility in the global economy and led to significant reduced economic activity and employment and has disrupted, and may continue to disrupt, the global automotive industry and customer sales, production volumes and purchases of light vehicles by end-consumers. The spread of COVID-19 has also caused disruptions in the manufacturing, delivery and overall supply chains of automobile manufacturers and suppliers. Global light vehicle production ("LVP") has been lower than expected, and is expected to continue to be very volatile. As a result, we have modified our production schedules and have experienced, and may continue to experience, delays in the production and distribution of our products and a decline in sales to our customers. As production resumes </w:t>
      </w:r>
      <w:r w:rsidRPr="002F3D36">
        <w:rPr>
          <w:rFonts w:ascii="Arial" w:eastAsia="宋体" w:hAnsi="Arial" w:cs="Arial"/>
          <w:color w:val="000000"/>
          <w:kern w:val="0"/>
          <w:sz w:val="18"/>
          <w:szCs w:val="18"/>
        </w:rPr>
        <w:lastRenderedPageBreak/>
        <w:t xml:space="preserve">by us and our customers, production volumes have been and may continue to be volatile. We have also taken protective measures to modify our production environment to ensure the health and safety of our workers which has had an impact on our productivity. Additionally, if the global economic effects caused by the pandemic continue or increase, overall customer demand may decrease, which could have a material and adverse effect on our business, results of operations and financial condition. In addition, if a significant portion of our workforce or our suppliers' or customers’ workforces are affected by COVID-19 either directly or due to government closures or otherwise, associated work stoppages or facility closures would halt or delay production. The full extent of the effect of the pandemic on us, our customers, our supply chain or the global supply chain and our business will depend on future developments, which are highly uncertain and cannot be predicted with confidence, including the duration and severity of the outbreak, subsequent outbreaks or the extent of any recession resulting from the pandemic. We may continue to experience the effects of the pandemic even after it has waned, and our business, results of operations and financial condition could continue to be affected. In particular, if COVID-19, including its variants, continues to spread or re-emerges, particularly in the United States, Europe and China, where our operations are most concentrated, resulting in a prolonged period of travel, commercial, social and other similar restrictions, we could experience, among other things: (i) adverse impacts on our operations and financial results caused by government and regulatory measures to contain or mitigate the spread of the virus, temporary closures of our facilities or the facilities of our customers or suppliers, which could impact our ability to timely meet our customers’ orders or negatively impact our supply chain; (ii) the failure of third parties on which we rely or on which our customers rely, including our suppliers, customers, contractors, commercial banks and external business partners, to meet their respective obligations to the Company, or significant disruptions in their ability to do so, which may be caused by their own financial or operational difficulties including bankruptcy or default; (iii) labor shortages and other disruptions or restrictions on our employees’ ability to work effectively, due to illness, quarantines, travel bans, shelter-in-place orders or other limitations; (iv) interruptions to the operations of our business if the health of our executives, management personnel and other employees are affected, particularly if a significant number of individuals are impacted; (v) any accident, COVID-19 illness, or injury to our employees could result in litigation, manufacturing delays and harm to our reputation, which could negatively affect our business, results of operations and financial condition; (vi) changes in prices of tooling and services may be impacted by worldwide demand and by the ongoing COVID-19 pandemic and any such price increases could materially increase our operating costs and adversely affect our profit margin; (vii) governments and regulators may choose to delay new automobile safety regulations which could impact the average global content of passive safety systems per light vehicle in the near term; (viiI) some of our competitors are (or may be) owned by a governmental entity and/or receive various forms of governmental aid or support, which we may not be eligible for, and which may put us at a competitive disadvantage; (ix) increased cybersecurity and privacy risks and risks related to the reliability of technology to support remote operations; (x) sudden and/or severe declines in the market price of our common stock; and (xi) costs incurred and revenues lost during and from the effects of the COVID-19 pandemic likely will not be recoverable. In addition to the risks specifically described above, the impact of COVID-19 is likely to implicate and exacerbate other risks disclosed in Item 1A of this Annual Report, any of which could have a material effect on our operating results, cash flows, or financial condition. </w:t>
      </w:r>
    </w:p>
    <w:p w14:paraId="282EE97B" w14:textId="77777777" w:rsidR="002F3D36" w:rsidRPr="002F3D36" w:rsidRDefault="002F3D36" w:rsidP="002F3D36">
      <w:pPr>
        <w:widowControl/>
        <w:spacing w:before="240"/>
        <w:jc w:val="center"/>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RISKS RELATED TO OUR INDUSTRY</w:t>
      </w:r>
    </w:p>
    <w:p w14:paraId="2ABFD10D" w14:textId="77777777" w:rsidR="002F3D36" w:rsidRPr="002F3D36" w:rsidRDefault="002F3D36" w:rsidP="002F3D36">
      <w:pPr>
        <w:widowControl/>
        <w:spacing w:before="6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lastRenderedPageBreak/>
        <w:t xml:space="preserve">The cyclical nature of automotive sales and production can adversely affect our business. Our business is directly related to LVP in the global market and by our customers, and automotive sales and LVP are the most important drivers for our sales </w:t>
      </w:r>
    </w:p>
    <w:p w14:paraId="1BC3B07F" w14:textId="77777777" w:rsidR="002F3D36" w:rsidRPr="002F3D36" w:rsidRDefault="002F3D36" w:rsidP="002F3D36">
      <w:pPr>
        <w:widowControl/>
        <w:spacing w:before="6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Automotive sales and production are highly cyclical and can be affected by general or regional economic or industry conditions, the level of consumer demand, recalls and other safety issues, labor relations issues, technological changes, fuel prices and availability, vehicle safety regulations and other regulatory requirements, governmental initiatives, trade agreements, political volatility, especially in energy producing countries and growth markets, changes in interest rate levels and credit availability and other factors. Some regions around the world may at various times be more particularly impacted by these factors than other regions. Economic declines that result in a significant reduction in automotive sales and production by our customers have in the past had, and may in the future have, a material adverse effect on our business, results of operations and financial condition. Our sales are also affected by inventory levels of our customers. We cannot predict when our customers will decide to either increase or reduce inventory levels or whether new inventory levels will approximate historical inventory levels. This may exacerbate variability in our order intake and, as a result, our revenues and financial condition. Uncertainty regarding inventory levels may be exacerbated by consumer financing programs initiated or terminated by our customers or governments as such changes may affect the timing of their sales. Changes in automotive sales and LVP and/or customers’ inventory levels will have an impact on our long-term targets, earnings guidance and estimates. In addition, we base our growth projections in part on business awards, or order intake, made by our customers. However, actual production orders from our customers may not approximate the awarded business or our estimated order intake. Any significant reduction in automotive sales and/or LVP by our customers, whether due to general economic conditions or any other factors relevant to sales or LVP, could have a material adverse effect on our business, results of operations and financial condition.</w:t>
      </w:r>
    </w:p>
    <w:p w14:paraId="3D56CAA2" w14:textId="77777777" w:rsidR="002F3D36" w:rsidRPr="002F3D36" w:rsidRDefault="002F3D36" w:rsidP="002F3D36">
      <w:pPr>
        <w:widowControl/>
        <w:spacing w:before="240"/>
        <w:jc w:val="center"/>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11</w:t>
      </w:r>
    </w:p>
    <w:p w14:paraId="45A8822B" w14:textId="77777777" w:rsidR="002F3D36" w:rsidRPr="002F3D36" w:rsidRDefault="002F3D36" w:rsidP="002F3D36">
      <w:pPr>
        <w:widowControl/>
        <w:jc w:val="left"/>
        <w:rPr>
          <w:rFonts w:ascii="宋体" w:eastAsia="宋体" w:hAnsi="宋体" w:cs="宋体"/>
          <w:kern w:val="0"/>
          <w:sz w:val="24"/>
          <w:szCs w:val="24"/>
        </w:rPr>
      </w:pPr>
      <w:r w:rsidRPr="002F3D36">
        <w:rPr>
          <w:rFonts w:ascii="宋体" w:eastAsia="宋体" w:hAnsi="宋体" w:cs="宋体"/>
          <w:kern w:val="0"/>
          <w:sz w:val="24"/>
          <w:szCs w:val="24"/>
        </w:rPr>
        <w:pict w14:anchorId="5819332A">
          <v:rect id="_x0000_i1036" style="width:0;height:1.5pt" o:hralign="center" o:hrstd="t" o:hrnoshade="t" o:hr="t" fillcolor="black" stroked="f"/>
        </w:pict>
      </w:r>
    </w:p>
    <w:p w14:paraId="6C9672E0" w14:textId="77777777" w:rsidR="002F3D36" w:rsidRPr="002F3D36" w:rsidRDefault="002F3D36" w:rsidP="002F3D36">
      <w:pPr>
        <w:widowControl/>
        <w:spacing w:line="20" w:lineRule="atLeast"/>
        <w:jc w:val="left"/>
        <w:rPr>
          <w:rFonts w:ascii="Times New Roman" w:eastAsia="宋体" w:hAnsi="Times New Roman" w:cs="Times New Roman"/>
          <w:color w:val="000000"/>
          <w:kern w:val="0"/>
          <w:sz w:val="20"/>
          <w:szCs w:val="20"/>
        </w:rPr>
      </w:pPr>
      <w:r w:rsidRPr="002F3D36">
        <w:rPr>
          <w:rFonts w:ascii="Arial" w:eastAsia="宋体" w:hAnsi="Arial" w:cs="Arial"/>
          <w:color w:val="000000"/>
          <w:kern w:val="0"/>
          <w:sz w:val="2"/>
          <w:szCs w:val="2"/>
        </w:rPr>
        <w:t> </w:t>
      </w:r>
    </w:p>
    <w:p w14:paraId="62C1F19C"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Growth rates in safety content per vehicle, which can be impacted by changes in consumer trends and political decisions, could affect our results in the future</w:t>
      </w:r>
    </w:p>
    <w:p w14:paraId="455EDFCA"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The Company estimates that the average global content of passive safety systems per light vehicle increased in 2021 to around $250. Vehicles produced in different markets may have various passive safety content values. For example, in developed markets such as Western Europe and North America, the premium segment has an average passive safety content values of around $360 per vehicle, whereas in growth markets such as China and India the average passive safety content per vehicle is approximately $220 and $90, respectively. Due to the majority of the growth in global LVP over time being concentrated in growth markets, our operating results may be impacted if the passive safety content per vehicle remains low and if the penetration of more advanced automotive safety systems does not increase in these regions. As passive safety content per vehicle is also an indicator of our sales development, should these trends continue, the average value of passive safety systems per vehicle could decline.</w:t>
      </w:r>
    </w:p>
    <w:p w14:paraId="63BC145C"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We operate in a highly competitive market</w:t>
      </w:r>
    </w:p>
    <w:p w14:paraId="4165EE4E"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xml:space="preserve">The market for occupant restraint systems is highly competitive. We compete with a number of other companies that produce and sell similar products. Among other factors, our products compete on the </w:t>
      </w:r>
      <w:r w:rsidRPr="002F3D36">
        <w:rPr>
          <w:rFonts w:ascii="Arial" w:eastAsia="宋体" w:hAnsi="Arial" w:cs="Arial"/>
          <w:color w:val="000000"/>
          <w:kern w:val="0"/>
          <w:sz w:val="18"/>
          <w:szCs w:val="18"/>
        </w:rPr>
        <w:lastRenderedPageBreak/>
        <w:t>basis of price, quality, manufacturing and distribution capability, design and performance, technological innovation, delivery and service. Some of our competitors are subsidiaries (or divisions, units or similar) of companies that are larger and have greater financial and other resources than us. Some of our competitors may also have a “preferred status” as a result of special relationships or ownership interests with certain customers. Our ability to compete successfully depends, in large part, on our success in continuing to innovate and manufacture products that have commercial success with consumers, differentiating our products from those of our competitors, continuing to deliver quality products in the time frames required by our customers, and maintaining best-cost production. We continue to invest in technology and innovation which we believe will be critical to our long-term growth. Our ability to maintain and improve existing products, while successfully developing and introducing distinctive new and enhanced products that anticipate changing customer and consumer preferences and capitalize upon emerging technologies will be a significant factor in our ability to remain competitive. If we are unsuccessful or are less successful than our competitors in predicting the course of market development, developing innovative products, processes, and/or use of materials or adapting to new technologies or evolving regulatory, industry or customer requirements, we may be placed at a competitive disadvantag</w:t>
      </w:r>
      <w:r w:rsidRPr="002F3D36">
        <w:rPr>
          <w:rFonts w:ascii="Arial" w:eastAsia="宋体" w:hAnsi="Arial" w:cs="Arial"/>
          <w:color w:val="000000"/>
          <w:kern w:val="0"/>
          <w:sz w:val="18"/>
          <w:szCs w:val="18"/>
          <w:shd w:val="clear" w:color="auto" w:fill="FFFFFF"/>
        </w:rPr>
        <w:t>e. For example, the focus of the automotive industry on the development of advanced driver assistance technologies, with the goal of developing and introducing autonomous vehicles, and increase in consumer preferences for mobility on demand services may create demand for new and innovative products in response to OEM and consumer preferences and our success in providing such products will be critical for our long-term growth. Similarly, the demand for our products historically has tracked LVP and a future evolution of the automotive industry to autonomous vehicles and mobility on demand services may lead to a future reduction in annual global LVP. Additionally, our customers are increasingly focused on developing electric vehicles. If we fail to be awarded business on electric vehicle models, it will harm our future business prospects. Our competitive environment continues to change, including increased competition from entrants outside the traditional automotive industry, creating uncertaint</w:t>
      </w:r>
      <w:r w:rsidRPr="002F3D36">
        <w:rPr>
          <w:rFonts w:ascii="Arial" w:eastAsia="宋体" w:hAnsi="Arial" w:cs="Arial"/>
          <w:color w:val="000000"/>
          <w:kern w:val="0"/>
          <w:sz w:val="18"/>
          <w:szCs w:val="18"/>
        </w:rPr>
        <w:t>y about the future competitive landscape. Given the competitive nature of our business, the amount of awards we are awarded relative to our peers may decrease over time. The inability to compete successfully could have a material adverse effect on our business, results of operations and financial condition.</w:t>
      </w:r>
    </w:p>
    <w:p w14:paraId="7E73FADA"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The discontinuation, lack of commercial success, or loss of business with respect to a particular vehicle model for which we are a significant supplier could reduce our sales and harm our business</w:t>
      </w:r>
    </w:p>
    <w:p w14:paraId="426B7934"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A number of our customer contracts generally require us to supply a customer’s annual requirements for a particular vehicle model and assembly facilities, rather than for manufacturing a specific quantity of products. Such contracts range from one year to the life of the model, which is generally four to seven years. These contracts are often subject to renegotiation, sometimes as frequent as on an annual basis, which may affect product pricing, and generally may be terminated by our customers at any time. Therefore, the discontinuation of, the loss of business with respect to, or a lack of commercial success of a particular vehicle model or brand for which we are a significant supplier could reduce our sales and harm our business prospects, operating results, cash flows, or financial condition.</w:t>
      </w:r>
    </w:p>
    <w:p w14:paraId="30158B0C"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 xml:space="preserve">We are working to expand our product offerings beyond light vehicles to include a variety of powered two wheeled personal vehicles. If we are not successful in expanding our product offerings or if it takes longer or costs are more than expected, it could harm our business </w:t>
      </w:r>
    </w:p>
    <w:p w14:paraId="458405F4"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lastRenderedPageBreak/>
        <w:t>The Company is working to expand its product offerings to focus on mobile safety solutions. The expansion of our product offering will require us to develop innovative products and to reach new customers. If we are not successful in expanding our product offerings or if it takes longer or costs are more than expected, it could negatively impact our financial results and future business prospects.</w:t>
      </w:r>
    </w:p>
    <w:p w14:paraId="74E53D20" w14:textId="77777777" w:rsidR="002F3D36" w:rsidRPr="002F3D36" w:rsidRDefault="002F3D36" w:rsidP="002F3D36">
      <w:pPr>
        <w:widowControl/>
        <w:jc w:val="left"/>
        <w:rPr>
          <w:rFonts w:ascii="Times New Roman" w:eastAsia="宋体" w:hAnsi="Times New Roman" w:cs="Times New Roman"/>
          <w:color w:val="000000"/>
          <w:kern w:val="0"/>
          <w:sz w:val="20"/>
          <w:szCs w:val="20"/>
        </w:rPr>
      </w:pPr>
      <w:r w:rsidRPr="002F3D36">
        <w:rPr>
          <w:rFonts w:ascii="Times New Roman" w:eastAsia="宋体" w:hAnsi="Times New Roman" w:cs="Times New Roman"/>
          <w:color w:val="000000"/>
          <w:kern w:val="0"/>
          <w:sz w:val="20"/>
          <w:szCs w:val="20"/>
        </w:rPr>
        <w:t> </w:t>
      </w:r>
    </w:p>
    <w:p w14:paraId="1966EC83" w14:textId="77777777" w:rsidR="002F3D36" w:rsidRPr="002F3D36" w:rsidRDefault="002F3D36" w:rsidP="002F3D36">
      <w:pPr>
        <w:widowControl/>
        <w:spacing w:before="240"/>
        <w:jc w:val="center"/>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12</w:t>
      </w:r>
    </w:p>
    <w:p w14:paraId="1C8C290C" w14:textId="77777777" w:rsidR="002F3D36" w:rsidRPr="002F3D36" w:rsidRDefault="002F3D36" w:rsidP="002F3D36">
      <w:pPr>
        <w:widowControl/>
        <w:jc w:val="left"/>
        <w:rPr>
          <w:rFonts w:ascii="宋体" w:eastAsia="宋体" w:hAnsi="宋体" w:cs="宋体"/>
          <w:kern w:val="0"/>
          <w:sz w:val="24"/>
          <w:szCs w:val="24"/>
        </w:rPr>
      </w:pPr>
      <w:r w:rsidRPr="002F3D36">
        <w:rPr>
          <w:rFonts w:ascii="宋体" w:eastAsia="宋体" w:hAnsi="宋体" w:cs="宋体"/>
          <w:kern w:val="0"/>
          <w:sz w:val="24"/>
          <w:szCs w:val="24"/>
        </w:rPr>
        <w:pict w14:anchorId="59CCC1FA">
          <v:rect id="_x0000_i1037" style="width:0;height:1.5pt" o:hralign="center" o:hrstd="t" o:hrnoshade="t" o:hr="t" fillcolor="black" stroked="f"/>
        </w:pict>
      </w:r>
    </w:p>
    <w:p w14:paraId="480F6177" w14:textId="77777777" w:rsidR="002F3D36" w:rsidRPr="002F3D36" w:rsidRDefault="002F3D36" w:rsidP="002F3D36">
      <w:pPr>
        <w:widowControl/>
        <w:spacing w:line="20" w:lineRule="atLeast"/>
        <w:jc w:val="left"/>
        <w:rPr>
          <w:rFonts w:ascii="Times New Roman" w:eastAsia="宋体" w:hAnsi="Times New Roman" w:cs="Times New Roman"/>
          <w:color w:val="000000"/>
          <w:kern w:val="0"/>
          <w:sz w:val="20"/>
          <w:szCs w:val="20"/>
        </w:rPr>
      </w:pPr>
      <w:r w:rsidRPr="002F3D36">
        <w:rPr>
          <w:rFonts w:ascii="Arial" w:eastAsia="宋体" w:hAnsi="Arial" w:cs="Arial"/>
          <w:color w:val="000000"/>
          <w:kern w:val="0"/>
          <w:sz w:val="2"/>
          <w:szCs w:val="2"/>
        </w:rPr>
        <w:t> </w:t>
      </w:r>
    </w:p>
    <w:p w14:paraId="111ADD3D" w14:textId="77777777" w:rsidR="002F3D36" w:rsidRPr="002F3D36" w:rsidRDefault="002F3D36" w:rsidP="002F3D36">
      <w:pPr>
        <w:widowControl/>
        <w:spacing w:before="340"/>
        <w:jc w:val="center"/>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RISKS RELATED TO OUR BUSINESS</w:t>
      </w:r>
    </w:p>
    <w:p w14:paraId="4EA619D1"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shd w:val="clear" w:color="auto" w:fill="FFFFFF"/>
        </w:rPr>
        <w:t>We may incur material losses and costs as a result of product liability, warranty and recall claims that may be brought against us or our customers</w:t>
      </w:r>
    </w:p>
    <w:p w14:paraId="55394AA8"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xml:space="preserve">We face risks related to product liability claims, warranty claims and recalls in the event that any of our products actually or allegedly are defective, fail to perform as expected or the use of our products results, or is alleged to result, in bodily injury and/or property damage. We may not be able to anticipate all of the possible performance or reliability problems that could arise with our products after they are released to the market. Additionally, increasing regulation and reporting requirements regarding potentially defective products, particularly in the U.S., may increase the possibility that we become involved in additional product liability or recall investigations or claims. See – “Our business may be adversely affected by changes in automotive safety regulations or concerns that drive further regulation of the automobile safety market”. Although we currently carry product liability and product recall insurance in excess of our self-insured amounts, no assurance can be made that such insurance will provide adequate coverage against potential claims, such insurance is available or will continue to be available in the appropriate markets, or that we will be able to obtain such insurance on acceptable terms in the future as the cost of such insurance has risen in recent years and the cost of our self-insurance program has risen as well. Although we have invested and will continue to invest in our engineering, design, and quality infrastructure, we cannot give any assurance that our products will not suffer from defects or other deficiencies or that we will not experience material warranty claims or product recalls. In the future, we could experience material warranty or product liability losses and incur significant costs to process and defend these claims. A successful claim brought against us in excess of available insurance coverage, if any, or a requirement to participate in any product recall, could have a material adverse effect on our operating results, cash flows or financial condition. Future recalls could result in costs not covered by insurance in excess of our self-insurance, further government inquiries, litigation and reputational harm and could divert management’s attention away from other matters. The main variables affecting the costs of a recall are the number of vehicles ultimately determined to be affected by the issue, the cost per vehicle associated with a recall, the determination of proportionate responsibility among the customer, the Company, and any relevant sub-suppliers, and actual insurance recoveries. Every vehicle manufacturer has its own practices regarding product recalls and other product liability actions relating to its suppliers, and the performance and remedial requirements vary between jurisdictions. Due to recall activity in the automotive industry over the past decade, some vehicle manufactures have become even more sensitive to product recall risks. As suppliers become more integrally involved in the vehicle design process and assume more of the vehicle assembly functions, vehicle manufacturers are increasingly looking to their suppliers for contribution when faced with recalls and product liability claims. Product recalls in our industry, even when </w:t>
      </w:r>
      <w:r w:rsidRPr="002F3D36">
        <w:rPr>
          <w:rFonts w:ascii="Arial" w:eastAsia="宋体" w:hAnsi="Arial" w:cs="Arial"/>
          <w:color w:val="000000"/>
          <w:kern w:val="0"/>
          <w:sz w:val="18"/>
          <w:szCs w:val="18"/>
        </w:rPr>
        <w:lastRenderedPageBreak/>
        <w:t>they do not involve our products, can harm the reputations of our customers, competitors, and us, particularly if those recalls cause consumers to question the safety or reliability of products similar to those we produce. In addition, with global platforms and procedures, vehicle manufacturers are increasingly evaluating our quality performance on a global basis; any one or more quality, warranty or other recall issue(s) (including issues affecting few units and/or having a small financial impact) may cause a vehicle manufacturer to implement measures which may have a severe impact on our operations, such as a global, temporary or prolonged suspension of new orders. In addition, as our products more frequently use global designs and are based on or utilize the same or similar parts, components or solutions, there is a risk that the number of vehicles affected globally by a failure or defect will increase significantly with a corresponding increase in our costs. A warranty, recall or product liability claim brought against us in excess of our available insurance may have a material adverse effect on our business. Vehicle manufacturers are also increasingly requiring their outside suppliers to guarantee or warrant their products and bear the costs of repair and replacement of such products under new vehicle warranties. A vehicle manufacturer may attempt to hold us responsible for some or the entire repair or replacement costs of defective products under new vehicle warranties, when the product supplied did not perform as represented. Accordingly, the future costs of warranty claims by our customers may be material. However, the final amounts determined to be due related to these matters could differ materially from our recorded warranty estimates and our business prospects, operating results, cash flows or financial condition may be materially impacted as a result. In addition, as we adopt new technology, we face an inherent risk of exposure to the claims of others that we have allegedly violated their intellectual property rights. We cannot assure that we will not experience any material warranty, product liability or intellectual property claim losses in the future or that we will not incur significant costs to defend such claims. See “If our patents are declared invalid or our technology infringes on the proprietary rights of others, our ability to compete may be impaired”.</w:t>
      </w:r>
    </w:p>
    <w:p w14:paraId="11F1DFCF"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Escalating pricing pressures from our customers may adversely affect our business</w:t>
      </w:r>
    </w:p>
    <w:p w14:paraId="0723B456"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xml:space="preserve">The automotive industry continues to experience aggressive pricing pressure from customers. This trend is partly attributable to the major automobile manufacturers’ strong purchasing power. As with other automotive component manufacturers, we are often expected to quote fixed prices or are forced to accept prices with annual price reduction commitments for long-term sales arrangements or discounted reimbursements for engineering work. Price reductions have impacted our sales and profit margins and are expected to continue to do so in the future. Our future profitability will depend upon, among other things, our ability to continuously reduce our cost per unit and maintain our cost structure, enabling us to remain cost-competitive. Our profitability is also influenced by our success in designing and marketing technological improvements in automotive safety systems, which helps us offset price reductions by our customers. If we are unable to offset continued price reductions through improved operating efficiencies and reduced expenditures, these price reductions may have a material adverse effect on our business prospects, operating results, cash flows or financial condition. </w:t>
      </w:r>
    </w:p>
    <w:p w14:paraId="7FC9FA31" w14:textId="77777777" w:rsidR="002F3D36" w:rsidRPr="002F3D36" w:rsidRDefault="002F3D36" w:rsidP="002F3D36">
      <w:pPr>
        <w:widowControl/>
        <w:jc w:val="left"/>
        <w:rPr>
          <w:rFonts w:ascii="Times New Roman" w:eastAsia="宋体" w:hAnsi="Times New Roman" w:cs="Times New Roman"/>
          <w:color w:val="000000"/>
          <w:kern w:val="0"/>
          <w:sz w:val="20"/>
          <w:szCs w:val="20"/>
        </w:rPr>
      </w:pPr>
      <w:r w:rsidRPr="002F3D36">
        <w:rPr>
          <w:rFonts w:ascii="Times New Roman" w:eastAsia="宋体" w:hAnsi="Times New Roman" w:cs="Times New Roman"/>
          <w:color w:val="000000"/>
          <w:kern w:val="0"/>
          <w:sz w:val="20"/>
          <w:szCs w:val="20"/>
        </w:rPr>
        <w:t> </w:t>
      </w:r>
    </w:p>
    <w:p w14:paraId="0290176D" w14:textId="77777777" w:rsidR="002F3D36" w:rsidRPr="002F3D36" w:rsidRDefault="002F3D36" w:rsidP="002F3D36">
      <w:pPr>
        <w:widowControl/>
        <w:spacing w:before="240"/>
        <w:jc w:val="center"/>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13</w:t>
      </w:r>
    </w:p>
    <w:p w14:paraId="6CDF5A2E" w14:textId="77777777" w:rsidR="002F3D36" w:rsidRPr="002F3D36" w:rsidRDefault="002F3D36" w:rsidP="002F3D36">
      <w:pPr>
        <w:widowControl/>
        <w:jc w:val="left"/>
        <w:rPr>
          <w:rFonts w:ascii="宋体" w:eastAsia="宋体" w:hAnsi="宋体" w:cs="宋体"/>
          <w:kern w:val="0"/>
          <w:sz w:val="24"/>
          <w:szCs w:val="24"/>
        </w:rPr>
      </w:pPr>
      <w:r w:rsidRPr="002F3D36">
        <w:rPr>
          <w:rFonts w:ascii="宋体" w:eastAsia="宋体" w:hAnsi="宋体" w:cs="宋体"/>
          <w:kern w:val="0"/>
          <w:sz w:val="24"/>
          <w:szCs w:val="24"/>
        </w:rPr>
        <w:pict w14:anchorId="1F3A66FE">
          <v:rect id="_x0000_i1038" style="width:0;height:1.5pt" o:hralign="center" o:hrstd="t" o:hrnoshade="t" o:hr="t" fillcolor="black" stroked="f"/>
        </w:pict>
      </w:r>
    </w:p>
    <w:p w14:paraId="4F938FA6" w14:textId="77777777" w:rsidR="002F3D36" w:rsidRPr="002F3D36" w:rsidRDefault="002F3D36" w:rsidP="002F3D36">
      <w:pPr>
        <w:widowControl/>
        <w:spacing w:line="20" w:lineRule="atLeast"/>
        <w:jc w:val="left"/>
        <w:rPr>
          <w:rFonts w:ascii="Times New Roman" w:eastAsia="宋体" w:hAnsi="Times New Roman" w:cs="Times New Roman"/>
          <w:color w:val="000000"/>
          <w:kern w:val="0"/>
          <w:sz w:val="20"/>
          <w:szCs w:val="20"/>
        </w:rPr>
      </w:pPr>
      <w:r w:rsidRPr="002F3D36">
        <w:rPr>
          <w:rFonts w:ascii="Arial" w:eastAsia="宋体" w:hAnsi="Arial" w:cs="Arial"/>
          <w:color w:val="000000"/>
          <w:kern w:val="0"/>
          <w:sz w:val="2"/>
          <w:szCs w:val="2"/>
        </w:rPr>
        <w:t> </w:t>
      </w:r>
    </w:p>
    <w:p w14:paraId="6AFAA44D"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lastRenderedPageBreak/>
        <w:t>We could experience disruption in our supply or delivery chain, which could cause one or more of our customers to halt or delay production</w:t>
      </w:r>
    </w:p>
    <w:p w14:paraId="2C7E0560"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We, as with other component manufactures in the automotive industry, ship our products to customer vehicle assembly facilities throughout the world on a “just-in-time” basis in order for our customers to maintain low inventory levels. Our suppliers (external suppliers as well as our own production sites) use a similar method in providing raw materials to us. However, this “just-in-time” method makes the logistics supply chain in our industry very complex and vulnerable to disruption. Disruptions in our supply chain may result for many reasons, including closures of one of our own or one of our suppliers’ facilities or critical manufacturing lines due to strikes or other labor disputes, mechanical failures, electrical outages, fires, explosions, critical pollution levels, critical health and safety and other working conditions issues (including epidemics and pandemics, such as the coronavirus (COVID-19)), natural disasters political upheaval, as well as logistical complications due to labor disruptions, weather or natural disasters, acts of terrorism, mechanical failures and legislation or regulation regarding the transport of hazardous goods. Additionally, we may experience disruptions if there are newly imposed trade restrictions or delays in customs processing, including if we are unable to obtain government authorization to export or import certain materials, including materials that may be viewed as dangerous such as the propellant used for our inflators. As we continue to expand in growth markets, the risk of such disruptions is heightened. The unavailability of even a single small subcomponent necessary to manufacture one of our products, for whatever reason, could force us to cease production of that product, possibly for a prolonged period. Similarly, a potential quality issue could force us to halt deliveries while we validate the products. Even where products are ready to be shipped, or have been shipped, delays may arise before they reach our customer. Also, similar difficulties for other suppliers may force our customers to halt production, which may in turn impact our sales shipments to such customers. When we fail to timely deliver, we may have to absorb our own costs for identifying and resolving the ultimate problem as well as expeditiously producing and shipping replacement components or products. Generally, we must also carry the costs associated with “catching up,” such as overtime and premium freight. If we are the cause of a customer being forced to halt production, the customer may seek to recoup all of its losses and expenses from us. These losses and expenses could be very significant and may include consequential losses such as lost profits. Where a customer halts production because of another supplier failing to deliver on time, we may not be fully compensated, if at all. Thus, any such supply chain disruptions could severely impact our operations and/or those of our customers and force us to halt production for prolonged periods of time which could expose us to material claims for compensation and have a material adverse effect on our business prospects, operating results, or financial condition.</w:t>
      </w:r>
    </w:p>
    <w:p w14:paraId="79A100D3"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Adverse developments affecting one or more of our major suppliers could harm our profitability</w:t>
      </w:r>
    </w:p>
    <w:p w14:paraId="30A98D66"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xml:space="preserve">Any significant disruption in our supplier relationships, particularly relationships with single-source suppliers, could harm our profitability. Furthermore, some of our suppliers may not be able to sufficiently manage the currency commodity cost volatility and/or sharply changing volumes while still performing as we expect. For example, recalls or field actions from our customers can stress the capacity of our supply chain and may inhibit our ability to timely deliver order volumes. We may incur costs as we try to make contingency plans to manage the risks for delivery delays, production delays, production issues or delivery of non-conforming products by our suppliers. </w:t>
      </w:r>
    </w:p>
    <w:p w14:paraId="73A24783"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shd w:val="clear" w:color="auto" w:fill="FFFFFF"/>
        </w:rPr>
        <w:t>Changes in the source, cost, availability of and regulations pertaining to raw materials and components may adversely affect our profit margins</w:t>
      </w:r>
    </w:p>
    <w:p w14:paraId="339E550A"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lastRenderedPageBreak/>
        <w:t>Our business uses a broad range of raw materials and components in the manufacture of our products, nearly all of which are generally available from a number of qualified suppliers. Our industry may be affected from time to time by limited supplies or price fluctuations of certain key components and materials. Strong worldwide demand for certain raw materials has had a significant impact on prices and short-term availability in recent years, including in 2021. Such price increases have and could materially increase our operating costs and materially and adversely affect our profit margin, as direct material costs amounted to approximately 50% of our net sales in 2021, of which approximately half is the raw material cost portion. Inflation is currently high world-wide and may continue for some time. Commercial negotiations with our customers and suppliers may not always offset all of the adverse impact of higher raw material, energy and commodity costs. Even where we are able to pass price increases along to our customer, there may be a lapse of time before we are able to do so such that we must absorb the cost increase. In addition, no assurances can be given that the magnitude and duration of such cost increases or any future cost increases could not have a larger adverse impact on our profitability and consolidated financial position than currently anticipated. Additionally, various government regulators require companies that manufacture products containing certain minerals and their derivatives that are known as “conflict minerals”, originating from the Democratic Republic of Congo or adjoining countries to diligence and report the source of such materials. There are significant resources associated with complying with these requirements, including diligence efforts to determine the sources of conflict minerals used in our products and potential changes to our processes or supplies as a consequence of such diligence efforts. As there may be only a limited number of suppliers able to offer certified “conflict free” conflict minerals, there can be no assurance that we will be able to obtain necessary conflict free minerals from such suppliers in sufficient quantities or at competitive prices. We may face reputational challenges if we determine that certain of our products contain minerals not determined to be conflict free or if we are unable to sufficiently verify the origins for all minerals used in our products through the procedures we may implement. Furthermore, our customers are also increasingly requiring us to track sustainable sources of certain raw materials, which also requires additional diligence efforts and there can be no assurance that we will be able to obtain these materials in a cost-efficient and sustainable manner. Accordingly, these rules and customer requirements may adversely affect our business prospects, operating results, cash flows or financial condition.</w:t>
      </w:r>
    </w:p>
    <w:p w14:paraId="5C314290" w14:textId="77777777" w:rsidR="002F3D36" w:rsidRPr="002F3D36" w:rsidRDefault="002F3D36" w:rsidP="002F3D36">
      <w:pPr>
        <w:widowControl/>
        <w:spacing w:before="240"/>
        <w:jc w:val="center"/>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14</w:t>
      </w:r>
    </w:p>
    <w:p w14:paraId="68D377A9" w14:textId="77777777" w:rsidR="002F3D36" w:rsidRPr="002F3D36" w:rsidRDefault="002F3D36" w:rsidP="002F3D36">
      <w:pPr>
        <w:widowControl/>
        <w:jc w:val="left"/>
        <w:rPr>
          <w:rFonts w:ascii="宋体" w:eastAsia="宋体" w:hAnsi="宋体" w:cs="宋体"/>
          <w:kern w:val="0"/>
          <w:sz w:val="24"/>
          <w:szCs w:val="24"/>
        </w:rPr>
      </w:pPr>
      <w:r w:rsidRPr="002F3D36">
        <w:rPr>
          <w:rFonts w:ascii="宋体" w:eastAsia="宋体" w:hAnsi="宋体" w:cs="宋体"/>
          <w:kern w:val="0"/>
          <w:sz w:val="24"/>
          <w:szCs w:val="24"/>
        </w:rPr>
        <w:pict w14:anchorId="1E8DE994">
          <v:rect id="_x0000_i1039" style="width:0;height:1.5pt" o:hralign="center" o:hrstd="t" o:hrnoshade="t" o:hr="t" fillcolor="black" stroked="f"/>
        </w:pict>
      </w:r>
    </w:p>
    <w:p w14:paraId="13A27713" w14:textId="77777777" w:rsidR="002F3D36" w:rsidRPr="002F3D36" w:rsidRDefault="002F3D36" w:rsidP="002F3D36">
      <w:pPr>
        <w:widowControl/>
        <w:spacing w:line="20" w:lineRule="atLeast"/>
        <w:jc w:val="left"/>
        <w:rPr>
          <w:rFonts w:ascii="Times New Roman" w:eastAsia="宋体" w:hAnsi="Times New Roman" w:cs="Times New Roman"/>
          <w:color w:val="000000"/>
          <w:kern w:val="0"/>
          <w:sz w:val="20"/>
          <w:szCs w:val="20"/>
        </w:rPr>
      </w:pPr>
      <w:r w:rsidRPr="002F3D36">
        <w:rPr>
          <w:rFonts w:ascii="Arial" w:eastAsia="宋体" w:hAnsi="Arial" w:cs="Arial"/>
          <w:color w:val="000000"/>
          <w:kern w:val="0"/>
          <w:sz w:val="2"/>
          <w:szCs w:val="2"/>
        </w:rPr>
        <w:t> </w:t>
      </w:r>
    </w:p>
    <w:p w14:paraId="5ABEBDDC"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Our business could be materially and adversely affected if we lost any of our largest customers or if they were unable to pay their invoices</w:t>
      </w:r>
    </w:p>
    <w:p w14:paraId="62869655"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xml:space="preserve">We are dependent on a few large customers with strong purchasing power. This is the result of customer consolidation in the last few decades. In 2021, our top five customers represented around 51% of our consolidated sales. Our largest contract accounted for around 2% of our total 2021 sales. Although business with any given customer is typically split into several contracts (either on the basis of one contract per vehicle model or on a broader platform basis), the loss of business from any of our major customers (whether by lower overall demand for vehicles, cancellation of existing contracts or the failure to award us new business) could have a material adverse effect on our business, results of operations and financial condition. Similarly, further consolidation of our customers in the future could make us more reliant upon a smaller group of customers for a significant portion of our consolidated sales and negatively impact our </w:t>
      </w:r>
      <w:r w:rsidRPr="002F3D36">
        <w:rPr>
          <w:rFonts w:ascii="Arial" w:eastAsia="宋体" w:hAnsi="Arial" w:cs="Arial"/>
          <w:color w:val="000000"/>
          <w:kern w:val="0"/>
          <w:sz w:val="18"/>
          <w:szCs w:val="18"/>
        </w:rPr>
        <w:lastRenderedPageBreak/>
        <w:t>bargaining power when contracting with such customers. Customers may put us on a “new business hold,” which would limit our ability to quote or be awarded all or part of their future vehicle contracts if quality or other issues arise in the vehicles for which we were a supplier. Such new business holds range in length and scope and are generally accompanied by a certain set of remedial conditions that must be met before we are eligible to bid for new business. Meeting any such conditions within the prescribed timeframe may require additional Company resources. A failure to satisfy any such conditions may have a material adverse impact on our financial results in the long term. There is a risk that one or more of our major customers may be unable to pay our invoices as they become due or that a customer will simply refuse to make such payments given its financial difficulties. If a major customer would enter into bankruptcy proceedings or similar proceedings whereby contractual commitments are subject to stay of execution and the possibility of legal or other modification, or if a major customer otherwise successfully procures protection against us legally enforcing its obligations, it is likely, absent special relief such as having a “preferred status”, that we will be forced to record a substantial loss. Additional information concerning our major customers is included in Note 20 of the Consolidated Financial Statements in this Annual Report.</w:t>
      </w:r>
    </w:p>
    <w:p w14:paraId="60422CEB"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Our inability to effectively manage the timing, quality and costs of new program launches could adversely affect our financial performance</w:t>
      </w:r>
    </w:p>
    <w:p w14:paraId="65C21EBE"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To compete effectively in the automotive supply industry, we must be able to launch new products to meet our customers’ timing, performance and quality standards. At times, we face an uneven number of launches, and some launches for various reasons, may have shortened launch lead times. We cannot provide assurance that we will be able to install and certify the equipment needed to produce products for new programs in time for the start of production, or that the transitioning of our manufacturing facilities and resources to full production for such new programs will not impact production rates or other operational efficiency measures at our facilities. In addition, we cannot provide assurance that our customers will execute on schedule the launch of their new product programs, for which we might supply products. Additionally, as a Tier 1 supplier, we must effectively coordinate the activities of numerous suppliers in order to launch programs successfully. Given the complexity of new program launches, especially involving new and innovative technologies, we may experience difficulties managing product quality, timeliness and associated costs. In addition, new program launches require a significant ramp up of costs; however, the sales related to these new programs generally are dependent upon the timing and success of the introduction of new vehicles by the Company’s customers. Our inability to effectively manage the timing, quality and costs of these new program launches could adversely affect our business prospects, operating results, cash flows or financial condition.</w:t>
      </w:r>
    </w:p>
    <w:p w14:paraId="63224406"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Changes in our product mix may impact our financial performance</w:t>
      </w:r>
    </w:p>
    <w:p w14:paraId="349894B0"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We sell products that have varying profit margins. Our financial performance can be impacted depending on the mix of products we sell during a given period. Our earnings guidance and estimates assume a certain geographic sales mix as well as a product sales mix. If actual results vary significantly from this projected geographic and product mix of sales, our operating results and financial condition could be negatively impacted.</w:t>
      </w:r>
    </w:p>
    <w:p w14:paraId="5C8CFD1A"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We are involved from time to time in legal proceedings and our business may suffer as a result of adverse outcomes of current or future legal proceedings</w:t>
      </w:r>
    </w:p>
    <w:p w14:paraId="27D6AE21"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xml:space="preserve">We are, from time to time, involved in litigation, regulatory proceedings and commercial or contractual disputes that may be significant. These matters may include, without limitation, disputes with our suppliers </w:t>
      </w:r>
      <w:r w:rsidRPr="002F3D36">
        <w:rPr>
          <w:rFonts w:ascii="Arial" w:eastAsia="宋体" w:hAnsi="Arial" w:cs="Arial"/>
          <w:color w:val="000000"/>
          <w:kern w:val="0"/>
          <w:sz w:val="18"/>
          <w:szCs w:val="18"/>
        </w:rPr>
        <w:lastRenderedPageBreak/>
        <w:t xml:space="preserve">and customers, intellectual property claims, shareholder litigation, government investigations, class action lawsuits, personal injury claims, product liability claims, environmental issues, antitrust, customs and VAT disputes and employment and tax issues. In such matters, government agencies or private parties may seek to recover from us very large, indeterminate amounts in penalties or monetary damages (including, in some cases, treble or punitive damages) or seek to limit our operations in some way. For example, on December 31, 2021, a U.S. federal court entered an order requiring Autoliv to pay approximately $114 million, approximately $14 million in actual compensatory damages and $100 million in punitive damages, because Autoliv manufactured the seatbelt that was involved in an accident. The Company has sought reconsideration of the verdict and, if necessary, will appeal this decision. The possibility exists that claims may be asserted against us and their magnitude may remain unknown for long periods of time. These types of lawsuits could require a significant amount of management’s time and attention and a substantial legal liability or adverse regulatory outcome and the substantial expenses to defend the </w:t>
      </w:r>
      <w:r w:rsidRPr="002F3D36">
        <w:rPr>
          <w:rFonts w:ascii="Arial" w:eastAsia="宋体" w:hAnsi="Arial" w:cs="Arial"/>
          <w:color w:val="000000"/>
          <w:kern w:val="0"/>
          <w:sz w:val="18"/>
          <w:szCs w:val="18"/>
          <w:shd w:val="clear" w:color="auto" w:fill="FFFFFF"/>
        </w:rPr>
        <w:t>litigation or regulatory proceedings may have a material adverse effect on our customer relationships, business prospects, reputation, operating results, cash flows and financial condition. No assurances can be given that such proceedings and claims will not have a material adverse impact on our profitability and consolidated financial position or that our established reserves or our available insurance will mitigate such impact.</w:t>
      </w:r>
    </w:p>
    <w:p w14:paraId="71E3001A" w14:textId="77777777" w:rsidR="002F3D36" w:rsidRPr="002F3D36" w:rsidRDefault="002F3D36" w:rsidP="002F3D36">
      <w:pPr>
        <w:widowControl/>
        <w:jc w:val="left"/>
        <w:rPr>
          <w:rFonts w:ascii="Times New Roman" w:eastAsia="宋体" w:hAnsi="Times New Roman" w:cs="Times New Roman"/>
          <w:color w:val="000000"/>
          <w:kern w:val="0"/>
          <w:sz w:val="20"/>
          <w:szCs w:val="20"/>
        </w:rPr>
      </w:pPr>
      <w:r w:rsidRPr="002F3D36">
        <w:rPr>
          <w:rFonts w:ascii="Times New Roman" w:eastAsia="宋体" w:hAnsi="Times New Roman" w:cs="Times New Roman"/>
          <w:color w:val="000000"/>
          <w:kern w:val="0"/>
          <w:sz w:val="20"/>
          <w:szCs w:val="20"/>
        </w:rPr>
        <w:t> </w:t>
      </w:r>
    </w:p>
    <w:p w14:paraId="2C87D6AA" w14:textId="77777777" w:rsidR="002F3D36" w:rsidRPr="002F3D36" w:rsidRDefault="002F3D36" w:rsidP="002F3D36">
      <w:pPr>
        <w:widowControl/>
        <w:spacing w:before="240"/>
        <w:jc w:val="center"/>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15</w:t>
      </w:r>
    </w:p>
    <w:p w14:paraId="7242FCEA" w14:textId="77777777" w:rsidR="002F3D36" w:rsidRPr="002F3D36" w:rsidRDefault="002F3D36" w:rsidP="002F3D36">
      <w:pPr>
        <w:widowControl/>
        <w:jc w:val="left"/>
        <w:rPr>
          <w:rFonts w:ascii="宋体" w:eastAsia="宋体" w:hAnsi="宋体" w:cs="宋体"/>
          <w:kern w:val="0"/>
          <w:sz w:val="24"/>
          <w:szCs w:val="24"/>
        </w:rPr>
      </w:pPr>
      <w:r w:rsidRPr="002F3D36">
        <w:rPr>
          <w:rFonts w:ascii="宋体" w:eastAsia="宋体" w:hAnsi="宋体" w:cs="宋体"/>
          <w:kern w:val="0"/>
          <w:sz w:val="24"/>
          <w:szCs w:val="24"/>
        </w:rPr>
        <w:pict w14:anchorId="45469B4C">
          <v:rect id="_x0000_i1040" style="width:0;height:1.5pt" o:hralign="center" o:hrstd="t" o:hrnoshade="t" o:hr="t" fillcolor="black" stroked="f"/>
        </w:pict>
      </w:r>
    </w:p>
    <w:p w14:paraId="0EED8FF3" w14:textId="77777777" w:rsidR="002F3D36" w:rsidRPr="002F3D36" w:rsidRDefault="002F3D36" w:rsidP="002F3D36">
      <w:pPr>
        <w:widowControl/>
        <w:spacing w:line="20" w:lineRule="atLeast"/>
        <w:jc w:val="left"/>
        <w:rPr>
          <w:rFonts w:ascii="Times New Roman" w:eastAsia="宋体" w:hAnsi="Times New Roman" w:cs="Times New Roman"/>
          <w:color w:val="000000"/>
          <w:kern w:val="0"/>
          <w:sz w:val="20"/>
          <w:szCs w:val="20"/>
        </w:rPr>
      </w:pPr>
      <w:r w:rsidRPr="002F3D36">
        <w:rPr>
          <w:rFonts w:ascii="Arial" w:eastAsia="宋体" w:hAnsi="Arial" w:cs="Arial"/>
          <w:color w:val="000000"/>
          <w:kern w:val="0"/>
          <w:sz w:val="2"/>
          <w:szCs w:val="2"/>
        </w:rPr>
        <w:t> </w:t>
      </w:r>
    </w:p>
    <w:p w14:paraId="4AB82954"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shd w:val="clear" w:color="auto" w:fill="FFFFFF"/>
        </w:rPr>
        <w:t>We may be subject to civil antitrust litigation civil antitrust litigation that could negatively impact our business</w:t>
      </w:r>
    </w:p>
    <w:p w14:paraId="1616635E"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shd w:val="clear" w:color="auto" w:fill="FFFFFF"/>
        </w:rPr>
        <w:t>The Company may be subject to civil antitrust lawsuits in the future in countries that permit such civil claims, including lawsuits or other actions by our customers. The Company was previously the subject of any investigation by the European Commission (“EC”) regarding possible anti-competitive behavior among certain suppliers to the automotive vehicle industry. The Company paid a fine to resolve these matters in 2019. As a result of the outcome of the EC investigation, we are and we could be subject to subsequent civil disputes with non-governmental third parties and civil or stockholder litigation stemming from the same facts and circumstances underlying the EC investigation. These types of lawsuits require significant management time and attention and could result in significant expenses as well as unfavorable outcomes that could have a material adverse impact on our customer relationships, bu</w:t>
      </w:r>
      <w:r w:rsidRPr="002F3D36">
        <w:rPr>
          <w:rFonts w:ascii="Arial" w:eastAsia="宋体" w:hAnsi="Arial" w:cs="Arial"/>
          <w:color w:val="000000"/>
          <w:kern w:val="0"/>
          <w:sz w:val="18"/>
          <w:szCs w:val="18"/>
        </w:rPr>
        <w:t>siness prospects, reputation, operating results, cash flows or financial condition, and our insurance may not mitigate such impact. See Note 17 to the Consolidated Financial Statements in this Annual Report.</w:t>
      </w:r>
    </w:p>
    <w:p w14:paraId="73EEDD8B"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We may have exposure to greater than anticipated tax liabilities</w:t>
      </w:r>
    </w:p>
    <w:p w14:paraId="2DB619E1"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xml:space="preserve">The determination of our worldwide provision for income taxes and other tax liabilities requires estimation and significant judgment, and there are many transactions and calculations where the ultimate tax determination is uncertain. Like many other multinational corporations, we are subject to tax in multiple U.S. and foreign tax jurisdictions. Our determination of our tax liability is always subject to audit and review by applicable domestic and foreign tax authorities, and we are currently undergoing a number of investigations, audits and reviews by taxing authorities throughout the world. Any adverse outcome of any such audit or review could have a negative effect on our business and the ultimate tax outcome may differ </w:t>
      </w:r>
      <w:r w:rsidRPr="002F3D36">
        <w:rPr>
          <w:rFonts w:ascii="Arial" w:eastAsia="宋体" w:hAnsi="Arial" w:cs="Arial"/>
          <w:color w:val="000000"/>
          <w:kern w:val="0"/>
          <w:sz w:val="18"/>
          <w:szCs w:val="18"/>
        </w:rPr>
        <w:lastRenderedPageBreak/>
        <w:t xml:space="preserve">from the amounts recorded in our financial statements and may materially affect our financial results in the period or periods for which such determination is made. While we have established reserves based on assumptions and estimates that we believe are reasonable to cover such eventualities, these reserves may prove to be insufficient. In addition, our future income taxes could be adversely affected by earnings being lower than anticipated (or by the incurrence of losses) in jurisdictions that have lower statutory tax rates and higher than anticipated in jurisdictions that have higher statutory tax rates, by changes in the valuation of our deferred tax assets and liabilities, or changes in tax laws, regulations or accounting principles, as well as certain discrete items. </w:t>
      </w:r>
    </w:p>
    <w:p w14:paraId="3E0B944C"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Work stoppages, slow-downs or other labor issues at our customers’ facilities or at our facilities could adversely affect our operations</w:t>
      </w:r>
    </w:p>
    <w:p w14:paraId="5D44ECFE"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Because the automotive industry relies heavily on “just-in-time” delivery of components during the assembly and manufacture of vehicles, a work stoppage or slow-down at one or more of the Company’s facilities could have a material adverse effect on our business. Similarly, if any of our customers were to experience a work stoppage or slow-down, that customer may halt or limit the purchase of our products. Similarly, a work stoppage or slow-down at another supplier could interrupt production at one of our customers’ facilities which would have the same effect. While labor contract negotiations at our facilities historically have rarely resulted in work stoppages, no assurances can be given that we will be able to negotiate acceptable contracts with these unions or that our failure to do so will not result in work stoppages. A work stoppage or other labor disruption at one or more of our facilities or our customers’ facilities could cause us to shut down production facilities supplying these products, which could have a material adverse effect on our business, results of operations and financial condition.</w:t>
      </w:r>
    </w:p>
    <w:p w14:paraId="3844ADC2"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Our ability to operate our company effectively could be impaired if we fail to attract and retain executive officers and other key personnel</w:t>
      </w:r>
    </w:p>
    <w:p w14:paraId="3DCAAB04"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Our ability to operate our business and implement our strategies effectively depends, in part, on the efforts of our executive officers and other key employees. In addition, our future success will depend on, among other factors, our ability to attract, develop and retain other qualified personnel, particularly engineers and other employees with software and technical expertise. The loss of the services of any of our executive officers or other key employees or the failure to attract, develop or retain other qualified personnel could have a material adverse effect on our business.</w:t>
      </w:r>
    </w:p>
    <w:p w14:paraId="230F937E"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Restructuring and efficiency initiatives and capacity alignments are complex and difficult and at any time additional restructuring steps may be necessary, possibly on short notice and at significant cost</w:t>
      </w:r>
    </w:p>
    <w:p w14:paraId="279A16DA"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Our restructuring and efficiency initiatives and capacity alignments include efforts to adjust our manufacturing capacity and cost structure to meet current and projected operational and market requirements, including plant closures, transfer of sourcing to best cost countries, consolidation of our supplier base and standardization of products, to reduce our overhead costs and consolidate our operational centers. The successful implementation of our restructuring activities and capacity alignments will involve sourcing, logistics, technology and employment arrangements. Because these restructuring and efficiency initiatives and capacity alignments can be complex, there may be difficulties or delays in the implementation of any such initiatives and capacity alignments or they may not be immediately effective, resulting in an adverse material impact on our performance. In addition, there is a risk that inflation, high-turnover rates and increased competition may reduce the efficiencies now available in best-</w:t>
      </w:r>
      <w:r w:rsidRPr="002F3D36">
        <w:rPr>
          <w:rFonts w:ascii="Arial" w:eastAsia="宋体" w:hAnsi="Arial" w:cs="Arial"/>
          <w:color w:val="000000"/>
          <w:kern w:val="0"/>
          <w:sz w:val="18"/>
          <w:szCs w:val="18"/>
        </w:rPr>
        <w:lastRenderedPageBreak/>
        <w:t xml:space="preserve">cost countries to levels that no longer allow for cost-beneficial restructuring opportunities. Therefore, there can be no assurances that any future restructurings or capacity alignments will be completed as planned or achieve the desired results. See Note 11 to the Consolidated Financial Statements in this Annual Report. </w:t>
      </w:r>
    </w:p>
    <w:p w14:paraId="5D6B6702" w14:textId="77777777" w:rsidR="002F3D36" w:rsidRPr="002F3D36" w:rsidRDefault="002F3D36" w:rsidP="002F3D36">
      <w:pPr>
        <w:widowControl/>
        <w:jc w:val="left"/>
        <w:rPr>
          <w:rFonts w:ascii="Times New Roman" w:eastAsia="宋体" w:hAnsi="Times New Roman" w:cs="Times New Roman"/>
          <w:color w:val="000000"/>
          <w:kern w:val="0"/>
          <w:sz w:val="20"/>
          <w:szCs w:val="20"/>
        </w:rPr>
      </w:pPr>
      <w:r w:rsidRPr="002F3D36">
        <w:rPr>
          <w:rFonts w:ascii="Times New Roman" w:eastAsia="宋体" w:hAnsi="Times New Roman" w:cs="Times New Roman"/>
          <w:color w:val="000000"/>
          <w:kern w:val="0"/>
          <w:sz w:val="20"/>
          <w:szCs w:val="20"/>
        </w:rPr>
        <w:t> </w:t>
      </w:r>
    </w:p>
    <w:p w14:paraId="7C5BB24E" w14:textId="77777777" w:rsidR="002F3D36" w:rsidRPr="002F3D36" w:rsidRDefault="002F3D36" w:rsidP="002F3D36">
      <w:pPr>
        <w:widowControl/>
        <w:spacing w:before="240"/>
        <w:jc w:val="center"/>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16</w:t>
      </w:r>
    </w:p>
    <w:p w14:paraId="64D460D5" w14:textId="77777777" w:rsidR="002F3D36" w:rsidRPr="002F3D36" w:rsidRDefault="002F3D36" w:rsidP="002F3D36">
      <w:pPr>
        <w:widowControl/>
        <w:jc w:val="left"/>
        <w:rPr>
          <w:rFonts w:ascii="宋体" w:eastAsia="宋体" w:hAnsi="宋体" w:cs="宋体"/>
          <w:kern w:val="0"/>
          <w:sz w:val="24"/>
          <w:szCs w:val="24"/>
        </w:rPr>
      </w:pPr>
      <w:r w:rsidRPr="002F3D36">
        <w:rPr>
          <w:rFonts w:ascii="宋体" w:eastAsia="宋体" w:hAnsi="宋体" w:cs="宋体"/>
          <w:kern w:val="0"/>
          <w:sz w:val="24"/>
          <w:szCs w:val="24"/>
        </w:rPr>
        <w:pict w14:anchorId="40C085DB">
          <v:rect id="_x0000_i1041" style="width:0;height:1.5pt" o:hralign="center" o:hrstd="t" o:hrnoshade="t" o:hr="t" fillcolor="black" stroked="f"/>
        </w:pict>
      </w:r>
    </w:p>
    <w:p w14:paraId="4293A704" w14:textId="77777777" w:rsidR="002F3D36" w:rsidRPr="002F3D36" w:rsidRDefault="002F3D36" w:rsidP="002F3D36">
      <w:pPr>
        <w:widowControl/>
        <w:spacing w:line="20" w:lineRule="atLeast"/>
        <w:jc w:val="left"/>
        <w:rPr>
          <w:rFonts w:ascii="Times New Roman" w:eastAsia="宋体" w:hAnsi="Times New Roman" w:cs="Times New Roman"/>
          <w:color w:val="000000"/>
          <w:kern w:val="0"/>
          <w:sz w:val="20"/>
          <w:szCs w:val="20"/>
        </w:rPr>
      </w:pPr>
      <w:r w:rsidRPr="002F3D36">
        <w:rPr>
          <w:rFonts w:ascii="Arial" w:eastAsia="宋体" w:hAnsi="Arial" w:cs="Arial"/>
          <w:color w:val="000000"/>
          <w:kern w:val="0"/>
          <w:sz w:val="2"/>
          <w:szCs w:val="2"/>
        </w:rPr>
        <w:t> </w:t>
      </w:r>
    </w:p>
    <w:p w14:paraId="357B23EA"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A prolonged recession and/or a downturn in our industry could result in us having insufficient funds to continue our operations and external financing may not be available to us or available only on materially different terms than what has historically been available</w:t>
      </w:r>
    </w:p>
    <w:p w14:paraId="501D8B38"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Our ability to generate cash from our operations is highly dependent on automotive sales and LVP, the global economy and the economies of our important markets. If LVP were to remain on low levels for an extended period of time, we would experience a significantly negative cash flow. Similarly, if cash losses for customer defaults rise sharply, we would experience a negative cash flow. Such negative cash flow could result in our having insufficient funds to continue our operations unless we can procure external financing, which may not be possible. Our access to debt, securitization, or derivative markets around the world at competitive rates or in sufficient amounts could be affected by credit rating downgrades, market volatility, market disruption, regulatory requirements, or other factors. Our ability to obtain unsecured funding at a reasonable cost is dependent on our credit ratings or our perceived creditworthiness. Our current credit rating could be lowered as a result of us experiencing significant negative cash flows, increasing our indebtedness and leverage, or a dire financial outlook, which may affect our ability to procure financing. We may also for the same, or other reasons, find it difficult to secure new long-term credit facilities, at reasonable terms, when our principal credit facility expires in 2023. Further, even our existing unutilized credit facilities may not be available to us as agreed, or only at additional cost, if participating banks are unable to raise the necessary funds, where, for instance, financial markets are not functioning as expected or one or more banks in our principal credit facility syndicate were to default. As a result, we cannot assure you that we will continue to have sufficient liquidity to meet our operating needs. In the event that we do not have sufficient external financing, we may be required to seek additional capital, sell assets, reduce or cut back our operating activities or otherwise alter our business strategy. Information concerning our credit facilities and other financings are included in Item 7 in this Annual Report in the section headed “Treasury Activities” and in Note 13 to the Consolidated Financial Statements in this Annual Report.</w:t>
      </w:r>
    </w:p>
    <w:p w14:paraId="1872BA90"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Our indebtedness may harm our financial condition and results of operations</w:t>
      </w:r>
    </w:p>
    <w:p w14:paraId="046BEA47"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xml:space="preserve">As of December 31, 2021, we have outstanding debt of $2.0 billion. We may incur additional debt for a variety of reasons. Although our significant credit facilities and debt agreements do not have any financial covenants, our level of indebtedness will have several important effects on our future operations, including, without limitation: a portion of our cash flows from operations will be dedicated to the payment of any interest or could be used for amortization required with respect to outstanding indebtedness; increases in our outstanding indebtedness and leverage will increase our vulnerability to adverse changes in general economic and industry conditions, as well as to competitive pressure; depending on the levels of our outstanding debt, our ability to obtain additional financing for working capital, acquisitions, capital expenditures, general corporate and other purposes may be limited; and potential future tightening of the </w:t>
      </w:r>
      <w:r w:rsidRPr="002F3D36">
        <w:rPr>
          <w:rFonts w:ascii="Arial" w:eastAsia="宋体" w:hAnsi="Arial" w:cs="Arial"/>
          <w:color w:val="000000"/>
          <w:kern w:val="0"/>
          <w:sz w:val="18"/>
          <w:szCs w:val="18"/>
        </w:rPr>
        <w:lastRenderedPageBreak/>
        <w:t>availability of capital both from financial institutions and the debt markets may have an adverse effect on our ability to access additional capital.</w:t>
      </w:r>
    </w:p>
    <w:p w14:paraId="3B074F9B"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Governmental restrictions may impact our business adversely</w:t>
      </w:r>
    </w:p>
    <w:p w14:paraId="2285AE6C"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Some of our customers are (or may be) owned by a governmental entity, receive various forms of governmental aid or support or are subject to governmental influence in other forms, which may impact us as a supplier to these customers. As a result, they may be required to partner with local entities or procure components from local suppliers to achieve a specific local content or be subject to other restrictions regarding localized content or ownership. The nature and form of any such restrictions or protections, whatever their basis, is very difficult to predict as is their potential impact. However, they are likely to be based on political rather than economical or operational considerations and may materially impact our business.</w:t>
      </w:r>
    </w:p>
    <w:p w14:paraId="7D813927"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Impairment charges relating to our assets, goodwill and other intangible assets could adversely affect our financial performance</w:t>
      </w:r>
    </w:p>
    <w:p w14:paraId="617A77CA"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We periodically review the carrying value of our assets, goodwill and other intangible assets for impairment indicators. If one or more of our customers’ facilities cease production or decrease their production volumes, the assets we carry related to our facilities serving such customers may decrease in value because we may no longer be able to utilize or realize them as intended. Where such decreases are significant, such impairments may have a material adverse impact on our financial results. We monitor the various factors that impact the valuation of our goodwill and other intangible assets, including expected future cash flow levels, global economic conditions, market price for our stock, and trends with our customers. Impairment of goodwill and other identifiable intangible assets may result from, among other things, deterioration in our performance and especially the cash flow performance of these goodwill assets, adverse market conditions and adverse changes in applicable laws or regulations. If there are changes in these circumstances or the other variables associated with the estimates, judgments and assumptions relating to the valuation of goodwill, when assessing the valuation of our goodwill items, we may determine that it is appropriate to write down a portion of our goodwill or intangible assets and record related non-cash impairment charges. In the event that we determine that we are required to write-down a portion of our goodwill items and other intangible assets and thereby record related non-cash impairment charges, our financial condition and operating results would be adversely affected. For additional information, see Part II, Item 7 “Management’s Discussion and Analysis of Financial Condition and Results of Operations - Significant Accounting Policies and Critical Accounting Estimates – Goodwill and Intangibles”.</w:t>
      </w:r>
    </w:p>
    <w:p w14:paraId="32526C81"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We face risks related to our defined benefit pension plans and employee benefit plans, including the need for additional funding as well as higher costs and liabilities</w:t>
      </w:r>
    </w:p>
    <w:p w14:paraId="1F196ED3"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xml:space="preserve">Our defined benefit pension plans and employee benefit plans may require additional funding or give rise to higher related costs and liabilities which, in some circumstances, could reach material amounts and negatively affect our operating results. We are required to make certain year-end assumptions regarding our pension plans. Our pension obligations are dependent on several factors, including factors outside our control such as changes in interest rates, the market performance of the diversified investments underlying the pension plans, actuarial data and adjustments and an increase in the minimum funding requirements or other regulatory changes governing the plans. Adverse equity market conditions and volatility in the credit market may have an unfavorable impact on the value of our pension assets and our future estimated pension liabilities. Internal factors such as an adjustment to the level of benefits provided </w:t>
      </w:r>
      <w:r w:rsidRPr="002F3D36">
        <w:rPr>
          <w:rFonts w:ascii="Arial" w:eastAsia="宋体" w:hAnsi="Arial" w:cs="Arial"/>
          <w:color w:val="000000"/>
          <w:kern w:val="0"/>
          <w:sz w:val="18"/>
          <w:szCs w:val="18"/>
        </w:rPr>
        <w:lastRenderedPageBreak/>
        <w:t>under the plans may also lead to an increase in our pension liability. If these or other internal and external risks were to occur, alone or in combination, our required contributions to the plans and the costs and net liabilities associated with the plans could increase substantially and have a material effect on our business. Information concerning our benefit plans is included in Note 18 of the Consolidated Financial Statements in this Annual Report.</w:t>
      </w:r>
    </w:p>
    <w:p w14:paraId="2DBD65F3" w14:textId="77777777" w:rsidR="002F3D36" w:rsidRPr="002F3D36" w:rsidRDefault="002F3D36" w:rsidP="002F3D36">
      <w:pPr>
        <w:widowControl/>
        <w:spacing w:before="240"/>
        <w:jc w:val="center"/>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17</w:t>
      </w:r>
    </w:p>
    <w:p w14:paraId="55FCF830" w14:textId="77777777" w:rsidR="002F3D36" w:rsidRPr="002F3D36" w:rsidRDefault="002F3D36" w:rsidP="002F3D36">
      <w:pPr>
        <w:widowControl/>
        <w:jc w:val="left"/>
        <w:rPr>
          <w:rFonts w:ascii="宋体" w:eastAsia="宋体" w:hAnsi="宋体" w:cs="宋体"/>
          <w:kern w:val="0"/>
          <w:sz w:val="24"/>
          <w:szCs w:val="24"/>
        </w:rPr>
      </w:pPr>
      <w:r w:rsidRPr="002F3D36">
        <w:rPr>
          <w:rFonts w:ascii="宋体" w:eastAsia="宋体" w:hAnsi="宋体" w:cs="宋体"/>
          <w:kern w:val="0"/>
          <w:sz w:val="24"/>
          <w:szCs w:val="24"/>
        </w:rPr>
        <w:pict w14:anchorId="34DBF4D5">
          <v:rect id="_x0000_i1042" style="width:0;height:1.5pt" o:hralign="center" o:hrstd="t" o:hrnoshade="t" o:hr="t" fillcolor="black" stroked="f"/>
        </w:pict>
      </w:r>
    </w:p>
    <w:p w14:paraId="64CA2C44" w14:textId="77777777" w:rsidR="002F3D36" w:rsidRPr="002F3D36" w:rsidRDefault="002F3D36" w:rsidP="002F3D36">
      <w:pPr>
        <w:widowControl/>
        <w:spacing w:line="20" w:lineRule="atLeast"/>
        <w:jc w:val="left"/>
        <w:rPr>
          <w:rFonts w:ascii="Times New Roman" w:eastAsia="宋体" w:hAnsi="Times New Roman" w:cs="Times New Roman"/>
          <w:color w:val="000000"/>
          <w:kern w:val="0"/>
          <w:sz w:val="20"/>
          <w:szCs w:val="20"/>
        </w:rPr>
      </w:pPr>
      <w:r w:rsidRPr="002F3D36">
        <w:rPr>
          <w:rFonts w:ascii="Arial" w:eastAsia="宋体" w:hAnsi="Arial" w:cs="Arial"/>
          <w:color w:val="000000"/>
          <w:kern w:val="0"/>
          <w:sz w:val="2"/>
          <w:szCs w:val="2"/>
        </w:rPr>
        <w:t> </w:t>
      </w:r>
    </w:p>
    <w:p w14:paraId="3B111CF2"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shd w:val="clear" w:color="auto" w:fill="FFFFFF"/>
        </w:rPr>
        <w:t>We may not be able to, or we may decide not to, pay dividends or repurchase shares at a level anticipated by our shareholders, which could reduce shareholder returns</w:t>
      </w:r>
      <w:r w:rsidRPr="002F3D36">
        <w:rPr>
          <w:rFonts w:ascii="Arial" w:eastAsia="宋体" w:hAnsi="Arial" w:cs="Arial"/>
          <w:b/>
          <w:bCs/>
          <w:color w:val="000000"/>
          <w:kern w:val="0"/>
          <w:sz w:val="18"/>
          <w:szCs w:val="18"/>
        </w:rPr>
        <w:t xml:space="preserve"> </w:t>
      </w:r>
    </w:p>
    <w:p w14:paraId="1A904D81"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xml:space="preserve">The extent to which we pay dividends on our common stock and repurchase our common stock in the future is at the discretion of our Board of Directors and depends upon a number of factors, including our earnings, financial condition, cash and capital needs, indebtedness and leverage, and general economic or business conditions. No assurance can be given that we will be able to or will choose to pay any dividends or repurchase any shares in the foreseeable future. </w:t>
      </w:r>
    </w:p>
    <w:p w14:paraId="2CF9FC52"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Cybersecurity incidents or other damage to our technology infrastructure could disrupt business operations, result in the loss of critical and confidential information, and adversely impact our reputation and operating results</w:t>
      </w:r>
    </w:p>
    <w:p w14:paraId="0D51A0F2"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xml:space="preserve">We rely extensively on information technology (“IT”) networks and systems, our global data centers and services provided over the internet to process, transmit and store electronic information, and to manage or support a variety of business processes or activities across our facilities worldwide. In addition, a greater number of our employees are working remotely as a result of the COVID-19 pandemic, which may increase cybersecurity vulnerabilities and risk to our IT networks and systems. The secure operation of our IT networks and systems and the proper processing and maintenance of this information are critical to our business operations. We have been, and likely will continue to be, subject to cyber-attacks. To date we have seen no material impact on our business from these attacks or events. Although we seek to deploy comprehensive security measures to prevent, detect, address and mitigate these threats, there has been an increased level of activity, and an associated level of sophistication, in cyber-attacks against large multinational companies. The ever-evolving threats mean we and our third-party service providers and vendors must continually evaluate and adapt our respective systems and processes and overall security environment, as well as those of any companies we acquire. There is no guarantee that these measures will be adequate to safeguard against all data security breaches, system compromises or misuses of data. Our security measures may be breached due to human or technological error, employee malfeasance, system malfunctions or attacks from uncoordinated individuals or sophisticated and targeted measures known as advanced persistent threats, directed at the Company, its products, its customers, its third-party service providers, and/or other entities with whom we do business. Because techniques used to obtain unauthorized access or to sabotage systems change frequently and generally are not recognized until they are launched against a target, we may be unable to anticipate these techniques or to implement adequate preventative measures. Disruptions and attacks on our IT systems or the systems of third parties storing our data or employee malfeasance or human or technological error could result in the misappropriation, loss, destruction or corruption of our critical data and confidential or proprietary information, personal information of our employees, the leakage of our or our customers’ </w:t>
      </w:r>
      <w:r w:rsidRPr="002F3D36">
        <w:rPr>
          <w:rFonts w:ascii="Arial" w:eastAsia="宋体" w:hAnsi="Arial" w:cs="Arial"/>
          <w:color w:val="000000"/>
          <w:kern w:val="0"/>
          <w:sz w:val="18"/>
          <w:szCs w:val="18"/>
        </w:rPr>
        <w:lastRenderedPageBreak/>
        <w:t xml:space="preserve">confidential information, improper use of our systems and networks, production downtimes and both internal and external supply shortages, which could have an adverse effect on our results of operations. It may also result in the theft of intellectual property or other misappropriation of assets, or otherwise compromise our confidential or proprietary information and disrupt our operations. The potential consequences of a material cybersecurity incident include reputational damage, theft of intellectual property, litigation with third parties, diminution in the value of our investment in research, development and engineering, diversion of the attention of management away from the operation of our business and increased cybersecurity protection and remediation costs, legal claims and liability, regulatory scrutiny, sanctions, fines or penalties (which may not be covered by our insurance policies), negative publicity, release of sensitive and/or confidential information, increases in operating expenses, or lost revenues which in turn could adversely affect our competitiveness and results of operations. To the extent that any disruption or security breach results in a misappropriation, loss, destruction or corruption of our customer’s information, it could affect our relationships with our customers, create significant expense for us to investigate and remediate damage, lead to claims against the Company and ultimately harm our business. In addition, we may be required to incur significant costs to protect against damage caused by these disruptions or security breaches in the future. In addition, as the regulatory environment related to information security, data collection and use, and privacy becomes increasingly rigorous, with new and constantly changing requirements applicable to our business, compliance with those requirements could result in additional costs. Furthermore, our technology systems are vulnerable to damage or interruption from natural disasters, power loss and telecommunication failures. We continuously seek to maintain a robust program of information security and controls, however, any future significant compromise or breach of our data security, whether external or internal, or misuse of customer, associate, supplier or Company data, could result in significant costs, lost sales, fines, lawsuits, and damage to our reputation. </w:t>
      </w:r>
    </w:p>
    <w:p w14:paraId="0F981E83"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Third parties that maintain certain of our confidential and proprietary information could experience a cybersecurity incident</w:t>
      </w:r>
    </w:p>
    <w:p w14:paraId="59D73CB6"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We rely on third parties to provide or maintain some of our IT systems, data centers and related services and do not exercise direct control over these systems. Despite the implementation of security measures at third party locations, these IT systems, data centers and cloud services are also vulnerable to security breaches or other disruptions. Additionally, we and certain of our third-party vendors, collect and store personal information in connection with human resources operations and other aspects of our business. While we obtain assurances that any third parties we provide data to will protect this information and, where we believe appropriate, monitor the protections employed by these third parties, there is a risk the confidentiality of data held by us or by third parties may be compromised and expose us to liability for such breach.</w:t>
      </w:r>
    </w:p>
    <w:p w14:paraId="31410A01"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Global climate change could negatively affect our business</w:t>
      </w:r>
    </w:p>
    <w:p w14:paraId="272993D1"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xml:space="preserve">Increased public awareness and concern regarding global climate change may results in more regional and/or national requirements to reduce or mitigate the effects of greenhouse gas emissions. In addition, our shareholders and customers may also expect us to reduce our greenhouse gas emissions. There continues to be a lack of consistent climate legislation, which creates economic and regulatory uncertainty. Any future regulations aimed at mitigating climate change may negatively impact the prices of raw materials and energy as well as the demand for certain of our customer’s products which could in turn impact demand for our products and impact our results of operations. The costs of compliance and any changes to our operations mandated by new or amended laws, may be significant. We may also face </w:t>
      </w:r>
      <w:r w:rsidRPr="002F3D36">
        <w:rPr>
          <w:rFonts w:ascii="Arial" w:eastAsia="宋体" w:hAnsi="Arial" w:cs="Arial"/>
          <w:color w:val="000000"/>
          <w:kern w:val="0"/>
          <w:sz w:val="18"/>
          <w:szCs w:val="18"/>
        </w:rPr>
        <w:lastRenderedPageBreak/>
        <w:t>unexpected delays in obtaining permits and approvals required by such laws in connection with our manufacturing facilities, which would hinder our operation of these facilities. Furthermore, any violations of these laws may result in substantial fines and penalties, remediation costs, third party damages, or a suspension or cessation of our operations. The manifestations of climate change, such as extreme weather conditions or more frequent extreme weather events could disrupt our operations, damage our facilities, disrupt our supply chain, including our customers or suppliers, impact the availability and cost of materials needed for manufacturing or increase insurance and other operating costs.</w:t>
      </w:r>
      <w:r w:rsidRPr="002F3D36">
        <w:rPr>
          <w:rFonts w:ascii="Arial" w:eastAsia="宋体" w:hAnsi="Arial" w:cs="Arial"/>
          <w:color w:val="0000FF"/>
          <w:kern w:val="0"/>
          <w:sz w:val="18"/>
          <w:szCs w:val="18"/>
        </w:rPr>
        <w:t xml:space="preserve"> </w:t>
      </w:r>
      <w:r w:rsidRPr="002F3D36">
        <w:rPr>
          <w:rFonts w:ascii="Arial" w:eastAsia="宋体" w:hAnsi="Arial" w:cs="Arial"/>
          <w:color w:val="000000"/>
          <w:kern w:val="0"/>
          <w:sz w:val="18"/>
          <w:szCs w:val="18"/>
        </w:rPr>
        <w:t>As a result, severe weather or a natural disaster that results in a prolonged disruption to our operations, or the operations of our customers or suppliers, could have a material adverse effect on our</w:t>
      </w:r>
      <w:r w:rsidRPr="002F3D36">
        <w:rPr>
          <w:rFonts w:ascii="Arial" w:eastAsia="宋体" w:hAnsi="Arial" w:cs="Arial"/>
          <w:color w:val="000000"/>
          <w:kern w:val="0"/>
          <w:sz w:val="20"/>
          <w:szCs w:val="20"/>
        </w:rPr>
        <w:t xml:space="preserve"> </w:t>
      </w:r>
      <w:r w:rsidRPr="002F3D36">
        <w:rPr>
          <w:rFonts w:ascii="Arial" w:eastAsia="宋体" w:hAnsi="Arial" w:cs="Arial"/>
          <w:color w:val="000000"/>
          <w:kern w:val="0"/>
          <w:sz w:val="18"/>
          <w:szCs w:val="18"/>
        </w:rPr>
        <w:t>operating results, cash flows or financial condition.</w:t>
      </w:r>
    </w:p>
    <w:p w14:paraId="01188F66" w14:textId="77777777" w:rsidR="002F3D36" w:rsidRPr="002F3D36" w:rsidRDefault="002F3D36" w:rsidP="002F3D36">
      <w:pPr>
        <w:widowControl/>
        <w:spacing w:before="240"/>
        <w:jc w:val="center"/>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18</w:t>
      </w:r>
    </w:p>
    <w:p w14:paraId="2641E0B2" w14:textId="77777777" w:rsidR="002F3D36" w:rsidRPr="002F3D36" w:rsidRDefault="002F3D36" w:rsidP="002F3D36">
      <w:pPr>
        <w:widowControl/>
        <w:jc w:val="left"/>
        <w:rPr>
          <w:rFonts w:ascii="宋体" w:eastAsia="宋体" w:hAnsi="宋体" w:cs="宋体"/>
          <w:kern w:val="0"/>
          <w:sz w:val="24"/>
          <w:szCs w:val="24"/>
        </w:rPr>
      </w:pPr>
      <w:r w:rsidRPr="002F3D36">
        <w:rPr>
          <w:rFonts w:ascii="宋体" w:eastAsia="宋体" w:hAnsi="宋体" w:cs="宋体"/>
          <w:kern w:val="0"/>
          <w:sz w:val="24"/>
          <w:szCs w:val="24"/>
        </w:rPr>
        <w:pict w14:anchorId="754C53C9">
          <v:rect id="_x0000_i1043" style="width:0;height:1.5pt" o:hralign="center" o:hrstd="t" o:hrnoshade="t" o:hr="t" fillcolor="black" stroked="f"/>
        </w:pict>
      </w:r>
    </w:p>
    <w:p w14:paraId="4855DFB0" w14:textId="77777777" w:rsidR="002F3D36" w:rsidRPr="002F3D36" w:rsidRDefault="002F3D36" w:rsidP="002F3D36">
      <w:pPr>
        <w:widowControl/>
        <w:spacing w:line="20" w:lineRule="atLeast"/>
        <w:jc w:val="left"/>
        <w:rPr>
          <w:rFonts w:ascii="Times New Roman" w:eastAsia="宋体" w:hAnsi="Times New Roman" w:cs="Times New Roman"/>
          <w:color w:val="000000"/>
          <w:kern w:val="0"/>
          <w:sz w:val="20"/>
          <w:szCs w:val="20"/>
        </w:rPr>
      </w:pPr>
      <w:r w:rsidRPr="002F3D36">
        <w:rPr>
          <w:rFonts w:ascii="Arial" w:eastAsia="宋体" w:hAnsi="Arial" w:cs="Arial"/>
          <w:color w:val="000000"/>
          <w:kern w:val="0"/>
          <w:sz w:val="2"/>
          <w:szCs w:val="2"/>
        </w:rPr>
        <w:t> </w:t>
      </w:r>
    </w:p>
    <w:p w14:paraId="21732BCF"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Our goals, targets and ambitions related to sustainability and emissions reduction, and our public statements and disclosures regarding them, expose us to numerous risks</w:t>
      </w:r>
    </w:p>
    <w:p w14:paraId="5A645D4B"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We have developed, and will continue to develop and set, goals, targets, ambitions and other objectives related to sustainability matters, including our net-zero emission targets both for ourselves and our supply chain. Statements related to these goals, targets, ambitions and objectives reflect our current plans and do not constitute a guarantee that they will be achieved. Our efforts to research, establish, accomplish, and accurately report on these goals, targets, and objectives expose us to numerous operational, reputational, financial, legal, and other risks. Additionally, greenhouse gas emissions, particular emissions that come from individuals and entities up and down the value chain (otherwise known as Scope 3 emissions), are very difficult to estimate and our estimates may be materially different than actual emissions. The manner in which we estimate and disclose Scope 3 emissions may differ from other companies, and currently, we do not include downstream Scope 3 emissions in our targets and ambitions. Our ability to achieve any stated goal, target, ambition or objective, including with respect to emissions reduction, is subject to numerous factors and conditions, some of which are outside of our control. We may also have to purchase carbon offsets in order to meet our targets and objectives.</w:t>
      </w:r>
    </w:p>
    <w:p w14:paraId="575BEFD2"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Our business may face increased scrutiny from investors and other stakeholders related to our sustainability activities, including the goals, targets, and objectives that we announce, and our methodologies and timelines for pursuing them. If our sustainability practices do not meet investor or other stakeholder expectations and standards, which continue to evolve, our reputation, our ability to attract or retain employees, and our attractiveness as an investment or business partner could be negatively affected. Similarly, our failure or perceived failure to pursue or fulfill our sustainability-focused goals, targets, ambitions and objectives, to comply with ethical, environmental, or other standards, regulations, or expectations, or to satisfy various reporting standards with respect to these matters, within the timelines we announce, or at all, could adversely affect our business or reputation, as well as expose us to government enforcement actions and private litigation.</w:t>
      </w:r>
    </w:p>
    <w:p w14:paraId="7D0C2281" w14:textId="77777777" w:rsidR="002F3D36" w:rsidRPr="002F3D36" w:rsidRDefault="002F3D36" w:rsidP="002F3D36">
      <w:pPr>
        <w:widowControl/>
        <w:spacing w:before="340"/>
        <w:jc w:val="center"/>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RISKS RELATED TO INTERNATIONAL OPERATIONS</w:t>
      </w:r>
    </w:p>
    <w:p w14:paraId="5594992F"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Our business is exposed to risks inherent in international operations</w:t>
      </w:r>
    </w:p>
    <w:p w14:paraId="40C596B0"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shd w:val="clear" w:color="auto" w:fill="FFFFFF"/>
        </w:rPr>
        <w:lastRenderedPageBreak/>
        <w:t>We currently conduct operations in various countries and jurisdictions, including locating certain of our manufacturing and distribution facilities internationally, which subjects us to the legal, political, regulatory and social requirements and economic conditions in these jurisdictions. Some of these countries are considered growth markets and emerging markets. International sales and operations, especially in growth markets, subject us to certain risks inherent in doing business abroad, including: exposure to local economic conditions; unexpected changes in laws, regulations, trade, or monetary or fiscal policy, including interest rates, foreign currency exchange rates, and changes in inflation rates; foreign tax consequences; inability to collect, or delays in collecting, value-added taxes and/or other receivables associated with remittances and other payments by subsidiaries; exposure to local political turmoil and challenging labor conditions; changes in general economic and political conditions in countries where we operate, particularly in emerging markets; expropriation and nationalization; enforcing legal agreements or collecting receivables through foreign legal systems; wage inflation; currency controls, including lack of liquidity in foreign currency due to governmental restrictions, trade protection policies and currency controls, which may create difficulty in repatriating profits or making other remittances; compliance with the requirements of an increasing body of applicable anti-bribery laws; reduced intellectual property protection in various markets; investment restrictions or requirements; and the imposition of product tariffs and the burden of complying with a wide variety of international and U.S. export laws. The Company is subject to taxation in the U.S. and numerous foreign jurisdictions. The Organization for Economic Co-operation and Development (“OECD”) continues its base erosion and profit shifting (“BEPS”) project begun in 2015 with new proposals for a global minimum tax, further development of a coordinated set of rules for taxation and the allocation of taxing rights between jurisdictions. These proposals, if adopted by countries in which we operate, could result in changes to tax policies, including transfer pricing policies, that could ultimately impact our tax liabilities. The timing or impact of these proposals and recommendations is unclear at this point. Changes in tax laws or policies by the U.S. or foreign jurisdictions could result in a higher effective tax rate on our worldwide earnings, and any such change could have a material adverse effect on our business prospects, cash flows, operating results and financial condition. Our international operations also depend upon favorable trade relations between the U.S. and those foreign countries in which our customers and suppliers have operations. Changes in national policy, other governmental action related to tariffs or international trade agreements, changes in U.S. social, political regulatory, and economic conditions or in laws and policies governing foreign trade, manufacturing, development and investment in the territories and countries where the Company currently manufactures and sells products, and any resulting negative sentiments towards the U.S. as a result of such changes could depress economic activity and restrict our access to suppliers or customers and have a material adverse effect on our cash flows, operating results and financial condition. Increasing our manufacturing footprint in the growth markets and our business relationships with automotive manufacturers in these markets are particularly important elements of our strategy. As a result, our exposure to the risks described above may be greater in the future, and our exposure to risks associated with developing countries, such as the risk of political upheaval and reliability of local infrastructure, may increase.</w:t>
      </w:r>
    </w:p>
    <w:p w14:paraId="7732A604"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Our foreign operations may subject us to risks relating to laws governing international relations</w:t>
      </w:r>
    </w:p>
    <w:p w14:paraId="6D17DD9D"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xml:space="preserve">Due to our global operations, we are subject to many laws governing international relations (including, but not limited to, the Foreign Corrupt Practices Act, and other anti-bribery regulations in foreign jurisdictions where we do business), which prohibit improper payments to government officials and restrict where and how we can do business, what information or products we can supply to certain countries and what </w:t>
      </w:r>
      <w:r w:rsidRPr="002F3D36">
        <w:rPr>
          <w:rFonts w:ascii="Arial" w:eastAsia="宋体" w:hAnsi="Arial" w:cs="Arial"/>
          <w:color w:val="000000"/>
          <w:kern w:val="0"/>
          <w:sz w:val="18"/>
          <w:szCs w:val="18"/>
        </w:rPr>
        <w:lastRenderedPageBreak/>
        <w:t>information we can provide to authorities in governmental authorities. We also export components and products that are subject to certain trade-related U.S. laws, including the U.S. Export Administration Act and various economic sanctions programs administered by the U.S. Treasury’s Office of Foreign Assets Control. Although we have procedures and policies in place that should mitigate the risk of violating these laws, there is no guarantee that they will be sufficiently effective. If and when we acquire new businesses, we may not be able to ensure that the pre-existing controls and procedures meant to prevent violations of these laws were effective, and violations may occur if we are unable to timely implement corrective and effective controls and procedures when integrating newly acquired businesses. Any allegations of noncompliance with these laws could harm our reputation, divert management attention and result in significant expenses, and could therefore materially harm our business prospects, operating results and financial condition.</w:t>
      </w:r>
    </w:p>
    <w:p w14:paraId="479DBB1C" w14:textId="77777777" w:rsidR="002F3D36" w:rsidRPr="002F3D36" w:rsidRDefault="002F3D36" w:rsidP="002F3D36">
      <w:pPr>
        <w:widowControl/>
        <w:spacing w:before="240"/>
        <w:jc w:val="center"/>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19</w:t>
      </w:r>
    </w:p>
    <w:p w14:paraId="091FEA61" w14:textId="77777777" w:rsidR="002F3D36" w:rsidRPr="002F3D36" w:rsidRDefault="002F3D36" w:rsidP="002F3D36">
      <w:pPr>
        <w:widowControl/>
        <w:jc w:val="left"/>
        <w:rPr>
          <w:rFonts w:ascii="宋体" w:eastAsia="宋体" w:hAnsi="宋体" w:cs="宋体"/>
          <w:kern w:val="0"/>
          <w:sz w:val="24"/>
          <w:szCs w:val="24"/>
        </w:rPr>
      </w:pPr>
      <w:r w:rsidRPr="002F3D36">
        <w:rPr>
          <w:rFonts w:ascii="宋体" w:eastAsia="宋体" w:hAnsi="宋体" w:cs="宋体"/>
          <w:kern w:val="0"/>
          <w:sz w:val="24"/>
          <w:szCs w:val="24"/>
        </w:rPr>
        <w:pict w14:anchorId="0C374002">
          <v:rect id="_x0000_i1044" style="width:0;height:1.5pt" o:hralign="center" o:hrstd="t" o:hrnoshade="t" o:hr="t" fillcolor="black" stroked="f"/>
        </w:pict>
      </w:r>
    </w:p>
    <w:p w14:paraId="286F5079" w14:textId="77777777" w:rsidR="002F3D36" w:rsidRPr="002F3D36" w:rsidRDefault="002F3D36" w:rsidP="002F3D36">
      <w:pPr>
        <w:widowControl/>
        <w:spacing w:line="20" w:lineRule="atLeast"/>
        <w:jc w:val="left"/>
        <w:rPr>
          <w:rFonts w:ascii="Times New Roman" w:eastAsia="宋体" w:hAnsi="Times New Roman" w:cs="Times New Roman"/>
          <w:color w:val="000000"/>
          <w:kern w:val="0"/>
          <w:sz w:val="20"/>
          <w:szCs w:val="20"/>
        </w:rPr>
      </w:pPr>
      <w:r w:rsidRPr="002F3D36">
        <w:rPr>
          <w:rFonts w:ascii="Arial" w:eastAsia="宋体" w:hAnsi="Arial" w:cs="Arial"/>
          <w:color w:val="000000"/>
          <w:kern w:val="0"/>
          <w:sz w:val="2"/>
          <w:szCs w:val="2"/>
        </w:rPr>
        <w:t> </w:t>
      </w:r>
    </w:p>
    <w:p w14:paraId="516F0580"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Our business in Asia is subject to aggressive competition and is sensitive to economic and market conditions</w:t>
      </w:r>
    </w:p>
    <w:p w14:paraId="2B32EDA5"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We operate in the automotive supply market throughout Asia including the highly competitive markets in China, Korea, and India. In each of these markets we face competition from both international and smaller domestic manufacturers. Due to the significance of the Asian markets for our profit and growth, we are exposed to risks in China, Korea, and India. We anticipate that additional competitors, both international and domestic, may seek to enter the Chinese, Korean, and/or Indian markets resulting in increased competition. Increased competition may result in lower sales volumes, price reductions, reduced margins and our inability to gain or hold market share. There have been periods of increased market volatility and moderation in the levels of economic growth in China, which resulted in periods of lower automotive production growth rates in China than those previously experienced. Our business in Asia is sensitive to economic and market conditions that drive automotive sales volumes in China, Korea, and India and may be impacted if there are reductions in vehicle demand in those markets. If we are unable to maintain our position in these Asian markets, the pace of growth slows, or vehicle sales in these markets decrease, our business prospects, operating results and financial condition could be materially adversely affected.</w:t>
      </w:r>
    </w:p>
    <w:p w14:paraId="5BD3AD3B"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Global integration may result in additional risks</w:t>
      </w:r>
    </w:p>
    <w:p w14:paraId="62A9858D"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xml:space="preserve">Because of our efforts to manage costs by integrating our operations globally, we face the additional risk that, should any of the other risks discussed herein materialize, the negative effects could be more pronounced. For example, while supply delays of a component have typically only affected a few customer vehicle models, such a delay could now affect several vehicle models of several customers in several geographic areas. Similarly, any recall or warranty issue we face due to a product defect or failure is now more likely to involve a larger number of units in several geographic areas. </w:t>
      </w:r>
    </w:p>
    <w:p w14:paraId="1C755940"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Exchange rate risks</w:t>
      </w:r>
    </w:p>
    <w:p w14:paraId="5CEDBCB9"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xml:space="preserve">As a result of our global presence, a significant portion of our revenues and expenses are denominated in currencies other than the U.S. dollar. We are therefore subject to foreign currency risks and foreign exchange exposure. Such risks and exposures include: transaction exposure, which arises because the cost of a product originates in one currency and the product is sold in another currency; revaluation effects, </w:t>
      </w:r>
      <w:r w:rsidRPr="002F3D36">
        <w:rPr>
          <w:rFonts w:ascii="Arial" w:eastAsia="宋体" w:hAnsi="Arial" w:cs="Arial"/>
          <w:color w:val="000000"/>
          <w:kern w:val="0"/>
          <w:sz w:val="18"/>
          <w:szCs w:val="18"/>
        </w:rPr>
        <w:lastRenderedPageBreak/>
        <w:t>which arise from valuation of assets denominated in other currencies than the reporting currency of each unit; translation exposure in the income statement, which arises when the income statements of non-U.S. subsidiaries are translated into U.S. dollars; translation exposure in the balance sheet, which arises when the balance sheets of non-U.S. subsidiaries are translated into U.S. dollars; and changes in the reported U.S. dollar amounts of cash flows. We cannot predict exchange rate volatility or the extent of its impact on our future financial results. We typically denominate foreign transactions in foreign currencies to achieve a natural hedge. However, a natural hedge cannot be achieved for all our currency flows; therefore, a net transaction exposure remains within the group. The net exposure can be significant and creates a transaction exposure risk for the Company. The Company does not hedge translation exposure. However, we do engage in foreign exchange rate hedging from time to time related to foreign currency transactions.</w:t>
      </w:r>
      <w:r w:rsidRPr="002F3D36">
        <w:rPr>
          <w:rFonts w:ascii="Arial" w:eastAsia="宋体" w:hAnsi="Arial" w:cs="Arial"/>
          <w:color w:val="000000"/>
          <w:kern w:val="0"/>
          <w:sz w:val="18"/>
          <w:szCs w:val="18"/>
          <w:shd w:val="clear" w:color="auto" w:fill="FFFFFF"/>
        </w:rPr>
        <w:t xml:space="preserve"> For additional information, see Part II, Item 7A. Quantitative and Qualitative Disclosures about Market Risk - Currency risks.</w:t>
      </w:r>
    </w:p>
    <w:p w14:paraId="276DE232" w14:textId="77777777" w:rsidR="002F3D36" w:rsidRPr="002F3D36" w:rsidRDefault="002F3D36" w:rsidP="002F3D36">
      <w:pPr>
        <w:widowControl/>
        <w:spacing w:before="340"/>
        <w:jc w:val="center"/>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shd w:val="clear" w:color="auto" w:fill="FFFFFF"/>
        </w:rPr>
        <w:t>RISKS RELATED TO ACQUISITIONS</w:t>
      </w:r>
    </w:p>
    <w:p w14:paraId="3D8B5B9A"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 xml:space="preserve">We face risks in connection with acquisitions and joint ventures </w:t>
      </w:r>
    </w:p>
    <w:p w14:paraId="2645E8B5"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Our growth has been enhanced through strategic opportunities, including acquisitions of businesses, products and technologies, and joint development agreements that we believe will complement our business. We regularly evaluate acquisition opportunities, frequently engage in acquisition discussions, conduct due diligence activities in connection with possible acquisitions, and, where appropriate, engage in acquisition negotiations. We may not be able to successfully identify suitable acquisition and joint venture candidates or complete transactions on acceptable terms, integrate acquired operations into our existing operations or expand into new markets. Our failure to identify suitable strategic opportunities may restrict our ability to grow our business. These strategic opportunities also involve numerous additional risks to us and our investors, including: risks related to retaining acquired management and employees; difficulties in integrating acquired technologies, products, operations, services and personnel with our existing businesses; diversion of our management’s attention from other business concerns; assumption of contingent liabilities; adverse financial impacts from the amortization of expenses related to intangible assets; adverse financial impacts from potential impairment of goodwill; incurrence of indebtedness; and potential adverse financial impacts. In the future, we may pursue acquisitions of businesses or products that are complementary to our business but for which we have historically had little or no direct experience. These transactions can involve significant challenges and risks as well as significant time and resources that may divert management’s attention from other business activities. If we fail to adequately manage these risks, the acquisitions may not result in revenue growth, operational synergies or service or technology enhancements, which could adversely affect our financial condition.</w:t>
      </w:r>
    </w:p>
    <w:p w14:paraId="62FD1F59" w14:textId="77777777" w:rsidR="002F3D36" w:rsidRPr="002F3D36" w:rsidRDefault="002F3D36" w:rsidP="002F3D36">
      <w:pPr>
        <w:widowControl/>
        <w:jc w:val="left"/>
        <w:rPr>
          <w:rFonts w:ascii="Times New Roman" w:eastAsia="宋体" w:hAnsi="Times New Roman" w:cs="Times New Roman"/>
          <w:color w:val="000000"/>
          <w:kern w:val="0"/>
          <w:sz w:val="20"/>
          <w:szCs w:val="20"/>
        </w:rPr>
      </w:pPr>
      <w:r w:rsidRPr="002F3D36">
        <w:rPr>
          <w:rFonts w:ascii="Times New Roman" w:eastAsia="宋体" w:hAnsi="Times New Roman" w:cs="Times New Roman"/>
          <w:color w:val="000000"/>
          <w:kern w:val="0"/>
          <w:sz w:val="20"/>
          <w:szCs w:val="20"/>
        </w:rPr>
        <w:t> </w:t>
      </w:r>
    </w:p>
    <w:p w14:paraId="23A890FF" w14:textId="77777777" w:rsidR="002F3D36" w:rsidRPr="002F3D36" w:rsidRDefault="002F3D36" w:rsidP="002F3D36">
      <w:pPr>
        <w:widowControl/>
        <w:spacing w:before="240"/>
        <w:jc w:val="center"/>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20</w:t>
      </w:r>
    </w:p>
    <w:p w14:paraId="14CF3D30" w14:textId="77777777" w:rsidR="002F3D36" w:rsidRPr="002F3D36" w:rsidRDefault="002F3D36" w:rsidP="002F3D36">
      <w:pPr>
        <w:widowControl/>
        <w:jc w:val="left"/>
        <w:rPr>
          <w:rFonts w:ascii="宋体" w:eastAsia="宋体" w:hAnsi="宋体" w:cs="宋体"/>
          <w:kern w:val="0"/>
          <w:sz w:val="24"/>
          <w:szCs w:val="24"/>
        </w:rPr>
      </w:pPr>
      <w:r w:rsidRPr="002F3D36">
        <w:rPr>
          <w:rFonts w:ascii="宋体" w:eastAsia="宋体" w:hAnsi="宋体" w:cs="宋体"/>
          <w:kern w:val="0"/>
          <w:sz w:val="24"/>
          <w:szCs w:val="24"/>
        </w:rPr>
        <w:pict w14:anchorId="3E9F351D">
          <v:rect id="_x0000_i1045" style="width:0;height:1.5pt" o:hralign="center" o:hrstd="t" o:hrnoshade="t" o:hr="t" fillcolor="black" stroked="f"/>
        </w:pict>
      </w:r>
    </w:p>
    <w:p w14:paraId="6D6B16E7" w14:textId="77777777" w:rsidR="002F3D36" w:rsidRPr="002F3D36" w:rsidRDefault="002F3D36" w:rsidP="002F3D36">
      <w:pPr>
        <w:widowControl/>
        <w:spacing w:line="20" w:lineRule="atLeast"/>
        <w:jc w:val="left"/>
        <w:rPr>
          <w:rFonts w:ascii="Times New Roman" w:eastAsia="宋体" w:hAnsi="Times New Roman" w:cs="Times New Roman"/>
          <w:color w:val="000000"/>
          <w:kern w:val="0"/>
          <w:sz w:val="20"/>
          <w:szCs w:val="20"/>
        </w:rPr>
      </w:pPr>
      <w:r w:rsidRPr="002F3D36">
        <w:rPr>
          <w:rFonts w:ascii="Arial" w:eastAsia="宋体" w:hAnsi="Arial" w:cs="Arial"/>
          <w:color w:val="000000"/>
          <w:kern w:val="0"/>
          <w:sz w:val="2"/>
          <w:szCs w:val="2"/>
        </w:rPr>
        <w:t> </w:t>
      </w:r>
    </w:p>
    <w:p w14:paraId="405A8C29" w14:textId="77777777" w:rsidR="002F3D36" w:rsidRPr="002F3D36" w:rsidRDefault="002F3D36" w:rsidP="002F3D36">
      <w:pPr>
        <w:widowControl/>
        <w:spacing w:before="340"/>
        <w:jc w:val="center"/>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RISKS RELATED TO INTELLECTUAL PROPERTY</w:t>
      </w:r>
    </w:p>
    <w:p w14:paraId="6CBFDEA1"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If our patents are declared invalid or our technology infringes on the proprietary rights of others, our ability to compete may be impaired</w:t>
      </w:r>
    </w:p>
    <w:p w14:paraId="17CCA93F"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lastRenderedPageBreak/>
        <w:t>We have developed a considerable amount of proprietary technology related to automotive safety systems and rely on a number of patents to protect such technology. Our intellectual property plays an important role in maintaining our competitive position in a number of the markets we serve. At present, we hold more than 6,400 patents covering a large number of innovations and product ideas, mainly in the fields of seatbelt and airbag technologies. In addition to our in-house research and development efforts, we seek to acquire rights to new intellectual property through corporate acquisitions, asset acquisitions, licensing and joint venture arrangements. Our patents and licenses expire on various dates during the period from 2022 to 2041. We do not expect the expiration of any single patent or license to have a material adverse effect on our business, operating results and financial condition. Developments or assertions by or against us relating to intellectual property rights could negatively impact our business. We primarily protect our innovations with patents and vigorously protect and defend our patents, trademarks and know-how against infringement and unauthorized use. If we are not able to protect our intellectual property and our proprietary rights and technology, we could lose those rights and incur substantial costs policing and defending those rights. We also generate license revenue from these patents, which we may lose if we do not adequately protect our intellectual property and proprietary rights. Our means of protecting our intellectual property, proprietary rights and technology may not be adequate, and our competitors may independently develop technologies that are similar or superior to our proprietary technologies, duplicate our technologies, or design around the patents we own or license. In addition, the laws of some foreign countries do not protect our proprietary rights to as great an extent as the laws of the U.S. and we may encounter significant problems in protecting and defending our intellectual property rights in certain foreign jurisdictions. This could make it difficult for us to stop the infringement of our patents or misappropriation of our other intellectual property rights. Proceedings to enforce our patent rights in foreign jurisdictions could result in substantial costs and divert our efforts and attention from other aspects of our business. Accordingly, our efforts to protect our intellectual property rights in such countries may be inadequate.</w:t>
      </w:r>
    </w:p>
    <w:p w14:paraId="218598F3"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We may not be able to protect our proprietary technology and intellectual property rights, which could result in the loss of our rights or increased costs.</w:t>
      </w:r>
    </w:p>
    <w:p w14:paraId="1D496B8F"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xml:space="preserve">Although we believe that our products and technology do not infringe the proprietary rights of others, third parties may assert infringement claims against us in the future. Additionally, we license from third parties proprietary technology covered by patents, and we cannot be certain that any such patents will not be challenged, invalidated or circumvented. Such licenses may also be non-exclusive, meaning our competition may also be able to access such technology. Further, we expect to continue to expand our products and services and expand into new businesses, including through developing new products, acquisitions, joint ventures and joint development agreements, which could increase our exposure to patent and other intellectual property claims from competitors and other parties. If claims alleging patent, copyright or trademark infringement are brought against us and are successfully prosecuted against us, they could result in substantial costs. If a successful claim is made against us and we fail to develop non-infringing technology, our business, operating results and financial condition could be materially adversely affected. In addition, certain of our products utilize components that are developed by third parties and licensed to us. If claims alleging patent, copyright or trademark infringement are brought against such licensors and successfully prosecuted, they could result in substantial costs, and we may not be able to replace the functions provided by these licensors. Alternate sources for the technology currently licensed to us may not be available in a timely manner, may not provide the same functions as currently provided or may be more expensive than products currently used. We may develop proprietary information through our in-house research and development efforts, consulting arrangements or research collaborations with </w:t>
      </w:r>
      <w:r w:rsidRPr="002F3D36">
        <w:rPr>
          <w:rFonts w:ascii="Arial" w:eastAsia="宋体" w:hAnsi="Arial" w:cs="Arial"/>
          <w:color w:val="000000"/>
          <w:kern w:val="0"/>
          <w:sz w:val="18"/>
          <w:szCs w:val="18"/>
        </w:rPr>
        <w:lastRenderedPageBreak/>
        <w:t xml:space="preserve">other entities or organizations. We may seek to protect this proprietary information by entering into confidentiality agreements or consulting, services or employment agreements that contain non-disclosure and non-use provisions with our employees, consultants, scientific advisors and other third parties. However, we may fail to enter into the necessary agreements, and even if entered into, these agreements may be breached or may otherwise fail to prevent disclosure, third-party infringement or misappropriation of our proprietary information. </w:t>
      </w:r>
    </w:p>
    <w:p w14:paraId="24B01927"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We may not be able to respond quickly enough to changes in technology and technological risks and to develop our intellectual property into commercially viable products</w:t>
      </w:r>
    </w:p>
    <w:p w14:paraId="12C1BC98"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Changes in legislative, regulatory or industry requirements or in competitive technologies may render certain of our products obsolete or less attractive to our customers. We currently license certain proprietary technology to third parties and, if such technology becomes obsolete or less attractive, those licensees could terminate our license agreements, which could adversely affect our results of operations. Our ability to anticipate changes in technology and regulatory standards and to successfully develop and introduce new and enhanced products on a timely basis will be a significant factor in our ability to remain competitive. We cannot provide assurance that we will be able to achieve the technological advances that may be necessary for us to remain competitive or that certain of our products will not become obsolete. We are also subject to the risks generally associated with new product introductions and applications, including lack of market acceptance, delays in product development and failure of products to operate properly. As part of our business strategy, we may from time to time seek to acquire businesses or assets that provide us with additional intellectual property. We may experience problems integrating acquired technologies into our existing technologies and products, and such acquired intellectual property may be subject to known or contingent liabilities such as infringement claims.</w:t>
      </w:r>
    </w:p>
    <w:p w14:paraId="2D6CDB60" w14:textId="77777777" w:rsidR="002F3D36" w:rsidRPr="002F3D36" w:rsidRDefault="002F3D36" w:rsidP="002F3D36">
      <w:pPr>
        <w:widowControl/>
        <w:jc w:val="left"/>
        <w:rPr>
          <w:rFonts w:ascii="Times New Roman" w:eastAsia="宋体" w:hAnsi="Times New Roman" w:cs="Times New Roman"/>
          <w:color w:val="000000"/>
          <w:kern w:val="0"/>
          <w:sz w:val="20"/>
          <w:szCs w:val="20"/>
        </w:rPr>
      </w:pPr>
      <w:r w:rsidRPr="002F3D36">
        <w:rPr>
          <w:rFonts w:ascii="Times New Roman" w:eastAsia="宋体" w:hAnsi="Times New Roman" w:cs="Times New Roman"/>
          <w:color w:val="000000"/>
          <w:kern w:val="0"/>
          <w:sz w:val="20"/>
          <w:szCs w:val="20"/>
        </w:rPr>
        <w:t> </w:t>
      </w:r>
    </w:p>
    <w:p w14:paraId="4428C8A4" w14:textId="77777777" w:rsidR="002F3D36" w:rsidRPr="002F3D36" w:rsidRDefault="002F3D36" w:rsidP="002F3D36">
      <w:pPr>
        <w:widowControl/>
        <w:spacing w:before="240"/>
        <w:jc w:val="center"/>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21</w:t>
      </w:r>
    </w:p>
    <w:p w14:paraId="6BA62274" w14:textId="77777777" w:rsidR="002F3D36" w:rsidRPr="002F3D36" w:rsidRDefault="002F3D36" w:rsidP="002F3D36">
      <w:pPr>
        <w:widowControl/>
        <w:jc w:val="left"/>
        <w:rPr>
          <w:rFonts w:ascii="宋体" w:eastAsia="宋体" w:hAnsi="宋体" w:cs="宋体"/>
          <w:kern w:val="0"/>
          <w:sz w:val="24"/>
          <w:szCs w:val="24"/>
        </w:rPr>
      </w:pPr>
      <w:r w:rsidRPr="002F3D36">
        <w:rPr>
          <w:rFonts w:ascii="宋体" w:eastAsia="宋体" w:hAnsi="宋体" w:cs="宋体"/>
          <w:kern w:val="0"/>
          <w:sz w:val="24"/>
          <w:szCs w:val="24"/>
        </w:rPr>
        <w:pict w14:anchorId="7CC56FB3">
          <v:rect id="_x0000_i1046" style="width:0;height:1.5pt" o:hralign="center" o:hrstd="t" o:hrnoshade="t" o:hr="t" fillcolor="black" stroked="f"/>
        </w:pict>
      </w:r>
    </w:p>
    <w:p w14:paraId="5F84A50A" w14:textId="77777777" w:rsidR="002F3D36" w:rsidRPr="002F3D36" w:rsidRDefault="002F3D36" w:rsidP="002F3D36">
      <w:pPr>
        <w:widowControl/>
        <w:spacing w:line="20" w:lineRule="atLeast"/>
        <w:jc w:val="left"/>
        <w:rPr>
          <w:rFonts w:ascii="Times New Roman" w:eastAsia="宋体" w:hAnsi="Times New Roman" w:cs="Times New Roman"/>
          <w:color w:val="000000"/>
          <w:kern w:val="0"/>
          <w:sz w:val="20"/>
          <w:szCs w:val="20"/>
        </w:rPr>
      </w:pPr>
      <w:r w:rsidRPr="002F3D36">
        <w:rPr>
          <w:rFonts w:ascii="Arial" w:eastAsia="宋体" w:hAnsi="Arial" w:cs="Arial"/>
          <w:color w:val="000000"/>
          <w:kern w:val="0"/>
          <w:sz w:val="2"/>
          <w:szCs w:val="2"/>
        </w:rPr>
        <w:t> </w:t>
      </w:r>
    </w:p>
    <w:p w14:paraId="7EBC55DC"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 xml:space="preserve">Some of our products and technologies may use “open source” software, which may restrict how we use or distribute our products or require that we release the source code of certain products subject to those licenses </w:t>
      </w:r>
    </w:p>
    <w:p w14:paraId="1A36C1F9"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Some of our products and technologies may incorporate software licensed under so-called “open source” licenses. In addition to risks related to license requirements, usage of open source software can lead to greater risks than use of third-party commercial software, as open source licensors generally do not provide warranties or controls on origin of the software. Additionally, open source licenses typically require that source code subject to the license be made available to the public and that any modifications or derivative works to open source software continue to be licensed under open source licenses. These open source licenses typically mandate that proprietary software, when combined in specific ways with open source software, become subject to the open source license. If we combine our proprietary software in such ways with open source software, we could be required to release the source code of our proprietary software. We take steps to ensure that our proprietary software is not combined with, and does not incorporate, open source software in ways that would require our proprietary software to be subject to an open source license. However, few courts have interpreted open source licenses; therefore the manner in which these licenses may be interpreted and enforced is subject to some uncertainty.</w:t>
      </w:r>
    </w:p>
    <w:p w14:paraId="41BC3A69" w14:textId="77777777" w:rsidR="002F3D36" w:rsidRPr="002F3D36" w:rsidRDefault="002F3D36" w:rsidP="002F3D36">
      <w:pPr>
        <w:widowControl/>
        <w:spacing w:before="340"/>
        <w:jc w:val="center"/>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lastRenderedPageBreak/>
        <w:t>RISKS RELATED TO GOVERNMENT REGULATIONS AND TAXES</w:t>
      </w:r>
    </w:p>
    <w:p w14:paraId="6D199686"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Our business may be adversely affected by laws or regulations, including environmental, occupational health and safety or other governmental regulations</w:t>
      </w:r>
    </w:p>
    <w:p w14:paraId="09B07E5B"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We are subject to various federal, state, local and foreign laws and regulations, including those related to the requirements of environmental, occupational health and safety, financial and other matters. We cannot predict the substance or impact of pending or future legislation or regulations, or the application thereof. The introduction of new laws or regulations or changes in existing laws or regulations, or the interpretations thereof, could increase the costs of doing business for us or our customers or suppliers or restrict our actions and adversely affect our business prospects, operating results, cash flows or financial condition. Our operations are subject to environmental and safety laws and regulations governing, among other things, emissions to air, discharges to waters and the generation, handling, storage, transportation, treatment and disposal of waste and other materials. The operation of automotive parts manufacturing facilities entails risks in these areas, and we cannot assure that we will not incur material costs or liabilities as a result. Additionally, environmental laws, regulations, and permits and the enforcement thereof change frequently and have tended to become increasingly stringent over time, which may necessitate substantial capital expenditures or operating costs or may require changes of production processes. Although we have no known pending material environmental issues, there is no assurance that we will not be adversely impacted by any environmental costs, liabilities or claims in the future either under present laws and regulations or those that may be adopted or imposed in the future. Our costs, liabilities, and obligations relating to environmental matters may have a material adverse effect on our business, operating results, cash flows, or financial condition. Our facilities in the U.S. are subject to regulation by the Occupational Safety and Health Administration (“OSHA”), which regulates the protection of the health and safety of workers. In addition, the OSHA hazard communication standard requires that we maintain information about hazardous materials used or produced in our operations and that we provide this information to employees, state and local governmental authorities and local residents. We are also subject to occupational safety regulations in other countries. Our failure to comply with government occupational safety regulations, including OSHA requirements, or general industry standards relating to employee health and safety, keep adequate records or monitor occupational exposure to regulated substances could expose us to liability, enforcement, and fines and penalties, and could have a material adverse effect on our business, operating results, cash flows, or financial condition. Although we employ safety procedures in the design and operation of our facilities, there is a risk that an accident or injury to one of our employees could occur in one of our facilities. Any accident or injury to our employees could result in litigation, manufacturing delays and harm to our reputation, which could negatively affect our business, operating results and financial condition.</w:t>
      </w:r>
    </w:p>
    <w:p w14:paraId="52EC1D48" w14:textId="77777777" w:rsidR="002F3D36" w:rsidRPr="002F3D36" w:rsidRDefault="002F3D36" w:rsidP="002F3D36">
      <w:pPr>
        <w:widowControl/>
        <w:spacing w:before="240"/>
        <w:jc w:val="center"/>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22</w:t>
      </w:r>
    </w:p>
    <w:p w14:paraId="472C4426" w14:textId="77777777" w:rsidR="002F3D36" w:rsidRPr="002F3D36" w:rsidRDefault="002F3D36" w:rsidP="002F3D36">
      <w:pPr>
        <w:widowControl/>
        <w:jc w:val="left"/>
        <w:rPr>
          <w:rFonts w:ascii="宋体" w:eastAsia="宋体" w:hAnsi="宋体" w:cs="宋体"/>
          <w:kern w:val="0"/>
          <w:sz w:val="24"/>
          <w:szCs w:val="24"/>
        </w:rPr>
      </w:pPr>
      <w:r w:rsidRPr="002F3D36">
        <w:rPr>
          <w:rFonts w:ascii="宋体" w:eastAsia="宋体" w:hAnsi="宋体" w:cs="宋体"/>
          <w:kern w:val="0"/>
          <w:sz w:val="24"/>
          <w:szCs w:val="24"/>
        </w:rPr>
        <w:pict w14:anchorId="3D5B21E2">
          <v:rect id="_x0000_i1047" style="width:0;height:1.5pt" o:hralign="center" o:hrstd="t" o:hrnoshade="t" o:hr="t" fillcolor="black" stroked="f"/>
        </w:pict>
      </w:r>
    </w:p>
    <w:p w14:paraId="083F3C5A" w14:textId="77777777" w:rsidR="002F3D36" w:rsidRPr="002F3D36" w:rsidRDefault="002F3D36" w:rsidP="002F3D36">
      <w:pPr>
        <w:widowControl/>
        <w:spacing w:line="20" w:lineRule="atLeast"/>
        <w:jc w:val="left"/>
        <w:rPr>
          <w:rFonts w:ascii="Times New Roman" w:eastAsia="宋体" w:hAnsi="Times New Roman" w:cs="Times New Roman"/>
          <w:color w:val="000000"/>
          <w:kern w:val="0"/>
          <w:sz w:val="20"/>
          <w:szCs w:val="20"/>
        </w:rPr>
      </w:pPr>
      <w:r w:rsidRPr="002F3D36">
        <w:rPr>
          <w:rFonts w:ascii="Arial" w:eastAsia="宋体" w:hAnsi="Arial" w:cs="Arial"/>
          <w:color w:val="000000"/>
          <w:kern w:val="0"/>
          <w:sz w:val="2"/>
          <w:szCs w:val="2"/>
        </w:rPr>
        <w:t> </w:t>
      </w:r>
    </w:p>
    <w:p w14:paraId="7CFAF44D"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Our business may be adversely affected by changes in automotive safety regulations or concerns that drive further regulation of the automobile safety market</w:t>
      </w:r>
    </w:p>
    <w:p w14:paraId="427B233C"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xml:space="preserve">Government vehicle safety regulations are a key driver in our business. Historically, these regulations have imposed ever more stringent safety regulations for vehicles. Safety regulations have a positive impact on driver awareness and acceptance of automotive safety products and technology. These more </w:t>
      </w:r>
      <w:r w:rsidRPr="002F3D36">
        <w:rPr>
          <w:rFonts w:ascii="Arial" w:eastAsia="宋体" w:hAnsi="Arial" w:cs="Arial"/>
          <w:color w:val="000000"/>
          <w:kern w:val="0"/>
          <w:sz w:val="18"/>
          <w:szCs w:val="18"/>
        </w:rPr>
        <w:lastRenderedPageBreak/>
        <w:t xml:space="preserve">stringent safety regulations often require vehicles to have more safety content per vehicle and more advanced safety products, which has thus been a driver of growth in our business. However, these regulations are subject to change based on a number of factors that are not within our control, including new scientific or medical data, adverse publicity regarding the industry recalls and safety risks of airbags or seatbelts (for instance, to children and small adults), domestic and foreign political developments or considerations, and litigation relating to our products and our competitors’ products. Changes in government regulations in response to these and other considerations could have a severe impact on our business. Although we believe that over time safety will continue to be a regulatory priority, if government priorities shift and we are unable to adapt to changing regulations, our business may suffer material adverse effects. The regulatory obligation of complying with safety regulations could increase as federal and local regulators impose more stringent compliance and reporting requirements in response to product recalls and safety issues in our industry. We are subject to existing stringent requirements under the National Traffic and Motor Vehicle Safety Act of 1966 (the “Vehicle Safety Act”), including a duty to report, subject to strict timing requirements, safety defects with our products. The Vehicle Safety Act imposes potentially significant civil penalties for violations including the failure to comply with such reporting actions. We are also subject to the existing U.S. Transportation Recall Enhancement, Accountability and Documentation (TREAD) Act, which requires equipment manufacturers, such as Autoliv, to comply with “Early Warning” requirements by reporting certain information to the National Highway Traffic Safety Administration (“NHTSA”) such as: information related to defects or reports of injury related to our products. TREAD imposes criminal liability for violating such requirements if a defect subsequently causes death or bodily injury. In addition, the Vehicle Safety Act authorizes NHTSA to require a manufacturer to recall and repair vehicles that contain safety defects or fail to comply with U.S. federal motor vehicle safety standards. Sales into foreign countries may be subject to similar regulations. Due to the record recall of airbag inflators of one of our competitors, NHTSA has become more active in requesting information from suppliers and vehicle manufactures regarding potential product defects and we expect that to continue or increase under the new U.S. presidential administration. </w:t>
      </w:r>
    </w:p>
    <w:p w14:paraId="090398FB"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Negative or unexpected tax developments could adversely affect our effective tax rate, operating results and financial condition</w:t>
      </w:r>
    </w:p>
    <w:p w14:paraId="6A10830A"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xml:space="preserve">Changes in, or changes in the application of, U.S. or foreign tax laws, regulations or accounting principles with respect to matters such as tax base, tax rates, transfer pricing, dividends and restrictions on certain forms of tax relief or limitations on favorable tax treatment could affect the carrying value of our deferred tax assets and/or our effective tax rate. Our annual tax rate is based on our income and the tax laws in the jurisdictions in which we operate. Because of our global operations we face uncertainties and judgments in the application of complex tax regulations in a multitude of jurisdictions. Significant judgment is required in determining our effective tax rate and in evaluating our tax positions. Although we believe that our tax estimates are reasonable, the final determination of our tax liability may be different from what is reflected in our historical income tax provisions and accruals. We are regularly examined by tax authorities around the world and in a number of jurisdictions, we are currently under examination, which inherently creates uncertainty. Although we periodically assess the likelihood of adverse outcomes, negative or unexpected results from one or more of such reviews and audits, including any related interest or penalties imposed by governmental authorities, could increase our effective tax rate and adversely impact our operating results, cash flows or financial condition. The effective tax rates used for interim reporting are based on our projected full-year geographic earnings mix and take into account projected tax costs on intercompany dividends from lower tier subsidiaries. Changes in currency exchange rates, </w:t>
      </w:r>
      <w:r w:rsidRPr="002F3D36">
        <w:rPr>
          <w:rFonts w:ascii="Arial" w:eastAsia="宋体" w:hAnsi="Arial" w:cs="Arial"/>
          <w:color w:val="000000"/>
          <w:kern w:val="0"/>
          <w:sz w:val="18"/>
          <w:szCs w:val="18"/>
        </w:rPr>
        <w:lastRenderedPageBreak/>
        <w:t>earnings mix among taxing jurisdictions, or the ability of our subsidiaries to pay dividends could impact our reported effective tax rates, or cause fluctuations in the tax rate from quarter to quarter. Certain anti-trust judgements or settlements may not be tax deductible, which could have a material negative impact to our annual tax rate. A number of other factors may also increase our effective tax rate, which could have an adverse impact on our profitability and operating results. Due to our numerous foreign operations, our tax rate may be impacted by our global mix of earnings if our pre-tax income is lower than anticipated in countries with lower statutory tax rates and/or is higher than anticipated in countries with higher statutory tax rates. Based on U.S. regulatory rules, we do not record current or deferred tax liabilities on permanent investments in our foreign subsidiaries. See Note 5 to the Consolidated Financial Statements in this Annual Report.</w:t>
      </w:r>
    </w:p>
    <w:p w14:paraId="167FF6C5"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We may not be able to fully realize our deferred tax assets</w:t>
      </w:r>
    </w:p>
    <w:p w14:paraId="462A98C4"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We currently carry deferred tax assets, net of valuation allowances, resulting from deductible temporary differences and tax loss carry-forwards, both of which will reduce taxable income in the future. However, deferred tax assets may only be realized against taxable income. The amount of our deferred tax assets could be reduced, from time to time, due to adverse changes in our operations or in estimates of future taxable income from operations during the carry-forward period as a result of a deterioration in market conditions or other circumstances. Any such reduction would adversely affect our income in the period of the adjustment. Additional information on our deferred tax assets is included in Note 5 to the Consolidated Financial Statements in this Annual Report.</w:t>
      </w:r>
    </w:p>
    <w:p w14:paraId="6B336FB1" w14:textId="77777777" w:rsidR="002F3D36" w:rsidRPr="002F3D36" w:rsidRDefault="002F3D36" w:rsidP="002F3D36">
      <w:pPr>
        <w:widowControl/>
        <w:jc w:val="left"/>
        <w:rPr>
          <w:rFonts w:ascii="Times New Roman" w:eastAsia="宋体" w:hAnsi="Times New Roman" w:cs="Times New Roman"/>
          <w:color w:val="000000"/>
          <w:kern w:val="0"/>
          <w:sz w:val="20"/>
          <w:szCs w:val="20"/>
        </w:rPr>
      </w:pPr>
      <w:r w:rsidRPr="002F3D36">
        <w:rPr>
          <w:rFonts w:ascii="Times New Roman" w:eastAsia="宋体" w:hAnsi="Times New Roman" w:cs="Times New Roman"/>
          <w:color w:val="000000"/>
          <w:kern w:val="0"/>
          <w:sz w:val="20"/>
          <w:szCs w:val="20"/>
        </w:rPr>
        <w:t> </w:t>
      </w:r>
    </w:p>
    <w:p w14:paraId="2F50C6FF" w14:textId="77777777" w:rsidR="002F3D36" w:rsidRPr="002F3D36" w:rsidRDefault="002F3D36" w:rsidP="002F3D36">
      <w:pPr>
        <w:widowControl/>
        <w:spacing w:before="240"/>
        <w:jc w:val="center"/>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23</w:t>
      </w:r>
    </w:p>
    <w:p w14:paraId="48EEFB7A" w14:textId="77777777" w:rsidR="002F3D36" w:rsidRPr="002F3D36" w:rsidRDefault="002F3D36" w:rsidP="002F3D36">
      <w:pPr>
        <w:widowControl/>
        <w:jc w:val="left"/>
        <w:rPr>
          <w:rFonts w:ascii="宋体" w:eastAsia="宋体" w:hAnsi="宋体" w:cs="宋体"/>
          <w:kern w:val="0"/>
          <w:sz w:val="24"/>
          <w:szCs w:val="24"/>
        </w:rPr>
      </w:pPr>
      <w:r w:rsidRPr="002F3D36">
        <w:rPr>
          <w:rFonts w:ascii="宋体" w:eastAsia="宋体" w:hAnsi="宋体" w:cs="宋体"/>
          <w:kern w:val="0"/>
          <w:sz w:val="24"/>
          <w:szCs w:val="24"/>
        </w:rPr>
        <w:pict w14:anchorId="6C2FBEAE">
          <v:rect id="_x0000_i1048" style="width:0;height:1.5pt" o:hralign="center" o:hrstd="t" o:hrnoshade="t" o:hr="t" fillcolor="black" stroked="f"/>
        </w:pict>
      </w:r>
    </w:p>
    <w:p w14:paraId="1332652B" w14:textId="77777777" w:rsidR="002F3D36" w:rsidRPr="002F3D36" w:rsidRDefault="002F3D36" w:rsidP="002F3D36">
      <w:pPr>
        <w:widowControl/>
        <w:spacing w:line="20" w:lineRule="atLeast"/>
        <w:jc w:val="left"/>
        <w:rPr>
          <w:rFonts w:ascii="Times New Roman" w:eastAsia="宋体" w:hAnsi="Times New Roman" w:cs="Times New Roman"/>
          <w:color w:val="000000"/>
          <w:kern w:val="0"/>
          <w:sz w:val="20"/>
          <w:szCs w:val="20"/>
        </w:rPr>
      </w:pPr>
      <w:r w:rsidRPr="002F3D36">
        <w:rPr>
          <w:rFonts w:ascii="Arial" w:eastAsia="宋体" w:hAnsi="Arial" w:cs="Arial"/>
          <w:color w:val="000000"/>
          <w:kern w:val="0"/>
          <w:sz w:val="2"/>
          <w:szCs w:val="2"/>
        </w:rPr>
        <w:t> </w:t>
      </w:r>
    </w:p>
    <w:p w14:paraId="0F5FE10A" w14:textId="77777777" w:rsidR="002F3D36" w:rsidRPr="002F3D36" w:rsidRDefault="002F3D36" w:rsidP="002F3D36">
      <w:pPr>
        <w:widowControl/>
        <w:spacing w:before="340"/>
        <w:jc w:val="center"/>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shd w:val="clear" w:color="auto" w:fill="FFFFFF"/>
        </w:rPr>
        <w:t>RISKS RELATED TO THE SEPARATION OF VEONEER</w:t>
      </w:r>
    </w:p>
    <w:p w14:paraId="6C48FBDF"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shd w:val="clear" w:color="auto" w:fill="FFFFFF"/>
        </w:rPr>
        <w:t>We could incur significant liability if the separation is determined to be a taxable transaction</w:t>
      </w:r>
    </w:p>
    <w:p w14:paraId="46F37F8A"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shd w:val="clear" w:color="auto" w:fill="FFFFFF"/>
        </w:rPr>
        <w:t>We have received an opinion of outside counsel to the effect that, for U.S. federal income tax purposes, the separation should qualify, for both Autoliv and its stockholders, as a reorganization within the meaning of Sections 368(a)(1)(D) and 355 of the U.S. Internal Revenue Code of 1986, as amended. The opinion is based on and relies on, among other things, certain facts and assumptions, as well as certain representations, statements and undertakings of Autoliv and Veoneer, including those relating to the past and future conduct of Autoliv and Veoneer. If any of these facts, assumptions, representations, statements or undertakings is, or becomes, inaccurate or incomplete, reliance on the opinion may be affected. An opinion of outside counsel represents their legal judgment but is not binding on the IRS or any court. Accordingly, there can be no assurance that the IRS will not challenge the conclusions reflected in the opinion or that a court would not sustain such a challenge.</w:t>
      </w:r>
      <w:r w:rsidRPr="002F3D36">
        <w:rPr>
          <w:rFonts w:ascii="Arial" w:eastAsia="宋体" w:hAnsi="Arial" w:cs="Arial"/>
          <w:color w:val="000000"/>
          <w:kern w:val="0"/>
          <w:sz w:val="18"/>
          <w:szCs w:val="18"/>
        </w:rPr>
        <w:t xml:space="preserve"> </w:t>
      </w:r>
    </w:p>
    <w:p w14:paraId="0670AFC5"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shd w:val="clear" w:color="auto" w:fill="FFFFFF"/>
        </w:rPr>
        <w:t>Potential indemnification obligations to Veoneer or a refusal of Veoneer to indemnify us pursuant to the agreements executed in connection with the internal reorganization and spin-off could materially adversely affect us</w:t>
      </w:r>
    </w:p>
    <w:p w14:paraId="2C13DBDB"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shd w:val="clear" w:color="auto" w:fill="FFFFFF"/>
        </w:rPr>
        <w:t xml:space="preserve">The transaction agreements we entered into with Veoneer in connection with the internal reorganization and the spin-off provide for cross-indemnities that require Autoliv and Veoneer to bear financial </w:t>
      </w:r>
      <w:r w:rsidRPr="002F3D36">
        <w:rPr>
          <w:rFonts w:ascii="Arial" w:eastAsia="宋体" w:hAnsi="Arial" w:cs="Arial"/>
          <w:color w:val="000000"/>
          <w:kern w:val="0"/>
          <w:sz w:val="18"/>
          <w:szCs w:val="18"/>
          <w:shd w:val="clear" w:color="auto" w:fill="FFFFFF"/>
        </w:rPr>
        <w:lastRenderedPageBreak/>
        <w:t xml:space="preserve">responsibility for each company’s business prior to the internal reorganization or spin-off, as applicable, and to indemnify the other party in connection with a breach of such party of the transaction agreements; provided, however, certain warranty, recall and product liabilities for electronics products </w:t>
      </w:r>
      <w:r w:rsidRPr="002F3D36">
        <w:rPr>
          <w:rFonts w:ascii="Arial" w:eastAsia="宋体" w:hAnsi="Arial" w:cs="Arial"/>
          <w:color w:val="000000"/>
          <w:kern w:val="0"/>
          <w:sz w:val="18"/>
          <w:szCs w:val="18"/>
        </w:rPr>
        <w:t>manufactured prior to the completion of the internal reorganization have been retained by us and we will indemnify Veoneer for any losses associated with such warranty, recall or product liabilities pursuant to the distribution agreement entered into as part of the spin-off. Any indemnities that we are required to provide to Veoneer may be significant and could negatively affect our business. In addition, there can be no assurance that the indemnities from Veoneer will be sufficient to protect us against the full amount of any potential liabilities. Even if we do succeed in recovering from Veoneer any amounts for which we are held liable, we may be temporarily required to bear these losses ourselves. Additionally, Veoneer has announced that it entered into a definitive agreement to be acquired by Qualcomm Incorporated and SSW Partners. If such transaction is completed, our ability to recover any amounts from Veoneer pursuant to the transaction agreements may be impacted. Each of these risks could have a material adverse effect on our business, operating results and financial condition.</w:t>
      </w:r>
    </w:p>
    <w:p w14:paraId="10E61862"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10202"/>
          <w:kern w:val="0"/>
          <w:sz w:val="22"/>
        </w:rPr>
        <w:t>Item 1B. Unresolved Staff Comments</w:t>
      </w:r>
    </w:p>
    <w:p w14:paraId="66422770"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10202"/>
          <w:kern w:val="0"/>
          <w:sz w:val="18"/>
          <w:szCs w:val="18"/>
        </w:rPr>
        <w:t>Not applicable.</w:t>
      </w:r>
    </w:p>
    <w:p w14:paraId="12EFEA9A" w14:textId="77777777" w:rsidR="002F3D36" w:rsidRPr="002F3D36" w:rsidRDefault="002F3D36" w:rsidP="002F3D36">
      <w:pPr>
        <w:widowControl/>
        <w:spacing w:before="240"/>
        <w:jc w:val="center"/>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24</w:t>
      </w:r>
    </w:p>
    <w:p w14:paraId="1907D38A" w14:textId="77777777" w:rsidR="002F3D36" w:rsidRPr="002F3D36" w:rsidRDefault="002F3D36" w:rsidP="002F3D36">
      <w:pPr>
        <w:widowControl/>
        <w:jc w:val="left"/>
        <w:rPr>
          <w:rFonts w:ascii="宋体" w:eastAsia="宋体" w:hAnsi="宋体" w:cs="宋体"/>
          <w:kern w:val="0"/>
          <w:sz w:val="24"/>
          <w:szCs w:val="24"/>
        </w:rPr>
      </w:pPr>
      <w:r w:rsidRPr="002F3D36">
        <w:rPr>
          <w:rFonts w:ascii="宋体" w:eastAsia="宋体" w:hAnsi="宋体" w:cs="宋体"/>
          <w:kern w:val="0"/>
          <w:sz w:val="24"/>
          <w:szCs w:val="24"/>
        </w:rPr>
        <w:pict w14:anchorId="7EB30268">
          <v:rect id="_x0000_i1049" style="width:0;height:1.5pt" o:hralign="center" o:hrstd="t" o:hrnoshade="t" o:hr="t" fillcolor="black" stroked="f"/>
        </w:pict>
      </w:r>
    </w:p>
    <w:p w14:paraId="5C4B1472" w14:textId="77777777" w:rsidR="002F3D36" w:rsidRPr="002F3D36" w:rsidRDefault="002F3D36" w:rsidP="002F3D36">
      <w:pPr>
        <w:widowControl/>
        <w:spacing w:line="20" w:lineRule="atLeast"/>
        <w:jc w:val="left"/>
        <w:rPr>
          <w:rFonts w:ascii="Times New Roman" w:eastAsia="宋体" w:hAnsi="Times New Roman" w:cs="Times New Roman"/>
          <w:color w:val="000000"/>
          <w:kern w:val="0"/>
          <w:sz w:val="20"/>
          <w:szCs w:val="20"/>
        </w:rPr>
      </w:pPr>
      <w:r w:rsidRPr="002F3D36">
        <w:rPr>
          <w:rFonts w:ascii="Arial" w:eastAsia="宋体" w:hAnsi="Arial" w:cs="Arial"/>
          <w:color w:val="000000"/>
          <w:kern w:val="0"/>
          <w:sz w:val="2"/>
          <w:szCs w:val="2"/>
        </w:rPr>
        <w:t> </w:t>
      </w:r>
    </w:p>
    <w:p w14:paraId="475C45E9"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b/>
          <w:bCs/>
          <w:color w:val="010202"/>
          <w:kern w:val="0"/>
          <w:sz w:val="22"/>
        </w:rPr>
        <w:t>Item 2. Properties</w:t>
      </w:r>
    </w:p>
    <w:p w14:paraId="39F2D615" w14:textId="77777777" w:rsidR="002F3D36" w:rsidRPr="002F3D36" w:rsidRDefault="002F3D36" w:rsidP="002F3D36">
      <w:pPr>
        <w:widowControl/>
        <w:spacing w:before="140"/>
        <w:rPr>
          <w:rFonts w:ascii="Times New Roman" w:eastAsia="宋体" w:hAnsi="Times New Roman" w:cs="Times New Roman"/>
          <w:color w:val="000000"/>
          <w:kern w:val="0"/>
          <w:sz w:val="20"/>
          <w:szCs w:val="20"/>
        </w:rPr>
      </w:pPr>
      <w:r w:rsidRPr="002F3D36">
        <w:rPr>
          <w:rFonts w:ascii="Arial" w:eastAsia="宋体" w:hAnsi="Arial" w:cs="Arial"/>
          <w:color w:val="010202"/>
          <w:kern w:val="0"/>
          <w:sz w:val="18"/>
          <w:szCs w:val="18"/>
        </w:rPr>
        <w:t>Autoliv’s principal executive offices are located at Klarabergsviadukten 70, Section B7, SE-111 64, Stockholm, Sweden. Autoliv’s various businesses operate in a number of production facilities and offices. Autoliv believes that its properties are adequately maintained and suitable for their intended use and that the Company’s production facilities have adequate capacity for the Company’s current and foreseeable needs. All of Autoliv’s production facilities and offices are owned or leased by operating (either subsidiary or joint venture) companies.</w:t>
      </w:r>
    </w:p>
    <w:p w14:paraId="340BC6AF" w14:textId="77777777" w:rsidR="002F3D36" w:rsidRPr="002F3D36" w:rsidRDefault="002F3D36" w:rsidP="002F3D36">
      <w:pPr>
        <w:widowControl/>
        <w:jc w:val="left"/>
        <w:rPr>
          <w:rFonts w:ascii="Times New Roman" w:eastAsia="宋体" w:hAnsi="Times New Roman" w:cs="Times New Roman"/>
          <w:color w:val="000000"/>
          <w:kern w:val="0"/>
          <w:sz w:val="20"/>
          <w:szCs w:val="20"/>
        </w:rPr>
      </w:pPr>
      <w:r w:rsidRPr="002F3D36">
        <w:rPr>
          <w:rFonts w:ascii="Arial" w:eastAsia="宋体" w:hAnsi="Arial" w:cs="Arial"/>
          <w:color w:val="000000"/>
          <w:kern w:val="0"/>
          <w:sz w:val="17"/>
          <w:szCs w:val="17"/>
        </w:rPr>
        <w:t> </w:t>
      </w:r>
    </w:p>
    <w:tbl>
      <w:tblPr>
        <w:tblW w:w="20614" w:type="dxa"/>
        <w:tblCellSpacing w:w="15" w:type="dxa"/>
        <w:tblCellMar>
          <w:top w:w="15" w:type="dxa"/>
          <w:left w:w="15" w:type="dxa"/>
          <w:bottom w:w="15" w:type="dxa"/>
          <w:right w:w="15" w:type="dxa"/>
        </w:tblCellMar>
        <w:tblLook w:val="04A0" w:firstRow="1" w:lastRow="0" w:firstColumn="1" w:lastColumn="0" w:noHBand="0" w:noVBand="1"/>
      </w:tblPr>
      <w:tblGrid>
        <w:gridCol w:w="9278"/>
        <w:gridCol w:w="331"/>
        <w:gridCol w:w="3171"/>
        <w:gridCol w:w="331"/>
        <w:gridCol w:w="4790"/>
        <w:gridCol w:w="331"/>
        <w:gridCol w:w="2382"/>
      </w:tblGrid>
      <w:tr w:rsidR="002F3D36" w:rsidRPr="002F3D36" w14:paraId="2CA4961A" w14:textId="77777777" w:rsidTr="002F3D36">
        <w:trPr>
          <w:tblCellSpacing w:w="15" w:type="dxa"/>
        </w:trPr>
        <w:tc>
          <w:tcPr>
            <w:tcW w:w="9251" w:type="dxa"/>
            <w:vAlign w:val="center"/>
            <w:hideMark/>
          </w:tcPr>
          <w:p w14:paraId="42D2065C" w14:textId="77777777" w:rsidR="002F3D36" w:rsidRPr="002F3D36" w:rsidRDefault="002F3D36" w:rsidP="002F3D36">
            <w:pPr>
              <w:widowControl/>
              <w:jc w:val="left"/>
              <w:rPr>
                <w:rFonts w:ascii="Times New Roman" w:eastAsia="宋体" w:hAnsi="Times New Roman" w:cs="Times New Roman"/>
                <w:color w:val="000000"/>
                <w:kern w:val="0"/>
                <w:sz w:val="20"/>
                <w:szCs w:val="20"/>
              </w:rPr>
            </w:pPr>
          </w:p>
        </w:tc>
        <w:tc>
          <w:tcPr>
            <w:tcW w:w="301" w:type="dxa"/>
            <w:vAlign w:val="center"/>
            <w:hideMark/>
          </w:tcPr>
          <w:p w14:paraId="0E4AC8A6"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3144" w:type="dxa"/>
            <w:vAlign w:val="center"/>
            <w:hideMark/>
          </w:tcPr>
          <w:p w14:paraId="660037E2"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301" w:type="dxa"/>
            <w:vAlign w:val="center"/>
            <w:hideMark/>
          </w:tcPr>
          <w:p w14:paraId="316CC00E"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4768" w:type="dxa"/>
            <w:vAlign w:val="center"/>
            <w:hideMark/>
          </w:tcPr>
          <w:p w14:paraId="3410A297"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301" w:type="dxa"/>
            <w:vAlign w:val="center"/>
            <w:hideMark/>
          </w:tcPr>
          <w:p w14:paraId="7D3A5BF6"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340" w:type="dxa"/>
            <w:vAlign w:val="center"/>
            <w:hideMark/>
          </w:tcPr>
          <w:p w14:paraId="42E6D5CB" w14:textId="77777777" w:rsidR="002F3D36" w:rsidRPr="002F3D36" w:rsidRDefault="002F3D36" w:rsidP="002F3D36">
            <w:pPr>
              <w:widowControl/>
              <w:jc w:val="left"/>
              <w:rPr>
                <w:rFonts w:ascii="Times New Roman" w:eastAsia="Times New Roman" w:hAnsi="Times New Roman" w:cs="Times New Roman"/>
                <w:kern w:val="0"/>
                <w:sz w:val="20"/>
                <w:szCs w:val="20"/>
              </w:rPr>
            </w:pPr>
          </w:p>
        </w:tc>
      </w:tr>
      <w:tr w:rsidR="002F3D36" w:rsidRPr="002F3D36" w14:paraId="657F16B3" w14:textId="77777777" w:rsidTr="002F3D36">
        <w:trPr>
          <w:trHeight w:val="180"/>
          <w:tblCellSpacing w:w="15" w:type="dxa"/>
        </w:trPr>
        <w:tc>
          <w:tcPr>
            <w:tcW w:w="0" w:type="auto"/>
            <w:gridSpan w:val="7"/>
            <w:vAlign w:val="bottom"/>
            <w:hideMark/>
          </w:tcPr>
          <w:p w14:paraId="411F369E" w14:textId="77777777" w:rsidR="002F3D36" w:rsidRPr="002F3D36" w:rsidRDefault="002F3D36" w:rsidP="002F3D36">
            <w:pPr>
              <w:widowControl/>
              <w:jc w:val="center"/>
              <w:rPr>
                <w:rFonts w:ascii="Times New Roman" w:eastAsia="微软雅黑" w:hAnsi="Times New Roman" w:cs="Times New Roman"/>
                <w:kern w:val="0"/>
                <w:sz w:val="18"/>
                <w:szCs w:val="18"/>
              </w:rPr>
            </w:pPr>
            <w:r w:rsidRPr="002F3D36">
              <w:rPr>
                <w:rFonts w:ascii="Arial" w:eastAsia="微软雅黑" w:hAnsi="Arial" w:cs="Arial"/>
                <w:b/>
                <w:bCs/>
                <w:i/>
                <w:iCs/>
                <w:color w:val="000000"/>
                <w:kern w:val="0"/>
                <w:sz w:val="18"/>
                <w:szCs w:val="18"/>
              </w:rPr>
              <w:t>AUTOLIV MANUFACTURING FACILITIES</w:t>
            </w:r>
          </w:p>
        </w:tc>
      </w:tr>
      <w:tr w:rsidR="002F3D36" w:rsidRPr="002F3D36" w14:paraId="693B8302" w14:textId="77777777" w:rsidTr="002F3D36">
        <w:trPr>
          <w:tblCellSpacing w:w="15" w:type="dxa"/>
        </w:trPr>
        <w:tc>
          <w:tcPr>
            <w:tcW w:w="0" w:type="auto"/>
            <w:vAlign w:val="bottom"/>
            <w:hideMark/>
          </w:tcPr>
          <w:p w14:paraId="5796BFE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4D4D93F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3432D67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1D5A0AE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226186A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12769D3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6B7B0353" w14:textId="77777777" w:rsidR="002F3D36" w:rsidRPr="002F3D36" w:rsidRDefault="002F3D36" w:rsidP="002F3D36">
            <w:pPr>
              <w:widowControl/>
              <w:jc w:val="center"/>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3056494E" w14:textId="77777777" w:rsidTr="002F3D36">
        <w:trPr>
          <w:trHeight w:val="160"/>
          <w:tblCellSpacing w:w="15" w:type="dxa"/>
        </w:trPr>
        <w:tc>
          <w:tcPr>
            <w:tcW w:w="0" w:type="auto"/>
            <w:tcBorders>
              <w:bottom w:val="single" w:sz="4" w:space="0" w:color="000000"/>
            </w:tcBorders>
            <w:vAlign w:val="bottom"/>
            <w:hideMark/>
          </w:tcPr>
          <w:p w14:paraId="2B1DC74F" w14:textId="77777777" w:rsidR="002F3D36" w:rsidRPr="002F3D36" w:rsidRDefault="002F3D36" w:rsidP="002F3D36">
            <w:pPr>
              <w:widowControl/>
              <w:jc w:val="left"/>
              <w:rPr>
                <w:rFonts w:ascii="Times New Roman" w:eastAsia="微软雅黑" w:hAnsi="Times New Roman" w:cs="Times New Roman"/>
                <w:kern w:val="0"/>
                <w:sz w:val="16"/>
                <w:szCs w:val="16"/>
              </w:rPr>
            </w:pPr>
            <w:r w:rsidRPr="002F3D36">
              <w:rPr>
                <w:rFonts w:ascii="Arial" w:eastAsia="微软雅黑" w:hAnsi="Arial" w:cs="Arial"/>
                <w:b/>
                <w:bCs/>
                <w:color w:val="000000"/>
                <w:kern w:val="0"/>
                <w:sz w:val="16"/>
                <w:szCs w:val="16"/>
              </w:rPr>
              <w:t>Country/Company</w:t>
            </w:r>
          </w:p>
        </w:tc>
        <w:tc>
          <w:tcPr>
            <w:tcW w:w="0" w:type="auto"/>
            <w:vAlign w:val="bottom"/>
            <w:hideMark/>
          </w:tcPr>
          <w:p w14:paraId="3073E489" w14:textId="77777777" w:rsidR="002F3D36" w:rsidRPr="002F3D36" w:rsidRDefault="002F3D36" w:rsidP="002F3D36">
            <w:pPr>
              <w:widowControl/>
              <w:jc w:val="left"/>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tcBorders>
              <w:bottom w:val="single" w:sz="4" w:space="0" w:color="000000"/>
            </w:tcBorders>
            <w:vAlign w:val="bottom"/>
            <w:hideMark/>
          </w:tcPr>
          <w:p w14:paraId="69133681" w14:textId="77777777" w:rsidR="002F3D36" w:rsidRPr="002F3D36" w:rsidRDefault="002F3D36" w:rsidP="002F3D36">
            <w:pPr>
              <w:widowControl/>
              <w:jc w:val="left"/>
              <w:rPr>
                <w:rFonts w:ascii="Times New Roman" w:eastAsia="微软雅黑" w:hAnsi="Times New Roman" w:cs="Times New Roman"/>
                <w:kern w:val="0"/>
                <w:sz w:val="16"/>
                <w:szCs w:val="16"/>
              </w:rPr>
            </w:pPr>
            <w:r w:rsidRPr="002F3D36">
              <w:rPr>
                <w:rFonts w:ascii="Arial" w:eastAsia="微软雅黑" w:hAnsi="Arial" w:cs="Arial"/>
                <w:b/>
                <w:bCs/>
                <w:color w:val="000000"/>
                <w:kern w:val="0"/>
                <w:sz w:val="16"/>
                <w:szCs w:val="16"/>
              </w:rPr>
              <w:t>Location of Facility</w:t>
            </w:r>
          </w:p>
        </w:tc>
        <w:tc>
          <w:tcPr>
            <w:tcW w:w="0" w:type="auto"/>
            <w:vAlign w:val="bottom"/>
            <w:hideMark/>
          </w:tcPr>
          <w:p w14:paraId="211EF1CB" w14:textId="77777777" w:rsidR="002F3D36" w:rsidRPr="002F3D36" w:rsidRDefault="002F3D36" w:rsidP="002F3D36">
            <w:pPr>
              <w:widowControl/>
              <w:jc w:val="left"/>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tcBorders>
              <w:bottom w:val="single" w:sz="4" w:space="0" w:color="000000"/>
            </w:tcBorders>
            <w:vAlign w:val="bottom"/>
            <w:hideMark/>
          </w:tcPr>
          <w:p w14:paraId="3B2EC70C" w14:textId="77777777" w:rsidR="002F3D36" w:rsidRPr="002F3D36" w:rsidRDefault="002F3D36" w:rsidP="002F3D36">
            <w:pPr>
              <w:widowControl/>
              <w:jc w:val="left"/>
              <w:rPr>
                <w:rFonts w:ascii="Times New Roman" w:eastAsia="微软雅黑" w:hAnsi="Times New Roman" w:cs="Times New Roman"/>
                <w:kern w:val="0"/>
                <w:sz w:val="16"/>
                <w:szCs w:val="16"/>
              </w:rPr>
            </w:pPr>
            <w:r w:rsidRPr="002F3D36">
              <w:rPr>
                <w:rFonts w:ascii="Arial" w:eastAsia="微软雅黑" w:hAnsi="Arial" w:cs="Arial"/>
                <w:b/>
                <w:bCs/>
                <w:color w:val="000000"/>
                <w:kern w:val="0"/>
                <w:sz w:val="16"/>
                <w:szCs w:val="16"/>
              </w:rPr>
              <w:t>Items produced at Facility</w:t>
            </w:r>
          </w:p>
        </w:tc>
        <w:tc>
          <w:tcPr>
            <w:tcW w:w="0" w:type="auto"/>
            <w:vAlign w:val="bottom"/>
            <w:hideMark/>
          </w:tcPr>
          <w:p w14:paraId="0C96EA15" w14:textId="77777777" w:rsidR="002F3D36" w:rsidRPr="002F3D36" w:rsidRDefault="002F3D36" w:rsidP="002F3D36">
            <w:pPr>
              <w:widowControl/>
              <w:jc w:val="left"/>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tcBorders>
              <w:bottom w:val="single" w:sz="4" w:space="0" w:color="000000"/>
            </w:tcBorders>
            <w:hideMark/>
          </w:tcPr>
          <w:p w14:paraId="149EEF7D"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b/>
                <w:bCs/>
                <w:color w:val="000000"/>
                <w:kern w:val="0"/>
                <w:sz w:val="16"/>
                <w:szCs w:val="16"/>
              </w:rPr>
              <w:t>Owned/Leased</w:t>
            </w:r>
          </w:p>
        </w:tc>
      </w:tr>
      <w:tr w:rsidR="002F3D36" w:rsidRPr="002F3D36" w14:paraId="6CB99A2B" w14:textId="77777777" w:rsidTr="002F3D36">
        <w:trPr>
          <w:trHeight w:val="180"/>
          <w:tblCellSpacing w:w="15" w:type="dxa"/>
        </w:trPr>
        <w:tc>
          <w:tcPr>
            <w:tcW w:w="0" w:type="auto"/>
            <w:shd w:val="clear" w:color="auto" w:fill="CCECFF"/>
            <w:hideMark/>
          </w:tcPr>
          <w:p w14:paraId="7947065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Brazil</w:t>
            </w:r>
          </w:p>
        </w:tc>
        <w:tc>
          <w:tcPr>
            <w:tcW w:w="0" w:type="auto"/>
            <w:shd w:val="clear" w:color="auto" w:fill="CCECFF"/>
            <w:vAlign w:val="bottom"/>
            <w:hideMark/>
          </w:tcPr>
          <w:p w14:paraId="34CAD24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CECFF"/>
            <w:hideMark/>
          </w:tcPr>
          <w:p w14:paraId="63F1E11B" w14:textId="77777777" w:rsidR="002F3D36" w:rsidRPr="002F3D36" w:rsidRDefault="002F3D36" w:rsidP="002F3D36">
            <w:pPr>
              <w:widowControl/>
              <w:jc w:val="left"/>
              <w:rPr>
                <w:rFonts w:ascii="Times New Roman" w:eastAsia="微软雅黑" w:hAnsi="Times New Roman" w:cs="Times New Roman"/>
                <w:kern w:val="0"/>
                <w:sz w:val="20"/>
                <w:szCs w:val="20"/>
              </w:rPr>
            </w:pPr>
            <w:r w:rsidRPr="002F3D36">
              <w:rPr>
                <w:rFonts w:ascii="Arial" w:eastAsia="微软雅黑" w:hAnsi="Arial" w:cs="Arial"/>
                <w:kern w:val="0"/>
                <w:sz w:val="20"/>
                <w:szCs w:val="20"/>
              </w:rPr>
              <w:t> </w:t>
            </w:r>
          </w:p>
        </w:tc>
        <w:tc>
          <w:tcPr>
            <w:tcW w:w="0" w:type="auto"/>
            <w:shd w:val="clear" w:color="auto" w:fill="CCECFF"/>
            <w:vAlign w:val="bottom"/>
            <w:hideMark/>
          </w:tcPr>
          <w:p w14:paraId="5155B78D" w14:textId="77777777" w:rsidR="002F3D36" w:rsidRPr="002F3D36" w:rsidRDefault="002F3D36" w:rsidP="002F3D36">
            <w:pPr>
              <w:widowControl/>
              <w:jc w:val="left"/>
              <w:rPr>
                <w:rFonts w:ascii="Times New Roman" w:eastAsia="微软雅黑" w:hAnsi="Times New Roman" w:cs="Times New Roman"/>
                <w:kern w:val="0"/>
                <w:sz w:val="20"/>
                <w:szCs w:val="20"/>
              </w:rPr>
            </w:pPr>
            <w:r w:rsidRPr="002F3D36">
              <w:rPr>
                <w:rFonts w:ascii="Arial" w:eastAsia="微软雅黑" w:hAnsi="Arial" w:cs="Arial"/>
                <w:kern w:val="0"/>
                <w:sz w:val="20"/>
                <w:szCs w:val="20"/>
              </w:rPr>
              <w:t> </w:t>
            </w:r>
          </w:p>
        </w:tc>
        <w:tc>
          <w:tcPr>
            <w:tcW w:w="0" w:type="auto"/>
            <w:shd w:val="clear" w:color="auto" w:fill="CCECFF"/>
            <w:hideMark/>
          </w:tcPr>
          <w:p w14:paraId="606F87E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CECFF"/>
            <w:vAlign w:val="bottom"/>
            <w:hideMark/>
          </w:tcPr>
          <w:p w14:paraId="31BD36B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CECFF"/>
            <w:hideMark/>
          </w:tcPr>
          <w:p w14:paraId="42E8816A" w14:textId="77777777" w:rsidR="002F3D36" w:rsidRPr="002F3D36" w:rsidRDefault="002F3D36" w:rsidP="002F3D36">
            <w:pPr>
              <w:widowControl/>
              <w:jc w:val="center"/>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62B7C142" w14:textId="77777777" w:rsidTr="002F3D36">
        <w:trPr>
          <w:trHeight w:val="180"/>
          <w:tblCellSpacing w:w="15" w:type="dxa"/>
        </w:trPr>
        <w:tc>
          <w:tcPr>
            <w:tcW w:w="0" w:type="auto"/>
            <w:hideMark/>
          </w:tcPr>
          <w:p w14:paraId="275C5B9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Autoliv do Brasil Ltda.</w:t>
            </w:r>
          </w:p>
        </w:tc>
        <w:tc>
          <w:tcPr>
            <w:tcW w:w="0" w:type="auto"/>
            <w:vAlign w:val="bottom"/>
            <w:hideMark/>
          </w:tcPr>
          <w:p w14:paraId="1D3235A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2A40147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Taubaté</w:t>
            </w:r>
          </w:p>
        </w:tc>
        <w:tc>
          <w:tcPr>
            <w:tcW w:w="0" w:type="auto"/>
            <w:vAlign w:val="bottom"/>
            <w:hideMark/>
          </w:tcPr>
          <w:p w14:paraId="775CFA4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44FB789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Seatbelts, airbags, steering wheels and seatbelt webbing</w:t>
            </w:r>
          </w:p>
        </w:tc>
        <w:tc>
          <w:tcPr>
            <w:tcW w:w="0" w:type="auto"/>
            <w:vAlign w:val="bottom"/>
            <w:hideMark/>
          </w:tcPr>
          <w:p w14:paraId="7E4D6B2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7B14A981" w14:textId="77777777" w:rsidR="002F3D36" w:rsidRPr="002F3D36" w:rsidRDefault="002F3D36" w:rsidP="002F3D36">
            <w:pPr>
              <w:widowControl/>
              <w:jc w:val="center"/>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Owned</w:t>
            </w:r>
          </w:p>
        </w:tc>
      </w:tr>
      <w:tr w:rsidR="002F3D36" w:rsidRPr="002F3D36" w14:paraId="3C04D200" w14:textId="77777777" w:rsidTr="002F3D36">
        <w:trPr>
          <w:tblCellSpacing w:w="15" w:type="dxa"/>
        </w:trPr>
        <w:tc>
          <w:tcPr>
            <w:tcW w:w="0" w:type="auto"/>
            <w:hideMark/>
          </w:tcPr>
          <w:p w14:paraId="3E7DE382"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vAlign w:val="bottom"/>
            <w:hideMark/>
          </w:tcPr>
          <w:p w14:paraId="7E8DC698"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2008A34A"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vAlign w:val="bottom"/>
            <w:hideMark/>
          </w:tcPr>
          <w:p w14:paraId="066D2148"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23A28101"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vAlign w:val="bottom"/>
            <w:hideMark/>
          </w:tcPr>
          <w:p w14:paraId="2C3BBF88"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0B2F98C7" w14:textId="77777777" w:rsidR="002F3D36" w:rsidRPr="002F3D36" w:rsidRDefault="002F3D36" w:rsidP="002F3D36">
            <w:pPr>
              <w:widowControl/>
              <w:jc w:val="center"/>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r>
      <w:tr w:rsidR="002F3D36" w:rsidRPr="002F3D36" w14:paraId="339BB2BC" w14:textId="77777777" w:rsidTr="002F3D36">
        <w:trPr>
          <w:trHeight w:val="180"/>
          <w:tblCellSpacing w:w="15" w:type="dxa"/>
        </w:trPr>
        <w:tc>
          <w:tcPr>
            <w:tcW w:w="0" w:type="auto"/>
            <w:shd w:val="clear" w:color="auto" w:fill="CCECFF"/>
            <w:hideMark/>
          </w:tcPr>
          <w:p w14:paraId="1FF91D5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Canada</w:t>
            </w:r>
          </w:p>
        </w:tc>
        <w:tc>
          <w:tcPr>
            <w:tcW w:w="0" w:type="auto"/>
            <w:shd w:val="clear" w:color="auto" w:fill="CCECFF"/>
            <w:vAlign w:val="bottom"/>
            <w:hideMark/>
          </w:tcPr>
          <w:p w14:paraId="32E6AC0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CECFF"/>
            <w:hideMark/>
          </w:tcPr>
          <w:p w14:paraId="56626F32" w14:textId="77777777" w:rsidR="002F3D36" w:rsidRPr="002F3D36" w:rsidRDefault="002F3D36" w:rsidP="002F3D36">
            <w:pPr>
              <w:widowControl/>
              <w:jc w:val="left"/>
              <w:rPr>
                <w:rFonts w:ascii="Times New Roman" w:eastAsia="微软雅黑" w:hAnsi="Times New Roman" w:cs="Times New Roman"/>
                <w:kern w:val="0"/>
                <w:sz w:val="20"/>
                <w:szCs w:val="20"/>
              </w:rPr>
            </w:pPr>
            <w:r w:rsidRPr="002F3D36">
              <w:rPr>
                <w:rFonts w:ascii="Arial" w:eastAsia="微软雅黑" w:hAnsi="Arial" w:cs="Arial"/>
                <w:kern w:val="0"/>
                <w:sz w:val="20"/>
                <w:szCs w:val="20"/>
              </w:rPr>
              <w:t> </w:t>
            </w:r>
          </w:p>
        </w:tc>
        <w:tc>
          <w:tcPr>
            <w:tcW w:w="0" w:type="auto"/>
            <w:shd w:val="clear" w:color="auto" w:fill="CCECFF"/>
            <w:vAlign w:val="bottom"/>
            <w:hideMark/>
          </w:tcPr>
          <w:p w14:paraId="1950A529" w14:textId="77777777" w:rsidR="002F3D36" w:rsidRPr="002F3D36" w:rsidRDefault="002F3D36" w:rsidP="002F3D36">
            <w:pPr>
              <w:widowControl/>
              <w:jc w:val="left"/>
              <w:rPr>
                <w:rFonts w:ascii="Times New Roman" w:eastAsia="微软雅黑" w:hAnsi="Times New Roman" w:cs="Times New Roman"/>
                <w:kern w:val="0"/>
                <w:sz w:val="20"/>
                <w:szCs w:val="20"/>
              </w:rPr>
            </w:pPr>
            <w:r w:rsidRPr="002F3D36">
              <w:rPr>
                <w:rFonts w:ascii="Arial" w:eastAsia="微软雅黑" w:hAnsi="Arial" w:cs="Arial"/>
                <w:kern w:val="0"/>
                <w:sz w:val="20"/>
                <w:szCs w:val="20"/>
              </w:rPr>
              <w:t> </w:t>
            </w:r>
          </w:p>
        </w:tc>
        <w:tc>
          <w:tcPr>
            <w:tcW w:w="0" w:type="auto"/>
            <w:shd w:val="clear" w:color="auto" w:fill="CCECFF"/>
            <w:hideMark/>
          </w:tcPr>
          <w:p w14:paraId="45DCE11F" w14:textId="77777777" w:rsidR="002F3D36" w:rsidRPr="002F3D36" w:rsidRDefault="002F3D36" w:rsidP="002F3D36">
            <w:pPr>
              <w:widowControl/>
              <w:jc w:val="left"/>
              <w:rPr>
                <w:rFonts w:ascii="Times New Roman" w:eastAsia="微软雅黑" w:hAnsi="Times New Roman" w:cs="Times New Roman"/>
                <w:kern w:val="0"/>
                <w:sz w:val="20"/>
                <w:szCs w:val="20"/>
              </w:rPr>
            </w:pPr>
            <w:r w:rsidRPr="002F3D36">
              <w:rPr>
                <w:rFonts w:ascii="Arial" w:eastAsia="微软雅黑" w:hAnsi="Arial" w:cs="Arial"/>
                <w:kern w:val="0"/>
                <w:sz w:val="20"/>
                <w:szCs w:val="20"/>
              </w:rPr>
              <w:t> </w:t>
            </w:r>
          </w:p>
        </w:tc>
        <w:tc>
          <w:tcPr>
            <w:tcW w:w="0" w:type="auto"/>
            <w:shd w:val="clear" w:color="auto" w:fill="CCECFF"/>
            <w:vAlign w:val="bottom"/>
            <w:hideMark/>
          </w:tcPr>
          <w:p w14:paraId="45B54A30" w14:textId="77777777" w:rsidR="002F3D36" w:rsidRPr="002F3D36" w:rsidRDefault="002F3D36" w:rsidP="002F3D36">
            <w:pPr>
              <w:widowControl/>
              <w:jc w:val="left"/>
              <w:rPr>
                <w:rFonts w:ascii="Times New Roman" w:eastAsia="微软雅黑" w:hAnsi="Times New Roman" w:cs="Times New Roman"/>
                <w:kern w:val="0"/>
                <w:sz w:val="20"/>
                <w:szCs w:val="20"/>
              </w:rPr>
            </w:pPr>
            <w:r w:rsidRPr="002F3D36">
              <w:rPr>
                <w:rFonts w:ascii="Arial" w:eastAsia="微软雅黑" w:hAnsi="Arial" w:cs="Arial"/>
                <w:kern w:val="0"/>
                <w:sz w:val="20"/>
                <w:szCs w:val="20"/>
              </w:rPr>
              <w:t> </w:t>
            </w:r>
          </w:p>
        </w:tc>
        <w:tc>
          <w:tcPr>
            <w:tcW w:w="0" w:type="auto"/>
            <w:shd w:val="clear" w:color="auto" w:fill="CCECFF"/>
            <w:hideMark/>
          </w:tcPr>
          <w:p w14:paraId="56EBEACE" w14:textId="77777777" w:rsidR="002F3D36" w:rsidRPr="002F3D36" w:rsidRDefault="002F3D36" w:rsidP="002F3D36">
            <w:pPr>
              <w:widowControl/>
              <w:jc w:val="center"/>
              <w:rPr>
                <w:rFonts w:ascii="Times New Roman" w:eastAsia="微软雅黑" w:hAnsi="Times New Roman" w:cs="Times New Roman"/>
                <w:kern w:val="0"/>
                <w:sz w:val="20"/>
                <w:szCs w:val="20"/>
              </w:rPr>
            </w:pPr>
            <w:r w:rsidRPr="002F3D36">
              <w:rPr>
                <w:rFonts w:ascii="Arial" w:eastAsia="微软雅黑" w:hAnsi="Arial" w:cs="Arial"/>
                <w:kern w:val="0"/>
                <w:sz w:val="20"/>
                <w:szCs w:val="20"/>
              </w:rPr>
              <w:t> </w:t>
            </w:r>
          </w:p>
        </w:tc>
      </w:tr>
      <w:tr w:rsidR="002F3D36" w:rsidRPr="002F3D36" w14:paraId="53913F90" w14:textId="77777777" w:rsidTr="002F3D36">
        <w:trPr>
          <w:trHeight w:val="180"/>
          <w:tblCellSpacing w:w="15" w:type="dxa"/>
        </w:trPr>
        <w:tc>
          <w:tcPr>
            <w:tcW w:w="0" w:type="auto"/>
            <w:hideMark/>
          </w:tcPr>
          <w:p w14:paraId="77249E3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Autoliv Canada, Inc.</w:t>
            </w:r>
          </w:p>
        </w:tc>
        <w:tc>
          <w:tcPr>
            <w:tcW w:w="0" w:type="auto"/>
            <w:vAlign w:val="bottom"/>
            <w:hideMark/>
          </w:tcPr>
          <w:p w14:paraId="52D6FF4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1D0CD39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Tilbury</w:t>
            </w:r>
          </w:p>
        </w:tc>
        <w:tc>
          <w:tcPr>
            <w:tcW w:w="0" w:type="auto"/>
            <w:vAlign w:val="bottom"/>
            <w:hideMark/>
          </w:tcPr>
          <w:p w14:paraId="101D03B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442388F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Airbag cushions</w:t>
            </w:r>
          </w:p>
        </w:tc>
        <w:tc>
          <w:tcPr>
            <w:tcW w:w="0" w:type="auto"/>
            <w:vAlign w:val="bottom"/>
            <w:hideMark/>
          </w:tcPr>
          <w:p w14:paraId="224A92F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21F51E1F" w14:textId="77777777" w:rsidR="002F3D36" w:rsidRPr="002F3D36" w:rsidRDefault="002F3D36" w:rsidP="002F3D36">
            <w:pPr>
              <w:widowControl/>
              <w:jc w:val="center"/>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Owned</w:t>
            </w:r>
          </w:p>
        </w:tc>
      </w:tr>
      <w:tr w:rsidR="002F3D36" w:rsidRPr="002F3D36" w14:paraId="505FA48B" w14:textId="77777777" w:rsidTr="002F3D36">
        <w:trPr>
          <w:trHeight w:val="180"/>
          <w:tblCellSpacing w:w="15" w:type="dxa"/>
        </w:trPr>
        <w:tc>
          <w:tcPr>
            <w:tcW w:w="0" w:type="auto"/>
            <w:hideMark/>
          </w:tcPr>
          <w:p w14:paraId="064048E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VOA Canada, Inc.</w:t>
            </w:r>
          </w:p>
        </w:tc>
        <w:tc>
          <w:tcPr>
            <w:tcW w:w="0" w:type="auto"/>
            <w:vAlign w:val="bottom"/>
            <w:hideMark/>
          </w:tcPr>
          <w:p w14:paraId="6B39E51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27158F8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Collingwood</w:t>
            </w:r>
          </w:p>
        </w:tc>
        <w:tc>
          <w:tcPr>
            <w:tcW w:w="0" w:type="auto"/>
            <w:vAlign w:val="bottom"/>
            <w:hideMark/>
          </w:tcPr>
          <w:p w14:paraId="012FD32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22C395D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Seatbelt webbing</w:t>
            </w:r>
          </w:p>
        </w:tc>
        <w:tc>
          <w:tcPr>
            <w:tcW w:w="0" w:type="auto"/>
            <w:vAlign w:val="bottom"/>
            <w:hideMark/>
          </w:tcPr>
          <w:p w14:paraId="4457644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67AF6FC4" w14:textId="77777777" w:rsidR="002F3D36" w:rsidRPr="002F3D36" w:rsidRDefault="002F3D36" w:rsidP="002F3D36">
            <w:pPr>
              <w:widowControl/>
              <w:jc w:val="center"/>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Owned</w:t>
            </w:r>
          </w:p>
        </w:tc>
      </w:tr>
      <w:tr w:rsidR="002F3D36" w:rsidRPr="002F3D36" w14:paraId="6CDB683C" w14:textId="77777777" w:rsidTr="002F3D36">
        <w:trPr>
          <w:tblCellSpacing w:w="15" w:type="dxa"/>
        </w:trPr>
        <w:tc>
          <w:tcPr>
            <w:tcW w:w="0" w:type="auto"/>
            <w:hideMark/>
          </w:tcPr>
          <w:p w14:paraId="00384962"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vAlign w:val="bottom"/>
            <w:hideMark/>
          </w:tcPr>
          <w:p w14:paraId="0A63E2C3"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34FF021F"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vAlign w:val="bottom"/>
            <w:hideMark/>
          </w:tcPr>
          <w:p w14:paraId="360138B8"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67E9B0CA"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vAlign w:val="bottom"/>
            <w:hideMark/>
          </w:tcPr>
          <w:p w14:paraId="0B30118C"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4E1DEB5F" w14:textId="77777777" w:rsidR="002F3D36" w:rsidRPr="002F3D36" w:rsidRDefault="002F3D36" w:rsidP="002F3D36">
            <w:pPr>
              <w:widowControl/>
              <w:jc w:val="center"/>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r>
      <w:tr w:rsidR="002F3D36" w:rsidRPr="002F3D36" w14:paraId="14F40B6F" w14:textId="77777777" w:rsidTr="002F3D36">
        <w:trPr>
          <w:trHeight w:val="180"/>
          <w:tblCellSpacing w:w="15" w:type="dxa"/>
        </w:trPr>
        <w:tc>
          <w:tcPr>
            <w:tcW w:w="0" w:type="auto"/>
            <w:shd w:val="clear" w:color="auto" w:fill="CCECFF"/>
            <w:hideMark/>
          </w:tcPr>
          <w:p w14:paraId="383AC60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China</w:t>
            </w:r>
          </w:p>
        </w:tc>
        <w:tc>
          <w:tcPr>
            <w:tcW w:w="0" w:type="auto"/>
            <w:shd w:val="clear" w:color="auto" w:fill="CCECFF"/>
            <w:vAlign w:val="bottom"/>
            <w:hideMark/>
          </w:tcPr>
          <w:p w14:paraId="41CABFB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CECFF"/>
            <w:hideMark/>
          </w:tcPr>
          <w:p w14:paraId="1A2AE2BF" w14:textId="77777777" w:rsidR="002F3D36" w:rsidRPr="002F3D36" w:rsidRDefault="002F3D36" w:rsidP="002F3D36">
            <w:pPr>
              <w:widowControl/>
              <w:jc w:val="left"/>
              <w:rPr>
                <w:rFonts w:ascii="Times New Roman" w:eastAsia="微软雅黑" w:hAnsi="Times New Roman" w:cs="Times New Roman"/>
                <w:kern w:val="0"/>
                <w:sz w:val="20"/>
                <w:szCs w:val="20"/>
              </w:rPr>
            </w:pPr>
            <w:r w:rsidRPr="002F3D36">
              <w:rPr>
                <w:rFonts w:ascii="Arial" w:eastAsia="微软雅黑" w:hAnsi="Arial" w:cs="Arial"/>
                <w:kern w:val="0"/>
                <w:sz w:val="20"/>
                <w:szCs w:val="20"/>
              </w:rPr>
              <w:t> </w:t>
            </w:r>
          </w:p>
        </w:tc>
        <w:tc>
          <w:tcPr>
            <w:tcW w:w="0" w:type="auto"/>
            <w:shd w:val="clear" w:color="auto" w:fill="CCECFF"/>
            <w:vAlign w:val="bottom"/>
            <w:hideMark/>
          </w:tcPr>
          <w:p w14:paraId="7A49837D" w14:textId="77777777" w:rsidR="002F3D36" w:rsidRPr="002F3D36" w:rsidRDefault="002F3D36" w:rsidP="002F3D36">
            <w:pPr>
              <w:widowControl/>
              <w:jc w:val="left"/>
              <w:rPr>
                <w:rFonts w:ascii="Times New Roman" w:eastAsia="微软雅黑" w:hAnsi="Times New Roman" w:cs="Times New Roman"/>
                <w:kern w:val="0"/>
                <w:sz w:val="20"/>
                <w:szCs w:val="20"/>
              </w:rPr>
            </w:pPr>
            <w:r w:rsidRPr="002F3D36">
              <w:rPr>
                <w:rFonts w:ascii="Arial" w:eastAsia="微软雅黑" w:hAnsi="Arial" w:cs="Arial"/>
                <w:kern w:val="0"/>
                <w:sz w:val="20"/>
                <w:szCs w:val="20"/>
              </w:rPr>
              <w:t> </w:t>
            </w:r>
          </w:p>
        </w:tc>
        <w:tc>
          <w:tcPr>
            <w:tcW w:w="0" w:type="auto"/>
            <w:shd w:val="clear" w:color="auto" w:fill="CCECFF"/>
            <w:hideMark/>
          </w:tcPr>
          <w:p w14:paraId="714644E6" w14:textId="77777777" w:rsidR="002F3D36" w:rsidRPr="002F3D36" w:rsidRDefault="002F3D36" w:rsidP="002F3D36">
            <w:pPr>
              <w:widowControl/>
              <w:jc w:val="left"/>
              <w:rPr>
                <w:rFonts w:ascii="Times New Roman" w:eastAsia="微软雅黑" w:hAnsi="Times New Roman" w:cs="Times New Roman"/>
                <w:kern w:val="0"/>
                <w:sz w:val="20"/>
                <w:szCs w:val="20"/>
              </w:rPr>
            </w:pPr>
            <w:r w:rsidRPr="002F3D36">
              <w:rPr>
                <w:rFonts w:ascii="Arial" w:eastAsia="微软雅黑" w:hAnsi="Arial" w:cs="Arial"/>
                <w:kern w:val="0"/>
                <w:sz w:val="20"/>
                <w:szCs w:val="20"/>
              </w:rPr>
              <w:t> </w:t>
            </w:r>
          </w:p>
        </w:tc>
        <w:tc>
          <w:tcPr>
            <w:tcW w:w="0" w:type="auto"/>
            <w:shd w:val="clear" w:color="auto" w:fill="CCECFF"/>
            <w:vAlign w:val="bottom"/>
            <w:hideMark/>
          </w:tcPr>
          <w:p w14:paraId="2FCE1A60" w14:textId="77777777" w:rsidR="002F3D36" w:rsidRPr="002F3D36" w:rsidRDefault="002F3D36" w:rsidP="002F3D36">
            <w:pPr>
              <w:widowControl/>
              <w:jc w:val="left"/>
              <w:rPr>
                <w:rFonts w:ascii="Times New Roman" w:eastAsia="微软雅黑" w:hAnsi="Times New Roman" w:cs="Times New Roman"/>
                <w:kern w:val="0"/>
                <w:sz w:val="20"/>
                <w:szCs w:val="20"/>
              </w:rPr>
            </w:pPr>
            <w:r w:rsidRPr="002F3D36">
              <w:rPr>
                <w:rFonts w:ascii="Arial" w:eastAsia="微软雅黑" w:hAnsi="Arial" w:cs="Arial"/>
                <w:kern w:val="0"/>
                <w:sz w:val="20"/>
                <w:szCs w:val="20"/>
              </w:rPr>
              <w:t> </w:t>
            </w:r>
          </w:p>
        </w:tc>
        <w:tc>
          <w:tcPr>
            <w:tcW w:w="0" w:type="auto"/>
            <w:shd w:val="clear" w:color="auto" w:fill="CCECFF"/>
            <w:hideMark/>
          </w:tcPr>
          <w:p w14:paraId="10D6A13B" w14:textId="77777777" w:rsidR="002F3D36" w:rsidRPr="002F3D36" w:rsidRDefault="002F3D36" w:rsidP="002F3D36">
            <w:pPr>
              <w:widowControl/>
              <w:jc w:val="center"/>
              <w:rPr>
                <w:rFonts w:ascii="Times New Roman" w:eastAsia="微软雅黑" w:hAnsi="Times New Roman" w:cs="Times New Roman"/>
                <w:kern w:val="0"/>
                <w:sz w:val="20"/>
                <w:szCs w:val="20"/>
              </w:rPr>
            </w:pPr>
            <w:r w:rsidRPr="002F3D36">
              <w:rPr>
                <w:rFonts w:ascii="Arial" w:eastAsia="微软雅黑" w:hAnsi="Arial" w:cs="Arial"/>
                <w:kern w:val="0"/>
                <w:sz w:val="20"/>
                <w:szCs w:val="20"/>
              </w:rPr>
              <w:t> </w:t>
            </w:r>
          </w:p>
        </w:tc>
      </w:tr>
      <w:tr w:rsidR="002F3D36" w:rsidRPr="002F3D36" w14:paraId="671E90C0" w14:textId="77777777" w:rsidTr="002F3D36">
        <w:trPr>
          <w:trHeight w:val="180"/>
          <w:tblCellSpacing w:w="15" w:type="dxa"/>
        </w:trPr>
        <w:tc>
          <w:tcPr>
            <w:tcW w:w="0" w:type="auto"/>
            <w:hideMark/>
          </w:tcPr>
          <w:p w14:paraId="7167613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Autoliv (Baoding) Vehicle Safety Systems Co., Ltd</w:t>
            </w:r>
          </w:p>
        </w:tc>
        <w:tc>
          <w:tcPr>
            <w:tcW w:w="0" w:type="auto"/>
            <w:vAlign w:val="bottom"/>
            <w:hideMark/>
          </w:tcPr>
          <w:p w14:paraId="260A38A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712D24A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Baoding</w:t>
            </w:r>
          </w:p>
        </w:tc>
        <w:tc>
          <w:tcPr>
            <w:tcW w:w="0" w:type="auto"/>
            <w:vAlign w:val="bottom"/>
            <w:hideMark/>
          </w:tcPr>
          <w:p w14:paraId="6BE50D4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4D3AAC7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Airbags</w:t>
            </w:r>
          </w:p>
        </w:tc>
        <w:tc>
          <w:tcPr>
            <w:tcW w:w="0" w:type="auto"/>
            <w:vAlign w:val="bottom"/>
            <w:hideMark/>
          </w:tcPr>
          <w:p w14:paraId="5EF7251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4A562D8F" w14:textId="77777777" w:rsidR="002F3D36" w:rsidRPr="002F3D36" w:rsidRDefault="002F3D36" w:rsidP="002F3D36">
            <w:pPr>
              <w:widowControl/>
              <w:jc w:val="center"/>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Leased</w:t>
            </w:r>
          </w:p>
        </w:tc>
      </w:tr>
      <w:tr w:rsidR="002F3D36" w:rsidRPr="002F3D36" w14:paraId="1E8A3ABB" w14:textId="77777777" w:rsidTr="002F3D36">
        <w:trPr>
          <w:trHeight w:val="180"/>
          <w:tblCellSpacing w:w="15" w:type="dxa"/>
        </w:trPr>
        <w:tc>
          <w:tcPr>
            <w:tcW w:w="0" w:type="auto"/>
            <w:hideMark/>
          </w:tcPr>
          <w:p w14:paraId="1AA412B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lastRenderedPageBreak/>
              <w:t>Autoliv (Changchun) Vehicle Safety Systems Co., Ltd.</w:t>
            </w:r>
          </w:p>
        </w:tc>
        <w:tc>
          <w:tcPr>
            <w:tcW w:w="0" w:type="auto"/>
            <w:vAlign w:val="bottom"/>
            <w:hideMark/>
          </w:tcPr>
          <w:p w14:paraId="236F68E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0417242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Changchun</w:t>
            </w:r>
          </w:p>
        </w:tc>
        <w:tc>
          <w:tcPr>
            <w:tcW w:w="0" w:type="auto"/>
            <w:vAlign w:val="bottom"/>
            <w:hideMark/>
          </w:tcPr>
          <w:p w14:paraId="06D2D0A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609B3A0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Airbags and seatbelts</w:t>
            </w:r>
          </w:p>
        </w:tc>
        <w:tc>
          <w:tcPr>
            <w:tcW w:w="0" w:type="auto"/>
            <w:vAlign w:val="bottom"/>
            <w:hideMark/>
          </w:tcPr>
          <w:p w14:paraId="3E0E3AE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42F7266F" w14:textId="77777777" w:rsidR="002F3D36" w:rsidRPr="002F3D36" w:rsidRDefault="002F3D36" w:rsidP="002F3D36">
            <w:pPr>
              <w:widowControl/>
              <w:jc w:val="center"/>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Owned</w:t>
            </w:r>
          </w:p>
        </w:tc>
      </w:tr>
      <w:tr w:rsidR="002F3D36" w:rsidRPr="002F3D36" w14:paraId="15700591" w14:textId="77777777" w:rsidTr="002F3D36">
        <w:trPr>
          <w:trHeight w:val="180"/>
          <w:tblCellSpacing w:w="15" w:type="dxa"/>
        </w:trPr>
        <w:tc>
          <w:tcPr>
            <w:tcW w:w="0" w:type="auto"/>
            <w:hideMark/>
          </w:tcPr>
          <w:p w14:paraId="37FBD99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Autoliv (China) Steering Wheel Co., Ltd.</w:t>
            </w:r>
          </w:p>
        </w:tc>
        <w:tc>
          <w:tcPr>
            <w:tcW w:w="0" w:type="auto"/>
            <w:vAlign w:val="bottom"/>
            <w:hideMark/>
          </w:tcPr>
          <w:p w14:paraId="53D6945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6A06F4A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Fengxian/Shanghai</w:t>
            </w:r>
          </w:p>
        </w:tc>
        <w:tc>
          <w:tcPr>
            <w:tcW w:w="0" w:type="auto"/>
            <w:vAlign w:val="bottom"/>
            <w:hideMark/>
          </w:tcPr>
          <w:p w14:paraId="27E472F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021B9F2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Steering wheels</w:t>
            </w:r>
          </w:p>
        </w:tc>
        <w:tc>
          <w:tcPr>
            <w:tcW w:w="0" w:type="auto"/>
            <w:vAlign w:val="bottom"/>
            <w:hideMark/>
          </w:tcPr>
          <w:p w14:paraId="78B5C68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708E12B1" w14:textId="77777777" w:rsidR="002F3D36" w:rsidRPr="002F3D36" w:rsidRDefault="002F3D36" w:rsidP="002F3D36">
            <w:pPr>
              <w:widowControl/>
              <w:jc w:val="center"/>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Owned</w:t>
            </w:r>
          </w:p>
        </w:tc>
      </w:tr>
      <w:tr w:rsidR="002F3D36" w:rsidRPr="002F3D36" w14:paraId="2174E544" w14:textId="77777777" w:rsidTr="002F3D36">
        <w:trPr>
          <w:trHeight w:val="180"/>
          <w:tblCellSpacing w:w="15" w:type="dxa"/>
        </w:trPr>
        <w:tc>
          <w:tcPr>
            <w:tcW w:w="0" w:type="auto"/>
            <w:hideMark/>
          </w:tcPr>
          <w:p w14:paraId="0592497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Autoliv (Guangzhou) Vehicle Safety Systems Co., Ltd.</w:t>
            </w:r>
          </w:p>
        </w:tc>
        <w:tc>
          <w:tcPr>
            <w:tcW w:w="0" w:type="auto"/>
            <w:vAlign w:val="bottom"/>
            <w:hideMark/>
          </w:tcPr>
          <w:p w14:paraId="581A3AF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0156026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Guangzhou</w:t>
            </w:r>
          </w:p>
        </w:tc>
        <w:tc>
          <w:tcPr>
            <w:tcW w:w="0" w:type="auto"/>
            <w:vAlign w:val="bottom"/>
            <w:hideMark/>
          </w:tcPr>
          <w:p w14:paraId="5BA72B5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3736A77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Airbags and seatbelts</w:t>
            </w:r>
          </w:p>
        </w:tc>
        <w:tc>
          <w:tcPr>
            <w:tcW w:w="0" w:type="auto"/>
            <w:vAlign w:val="bottom"/>
            <w:hideMark/>
          </w:tcPr>
          <w:p w14:paraId="46C32CA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48954495" w14:textId="77777777" w:rsidR="002F3D36" w:rsidRPr="002F3D36" w:rsidRDefault="002F3D36" w:rsidP="002F3D36">
            <w:pPr>
              <w:widowControl/>
              <w:jc w:val="center"/>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Owned</w:t>
            </w:r>
          </w:p>
        </w:tc>
      </w:tr>
      <w:tr w:rsidR="002F3D36" w:rsidRPr="002F3D36" w14:paraId="5E65A07F" w14:textId="77777777" w:rsidTr="002F3D36">
        <w:trPr>
          <w:trHeight w:val="180"/>
          <w:tblCellSpacing w:w="15" w:type="dxa"/>
        </w:trPr>
        <w:tc>
          <w:tcPr>
            <w:tcW w:w="0" w:type="auto"/>
            <w:hideMark/>
          </w:tcPr>
          <w:p w14:paraId="1C8C331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Autoliv (Nanjing) Vehicle Safety Systems Co., Ltd.</w:t>
            </w:r>
          </w:p>
        </w:tc>
        <w:tc>
          <w:tcPr>
            <w:tcW w:w="0" w:type="auto"/>
            <w:vAlign w:val="bottom"/>
            <w:hideMark/>
          </w:tcPr>
          <w:p w14:paraId="499043C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3E852E5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Nanjing</w:t>
            </w:r>
          </w:p>
        </w:tc>
        <w:tc>
          <w:tcPr>
            <w:tcW w:w="0" w:type="auto"/>
            <w:vAlign w:val="bottom"/>
            <w:hideMark/>
          </w:tcPr>
          <w:p w14:paraId="1650966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2CA6C77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Seatbelts</w:t>
            </w:r>
          </w:p>
        </w:tc>
        <w:tc>
          <w:tcPr>
            <w:tcW w:w="0" w:type="auto"/>
            <w:vAlign w:val="bottom"/>
            <w:hideMark/>
          </w:tcPr>
          <w:p w14:paraId="153FA04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44F3F75E" w14:textId="77777777" w:rsidR="002F3D36" w:rsidRPr="002F3D36" w:rsidRDefault="002F3D36" w:rsidP="002F3D36">
            <w:pPr>
              <w:widowControl/>
              <w:jc w:val="center"/>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Owned</w:t>
            </w:r>
          </w:p>
        </w:tc>
      </w:tr>
      <w:tr w:rsidR="002F3D36" w:rsidRPr="002F3D36" w14:paraId="1ECE5CC0" w14:textId="77777777" w:rsidTr="002F3D36">
        <w:trPr>
          <w:trHeight w:val="180"/>
          <w:tblCellSpacing w:w="15" w:type="dxa"/>
        </w:trPr>
        <w:tc>
          <w:tcPr>
            <w:tcW w:w="0" w:type="auto"/>
            <w:hideMark/>
          </w:tcPr>
          <w:p w14:paraId="7BCB0FA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Autoliv Shenda (Nanjing) Automotive Components Co., Ltd.</w:t>
            </w:r>
          </w:p>
        </w:tc>
        <w:tc>
          <w:tcPr>
            <w:tcW w:w="0" w:type="auto"/>
            <w:vAlign w:val="bottom"/>
            <w:hideMark/>
          </w:tcPr>
          <w:p w14:paraId="3825ADD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188A5E3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Nanjing</w:t>
            </w:r>
          </w:p>
        </w:tc>
        <w:tc>
          <w:tcPr>
            <w:tcW w:w="0" w:type="auto"/>
            <w:vAlign w:val="bottom"/>
            <w:hideMark/>
          </w:tcPr>
          <w:p w14:paraId="0F4DCA7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365CE03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Seatbelt webbing</w:t>
            </w:r>
          </w:p>
        </w:tc>
        <w:tc>
          <w:tcPr>
            <w:tcW w:w="0" w:type="auto"/>
            <w:vAlign w:val="bottom"/>
            <w:hideMark/>
          </w:tcPr>
          <w:p w14:paraId="2412858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75998D4B" w14:textId="77777777" w:rsidR="002F3D36" w:rsidRPr="002F3D36" w:rsidRDefault="002F3D36" w:rsidP="002F3D36">
            <w:pPr>
              <w:widowControl/>
              <w:jc w:val="center"/>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Owned</w:t>
            </w:r>
          </w:p>
        </w:tc>
      </w:tr>
      <w:tr w:rsidR="002F3D36" w:rsidRPr="002F3D36" w14:paraId="0923EBE9" w14:textId="77777777" w:rsidTr="002F3D36">
        <w:trPr>
          <w:trHeight w:val="180"/>
          <w:tblCellSpacing w:w="15" w:type="dxa"/>
        </w:trPr>
        <w:tc>
          <w:tcPr>
            <w:tcW w:w="0" w:type="auto"/>
            <w:hideMark/>
          </w:tcPr>
          <w:p w14:paraId="6DC8F7C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Autoliv (Shanghai) Vehicle Safety Systems Co., Ltd.</w:t>
            </w:r>
          </w:p>
        </w:tc>
        <w:tc>
          <w:tcPr>
            <w:tcW w:w="0" w:type="auto"/>
            <w:vAlign w:val="bottom"/>
            <w:hideMark/>
          </w:tcPr>
          <w:p w14:paraId="51D793A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5648EE7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Shanghai</w:t>
            </w:r>
          </w:p>
        </w:tc>
        <w:tc>
          <w:tcPr>
            <w:tcW w:w="0" w:type="auto"/>
            <w:vAlign w:val="bottom"/>
            <w:hideMark/>
          </w:tcPr>
          <w:p w14:paraId="46F077C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122F405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Airbags</w:t>
            </w:r>
          </w:p>
        </w:tc>
        <w:tc>
          <w:tcPr>
            <w:tcW w:w="0" w:type="auto"/>
            <w:vAlign w:val="bottom"/>
            <w:hideMark/>
          </w:tcPr>
          <w:p w14:paraId="39C434E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372E5FF4" w14:textId="77777777" w:rsidR="002F3D36" w:rsidRPr="002F3D36" w:rsidRDefault="002F3D36" w:rsidP="002F3D36">
            <w:pPr>
              <w:widowControl/>
              <w:jc w:val="center"/>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Owned</w:t>
            </w:r>
          </w:p>
        </w:tc>
      </w:tr>
      <w:tr w:rsidR="002F3D36" w:rsidRPr="002F3D36" w14:paraId="616D76EA" w14:textId="77777777" w:rsidTr="002F3D36">
        <w:trPr>
          <w:trHeight w:val="180"/>
          <w:tblCellSpacing w:w="15" w:type="dxa"/>
        </w:trPr>
        <w:tc>
          <w:tcPr>
            <w:tcW w:w="0" w:type="auto"/>
            <w:hideMark/>
          </w:tcPr>
          <w:p w14:paraId="421DFC1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Autoliv Shenda (Tai Cang) Automotive Safety Systems Co., Ltd.</w:t>
            </w:r>
          </w:p>
        </w:tc>
        <w:tc>
          <w:tcPr>
            <w:tcW w:w="0" w:type="auto"/>
            <w:vAlign w:val="bottom"/>
            <w:hideMark/>
          </w:tcPr>
          <w:p w14:paraId="135C21B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508762B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Shanghai</w:t>
            </w:r>
          </w:p>
        </w:tc>
        <w:tc>
          <w:tcPr>
            <w:tcW w:w="0" w:type="auto"/>
            <w:vAlign w:val="bottom"/>
            <w:hideMark/>
          </w:tcPr>
          <w:p w14:paraId="74E4025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6A3BA6D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Seatbelt webbing</w:t>
            </w:r>
          </w:p>
        </w:tc>
        <w:tc>
          <w:tcPr>
            <w:tcW w:w="0" w:type="auto"/>
            <w:vAlign w:val="bottom"/>
            <w:hideMark/>
          </w:tcPr>
          <w:p w14:paraId="0D7C661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78654DFA" w14:textId="77777777" w:rsidR="002F3D36" w:rsidRPr="002F3D36" w:rsidRDefault="002F3D36" w:rsidP="002F3D36">
            <w:pPr>
              <w:widowControl/>
              <w:jc w:val="center"/>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Owned</w:t>
            </w:r>
          </w:p>
        </w:tc>
      </w:tr>
      <w:tr w:rsidR="002F3D36" w:rsidRPr="002F3D36" w14:paraId="4CD8B218" w14:textId="77777777" w:rsidTr="002F3D36">
        <w:trPr>
          <w:trHeight w:val="180"/>
          <w:tblCellSpacing w:w="15" w:type="dxa"/>
        </w:trPr>
        <w:tc>
          <w:tcPr>
            <w:tcW w:w="0" w:type="auto"/>
            <w:hideMark/>
          </w:tcPr>
          <w:p w14:paraId="3F77DC0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Autoliv (Jiangsu) Automotive Safety Components Co., Ltd.</w:t>
            </w:r>
          </w:p>
        </w:tc>
        <w:tc>
          <w:tcPr>
            <w:tcW w:w="0" w:type="auto"/>
            <w:vAlign w:val="bottom"/>
            <w:hideMark/>
          </w:tcPr>
          <w:p w14:paraId="7440DD6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777A584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Jintan</w:t>
            </w:r>
          </w:p>
        </w:tc>
        <w:tc>
          <w:tcPr>
            <w:tcW w:w="0" w:type="auto"/>
            <w:vAlign w:val="bottom"/>
            <w:hideMark/>
          </w:tcPr>
          <w:p w14:paraId="2B98E3D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2368D54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Propellant, Airbag initiators and Airbag inflators</w:t>
            </w:r>
          </w:p>
        </w:tc>
        <w:tc>
          <w:tcPr>
            <w:tcW w:w="0" w:type="auto"/>
            <w:vAlign w:val="bottom"/>
            <w:hideMark/>
          </w:tcPr>
          <w:p w14:paraId="07CA73B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7CC5D711" w14:textId="77777777" w:rsidR="002F3D36" w:rsidRPr="002F3D36" w:rsidRDefault="002F3D36" w:rsidP="002F3D36">
            <w:pPr>
              <w:widowControl/>
              <w:jc w:val="center"/>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Owned</w:t>
            </w:r>
          </w:p>
        </w:tc>
      </w:tr>
      <w:tr w:rsidR="002F3D36" w:rsidRPr="002F3D36" w14:paraId="37E37D1F" w14:textId="77777777" w:rsidTr="002F3D36">
        <w:trPr>
          <w:trHeight w:val="180"/>
          <w:tblCellSpacing w:w="15" w:type="dxa"/>
        </w:trPr>
        <w:tc>
          <w:tcPr>
            <w:tcW w:w="0" w:type="auto"/>
            <w:hideMark/>
          </w:tcPr>
          <w:p w14:paraId="3035139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Autoliv (China) Automotive Safety Systems Co., Ltd.</w:t>
            </w:r>
          </w:p>
        </w:tc>
        <w:tc>
          <w:tcPr>
            <w:tcW w:w="0" w:type="auto"/>
            <w:vAlign w:val="bottom"/>
            <w:hideMark/>
          </w:tcPr>
          <w:p w14:paraId="7F3C7B2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4E4CE94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Nantong</w:t>
            </w:r>
          </w:p>
        </w:tc>
        <w:tc>
          <w:tcPr>
            <w:tcW w:w="0" w:type="auto"/>
            <w:vAlign w:val="bottom"/>
            <w:hideMark/>
          </w:tcPr>
          <w:p w14:paraId="779DEA2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002C140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Airbag cushions</w:t>
            </w:r>
          </w:p>
        </w:tc>
        <w:tc>
          <w:tcPr>
            <w:tcW w:w="0" w:type="auto"/>
            <w:vAlign w:val="bottom"/>
            <w:hideMark/>
          </w:tcPr>
          <w:p w14:paraId="3609768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24143FE2" w14:textId="77777777" w:rsidR="002F3D36" w:rsidRPr="002F3D36" w:rsidRDefault="002F3D36" w:rsidP="002F3D36">
            <w:pPr>
              <w:widowControl/>
              <w:jc w:val="center"/>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Owned</w:t>
            </w:r>
          </w:p>
        </w:tc>
      </w:tr>
      <w:tr w:rsidR="002F3D36" w:rsidRPr="002F3D36" w14:paraId="4B464A74" w14:textId="77777777" w:rsidTr="002F3D36">
        <w:trPr>
          <w:trHeight w:val="180"/>
          <w:tblCellSpacing w:w="15" w:type="dxa"/>
        </w:trPr>
        <w:tc>
          <w:tcPr>
            <w:tcW w:w="0" w:type="auto"/>
            <w:hideMark/>
          </w:tcPr>
          <w:p w14:paraId="2D43D4B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Mei-An Autoliv Co., Ltd.</w:t>
            </w:r>
          </w:p>
        </w:tc>
        <w:tc>
          <w:tcPr>
            <w:tcW w:w="0" w:type="auto"/>
            <w:vAlign w:val="bottom"/>
            <w:hideMark/>
          </w:tcPr>
          <w:p w14:paraId="1E43809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1EA9D99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Taipei</w:t>
            </w:r>
          </w:p>
        </w:tc>
        <w:tc>
          <w:tcPr>
            <w:tcW w:w="0" w:type="auto"/>
            <w:vAlign w:val="bottom"/>
            <w:hideMark/>
          </w:tcPr>
          <w:p w14:paraId="750DEF9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32AD5D5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Seatbelts and airbags</w:t>
            </w:r>
          </w:p>
        </w:tc>
        <w:tc>
          <w:tcPr>
            <w:tcW w:w="0" w:type="auto"/>
            <w:vAlign w:val="bottom"/>
            <w:hideMark/>
          </w:tcPr>
          <w:p w14:paraId="3FE33C4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0B8D6AC9" w14:textId="77777777" w:rsidR="002F3D36" w:rsidRPr="002F3D36" w:rsidRDefault="002F3D36" w:rsidP="002F3D36">
            <w:pPr>
              <w:widowControl/>
              <w:jc w:val="center"/>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Leased</w:t>
            </w:r>
          </w:p>
        </w:tc>
      </w:tr>
      <w:tr w:rsidR="002F3D36" w:rsidRPr="002F3D36" w14:paraId="1D1AA742" w14:textId="77777777" w:rsidTr="002F3D36">
        <w:trPr>
          <w:tblCellSpacing w:w="15" w:type="dxa"/>
        </w:trPr>
        <w:tc>
          <w:tcPr>
            <w:tcW w:w="0" w:type="auto"/>
            <w:hideMark/>
          </w:tcPr>
          <w:p w14:paraId="62A32F23"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vAlign w:val="bottom"/>
            <w:hideMark/>
          </w:tcPr>
          <w:p w14:paraId="29543A3E"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1F4B1EEA"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vAlign w:val="bottom"/>
            <w:hideMark/>
          </w:tcPr>
          <w:p w14:paraId="1FEDA7F0"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7B506D1D"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vAlign w:val="bottom"/>
            <w:hideMark/>
          </w:tcPr>
          <w:p w14:paraId="5776E3F3"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0713C935" w14:textId="77777777" w:rsidR="002F3D36" w:rsidRPr="002F3D36" w:rsidRDefault="002F3D36" w:rsidP="002F3D36">
            <w:pPr>
              <w:widowControl/>
              <w:jc w:val="center"/>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r>
      <w:tr w:rsidR="002F3D36" w:rsidRPr="002F3D36" w14:paraId="47FBD359" w14:textId="77777777" w:rsidTr="002F3D36">
        <w:trPr>
          <w:trHeight w:val="180"/>
          <w:tblCellSpacing w:w="15" w:type="dxa"/>
        </w:trPr>
        <w:tc>
          <w:tcPr>
            <w:tcW w:w="0" w:type="auto"/>
            <w:shd w:val="clear" w:color="auto" w:fill="CCECFF"/>
            <w:hideMark/>
          </w:tcPr>
          <w:p w14:paraId="228F60E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Estonia</w:t>
            </w:r>
          </w:p>
        </w:tc>
        <w:tc>
          <w:tcPr>
            <w:tcW w:w="0" w:type="auto"/>
            <w:shd w:val="clear" w:color="auto" w:fill="CCECFF"/>
            <w:vAlign w:val="bottom"/>
            <w:hideMark/>
          </w:tcPr>
          <w:p w14:paraId="7184394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CECFF"/>
            <w:hideMark/>
          </w:tcPr>
          <w:p w14:paraId="78974D8F" w14:textId="77777777" w:rsidR="002F3D36" w:rsidRPr="002F3D36" w:rsidRDefault="002F3D36" w:rsidP="002F3D36">
            <w:pPr>
              <w:widowControl/>
              <w:jc w:val="left"/>
              <w:rPr>
                <w:rFonts w:ascii="Times New Roman" w:eastAsia="微软雅黑" w:hAnsi="Times New Roman" w:cs="Times New Roman"/>
                <w:kern w:val="0"/>
                <w:sz w:val="20"/>
                <w:szCs w:val="20"/>
              </w:rPr>
            </w:pPr>
            <w:r w:rsidRPr="002F3D36">
              <w:rPr>
                <w:rFonts w:ascii="Arial" w:eastAsia="微软雅黑" w:hAnsi="Arial" w:cs="Arial"/>
                <w:kern w:val="0"/>
                <w:sz w:val="20"/>
                <w:szCs w:val="20"/>
              </w:rPr>
              <w:t> </w:t>
            </w:r>
          </w:p>
        </w:tc>
        <w:tc>
          <w:tcPr>
            <w:tcW w:w="0" w:type="auto"/>
            <w:shd w:val="clear" w:color="auto" w:fill="CCECFF"/>
            <w:vAlign w:val="bottom"/>
            <w:hideMark/>
          </w:tcPr>
          <w:p w14:paraId="5F875A43" w14:textId="77777777" w:rsidR="002F3D36" w:rsidRPr="002F3D36" w:rsidRDefault="002F3D36" w:rsidP="002F3D36">
            <w:pPr>
              <w:widowControl/>
              <w:jc w:val="left"/>
              <w:rPr>
                <w:rFonts w:ascii="Times New Roman" w:eastAsia="微软雅黑" w:hAnsi="Times New Roman" w:cs="Times New Roman"/>
                <w:kern w:val="0"/>
                <w:sz w:val="20"/>
                <w:szCs w:val="20"/>
              </w:rPr>
            </w:pPr>
            <w:r w:rsidRPr="002F3D36">
              <w:rPr>
                <w:rFonts w:ascii="Arial" w:eastAsia="微软雅黑" w:hAnsi="Arial" w:cs="Arial"/>
                <w:kern w:val="0"/>
                <w:sz w:val="20"/>
                <w:szCs w:val="20"/>
              </w:rPr>
              <w:t> </w:t>
            </w:r>
          </w:p>
        </w:tc>
        <w:tc>
          <w:tcPr>
            <w:tcW w:w="0" w:type="auto"/>
            <w:shd w:val="clear" w:color="auto" w:fill="CCECFF"/>
            <w:hideMark/>
          </w:tcPr>
          <w:p w14:paraId="669EAB28" w14:textId="77777777" w:rsidR="002F3D36" w:rsidRPr="002F3D36" w:rsidRDefault="002F3D36" w:rsidP="002F3D36">
            <w:pPr>
              <w:widowControl/>
              <w:jc w:val="left"/>
              <w:rPr>
                <w:rFonts w:ascii="Times New Roman" w:eastAsia="微软雅黑" w:hAnsi="Times New Roman" w:cs="Times New Roman"/>
                <w:kern w:val="0"/>
                <w:sz w:val="20"/>
                <w:szCs w:val="20"/>
              </w:rPr>
            </w:pPr>
            <w:r w:rsidRPr="002F3D36">
              <w:rPr>
                <w:rFonts w:ascii="Arial" w:eastAsia="微软雅黑" w:hAnsi="Arial" w:cs="Arial"/>
                <w:kern w:val="0"/>
                <w:sz w:val="20"/>
                <w:szCs w:val="20"/>
              </w:rPr>
              <w:t> </w:t>
            </w:r>
          </w:p>
        </w:tc>
        <w:tc>
          <w:tcPr>
            <w:tcW w:w="0" w:type="auto"/>
            <w:shd w:val="clear" w:color="auto" w:fill="CCECFF"/>
            <w:vAlign w:val="bottom"/>
            <w:hideMark/>
          </w:tcPr>
          <w:p w14:paraId="7019102B" w14:textId="77777777" w:rsidR="002F3D36" w:rsidRPr="002F3D36" w:rsidRDefault="002F3D36" w:rsidP="002F3D36">
            <w:pPr>
              <w:widowControl/>
              <w:jc w:val="left"/>
              <w:rPr>
                <w:rFonts w:ascii="Times New Roman" w:eastAsia="微软雅黑" w:hAnsi="Times New Roman" w:cs="Times New Roman"/>
                <w:kern w:val="0"/>
                <w:sz w:val="20"/>
                <w:szCs w:val="20"/>
              </w:rPr>
            </w:pPr>
            <w:r w:rsidRPr="002F3D36">
              <w:rPr>
                <w:rFonts w:ascii="Arial" w:eastAsia="微软雅黑" w:hAnsi="Arial" w:cs="Arial"/>
                <w:kern w:val="0"/>
                <w:sz w:val="20"/>
                <w:szCs w:val="20"/>
              </w:rPr>
              <w:t> </w:t>
            </w:r>
          </w:p>
        </w:tc>
        <w:tc>
          <w:tcPr>
            <w:tcW w:w="0" w:type="auto"/>
            <w:shd w:val="clear" w:color="auto" w:fill="CCECFF"/>
            <w:hideMark/>
          </w:tcPr>
          <w:p w14:paraId="0C8E3E61" w14:textId="77777777" w:rsidR="002F3D36" w:rsidRPr="002F3D36" w:rsidRDefault="002F3D36" w:rsidP="002F3D36">
            <w:pPr>
              <w:widowControl/>
              <w:jc w:val="center"/>
              <w:rPr>
                <w:rFonts w:ascii="Times New Roman" w:eastAsia="微软雅黑" w:hAnsi="Times New Roman" w:cs="Times New Roman"/>
                <w:kern w:val="0"/>
                <w:sz w:val="20"/>
                <w:szCs w:val="20"/>
              </w:rPr>
            </w:pPr>
            <w:r w:rsidRPr="002F3D36">
              <w:rPr>
                <w:rFonts w:ascii="Arial" w:eastAsia="微软雅黑" w:hAnsi="Arial" w:cs="Arial"/>
                <w:kern w:val="0"/>
                <w:sz w:val="20"/>
                <w:szCs w:val="20"/>
              </w:rPr>
              <w:t> </w:t>
            </w:r>
          </w:p>
        </w:tc>
      </w:tr>
      <w:tr w:rsidR="002F3D36" w:rsidRPr="002F3D36" w14:paraId="1ADBC895" w14:textId="77777777" w:rsidTr="002F3D36">
        <w:trPr>
          <w:trHeight w:val="180"/>
          <w:tblCellSpacing w:w="15" w:type="dxa"/>
        </w:trPr>
        <w:tc>
          <w:tcPr>
            <w:tcW w:w="0" w:type="auto"/>
            <w:hideMark/>
          </w:tcPr>
          <w:p w14:paraId="22E7DB7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AS Norma</w:t>
            </w:r>
          </w:p>
        </w:tc>
        <w:tc>
          <w:tcPr>
            <w:tcW w:w="0" w:type="auto"/>
            <w:vAlign w:val="bottom"/>
            <w:hideMark/>
          </w:tcPr>
          <w:p w14:paraId="33DA5D4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5B398E3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Tallinn</w:t>
            </w:r>
          </w:p>
        </w:tc>
        <w:tc>
          <w:tcPr>
            <w:tcW w:w="0" w:type="auto"/>
            <w:vAlign w:val="bottom"/>
            <w:hideMark/>
          </w:tcPr>
          <w:p w14:paraId="4A10AB0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7C7DA1A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Seatbelts and belt components</w:t>
            </w:r>
          </w:p>
        </w:tc>
        <w:tc>
          <w:tcPr>
            <w:tcW w:w="0" w:type="auto"/>
            <w:vAlign w:val="bottom"/>
            <w:hideMark/>
          </w:tcPr>
          <w:p w14:paraId="7AAF5E6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34C5946C" w14:textId="77777777" w:rsidR="002F3D36" w:rsidRPr="002F3D36" w:rsidRDefault="002F3D36" w:rsidP="002F3D36">
            <w:pPr>
              <w:widowControl/>
              <w:jc w:val="center"/>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Owned</w:t>
            </w:r>
          </w:p>
        </w:tc>
      </w:tr>
      <w:tr w:rsidR="002F3D36" w:rsidRPr="002F3D36" w14:paraId="728A2C68" w14:textId="77777777" w:rsidTr="002F3D36">
        <w:trPr>
          <w:tblCellSpacing w:w="15" w:type="dxa"/>
        </w:trPr>
        <w:tc>
          <w:tcPr>
            <w:tcW w:w="0" w:type="auto"/>
            <w:hideMark/>
          </w:tcPr>
          <w:p w14:paraId="7CAAAB55"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vAlign w:val="bottom"/>
            <w:hideMark/>
          </w:tcPr>
          <w:p w14:paraId="3A7BC65A"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397548E2"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vAlign w:val="bottom"/>
            <w:hideMark/>
          </w:tcPr>
          <w:p w14:paraId="6379C5F0"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51AB7F19"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vAlign w:val="bottom"/>
            <w:hideMark/>
          </w:tcPr>
          <w:p w14:paraId="3B37C609"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65B52CF2" w14:textId="77777777" w:rsidR="002F3D36" w:rsidRPr="002F3D36" w:rsidRDefault="002F3D36" w:rsidP="002F3D36">
            <w:pPr>
              <w:widowControl/>
              <w:jc w:val="center"/>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r>
      <w:tr w:rsidR="002F3D36" w:rsidRPr="002F3D36" w14:paraId="0DB71190" w14:textId="77777777" w:rsidTr="002F3D36">
        <w:trPr>
          <w:trHeight w:val="180"/>
          <w:tblCellSpacing w:w="15" w:type="dxa"/>
        </w:trPr>
        <w:tc>
          <w:tcPr>
            <w:tcW w:w="0" w:type="auto"/>
            <w:shd w:val="clear" w:color="auto" w:fill="CCECFF"/>
            <w:hideMark/>
          </w:tcPr>
          <w:p w14:paraId="39D6929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France</w:t>
            </w:r>
          </w:p>
        </w:tc>
        <w:tc>
          <w:tcPr>
            <w:tcW w:w="0" w:type="auto"/>
            <w:shd w:val="clear" w:color="auto" w:fill="CCECFF"/>
            <w:vAlign w:val="bottom"/>
            <w:hideMark/>
          </w:tcPr>
          <w:p w14:paraId="77C2414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CECFF"/>
            <w:hideMark/>
          </w:tcPr>
          <w:p w14:paraId="724E66BA" w14:textId="77777777" w:rsidR="002F3D36" w:rsidRPr="002F3D36" w:rsidRDefault="002F3D36" w:rsidP="002F3D36">
            <w:pPr>
              <w:widowControl/>
              <w:jc w:val="left"/>
              <w:rPr>
                <w:rFonts w:ascii="Times New Roman" w:eastAsia="微软雅黑" w:hAnsi="Times New Roman" w:cs="Times New Roman"/>
                <w:kern w:val="0"/>
                <w:sz w:val="20"/>
                <w:szCs w:val="20"/>
              </w:rPr>
            </w:pPr>
            <w:r w:rsidRPr="002F3D36">
              <w:rPr>
                <w:rFonts w:ascii="Arial" w:eastAsia="微软雅黑" w:hAnsi="Arial" w:cs="Arial"/>
                <w:kern w:val="0"/>
                <w:sz w:val="20"/>
                <w:szCs w:val="20"/>
              </w:rPr>
              <w:t> </w:t>
            </w:r>
          </w:p>
        </w:tc>
        <w:tc>
          <w:tcPr>
            <w:tcW w:w="0" w:type="auto"/>
            <w:shd w:val="clear" w:color="auto" w:fill="CCECFF"/>
            <w:vAlign w:val="bottom"/>
            <w:hideMark/>
          </w:tcPr>
          <w:p w14:paraId="44C7E12F" w14:textId="77777777" w:rsidR="002F3D36" w:rsidRPr="002F3D36" w:rsidRDefault="002F3D36" w:rsidP="002F3D36">
            <w:pPr>
              <w:widowControl/>
              <w:jc w:val="left"/>
              <w:rPr>
                <w:rFonts w:ascii="Times New Roman" w:eastAsia="微软雅黑" w:hAnsi="Times New Roman" w:cs="Times New Roman"/>
                <w:kern w:val="0"/>
                <w:sz w:val="20"/>
                <w:szCs w:val="20"/>
              </w:rPr>
            </w:pPr>
            <w:r w:rsidRPr="002F3D36">
              <w:rPr>
                <w:rFonts w:ascii="Arial" w:eastAsia="微软雅黑" w:hAnsi="Arial" w:cs="Arial"/>
                <w:kern w:val="0"/>
                <w:sz w:val="20"/>
                <w:szCs w:val="20"/>
              </w:rPr>
              <w:t> </w:t>
            </w:r>
          </w:p>
        </w:tc>
        <w:tc>
          <w:tcPr>
            <w:tcW w:w="0" w:type="auto"/>
            <w:shd w:val="clear" w:color="auto" w:fill="CCECFF"/>
            <w:hideMark/>
          </w:tcPr>
          <w:p w14:paraId="4316AC67" w14:textId="77777777" w:rsidR="002F3D36" w:rsidRPr="002F3D36" w:rsidRDefault="002F3D36" w:rsidP="002F3D36">
            <w:pPr>
              <w:widowControl/>
              <w:jc w:val="left"/>
              <w:rPr>
                <w:rFonts w:ascii="Times New Roman" w:eastAsia="微软雅黑" w:hAnsi="Times New Roman" w:cs="Times New Roman"/>
                <w:kern w:val="0"/>
                <w:sz w:val="20"/>
                <w:szCs w:val="20"/>
              </w:rPr>
            </w:pPr>
            <w:r w:rsidRPr="002F3D36">
              <w:rPr>
                <w:rFonts w:ascii="Arial" w:eastAsia="微软雅黑" w:hAnsi="Arial" w:cs="Arial"/>
                <w:kern w:val="0"/>
                <w:sz w:val="20"/>
                <w:szCs w:val="20"/>
              </w:rPr>
              <w:t> </w:t>
            </w:r>
          </w:p>
        </w:tc>
        <w:tc>
          <w:tcPr>
            <w:tcW w:w="0" w:type="auto"/>
            <w:shd w:val="clear" w:color="auto" w:fill="CCECFF"/>
            <w:vAlign w:val="bottom"/>
            <w:hideMark/>
          </w:tcPr>
          <w:p w14:paraId="57E0CD93" w14:textId="77777777" w:rsidR="002F3D36" w:rsidRPr="002F3D36" w:rsidRDefault="002F3D36" w:rsidP="002F3D36">
            <w:pPr>
              <w:widowControl/>
              <w:jc w:val="left"/>
              <w:rPr>
                <w:rFonts w:ascii="Times New Roman" w:eastAsia="微软雅黑" w:hAnsi="Times New Roman" w:cs="Times New Roman"/>
                <w:kern w:val="0"/>
                <w:sz w:val="20"/>
                <w:szCs w:val="20"/>
              </w:rPr>
            </w:pPr>
            <w:r w:rsidRPr="002F3D36">
              <w:rPr>
                <w:rFonts w:ascii="Arial" w:eastAsia="微软雅黑" w:hAnsi="Arial" w:cs="Arial"/>
                <w:kern w:val="0"/>
                <w:sz w:val="20"/>
                <w:szCs w:val="20"/>
              </w:rPr>
              <w:t> </w:t>
            </w:r>
          </w:p>
        </w:tc>
        <w:tc>
          <w:tcPr>
            <w:tcW w:w="0" w:type="auto"/>
            <w:shd w:val="clear" w:color="auto" w:fill="CCECFF"/>
            <w:hideMark/>
          </w:tcPr>
          <w:p w14:paraId="663B584B" w14:textId="77777777" w:rsidR="002F3D36" w:rsidRPr="002F3D36" w:rsidRDefault="002F3D36" w:rsidP="002F3D36">
            <w:pPr>
              <w:widowControl/>
              <w:jc w:val="center"/>
              <w:rPr>
                <w:rFonts w:ascii="Times New Roman" w:eastAsia="微软雅黑" w:hAnsi="Times New Roman" w:cs="Times New Roman"/>
                <w:kern w:val="0"/>
                <w:sz w:val="20"/>
                <w:szCs w:val="20"/>
              </w:rPr>
            </w:pPr>
            <w:r w:rsidRPr="002F3D36">
              <w:rPr>
                <w:rFonts w:ascii="Arial" w:eastAsia="微软雅黑" w:hAnsi="Arial" w:cs="Arial"/>
                <w:kern w:val="0"/>
                <w:sz w:val="20"/>
                <w:szCs w:val="20"/>
              </w:rPr>
              <w:t> </w:t>
            </w:r>
          </w:p>
        </w:tc>
      </w:tr>
      <w:tr w:rsidR="002F3D36" w:rsidRPr="002F3D36" w14:paraId="4DF66D06" w14:textId="77777777" w:rsidTr="002F3D36">
        <w:trPr>
          <w:trHeight w:val="180"/>
          <w:tblCellSpacing w:w="15" w:type="dxa"/>
        </w:trPr>
        <w:tc>
          <w:tcPr>
            <w:tcW w:w="0" w:type="auto"/>
            <w:hideMark/>
          </w:tcPr>
          <w:p w14:paraId="43296C6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Autoliv France SNC</w:t>
            </w:r>
          </w:p>
        </w:tc>
        <w:tc>
          <w:tcPr>
            <w:tcW w:w="0" w:type="auto"/>
            <w:vAlign w:val="bottom"/>
            <w:hideMark/>
          </w:tcPr>
          <w:p w14:paraId="2730498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02820DB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Gournay-en-Bray</w:t>
            </w:r>
          </w:p>
        </w:tc>
        <w:tc>
          <w:tcPr>
            <w:tcW w:w="0" w:type="auto"/>
            <w:vAlign w:val="bottom"/>
            <w:hideMark/>
          </w:tcPr>
          <w:p w14:paraId="52553CD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2B0BB44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Airbags</w:t>
            </w:r>
          </w:p>
        </w:tc>
        <w:tc>
          <w:tcPr>
            <w:tcW w:w="0" w:type="auto"/>
            <w:vAlign w:val="bottom"/>
            <w:hideMark/>
          </w:tcPr>
          <w:p w14:paraId="7B103D7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3913F6F8" w14:textId="77777777" w:rsidR="002F3D36" w:rsidRPr="002F3D36" w:rsidRDefault="002F3D36" w:rsidP="002F3D36">
            <w:pPr>
              <w:widowControl/>
              <w:jc w:val="center"/>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Owned</w:t>
            </w:r>
          </w:p>
        </w:tc>
      </w:tr>
      <w:tr w:rsidR="002F3D36" w:rsidRPr="002F3D36" w14:paraId="64EEFB76" w14:textId="77777777" w:rsidTr="002F3D36">
        <w:trPr>
          <w:trHeight w:val="180"/>
          <w:tblCellSpacing w:w="15" w:type="dxa"/>
        </w:trPr>
        <w:tc>
          <w:tcPr>
            <w:tcW w:w="0" w:type="auto"/>
            <w:hideMark/>
          </w:tcPr>
          <w:p w14:paraId="01C14C5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Autoliv Isodelta SAS</w:t>
            </w:r>
          </w:p>
        </w:tc>
        <w:tc>
          <w:tcPr>
            <w:tcW w:w="0" w:type="auto"/>
            <w:vAlign w:val="bottom"/>
            <w:hideMark/>
          </w:tcPr>
          <w:p w14:paraId="6F9B1C5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2C9B3B4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Chiré-en-Montreuil</w:t>
            </w:r>
          </w:p>
        </w:tc>
        <w:tc>
          <w:tcPr>
            <w:tcW w:w="0" w:type="auto"/>
            <w:vAlign w:val="bottom"/>
            <w:hideMark/>
          </w:tcPr>
          <w:p w14:paraId="5A3E058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1866299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Steering wheels and covers</w:t>
            </w:r>
          </w:p>
        </w:tc>
        <w:tc>
          <w:tcPr>
            <w:tcW w:w="0" w:type="auto"/>
            <w:vAlign w:val="bottom"/>
            <w:hideMark/>
          </w:tcPr>
          <w:p w14:paraId="225645C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62BF6E15" w14:textId="77777777" w:rsidR="002F3D36" w:rsidRPr="002F3D36" w:rsidRDefault="002F3D36" w:rsidP="002F3D36">
            <w:pPr>
              <w:widowControl/>
              <w:jc w:val="center"/>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Owned</w:t>
            </w:r>
          </w:p>
        </w:tc>
      </w:tr>
      <w:tr w:rsidR="002F3D36" w:rsidRPr="002F3D36" w14:paraId="067C84ED" w14:textId="77777777" w:rsidTr="002F3D36">
        <w:trPr>
          <w:trHeight w:val="180"/>
          <w:tblCellSpacing w:w="15" w:type="dxa"/>
        </w:trPr>
        <w:tc>
          <w:tcPr>
            <w:tcW w:w="0" w:type="auto"/>
            <w:hideMark/>
          </w:tcPr>
          <w:p w14:paraId="3F31C3E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Livbag SAS</w:t>
            </w:r>
          </w:p>
        </w:tc>
        <w:tc>
          <w:tcPr>
            <w:tcW w:w="0" w:type="auto"/>
            <w:vAlign w:val="bottom"/>
            <w:hideMark/>
          </w:tcPr>
          <w:p w14:paraId="7335F75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785ED72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Pont-de-Buis</w:t>
            </w:r>
          </w:p>
        </w:tc>
        <w:tc>
          <w:tcPr>
            <w:tcW w:w="0" w:type="auto"/>
            <w:vAlign w:val="bottom"/>
            <w:hideMark/>
          </w:tcPr>
          <w:p w14:paraId="69714B2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3A5E3DB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Airbag inflators</w:t>
            </w:r>
          </w:p>
        </w:tc>
        <w:tc>
          <w:tcPr>
            <w:tcW w:w="0" w:type="auto"/>
            <w:vAlign w:val="bottom"/>
            <w:hideMark/>
          </w:tcPr>
          <w:p w14:paraId="4C716D3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3676CBFD" w14:textId="77777777" w:rsidR="002F3D36" w:rsidRPr="002F3D36" w:rsidRDefault="002F3D36" w:rsidP="002F3D36">
            <w:pPr>
              <w:widowControl/>
              <w:jc w:val="center"/>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Owned</w:t>
            </w:r>
          </w:p>
        </w:tc>
      </w:tr>
      <w:tr w:rsidR="002F3D36" w:rsidRPr="002F3D36" w14:paraId="0706D6E4" w14:textId="77777777" w:rsidTr="002F3D36">
        <w:trPr>
          <w:trHeight w:val="180"/>
          <w:tblCellSpacing w:w="15" w:type="dxa"/>
        </w:trPr>
        <w:tc>
          <w:tcPr>
            <w:tcW w:w="0" w:type="auto"/>
            <w:hideMark/>
          </w:tcPr>
          <w:p w14:paraId="72042DA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N.C.S. Pyrotechnie et Technologies SAS</w:t>
            </w:r>
          </w:p>
        </w:tc>
        <w:tc>
          <w:tcPr>
            <w:tcW w:w="0" w:type="auto"/>
            <w:vAlign w:val="bottom"/>
            <w:hideMark/>
          </w:tcPr>
          <w:p w14:paraId="2558F47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60A6DF6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Survilliers</w:t>
            </w:r>
          </w:p>
        </w:tc>
        <w:tc>
          <w:tcPr>
            <w:tcW w:w="0" w:type="auto"/>
            <w:vAlign w:val="bottom"/>
            <w:hideMark/>
          </w:tcPr>
          <w:p w14:paraId="7CD472E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7D4868D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Airbag initiators and seatbelt micro gas generators</w:t>
            </w:r>
          </w:p>
        </w:tc>
        <w:tc>
          <w:tcPr>
            <w:tcW w:w="0" w:type="auto"/>
            <w:vAlign w:val="bottom"/>
            <w:hideMark/>
          </w:tcPr>
          <w:p w14:paraId="5DEA31F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7C8B4C9B" w14:textId="77777777" w:rsidR="002F3D36" w:rsidRPr="002F3D36" w:rsidRDefault="002F3D36" w:rsidP="002F3D36">
            <w:pPr>
              <w:widowControl/>
              <w:jc w:val="center"/>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Owned</w:t>
            </w:r>
          </w:p>
        </w:tc>
      </w:tr>
      <w:tr w:rsidR="002F3D36" w:rsidRPr="002F3D36" w14:paraId="08B1B1CE" w14:textId="77777777" w:rsidTr="002F3D36">
        <w:trPr>
          <w:tblCellSpacing w:w="15" w:type="dxa"/>
        </w:trPr>
        <w:tc>
          <w:tcPr>
            <w:tcW w:w="0" w:type="auto"/>
            <w:hideMark/>
          </w:tcPr>
          <w:p w14:paraId="2C6E909E"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vAlign w:val="bottom"/>
            <w:hideMark/>
          </w:tcPr>
          <w:p w14:paraId="28AEC22F"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535C552C"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vAlign w:val="bottom"/>
            <w:hideMark/>
          </w:tcPr>
          <w:p w14:paraId="183C597F"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5E420ED0"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vAlign w:val="bottom"/>
            <w:hideMark/>
          </w:tcPr>
          <w:p w14:paraId="273F2BD0"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3D8093C5" w14:textId="77777777" w:rsidR="002F3D36" w:rsidRPr="002F3D36" w:rsidRDefault="002F3D36" w:rsidP="002F3D36">
            <w:pPr>
              <w:widowControl/>
              <w:jc w:val="center"/>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r>
      <w:tr w:rsidR="002F3D36" w:rsidRPr="002F3D36" w14:paraId="40247F8C" w14:textId="77777777" w:rsidTr="002F3D36">
        <w:trPr>
          <w:trHeight w:val="180"/>
          <w:tblCellSpacing w:w="15" w:type="dxa"/>
        </w:trPr>
        <w:tc>
          <w:tcPr>
            <w:tcW w:w="0" w:type="auto"/>
            <w:shd w:val="clear" w:color="auto" w:fill="CCECFF"/>
            <w:hideMark/>
          </w:tcPr>
          <w:p w14:paraId="23FED90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Germany</w:t>
            </w:r>
          </w:p>
        </w:tc>
        <w:tc>
          <w:tcPr>
            <w:tcW w:w="0" w:type="auto"/>
            <w:shd w:val="clear" w:color="auto" w:fill="CCECFF"/>
            <w:vAlign w:val="bottom"/>
            <w:hideMark/>
          </w:tcPr>
          <w:p w14:paraId="02D85C9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CECFF"/>
            <w:hideMark/>
          </w:tcPr>
          <w:p w14:paraId="416533DF" w14:textId="77777777" w:rsidR="002F3D36" w:rsidRPr="002F3D36" w:rsidRDefault="002F3D36" w:rsidP="002F3D36">
            <w:pPr>
              <w:widowControl/>
              <w:jc w:val="left"/>
              <w:rPr>
                <w:rFonts w:ascii="Times New Roman" w:eastAsia="微软雅黑" w:hAnsi="Times New Roman" w:cs="Times New Roman"/>
                <w:kern w:val="0"/>
                <w:sz w:val="20"/>
                <w:szCs w:val="20"/>
              </w:rPr>
            </w:pPr>
            <w:r w:rsidRPr="002F3D36">
              <w:rPr>
                <w:rFonts w:ascii="Arial" w:eastAsia="微软雅黑" w:hAnsi="Arial" w:cs="Arial"/>
                <w:kern w:val="0"/>
                <w:sz w:val="20"/>
                <w:szCs w:val="20"/>
              </w:rPr>
              <w:t> </w:t>
            </w:r>
          </w:p>
        </w:tc>
        <w:tc>
          <w:tcPr>
            <w:tcW w:w="0" w:type="auto"/>
            <w:shd w:val="clear" w:color="auto" w:fill="CCECFF"/>
            <w:vAlign w:val="bottom"/>
            <w:hideMark/>
          </w:tcPr>
          <w:p w14:paraId="6283C721" w14:textId="77777777" w:rsidR="002F3D36" w:rsidRPr="002F3D36" w:rsidRDefault="002F3D36" w:rsidP="002F3D36">
            <w:pPr>
              <w:widowControl/>
              <w:jc w:val="left"/>
              <w:rPr>
                <w:rFonts w:ascii="Times New Roman" w:eastAsia="微软雅黑" w:hAnsi="Times New Roman" w:cs="Times New Roman"/>
                <w:kern w:val="0"/>
                <w:sz w:val="20"/>
                <w:szCs w:val="20"/>
              </w:rPr>
            </w:pPr>
            <w:r w:rsidRPr="002F3D36">
              <w:rPr>
                <w:rFonts w:ascii="Arial" w:eastAsia="微软雅黑" w:hAnsi="Arial" w:cs="Arial"/>
                <w:kern w:val="0"/>
                <w:sz w:val="20"/>
                <w:szCs w:val="20"/>
              </w:rPr>
              <w:t> </w:t>
            </w:r>
          </w:p>
        </w:tc>
        <w:tc>
          <w:tcPr>
            <w:tcW w:w="0" w:type="auto"/>
            <w:shd w:val="clear" w:color="auto" w:fill="CCECFF"/>
            <w:hideMark/>
          </w:tcPr>
          <w:p w14:paraId="747B3B04" w14:textId="77777777" w:rsidR="002F3D36" w:rsidRPr="002F3D36" w:rsidRDefault="002F3D36" w:rsidP="002F3D36">
            <w:pPr>
              <w:widowControl/>
              <w:jc w:val="left"/>
              <w:rPr>
                <w:rFonts w:ascii="Times New Roman" w:eastAsia="微软雅黑" w:hAnsi="Times New Roman" w:cs="Times New Roman"/>
                <w:kern w:val="0"/>
                <w:sz w:val="20"/>
                <w:szCs w:val="20"/>
              </w:rPr>
            </w:pPr>
            <w:r w:rsidRPr="002F3D36">
              <w:rPr>
                <w:rFonts w:ascii="Arial" w:eastAsia="微软雅黑" w:hAnsi="Arial" w:cs="Arial"/>
                <w:kern w:val="0"/>
                <w:sz w:val="20"/>
                <w:szCs w:val="20"/>
              </w:rPr>
              <w:t> </w:t>
            </w:r>
          </w:p>
        </w:tc>
        <w:tc>
          <w:tcPr>
            <w:tcW w:w="0" w:type="auto"/>
            <w:shd w:val="clear" w:color="auto" w:fill="CCECFF"/>
            <w:vAlign w:val="bottom"/>
            <w:hideMark/>
          </w:tcPr>
          <w:p w14:paraId="3693F639" w14:textId="77777777" w:rsidR="002F3D36" w:rsidRPr="002F3D36" w:rsidRDefault="002F3D36" w:rsidP="002F3D36">
            <w:pPr>
              <w:widowControl/>
              <w:jc w:val="left"/>
              <w:rPr>
                <w:rFonts w:ascii="Times New Roman" w:eastAsia="微软雅黑" w:hAnsi="Times New Roman" w:cs="Times New Roman"/>
                <w:kern w:val="0"/>
                <w:sz w:val="20"/>
                <w:szCs w:val="20"/>
              </w:rPr>
            </w:pPr>
            <w:r w:rsidRPr="002F3D36">
              <w:rPr>
                <w:rFonts w:ascii="Arial" w:eastAsia="微软雅黑" w:hAnsi="Arial" w:cs="Arial"/>
                <w:kern w:val="0"/>
                <w:sz w:val="20"/>
                <w:szCs w:val="20"/>
              </w:rPr>
              <w:t> </w:t>
            </w:r>
          </w:p>
        </w:tc>
        <w:tc>
          <w:tcPr>
            <w:tcW w:w="0" w:type="auto"/>
            <w:shd w:val="clear" w:color="auto" w:fill="CCECFF"/>
            <w:hideMark/>
          </w:tcPr>
          <w:p w14:paraId="6559C697" w14:textId="77777777" w:rsidR="002F3D36" w:rsidRPr="002F3D36" w:rsidRDefault="002F3D36" w:rsidP="002F3D36">
            <w:pPr>
              <w:widowControl/>
              <w:jc w:val="center"/>
              <w:rPr>
                <w:rFonts w:ascii="Times New Roman" w:eastAsia="微软雅黑" w:hAnsi="Times New Roman" w:cs="Times New Roman"/>
                <w:kern w:val="0"/>
                <w:sz w:val="20"/>
                <w:szCs w:val="20"/>
              </w:rPr>
            </w:pPr>
            <w:r w:rsidRPr="002F3D36">
              <w:rPr>
                <w:rFonts w:ascii="Arial" w:eastAsia="微软雅黑" w:hAnsi="Arial" w:cs="Arial"/>
                <w:kern w:val="0"/>
                <w:sz w:val="20"/>
                <w:szCs w:val="20"/>
              </w:rPr>
              <w:t> </w:t>
            </w:r>
          </w:p>
        </w:tc>
      </w:tr>
      <w:tr w:rsidR="002F3D36" w:rsidRPr="002F3D36" w14:paraId="77D694B4" w14:textId="77777777" w:rsidTr="002F3D36">
        <w:trPr>
          <w:trHeight w:val="180"/>
          <w:tblCellSpacing w:w="15" w:type="dxa"/>
        </w:trPr>
        <w:tc>
          <w:tcPr>
            <w:tcW w:w="0" w:type="auto"/>
            <w:hideMark/>
          </w:tcPr>
          <w:p w14:paraId="533DFEE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Autoliv B.V. &amp; Co. KG</w:t>
            </w:r>
          </w:p>
        </w:tc>
        <w:tc>
          <w:tcPr>
            <w:tcW w:w="0" w:type="auto"/>
            <w:vAlign w:val="bottom"/>
            <w:hideMark/>
          </w:tcPr>
          <w:p w14:paraId="0C68534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194FE4E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Elmshorn</w:t>
            </w:r>
          </w:p>
        </w:tc>
        <w:tc>
          <w:tcPr>
            <w:tcW w:w="0" w:type="auto"/>
            <w:vAlign w:val="bottom"/>
            <w:hideMark/>
          </w:tcPr>
          <w:p w14:paraId="290DFD9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18C5504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Seatbelts</w:t>
            </w:r>
          </w:p>
        </w:tc>
        <w:tc>
          <w:tcPr>
            <w:tcW w:w="0" w:type="auto"/>
            <w:vAlign w:val="bottom"/>
            <w:hideMark/>
          </w:tcPr>
          <w:p w14:paraId="64A4D0B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21E8B78E" w14:textId="77777777" w:rsidR="002F3D36" w:rsidRPr="002F3D36" w:rsidRDefault="002F3D36" w:rsidP="002F3D36">
            <w:pPr>
              <w:widowControl/>
              <w:jc w:val="center"/>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Owned</w:t>
            </w:r>
          </w:p>
        </w:tc>
      </w:tr>
      <w:tr w:rsidR="002F3D36" w:rsidRPr="002F3D36" w14:paraId="6AFEAADB" w14:textId="77777777" w:rsidTr="002F3D36">
        <w:trPr>
          <w:tblCellSpacing w:w="15" w:type="dxa"/>
        </w:trPr>
        <w:tc>
          <w:tcPr>
            <w:tcW w:w="0" w:type="auto"/>
            <w:hideMark/>
          </w:tcPr>
          <w:p w14:paraId="7E13C096"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vAlign w:val="bottom"/>
            <w:hideMark/>
          </w:tcPr>
          <w:p w14:paraId="56D03CCB"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0DB90CCB"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vAlign w:val="bottom"/>
            <w:hideMark/>
          </w:tcPr>
          <w:p w14:paraId="0F2C8172"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396EA0A5"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vAlign w:val="bottom"/>
            <w:hideMark/>
          </w:tcPr>
          <w:p w14:paraId="6415B68D"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30092C8B" w14:textId="77777777" w:rsidR="002F3D36" w:rsidRPr="002F3D36" w:rsidRDefault="002F3D36" w:rsidP="002F3D36">
            <w:pPr>
              <w:widowControl/>
              <w:jc w:val="center"/>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r>
      <w:tr w:rsidR="002F3D36" w:rsidRPr="002F3D36" w14:paraId="5F717D3F" w14:textId="77777777" w:rsidTr="002F3D36">
        <w:trPr>
          <w:trHeight w:val="180"/>
          <w:tblCellSpacing w:w="15" w:type="dxa"/>
        </w:trPr>
        <w:tc>
          <w:tcPr>
            <w:tcW w:w="0" w:type="auto"/>
            <w:shd w:val="clear" w:color="auto" w:fill="CCECFF"/>
            <w:hideMark/>
          </w:tcPr>
          <w:p w14:paraId="46ED960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Hungary</w:t>
            </w:r>
          </w:p>
        </w:tc>
        <w:tc>
          <w:tcPr>
            <w:tcW w:w="0" w:type="auto"/>
            <w:shd w:val="clear" w:color="auto" w:fill="CCECFF"/>
            <w:vAlign w:val="bottom"/>
            <w:hideMark/>
          </w:tcPr>
          <w:p w14:paraId="23A0ADB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CECFF"/>
            <w:hideMark/>
          </w:tcPr>
          <w:p w14:paraId="6634D091"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shd w:val="clear" w:color="auto" w:fill="CCECFF"/>
            <w:vAlign w:val="bottom"/>
            <w:hideMark/>
          </w:tcPr>
          <w:p w14:paraId="13324663"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shd w:val="clear" w:color="auto" w:fill="CCECFF"/>
            <w:hideMark/>
          </w:tcPr>
          <w:p w14:paraId="0AC2F32C"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shd w:val="clear" w:color="auto" w:fill="CCECFF"/>
            <w:vAlign w:val="bottom"/>
            <w:hideMark/>
          </w:tcPr>
          <w:p w14:paraId="73F7A317"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shd w:val="clear" w:color="auto" w:fill="CCECFF"/>
            <w:hideMark/>
          </w:tcPr>
          <w:p w14:paraId="7E38ADD3" w14:textId="77777777" w:rsidR="002F3D36" w:rsidRPr="002F3D36" w:rsidRDefault="002F3D36" w:rsidP="002F3D36">
            <w:pPr>
              <w:widowControl/>
              <w:jc w:val="center"/>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r>
      <w:tr w:rsidR="002F3D36" w:rsidRPr="002F3D36" w14:paraId="06DB5287" w14:textId="77777777" w:rsidTr="002F3D36">
        <w:trPr>
          <w:trHeight w:val="180"/>
          <w:tblCellSpacing w:w="15" w:type="dxa"/>
        </w:trPr>
        <w:tc>
          <w:tcPr>
            <w:tcW w:w="0" w:type="auto"/>
            <w:hideMark/>
          </w:tcPr>
          <w:p w14:paraId="1FDED4F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Autoliv Kft.</w:t>
            </w:r>
          </w:p>
        </w:tc>
        <w:tc>
          <w:tcPr>
            <w:tcW w:w="0" w:type="auto"/>
            <w:vAlign w:val="bottom"/>
            <w:hideMark/>
          </w:tcPr>
          <w:p w14:paraId="429DFED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4245A35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Sopronkövesd</w:t>
            </w:r>
          </w:p>
        </w:tc>
        <w:tc>
          <w:tcPr>
            <w:tcW w:w="0" w:type="auto"/>
            <w:vAlign w:val="bottom"/>
            <w:hideMark/>
          </w:tcPr>
          <w:p w14:paraId="0499284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02AA676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Seatbelts</w:t>
            </w:r>
          </w:p>
        </w:tc>
        <w:tc>
          <w:tcPr>
            <w:tcW w:w="0" w:type="auto"/>
            <w:vAlign w:val="bottom"/>
            <w:hideMark/>
          </w:tcPr>
          <w:p w14:paraId="5E4CFAA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4A38F9FE" w14:textId="77777777" w:rsidR="002F3D36" w:rsidRPr="002F3D36" w:rsidRDefault="002F3D36" w:rsidP="002F3D36">
            <w:pPr>
              <w:widowControl/>
              <w:jc w:val="center"/>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Owned</w:t>
            </w:r>
          </w:p>
        </w:tc>
      </w:tr>
      <w:tr w:rsidR="002F3D36" w:rsidRPr="002F3D36" w14:paraId="70AC8FD4" w14:textId="77777777" w:rsidTr="002F3D36">
        <w:trPr>
          <w:tblCellSpacing w:w="15" w:type="dxa"/>
        </w:trPr>
        <w:tc>
          <w:tcPr>
            <w:tcW w:w="0" w:type="auto"/>
            <w:hideMark/>
          </w:tcPr>
          <w:p w14:paraId="26F9C2F0"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vAlign w:val="bottom"/>
            <w:hideMark/>
          </w:tcPr>
          <w:p w14:paraId="56B82603"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vAlign w:val="bottom"/>
            <w:hideMark/>
          </w:tcPr>
          <w:p w14:paraId="71971D19"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vAlign w:val="bottom"/>
            <w:hideMark/>
          </w:tcPr>
          <w:p w14:paraId="4D444A62"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vAlign w:val="bottom"/>
            <w:hideMark/>
          </w:tcPr>
          <w:p w14:paraId="4FE666A5"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vAlign w:val="bottom"/>
            <w:hideMark/>
          </w:tcPr>
          <w:p w14:paraId="54FCA800"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vAlign w:val="bottom"/>
            <w:hideMark/>
          </w:tcPr>
          <w:p w14:paraId="7BC5DC97"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r>
      <w:tr w:rsidR="002F3D36" w:rsidRPr="002F3D36" w14:paraId="3D4D19AF" w14:textId="77777777" w:rsidTr="002F3D36">
        <w:trPr>
          <w:trHeight w:val="180"/>
          <w:tblCellSpacing w:w="15" w:type="dxa"/>
        </w:trPr>
        <w:tc>
          <w:tcPr>
            <w:tcW w:w="0" w:type="auto"/>
            <w:shd w:val="clear" w:color="auto" w:fill="CCECFF"/>
            <w:hideMark/>
          </w:tcPr>
          <w:p w14:paraId="2716A55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India</w:t>
            </w:r>
          </w:p>
        </w:tc>
        <w:tc>
          <w:tcPr>
            <w:tcW w:w="0" w:type="auto"/>
            <w:shd w:val="clear" w:color="auto" w:fill="CCECFF"/>
            <w:vAlign w:val="bottom"/>
            <w:hideMark/>
          </w:tcPr>
          <w:p w14:paraId="2AD1AEA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CECFF"/>
            <w:hideMark/>
          </w:tcPr>
          <w:p w14:paraId="49272C44"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shd w:val="clear" w:color="auto" w:fill="CCECFF"/>
            <w:vAlign w:val="bottom"/>
            <w:hideMark/>
          </w:tcPr>
          <w:p w14:paraId="7EDA0B7C"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shd w:val="clear" w:color="auto" w:fill="CCECFF"/>
            <w:hideMark/>
          </w:tcPr>
          <w:p w14:paraId="0DF78BA3"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shd w:val="clear" w:color="auto" w:fill="CCECFF"/>
            <w:vAlign w:val="bottom"/>
            <w:hideMark/>
          </w:tcPr>
          <w:p w14:paraId="6CB49BCB"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shd w:val="clear" w:color="auto" w:fill="CCECFF"/>
            <w:hideMark/>
          </w:tcPr>
          <w:p w14:paraId="67C9A1B2" w14:textId="77777777" w:rsidR="002F3D36" w:rsidRPr="002F3D36" w:rsidRDefault="002F3D36" w:rsidP="002F3D36">
            <w:pPr>
              <w:widowControl/>
              <w:jc w:val="center"/>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r>
      <w:tr w:rsidR="002F3D36" w:rsidRPr="002F3D36" w14:paraId="7BFDD4E9" w14:textId="77777777" w:rsidTr="002F3D36">
        <w:trPr>
          <w:trHeight w:val="180"/>
          <w:tblCellSpacing w:w="15" w:type="dxa"/>
        </w:trPr>
        <w:tc>
          <w:tcPr>
            <w:tcW w:w="0" w:type="auto"/>
            <w:hideMark/>
          </w:tcPr>
          <w:p w14:paraId="51DF174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Autoliv India Private Ltd.</w:t>
            </w:r>
          </w:p>
        </w:tc>
        <w:tc>
          <w:tcPr>
            <w:tcW w:w="0" w:type="auto"/>
            <w:vAlign w:val="bottom"/>
            <w:hideMark/>
          </w:tcPr>
          <w:p w14:paraId="768BF9C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72FAD12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Bangalore</w:t>
            </w:r>
          </w:p>
        </w:tc>
        <w:tc>
          <w:tcPr>
            <w:tcW w:w="0" w:type="auto"/>
            <w:vAlign w:val="bottom"/>
            <w:hideMark/>
          </w:tcPr>
          <w:p w14:paraId="1B36173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05264BD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Seatbelts, airbags</w:t>
            </w:r>
          </w:p>
        </w:tc>
        <w:tc>
          <w:tcPr>
            <w:tcW w:w="0" w:type="auto"/>
            <w:vAlign w:val="bottom"/>
            <w:hideMark/>
          </w:tcPr>
          <w:p w14:paraId="29373D6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473CA11E" w14:textId="77777777" w:rsidR="002F3D36" w:rsidRPr="002F3D36" w:rsidRDefault="002F3D36" w:rsidP="002F3D36">
            <w:pPr>
              <w:widowControl/>
              <w:jc w:val="center"/>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Owned</w:t>
            </w:r>
          </w:p>
        </w:tc>
      </w:tr>
      <w:tr w:rsidR="002F3D36" w:rsidRPr="002F3D36" w14:paraId="189C20F5" w14:textId="77777777" w:rsidTr="002F3D36">
        <w:trPr>
          <w:trHeight w:val="180"/>
          <w:tblCellSpacing w:w="15" w:type="dxa"/>
        </w:trPr>
        <w:tc>
          <w:tcPr>
            <w:tcW w:w="0" w:type="auto"/>
            <w:hideMark/>
          </w:tcPr>
          <w:p w14:paraId="53DDE6C1" w14:textId="77777777" w:rsidR="002F3D36" w:rsidRPr="002F3D36" w:rsidRDefault="002F3D36" w:rsidP="002F3D36">
            <w:pPr>
              <w:widowControl/>
              <w:jc w:val="left"/>
              <w:rPr>
                <w:rFonts w:ascii="Times New Roman" w:eastAsia="微软雅黑" w:hAnsi="Times New Roman" w:cs="Times New Roman"/>
                <w:kern w:val="0"/>
                <w:sz w:val="20"/>
                <w:szCs w:val="20"/>
              </w:rPr>
            </w:pPr>
            <w:r w:rsidRPr="002F3D36">
              <w:rPr>
                <w:rFonts w:ascii="Arial" w:eastAsia="微软雅黑" w:hAnsi="Arial" w:cs="Arial"/>
                <w:kern w:val="0"/>
                <w:sz w:val="20"/>
                <w:szCs w:val="20"/>
              </w:rPr>
              <w:t> </w:t>
            </w:r>
          </w:p>
        </w:tc>
        <w:tc>
          <w:tcPr>
            <w:tcW w:w="0" w:type="auto"/>
            <w:vAlign w:val="bottom"/>
            <w:hideMark/>
          </w:tcPr>
          <w:p w14:paraId="02EA5A8D" w14:textId="77777777" w:rsidR="002F3D36" w:rsidRPr="002F3D36" w:rsidRDefault="002F3D36" w:rsidP="002F3D36">
            <w:pPr>
              <w:widowControl/>
              <w:jc w:val="left"/>
              <w:rPr>
                <w:rFonts w:ascii="Times New Roman" w:eastAsia="微软雅黑" w:hAnsi="Times New Roman" w:cs="Times New Roman"/>
                <w:kern w:val="0"/>
                <w:sz w:val="20"/>
                <w:szCs w:val="20"/>
              </w:rPr>
            </w:pPr>
            <w:r w:rsidRPr="002F3D36">
              <w:rPr>
                <w:rFonts w:ascii="Arial" w:eastAsia="微软雅黑" w:hAnsi="Arial" w:cs="Arial"/>
                <w:kern w:val="0"/>
                <w:sz w:val="20"/>
                <w:szCs w:val="20"/>
              </w:rPr>
              <w:t> </w:t>
            </w:r>
          </w:p>
        </w:tc>
        <w:tc>
          <w:tcPr>
            <w:tcW w:w="0" w:type="auto"/>
            <w:hideMark/>
          </w:tcPr>
          <w:p w14:paraId="73A07DE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Mysore</w:t>
            </w:r>
          </w:p>
        </w:tc>
        <w:tc>
          <w:tcPr>
            <w:tcW w:w="0" w:type="auto"/>
            <w:vAlign w:val="bottom"/>
            <w:hideMark/>
          </w:tcPr>
          <w:p w14:paraId="6F0C01D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3AAF283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Seatbelt webbing and Airbag Cushions</w:t>
            </w:r>
          </w:p>
        </w:tc>
        <w:tc>
          <w:tcPr>
            <w:tcW w:w="0" w:type="auto"/>
            <w:vAlign w:val="bottom"/>
            <w:hideMark/>
          </w:tcPr>
          <w:p w14:paraId="6CA685B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4B65B9F7" w14:textId="77777777" w:rsidR="002F3D36" w:rsidRPr="002F3D36" w:rsidRDefault="002F3D36" w:rsidP="002F3D36">
            <w:pPr>
              <w:widowControl/>
              <w:jc w:val="center"/>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Owned</w:t>
            </w:r>
          </w:p>
        </w:tc>
      </w:tr>
      <w:tr w:rsidR="002F3D36" w:rsidRPr="002F3D36" w14:paraId="004BFB6F" w14:textId="77777777" w:rsidTr="002F3D36">
        <w:trPr>
          <w:trHeight w:val="180"/>
          <w:tblCellSpacing w:w="15" w:type="dxa"/>
        </w:trPr>
        <w:tc>
          <w:tcPr>
            <w:tcW w:w="0" w:type="auto"/>
            <w:hideMark/>
          </w:tcPr>
          <w:p w14:paraId="38A923E2" w14:textId="77777777" w:rsidR="002F3D36" w:rsidRPr="002F3D36" w:rsidRDefault="002F3D36" w:rsidP="002F3D36">
            <w:pPr>
              <w:widowControl/>
              <w:jc w:val="left"/>
              <w:rPr>
                <w:rFonts w:ascii="Times New Roman" w:eastAsia="微软雅黑" w:hAnsi="Times New Roman" w:cs="Times New Roman"/>
                <w:kern w:val="0"/>
                <w:sz w:val="20"/>
                <w:szCs w:val="20"/>
              </w:rPr>
            </w:pPr>
            <w:r w:rsidRPr="002F3D36">
              <w:rPr>
                <w:rFonts w:ascii="Arial" w:eastAsia="微软雅黑" w:hAnsi="Arial" w:cs="Arial"/>
                <w:kern w:val="0"/>
                <w:sz w:val="20"/>
                <w:szCs w:val="20"/>
              </w:rPr>
              <w:t> </w:t>
            </w:r>
          </w:p>
        </w:tc>
        <w:tc>
          <w:tcPr>
            <w:tcW w:w="0" w:type="auto"/>
            <w:vAlign w:val="bottom"/>
            <w:hideMark/>
          </w:tcPr>
          <w:p w14:paraId="4BD25683" w14:textId="77777777" w:rsidR="002F3D36" w:rsidRPr="002F3D36" w:rsidRDefault="002F3D36" w:rsidP="002F3D36">
            <w:pPr>
              <w:widowControl/>
              <w:jc w:val="left"/>
              <w:rPr>
                <w:rFonts w:ascii="Times New Roman" w:eastAsia="微软雅黑" w:hAnsi="Times New Roman" w:cs="Times New Roman"/>
                <w:kern w:val="0"/>
                <w:sz w:val="20"/>
                <w:szCs w:val="20"/>
              </w:rPr>
            </w:pPr>
            <w:r w:rsidRPr="002F3D36">
              <w:rPr>
                <w:rFonts w:ascii="Arial" w:eastAsia="微软雅黑" w:hAnsi="Arial" w:cs="Arial"/>
                <w:kern w:val="0"/>
                <w:sz w:val="20"/>
                <w:szCs w:val="20"/>
              </w:rPr>
              <w:t> </w:t>
            </w:r>
          </w:p>
        </w:tc>
        <w:tc>
          <w:tcPr>
            <w:tcW w:w="0" w:type="auto"/>
            <w:hideMark/>
          </w:tcPr>
          <w:p w14:paraId="5F4DCF6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Delhi</w:t>
            </w:r>
          </w:p>
        </w:tc>
        <w:tc>
          <w:tcPr>
            <w:tcW w:w="0" w:type="auto"/>
            <w:vAlign w:val="bottom"/>
            <w:hideMark/>
          </w:tcPr>
          <w:p w14:paraId="4719BCB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416A8C3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Airbags and steering wheels</w:t>
            </w:r>
          </w:p>
        </w:tc>
        <w:tc>
          <w:tcPr>
            <w:tcW w:w="0" w:type="auto"/>
            <w:vAlign w:val="bottom"/>
            <w:hideMark/>
          </w:tcPr>
          <w:p w14:paraId="2F91962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7F3A729D" w14:textId="77777777" w:rsidR="002F3D36" w:rsidRPr="002F3D36" w:rsidRDefault="002F3D36" w:rsidP="002F3D36">
            <w:pPr>
              <w:widowControl/>
              <w:jc w:val="center"/>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Leased</w:t>
            </w:r>
          </w:p>
        </w:tc>
      </w:tr>
      <w:tr w:rsidR="002F3D36" w:rsidRPr="002F3D36" w14:paraId="69F04D4A" w14:textId="77777777" w:rsidTr="002F3D36">
        <w:trPr>
          <w:tblCellSpacing w:w="15" w:type="dxa"/>
        </w:trPr>
        <w:tc>
          <w:tcPr>
            <w:tcW w:w="0" w:type="auto"/>
            <w:hideMark/>
          </w:tcPr>
          <w:p w14:paraId="7DF97151"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vAlign w:val="bottom"/>
            <w:hideMark/>
          </w:tcPr>
          <w:p w14:paraId="657D1FC5"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vAlign w:val="bottom"/>
            <w:hideMark/>
          </w:tcPr>
          <w:p w14:paraId="0C38ADA6"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vAlign w:val="bottom"/>
            <w:hideMark/>
          </w:tcPr>
          <w:p w14:paraId="756A6E0D"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vAlign w:val="bottom"/>
            <w:hideMark/>
          </w:tcPr>
          <w:p w14:paraId="0F0CE422"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vAlign w:val="bottom"/>
            <w:hideMark/>
          </w:tcPr>
          <w:p w14:paraId="7C98A61E"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vAlign w:val="bottom"/>
            <w:hideMark/>
          </w:tcPr>
          <w:p w14:paraId="0729CED4"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r>
      <w:tr w:rsidR="002F3D36" w:rsidRPr="002F3D36" w14:paraId="566614E6" w14:textId="77777777" w:rsidTr="002F3D36">
        <w:trPr>
          <w:trHeight w:val="180"/>
          <w:tblCellSpacing w:w="15" w:type="dxa"/>
        </w:trPr>
        <w:tc>
          <w:tcPr>
            <w:tcW w:w="0" w:type="auto"/>
            <w:shd w:val="clear" w:color="auto" w:fill="CCECFF"/>
            <w:hideMark/>
          </w:tcPr>
          <w:p w14:paraId="42D20B8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Indonesia</w:t>
            </w:r>
          </w:p>
        </w:tc>
        <w:tc>
          <w:tcPr>
            <w:tcW w:w="0" w:type="auto"/>
            <w:shd w:val="clear" w:color="auto" w:fill="CCECFF"/>
            <w:vAlign w:val="bottom"/>
            <w:hideMark/>
          </w:tcPr>
          <w:p w14:paraId="0F10958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CECFF"/>
            <w:hideMark/>
          </w:tcPr>
          <w:p w14:paraId="0A4630D2"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shd w:val="clear" w:color="auto" w:fill="CCECFF"/>
            <w:vAlign w:val="bottom"/>
            <w:hideMark/>
          </w:tcPr>
          <w:p w14:paraId="41CB9FA9"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shd w:val="clear" w:color="auto" w:fill="CCECFF"/>
            <w:hideMark/>
          </w:tcPr>
          <w:p w14:paraId="3BB8F927"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shd w:val="clear" w:color="auto" w:fill="CCECFF"/>
            <w:vAlign w:val="bottom"/>
            <w:hideMark/>
          </w:tcPr>
          <w:p w14:paraId="423B1014"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shd w:val="clear" w:color="auto" w:fill="CCECFF"/>
            <w:hideMark/>
          </w:tcPr>
          <w:p w14:paraId="6EE4B0F8" w14:textId="77777777" w:rsidR="002F3D36" w:rsidRPr="002F3D36" w:rsidRDefault="002F3D36" w:rsidP="002F3D36">
            <w:pPr>
              <w:widowControl/>
              <w:jc w:val="center"/>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r>
      <w:tr w:rsidR="002F3D36" w:rsidRPr="002F3D36" w14:paraId="2212E3BE" w14:textId="77777777" w:rsidTr="002F3D36">
        <w:trPr>
          <w:trHeight w:val="180"/>
          <w:tblCellSpacing w:w="15" w:type="dxa"/>
        </w:trPr>
        <w:tc>
          <w:tcPr>
            <w:tcW w:w="0" w:type="auto"/>
            <w:hideMark/>
          </w:tcPr>
          <w:p w14:paraId="253CB0A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P.T. Autoliv Indonesia</w:t>
            </w:r>
          </w:p>
        </w:tc>
        <w:tc>
          <w:tcPr>
            <w:tcW w:w="0" w:type="auto"/>
            <w:vAlign w:val="bottom"/>
            <w:hideMark/>
          </w:tcPr>
          <w:p w14:paraId="2452664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082AFA6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Jakarta</w:t>
            </w:r>
          </w:p>
        </w:tc>
        <w:tc>
          <w:tcPr>
            <w:tcW w:w="0" w:type="auto"/>
            <w:vAlign w:val="bottom"/>
            <w:hideMark/>
          </w:tcPr>
          <w:p w14:paraId="73D4186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2AB8237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Seatbelts and steering wheels</w:t>
            </w:r>
          </w:p>
        </w:tc>
        <w:tc>
          <w:tcPr>
            <w:tcW w:w="0" w:type="auto"/>
            <w:vAlign w:val="bottom"/>
            <w:hideMark/>
          </w:tcPr>
          <w:p w14:paraId="7535918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231CC734" w14:textId="77777777" w:rsidR="002F3D36" w:rsidRPr="002F3D36" w:rsidRDefault="002F3D36" w:rsidP="002F3D36">
            <w:pPr>
              <w:widowControl/>
              <w:jc w:val="center"/>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Owned</w:t>
            </w:r>
          </w:p>
        </w:tc>
      </w:tr>
      <w:tr w:rsidR="002F3D36" w:rsidRPr="002F3D36" w14:paraId="192F9140" w14:textId="77777777" w:rsidTr="002F3D36">
        <w:trPr>
          <w:tblCellSpacing w:w="15" w:type="dxa"/>
        </w:trPr>
        <w:tc>
          <w:tcPr>
            <w:tcW w:w="0" w:type="auto"/>
            <w:hideMark/>
          </w:tcPr>
          <w:p w14:paraId="49B7BF4C"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vAlign w:val="bottom"/>
            <w:hideMark/>
          </w:tcPr>
          <w:p w14:paraId="2932A732"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vAlign w:val="bottom"/>
            <w:hideMark/>
          </w:tcPr>
          <w:p w14:paraId="1744E1D0"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vAlign w:val="bottom"/>
            <w:hideMark/>
          </w:tcPr>
          <w:p w14:paraId="4897A854"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vAlign w:val="bottom"/>
            <w:hideMark/>
          </w:tcPr>
          <w:p w14:paraId="7D216818"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vAlign w:val="bottom"/>
            <w:hideMark/>
          </w:tcPr>
          <w:p w14:paraId="05A348CC"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vAlign w:val="bottom"/>
            <w:hideMark/>
          </w:tcPr>
          <w:p w14:paraId="642C791F"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r>
      <w:tr w:rsidR="002F3D36" w:rsidRPr="002F3D36" w14:paraId="570BE821" w14:textId="77777777" w:rsidTr="002F3D36">
        <w:trPr>
          <w:trHeight w:val="180"/>
          <w:tblCellSpacing w:w="15" w:type="dxa"/>
        </w:trPr>
        <w:tc>
          <w:tcPr>
            <w:tcW w:w="0" w:type="auto"/>
            <w:shd w:val="clear" w:color="auto" w:fill="CCECFF"/>
            <w:hideMark/>
          </w:tcPr>
          <w:p w14:paraId="50E408C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Japan</w:t>
            </w:r>
          </w:p>
        </w:tc>
        <w:tc>
          <w:tcPr>
            <w:tcW w:w="0" w:type="auto"/>
            <w:shd w:val="clear" w:color="auto" w:fill="CCECFF"/>
            <w:vAlign w:val="bottom"/>
            <w:hideMark/>
          </w:tcPr>
          <w:p w14:paraId="5732CEC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CECFF"/>
            <w:hideMark/>
          </w:tcPr>
          <w:p w14:paraId="5332AEFC"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shd w:val="clear" w:color="auto" w:fill="CCECFF"/>
            <w:vAlign w:val="bottom"/>
            <w:hideMark/>
          </w:tcPr>
          <w:p w14:paraId="5A6FD076"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shd w:val="clear" w:color="auto" w:fill="CCECFF"/>
            <w:hideMark/>
          </w:tcPr>
          <w:p w14:paraId="0E9D33AF"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shd w:val="clear" w:color="auto" w:fill="CCECFF"/>
            <w:vAlign w:val="bottom"/>
            <w:hideMark/>
          </w:tcPr>
          <w:p w14:paraId="3FD47ADE"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shd w:val="clear" w:color="auto" w:fill="CCECFF"/>
            <w:hideMark/>
          </w:tcPr>
          <w:p w14:paraId="557A7CA0" w14:textId="77777777" w:rsidR="002F3D36" w:rsidRPr="002F3D36" w:rsidRDefault="002F3D36" w:rsidP="002F3D36">
            <w:pPr>
              <w:widowControl/>
              <w:jc w:val="center"/>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r>
      <w:tr w:rsidR="002F3D36" w:rsidRPr="002F3D36" w14:paraId="55FACE6E" w14:textId="77777777" w:rsidTr="002F3D36">
        <w:trPr>
          <w:trHeight w:val="180"/>
          <w:tblCellSpacing w:w="15" w:type="dxa"/>
        </w:trPr>
        <w:tc>
          <w:tcPr>
            <w:tcW w:w="0" w:type="auto"/>
            <w:hideMark/>
          </w:tcPr>
          <w:p w14:paraId="7ED52A4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Autoliv Japan Ltd.</w:t>
            </w:r>
          </w:p>
        </w:tc>
        <w:tc>
          <w:tcPr>
            <w:tcW w:w="0" w:type="auto"/>
            <w:vAlign w:val="bottom"/>
            <w:hideMark/>
          </w:tcPr>
          <w:p w14:paraId="52C4D6E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6474B9A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Atsugi</w:t>
            </w:r>
          </w:p>
        </w:tc>
        <w:tc>
          <w:tcPr>
            <w:tcW w:w="0" w:type="auto"/>
            <w:vAlign w:val="bottom"/>
            <w:hideMark/>
          </w:tcPr>
          <w:p w14:paraId="6D03FB4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4CCD014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Steering wheels</w:t>
            </w:r>
          </w:p>
        </w:tc>
        <w:tc>
          <w:tcPr>
            <w:tcW w:w="0" w:type="auto"/>
            <w:vAlign w:val="bottom"/>
            <w:hideMark/>
          </w:tcPr>
          <w:p w14:paraId="6FB608A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3577F4E5" w14:textId="77777777" w:rsidR="002F3D36" w:rsidRPr="002F3D36" w:rsidRDefault="002F3D36" w:rsidP="002F3D36">
            <w:pPr>
              <w:widowControl/>
              <w:jc w:val="center"/>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Owned</w:t>
            </w:r>
          </w:p>
        </w:tc>
      </w:tr>
      <w:tr w:rsidR="002F3D36" w:rsidRPr="002F3D36" w14:paraId="4E568A13" w14:textId="77777777" w:rsidTr="002F3D36">
        <w:trPr>
          <w:trHeight w:val="180"/>
          <w:tblCellSpacing w:w="15" w:type="dxa"/>
        </w:trPr>
        <w:tc>
          <w:tcPr>
            <w:tcW w:w="0" w:type="auto"/>
            <w:hideMark/>
          </w:tcPr>
          <w:p w14:paraId="11CE389E" w14:textId="77777777" w:rsidR="002F3D36" w:rsidRPr="002F3D36" w:rsidRDefault="002F3D36" w:rsidP="002F3D36">
            <w:pPr>
              <w:widowControl/>
              <w:jc w:val="left"/>
              <w:rPr>
                <w:rFonts w:ascii="Times New Roman" w:eastAsia="微软雅黑" w:hAnsi="Times New Roman" w:cs="Times New Roman"/>
                <w:kern w:val="0"/>
                <w:sz w:val="20"/>
                <w:szCs w:val="20"/>
              </w:rPr>
            </w:pPr>
            <w:r w:rsidRPr="002F3D36">
              <w:rPr>
                <w:rFonts w:ascii="Arial" w:eastAsia="微软雅黑" w:hAnsi="Arial" w:cs="Arial"/>
                <w:kern w:val="0"/>
                <w:sz w:val="20"/>
                <w:szCs w:val="20"/>
              </w:rPr>
              <w:t> </w:t>
            </w:r>
          </w:p>
        </w:tc>
        <w:tc>
          <w:tcPr>
            <w:tcW w:w="0" w:type="auto"/>
            <w:vAlign w:val="bottom"/>
            <w:hideMark/>
          </w:tcPr>
          <w:p w14:paraId="2F5EB308" w14:textId="77777777" w:rsidR="002F3D36" w:rsidRPr="002F3D36" w:rsidRDefault="002F3D36" w:rsidP="002F3D36">
            <w:pPr>
              <w:widowControl/>
              <w:jc w:val="left"/>
              <w:rPr>
                <w:rFonts w:ascii="Times New Roman" w:eastAsia="微软雅黑" w:hAnsi="Times New Roman" w:cs="Times New Roman"/>
                <w:kern w:val="0"/>
                <w:sz w:val="20"/>
                <w:szCs w:val="20"/>
              </w:rPr>
            </w:pPr>
            <w:r w:rsidRPr="002F3D36">
              <w:rPr>
                <w:rFonts w:ascii="Arial" w:eastAsia="微软雅黑" w:hAnsi="Arial" w:cs="Arial"/>
                <w:kern w:val="0"/>
                <w:sz w:val="20"/>
                <w:szCs w:val="20"/>
              </w:rPr>
              <w:t> </w:t>
            </w:r>
          </w:p>
        </w:tc>
        <w:tc>
          <w:tcPr>
            <w:tcW w:w="0" w:type="auto"/>
            <w:hideMark/>
          </w:tcPr>
          <w:p w14:paraId="5F07052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Hiroshima</w:t>
            </w:r>
          </w:p>
        </w:tc>
        <w:tc>
          <w:tcPr>
            <w:tcW w:w="0" w:type="auto"/>
            <w:vAlign w:val="bottom"/>
            <w:hideMark/>
          </w:tcPr>
          <w:p w14:paraId="2B5CD14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22D5682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Airbags and steering wheels</w:t>
            </w:r>
          </w:p>
        </w:tc>
        <w:tc>
          <w:tcPr>
            <w:tcW w:w="0" w:type="auto"/>
            <w:vAlign w:val="bottom"/>
            <w:hideMark/>
          </w:tcPr>
          <w:p w14:paraId="7009BEC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40E939AD" w14:textId="77777777" w:rsidR="002F3D36" w:rsidRPr="002F3D36" w:rsidRDefault="002F3D36" w:rsidP="002F3D36">
            <w:pPr>
              <w:widowControl/>
              <w:jc w:val="center"/>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Owned</w:t>
            </w:r>
          </w:p>
        </w:tc>
      </w:tr>
      <w:tr w:rsidR="002F3D36" w:rsidRPr="002F3D36" w14:paraId="40AA472A" w14:textId="77777777" w:rsidTr="002F3D36">
        <w:trPr>
          <w:trHeight w:val="180"/>
          <w:tblCellSpacing w:w="15" w:type="dxa"/>
        </w:trPr>
        <w:tc>
          <w:tcPr>
            <w:tcW w:w="0" w:type="auto"/>
            <w:vAlign w:val="bottom"/>
            <w:hideMark/>
          </w:tcPr>
          <w:p w14:paraId="68FBC7C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lastRenderedPageBreak/>
              <w:t> </w:t>
            </w:r>
          </w:p>
        </w:tc>
        <w:tc>
          <w:tcPr>
            <w:tcW w:w="0" w:type="auto"/>
            <w:vAlign w:val="bottom"/>
            <w:hideMark/>
          </w:tcPr>
          <w:p w14:paraId="1E2C051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19CB4CF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Taketoyo</w:t>
            </w:r>
          </w:p>
        </w:tc>
        <w:tc>
          <w:tcPr>
            <w:tcW w:w="0" w:type="auto"/>
            <w:vAlign w:val="bottom"/>
            <w:hideMark/>
          </w:tcPr>
          <w:p w14:paraId="2754A03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7493E4F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Airbag inflators</w:t>
            </w:r>
          </w:p>
        </w:tc>
        <w:tc>
          <w:tcPr>
            <w:tcW w:w="0" w:type="auto"/>
            <w:vAlign w:val="bottom"/>
            <w:hideMark/>
          </w:tcPr>
          <w:p w14:paraId="68C43A1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4AF55427" w14:textId="77777777" w:rsidR="002F3D36" w:rsidRPr="002F3D36" w:rsidRDefault="002F3D36" w:rsidP="002F3D36">
            <w:pPr>
              <w:widowControl/>
              <w:jc w:val="center"/>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Owned</w:t>
            </w:r>
          </w:p>
        </w:tc>
      </w:tr>
      <w:tr w:rsidR="002F3D36" w:rsidRPr="002F3D36" w14:paraId="0673FB64" w14:textId="77777777" w:rsidTr="002F3D36">
        <w:trPr>
          <w:trHeight w:val="180"/>
          <w:tblCellSpacing w:w="15" w:type="dxa"/>
        </w:trPr>
        <w:tc>
          <w:tcPr>
            <w:tcW w:w="0" w:type="auto"/>
            <w:vAlign w:val="bottom"/>
            <w:hideMark/>
          </w:tcPr>
          <w:p w14:paraId="5F78FEC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3FD3276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229B981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Tsukuba</w:t>
            </w:r>
          </w:p>
        </w:tc>
        <w:tc>
          <w:tcPr>
            <w:tcW w:w="0" w:type="auto"/>
            <w:vAlign w:val="bottom"/>
            <w:hideMark/>
          </w:tcPr>
          <w:p w14:paraId="4625DBD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356F466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Airbags and seatbelts</w:t>
            </w:r>
          </w:p>
        </w:tc>
        <w:tc>
          <w:tcPr>
            <w:tcW w:w="0" w:type="auto"/>
            <w:vAlign w:val="bottom"/>
            <w:hideMark/>
          </w:tcPr>
          <w:p w14:paraId="08EDD1D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2696E8F6" w14:textId="77777777" w:rsidR="002F3D36" w:rsidRPr="002F3D36" w:rsidRDefault="002F3D36" w:rsidP="002F3D36">
            <w:pPr>
              <w:widowControl/>
              <w:jc w:val="center"/>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Owned</w:t>
            </w:r>
          </w:p>
        </w:tc>
      </w:tr>
      <w:tr w:rsidR="002F3D36" w:rsidRPr="002F3D36" w14:paraId="263E3512" w14:textId="77777777" w:rsidTr="002F3D36">
        <w:trPr>
          <w:tblCellSpacing w:w="15" w:type="dxa"/>
        </w:trPr>
        <w:tc>
          <w:tcPr>
            <w:tcW w:w="0" w:type="auto"/>
            <w:hideMark/>
          </w:tcPr>
          <w:p w14:paraId="2A7FCC86"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vAlign w:val="bottom"/>
            <w:hideMark/>
          </w:tcPr>
          <w:p w14:paraId="03D5F611"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424DA54B"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vAlign w:val="bottom"/>
            <w:hideMark/>
          </w:tcPr>
          <w:p w14:paraId="37CB1426"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04D0D0D9"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vAlign w:val="bottom"/>
            <w:hideMark/>
          </w:tcPr>
          <w:p w14:paraId="59E8BC8B"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509604AD" w14:textId="77777777" w:rsidR="002F3D36" w:rsidRPr="002F3D36" w:rsidRDefault="002F3D36" w:rsidP="002F3D36">
            <w:pPr>
              <w:widowControl/>
              <w:jc w:val="center"/>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r>
      <w:tr w:rsidR="002F3D36" w:rsidRPr="002F3D36" w14:paraId="10AADA47" w14:textId="77777777" w:rsidTr="002F3D36">
        <w:trPr>
          <w:trHeight w:val="180"/>
          <w:tblCellSpacing w:w="15" w:type="dxa"/>
        </w:trPr>
        <w:tc>
          <w:tcPr>
            <w:tcW w:w="0" w:type="auto"/>
            <w:shd w:val="clear" w:color="auto" w:fill="CCECFF"/>
            <w:hideMark/>
          </w:tcPr>
          <w:p w14:paraId="3B86AD4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Malaysia</w:t>
            </w:r>
          </w:p>
        </w:tc>
        <w:tc>
          <w:tcPr>
            <w:tcW w:w="0" w:type="auto"/>
            <w:shd w:val="clear" w:color="auto" w:fill="CCECFF"/>
            <w:vAlign w:val="bottom"/>
            <w:hideMark/>
          </w:tcPr>
          <w:p w14:paraId="38B38B4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CECFF"/>
            <w:hideMark/>
          </w:tcPr>
          <w:p w14:paraId="5AF261D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CECFF"/>
            <w:vAlign w:val="bottom"/>
            <w:hideMark/>
          </w:tcPr>
          <w:p w14:paraId="1F9FEFB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CECFF"/>
            <w:hideMark/>
          </w:tcPr>
          <w:p w14:paraId="55BBEFF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CECFF"/>
            <w:vAlign w:val="bottom"/>
            <w:hideMark/>
          </w:tcPr>
          <w:p w14:paraId="25F177D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CECFF"/>
            <w:hideMark/>
          </w:tcPr>
          <w:p w14:paraId="3B8FA49C" w14:textId="77777777" w:rsidR="002F3D36" w:rsidRPr="002F3D36" w:rsidRDefault="002F3D36" w:rsidP="002F3D36">
            <w:pPr>
              <w:widowControl/>
              <w:jc w:val="center"/>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21391B13" w14:textId="77777777" w:rsidTr="002F3D36">
        <w:trPr>
          <w:trHeight w:val="180"/>
          <w:tblCellSpacing w:w="15" w:type="dxa"/>
        </w:trPr>
        <w:tc>
          <w:tcPr>
            <w:tcW w:w="0" w:type="auto"/>
            <w:hideMark/>
          </w:tcPr>
          <w:p w14:paraId="058494F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Autoliv-Hirotako Sdn Bhd</w:t>
            </w:r>
          </w:p>
        </w:tc>
        <w:tc>
          <w:tcPr>
            <w:tcW w:w="0" w:type="auto"/>
            <w:vAlign w:val="bottom"/>
            <w:hideMark/>
          </w:tcPr>
          <w:p w14:paraId="4A53599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7A9FCBF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Kuala Lumpur</w:t>
            </w:r>
          </w:p>
        </w:tc>
        <w:tc>
          <w:tcPr>
            <w:tcW w:w="0" w:type="auto"/>
            <w:vAlign w:val="bottom"/>
            <w:hideMark/>
          </w:tcPr>
          <w:p w14:paraId="5F61B19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41E6609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Seatbelts, airbags and steering wheels</w:t>
            </w:r>
          </w:p>
        </w:tc>
        <w:tc>
          <w:tcPr>
            <w:tcW w:w="0" w:type="auto"/>
            <w:vAlign w:val="bottom"/>
            <w:hideMark/>
          </w:tcPr>
          <w:p w14:paraId="3E147B4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32CA9815" w14:textId="77777777" w:rsidR="002F3D36" w:rsidRPr="002F3D36" w:rsidRDefault="002F3D36" w:rsidP="002F3D36">
            <w:pPr>
              <w:widowControl/>
              <w:jc w:val="center"/>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Owned</w:t>
            </w:r>
          </w:p>
        </w:tc>
      </w:tr>
      <w:tr w:rsidR="002F3D36" w:rsidRPr="002F3D36" w14:paraId="5903B184" w14:textId="77777777" w:rsidTr="002F3D36">
        <w:trPr>
          <w:tblCellSpacing w:w="15" w:type="dxa"/>
        </w:trPr>
        <w:tc>
          <w:tcPr>
            <w:tcW w:w="0" w:type="auto"/>
            <w:hideMark/>
          </w:tcPr>
          <w:p w14:paraId="26D05948"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vAlign w:val="bottom"/>
            <w:hideMark/>
          </w:tcPr>
          <w:p w14:paraId="21FDED89"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258E5419"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vAlign w:val="bottom"/>
            <w:hideMark/>
          </w:tcPr>
          <w:p w14:paraId="603D06D1"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203B618F"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vAlign w:val="bottom"/>
            <w:hideMark/>
          </w:tcPr>
          <w:p w14:paraId="211A786D"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0F8AC066" w14:textId="77777777" w:rsidR="002F3D36" w:rsidRPr="002F3D36" w:rsidRDefault="002F3D36" w:rsidP="002F3D36">
            <w:pPr>
              <w:widowControl/>
              <w:jc w:val="center"/>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r>
    </w:tbl>
    <w:p w14:paraId="7DBDF216" w14:textId="77777777" w:rsidR="002F3D36" w:rsidRPr="002F3D36" w:rsidRDefault="002F3D36" w:rsidP="002F3D36">
      <w:pPr>
        <w:widowControl/>
        <w:jc w:val="left"/>
        <w:rPr>
          <w:rFonts w:ascii="Times New Roman" w:eastAsia="宋体" w:hAnsi="Times New Roman" w:cs="Times New Roman"/>
          <w:color w:val="000000"/>
          <w:kern w:val="0"/>
          <w:sz w:val="20"/>
          <w:szCs w:val="20"/>
        </w:rPr>
      </w:pPr>
      <w:r w:rsidRPr="002F3D36">
        <w:rPr>
          <w:rFonts w:ascii="Times New Roman" w:eastAsia="宋体" w:hAnsi="Times New Roman" w:cs="Times New Roman"/>
          <w:color w:val="000000"/>
          <w:kern w:val="0"/>
          <w:sz w:val="20"/>
          <w:szCs w:val="20"/>
        </w:rPr>
        <w:t> </w:t>
      </w:r>
    </w:p>
    <w:p w14:paraId="7AFD2DB9" w14:textId="77777777" w:rsidR="002F3D36" w:rsidRPr="002F3D36" w:rsidRDefault="002F3D36" w:rsidP="002F3D36">
      <w:pPr>
        <w:widowControl/>
        <w:spacing w:before="240"/>
        <w:jc w:val="center"/>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25</w:t>
      </w:r>
    </w:p>
    <w:p w14:paraId="5DD01C99" w14:textId="77777777" w:rsidR="002F3D36" w:rsidRPr="002F3D36" w:rsidRDefault="002F3D36" w:rsidP="002F3D36">
      <w:pPr>
        <w:widowControl/>
        <w:jc w:val="left"/>
        <w:rPr>
          <w:rFonts w:ascii="宋体" w:eastAsia="宋体" w:hAnsi="宋体" w:cs="宋体"/>
          <w:kern w:val="0"/>
          <w:sz w:val="24"/>
          <w:szCs w:val="24"/>
        </w:rPr>
      </w:pPr>
      <w:r w:rsidRPr="002F3D36">
        <w:rPr>
          <w:rFonts w:ascii="宋体" w:eastAsia="宋体" w:hAnsi="宋体" w:cs="宋体"/>
          <w:kern w:val="0"/>
          <w:sz w:val="24"/>
          <w:szCs w:val="24"/>
        </w:rPr>
        <w:pict w14:anchorId="347050E2">
          <v:rect id="_x0000_i1050" style="width:0;height:1.5pt" o:hralign="center" o:hrstd="t" o:hrnoshade="t" o:hr="t" fillcolor="black" stroked="f"/>
        </w:pict>
      </w:r>
    </w:p>
    <w:p w14:paraId="13E6064E" w14:textId="77777777" w:rsidR="002F3D36" w:rsidRPr="002F3D36" w:rsidRDefault="002F3D36" w:rsidP="002F3D36">
      <w:pPr>
        <w:widowControl/>
        <w:spacing w:line="20" w:lineRule="atLeast"/>
        <w:jc w:val="left"/>
        <w:rPr>
          <w:rFonts w:ascii="Times New Roman" w:eastAsia="宋体" w:hAnsi="Times New Roman" w:cs="Times New Roman"/>
          <w:color w:val="000000"/>
          <w:kern w:val="0"/>
          <w:sz w:val="20"/>
          <w:szCs w:val="20"/>
        </w:rPr>
      </w:pPr>
      <w:r w:rsidRPr="002F3D36">
        <w:rPr>
          <w:rFonts w:ascii="Arial" w:eastAsia="宋体" w:hAnsi="Arial" w:cs="Arial"/>
          <w:color w:val="000000"/>
          <w:kern w:val="0"/>
          <w:sz w:val="2"/>
          <w:szCs w:val="2"/>
        </w:rPr>
        <w:t> </w:t>
      </w:r>
    </w:p>
    <w:p w14:paraId="7A8CA750" w14:textId="77777777" w:rsidR="002F3D36" w:rsidRPr="002F3D36" w:rsidRDefault="002F3D36" w:rsidP="002F3D36">
      <w:pPr>
        <w:widowControl/>
        <w:jc w:val="left"/>
        <w:rPr>
          <w:rFonts w:ascii="Times New Roman" w:eastAsia="宋体" w:hAnsi="Times New Roman" w:cs="Times New Roman"/>
          <w:color w:val="000000"/>
          <w:kern w:val="0"/>
          <w:sz w:val="20"/>
          <w:szCs w:val="20"/>
        </w:rPr>
      </w:pPr>
      <w:r w:rsidRPr="002F3D36">
        <w:rPr>
          <w:rFonts w:ascii="Arial" w:eastAsia="宋体" w:hAnsi="Arial" w:cs="Arial"/>
          <w:color w:val="000000"/>
          <w:kern w:val="0"/>
          <w:sz w:val="2"/>
          <w:szCs w:val="2"/>
        </w:rPr>
        <w:t> </w:t>
      </w:r>
    </w:p>
    <w:tbl>
      <w:tblPr>
        <w:tblW w:w="20614" w:type="dxa"/>
        <w:tblCellSpacing w:w="15" w:type="dxa"/>
        <w:tblCellMar>
          <w:top w:w="15" w:type="dxa"/>
          <w:left w:w="15" w:type="dxa"/>
          <w:bottom w:w="15" w:type="dxa"/>
          <w:right w:w="15" w:type="dxa"/>
        </w:tblCellMar>
        <w:tblLook w:val="04A0" w:firstRow="1" w:lastRow="0" w:firstColumn="1" w:lastColumn="0" w:noHBand="0" w:noVBand="1"/>
      </w:tblPr>
      <w:tblGrid>
        <w:gridCol w:w="8911"/>
        <w:gridCol w:w="321"/>
        <w:gridCol w:w="3063"/>
        <w:gridCol w:w="321"/>
        <w:gridCol w:w="5381"/>
        <w:gridCol w:w="321"/>
        <w:gridCol w:w="2296"/>
      </w:tblGrid>
      <w:tr w:rsidR="002F3D36" w:rsidRPr="002F3D36" w14:paraId="3E250FD3" w14:textId="77777777" w:rsidTr="002F3D36">
        <w:trPr>
          <w:tblCellSpacing w:w="15" w:type="dxa"/>
        </w:trPr>
        <w:tc>
          <w:tcPr>
            <w:tcW w:w="9258" w:type="dxa"/>
            <w:vAlign w:val="center"/>
            <w:hideMark/>
          </w:tcPr>
          <w:p w14:paraId="00FBA51F" w14:textId="77777777" w:rsidR="002F3D36" w:rsidRPr="002F3D36" w:rsidRDefault="002F3D36" w:rsidP="002F3D36">
            <w:pPr>
              <w:widowControl/>
              <w:jc w:val="left"/>
              <w:rPr>
                <w:rFonts w:ascii="Times New Roman" w:eastAsia="宋体" w:hAnsi="Times New Roman" w:cs="Times New Roman"/>
                <w:color w:val="000000"/>
                <w:kern w:val="0"/>
                <w:sz w:val="20"/>
                <w:szCs w:val="20"/>
              </w:rPr>
            </w:pPr>
          </w:p>
        </w:tc>
        <w:tc>
          <w:tcPr>
            <w:tcW w:w="302" w:type="dxa"/>
            <w:vAlign w:val="center"/>
            <w:hideMark/>
          </w:tcPr>
          <w:p w14:paraId="50FA4FE2"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3137" w:type="dxa"/>
            <w:vAlign w:val="center"/>
            <w:hideMark/>
          </w:tcPr>
          <w:p w14:paraId="2DD75EBB"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302" w:type="dxa"/>
            <w:vAlign w:val="center"/>
            <w:hideMark/>
          </w:tcPr>
          <w:p w14:paraId="3A59F1C4"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4769" w:type="dxa"/>
            <w:vAlign w:val="center"/>
            <w:hideMark/>
          </w:tcPr>
          <w:p w14:paraId="279CD122"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302" w:type="dxa"/>
            <w:vAlign w:val="center"/>
            <w:hideMark/>
          </w:tcPr>
          <w:p w14:paraId="460FD287"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335" w:type="dxa"/>
            <w:vAlign w:val="center"/>
            <w:hideMark/>
          </w:tcPr>
          <w:p w14:paraId="680C6254" w14:textId="77777777" w:rsidR="002F3D36" w:rsidRPr="002F3D36" w:rsidRDefault="002F3D36" w:rsidP="002F3D36">
            <w:pPr>
              <w:widowControl/>
              <w:jc w:val="left"/>
              <w:rPr>
                <w:rFonts w:ascii="Times New Roman" w:eastAsia="Times New Roman" w:hAnsi="Times New Roman" w:cs="Times New Roman"/>
                <w:kern w:val="0"/>
                <w:sz w:val="20"/>
                <w:szCs w:val="20"/>
              </w:rPr>
            </w:pPr>
          </w:p>
        </w:tc>
      </w:tr>
      <w:tr w:rsidR="002F3D36" w:rsidRPr="002F3D36" w14:paraId="5BD46E44" w14:textId="77777777" w:rsidTr="002F3D36">
        <w:trPr>
          <w:trHeight w:val="180"/>
          <w:tblCellSpacing w:w="15" w:type="dxa"/>
        </w:trPr>
        <w:tc>
          <w:tcPr>
            <w:tcW w:w="0" w:type="auto"/>
            <w:shd w:val="clear" w:color="auto" w:fill="CCECFF"/>
            <w:hideMark/>
          </w:tcPr>
          <w:p w14:paraId="2EDCED4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Mexico</w:t>
            </w:r>
          </w:p>
        </w:tc>
        <w:tc>
          <w:tcPr>
            <w:tcW w:w="0" w:type="auto"/>
            <w:shd w:val="clear" w:color="auto" w:fill="CCECFF"/>
            <w:vAlign w:val="bottom"/>
            <w:hideMark/>
          </w:tcPr>
          <w:p w14:paraId="6C880F5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CECFF"/>
            <w:vAlign w:val="bottom"/>
            <w:hideMark/>
          </w:tcPr>
          <w:p w14:paraId="3AC1662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CECFF"/>
            <w:vAlign w:val="bottom"/>
            <w:hideMark/>
          </w:tcPr>
          <w:p w14:paraId="2879CA0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CECFF"/>
            <w:vAlign w:val="bottom"/>
            <w:hideMark/>
          </w:tcPr>
          <w:p w14:paraId="6347534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CECFF"/>
            <w:vAlign w:val="bottom"/>
            <w:hideMark/>
          </w:tcPr>
          <w:p w14:paraId="4253304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CECFF"/>
            <w:vAlign w:val="bottom"/>
            <w:hideMark/>
          </w:tcPr>
          <w:p w14:paraId="0C70BB7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4744EDA3" w14:textId="77777777" w:rsidTr="002F3D36">
        <w:trPr>
          <w:trHeight w:val="180"/>
          <w:tblCellSpacing w:w="15" w:type="dxa"/>
        </w:trPr>
        <w:tc>
          <w:tcPr>
            <w:tcW w:w="0" w:type="auto"/>
            <w:hideMark/>
          </w:tcPr>
          <w:p w14:paraId="7F96FCB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Autoliv Mexico East S.A. de C.V.</w:t>
            </w:r>
          </w:p>
        </w:tc>
        <w:tc>
          <w:tcPr>
            <w:tcW w:w="0" w:type="auto"/>
            <w:vAlign w:val="bottom"/>
            <w:hideMark/>
          </w:tcPr>
          <w:p w14:paraId="5E6A0CC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257880A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Matamoros</w:t>
            </w:r>
          </w:p>
        </w:tc>
        <w:tc>
          <w:tcPr>
            <w:tcW w:w="0" w:type="auto"/>
            <w:vAlign w:val="bottom"/>
            <w:hideMark/>
          </w:tcPr>
          <w:p w14:paraId="1AECBBD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06EF2F4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Steering wheels</w:t>
            </w:r>
          </w:p>
        </w:tc>
        <w:tc>
          <w:tcPr>
            <w:tcW w:w="0" w:type="auto"/>
            <w:vAlign w:val="bottom"/>
            <w:hideMark/>
          </w:tcPr>
          <w:p w14:paraId="20F485A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5FB8954F" w14:textId="77777777" w:rsidR="002F3D36" w:rsidRPr="002F3D36" w:rsidRDefault="002F3D36" w:rsidP="002F3D36">
            <w:pPr>
              <w:widowControl/>
              <w:jc w:val="center"/>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Owned</w:t>
            </w:r>
          </w:p>
        </w:tc>
      </w:tr>
      <w:tr w:rsidR="002F3D36" w:rsidRPr="002F3D36" w14:paraId="16C63ACF" w14:textId="77777777" w:rsidTr="002F3D36">
        <w:trPr>
          <w:trHeight w:val="180"/>
          <w:tblCellSpacing w:w="15" w:type="dxa"/>
        </w:trPr>
        <w:tc>
          <w:tcPr>
            <w:tcW w:w="0" w:type="auto"/>
            <w:hideMark/>
          </w:tcPr>
          <w:p w14:paraId="3A5D5C4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Autoliv Mexico S.A. de C.V.</w:t>
            </w:r>
          </w:p>
        </w:tc>
        <w:tc>
          <w:tcPr>
            <w:tcW w:w="0" w:type="auto"/>
            <w:vAlign w:val="bottom"/>
            <w:hideMark/>
          </w:tcPr>
          <w:p w14:paraId="2AAB113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7FC09F5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Lerma</w:t>
            </w:r>
          </w:p>
        </w:tc>
        <w:tc>
          <w:tcPr>
            <w:tcW w:w="0" w:type="auto"/>
            <w:vAlign w:val="bottom"/>
            <w:hideMark/>
          </w:tcPr>
          <w:p w14:paraId="1BAD61B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658B4BD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Seatbelts</w:t>
            </w:r>
          </w:p>
        </w:tc>
        <w:tc>
          <w:tcPr>
            <w:tcW w:w="0" w:type="auto"/>
            <w:vAlign w:val="bottom"/>
            <w:hideMark/>
          </w:tcPr>
          <w:p w14:paraId="2BE8D86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1EC215AC" w14:textId="77777777" w:rsidR="002F3D36" w:rsidRPr="002F3D36" w:rsidRDefault="002F3D36" w:rsidP="002F3D36">
            <w:pPr>
              <w:widowControl/>
              <w:jc w:val="center"/>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Owned</w:t>
            </w:r>
          </w:p>
        </w:tc>
      </w:tr>
      <w:tr w:rsidR="002F3D36" w:rsidRPr="002F3D36" w14:paraId="09C1A096" w14:textId="77777777" w:rsidTr="002F3D36">
        <w:trPr>
          <w:trHeight w:val="180"/>
          <w:tblCellSpacing w:w="15" w:type="dxa"/>
        </w:trPr>
        <w:tc>
          <w:tcPr>
            <w:tcW w:w="0" w:type="auto"/>
            <w:hideMark/>
          </w:tcPr>
          <w:p w14:paraId="4DCACA1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Autoliv Safety Technology de</w:t>
            </w:r>
          </w:p>
        </w:tc>
        <w:tc>
          <w:tcPr>
            <w:tcW w:w="0" w:type="auto"/>
            <w:vAlign w:val="bottom"/>
            <w:hideMark/>
          </w:tcPr>
          <w:p w14:paraId="77B7218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478F189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Tijuana</w:t>
            </w:r>
          </w:p>
        </w:tc>
        <w:tc>
          <w:tcPr>
            <w:tcW w:w="0" w:type="auto"/>
            <w:vAlign w:val="bottom"/>
            <w:hideMark/>
          </w:tcPr>
          <w:p w14:paraId="57AED76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698B85D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Seatbelts</w:t>
            </w:r>
          </w:p>
        </w:tc>
        <w:tc>
          <w:tcPr>
            <w:tcW w:w="0" w:type="auto"/>
            <w:vAlign w:val="bottom"/>
            <w:hideMark/>
          </w:tcPr>
          <w:p w14:paraId="289AF5C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5BD4B21B" w14:textId="77777777" w:rsidR="002F3D36" w:rsidRPr="002F3D36" w:rsidRDefault="002F3D36" w:rsidP="002F3D36">
            <w:pPr>
              <w:widowControl/>
              <w:jc w:val="center"/>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Leased</w:t>
            </w:r>
          </w:p>
        </w:tc>
      </w:tr>
      <w:tr w:rsidR="002F3D36" w:rsidRPr="002F3D36" w14:paraId="6EB30A48" w14:textId="77777777" w:rsidTr="002F3D36">
        <w:trPr>
          <w:trHeight w:val="180"/>
          <w:tblCellSpacing w:w="15" w:type="dxa"/>
        </w:trPr>
        <w:tc>
          <w:tcPr>
            <w:tcW w:w="0" w:type="auto"/>
            <w:hideMark/>
          </w:tcPr>
          <w:p w14:paraId="643A47B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Mexico S.A. de C.V.</w:t>
            </w:r>
          </w:p>
        </w:tc>
        <w:tc>
          <w:tcPr>
            <w:tcW w:w="0" w:type="auto"/>
            <w:vAlign w:val="bottom"/>
            <w:hideMark/>
          </w:tcPr>
          <w:p w14:paraId="2ADF5F8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565F87A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Querétaro</w:t>
            </w:r>
          </w:p>
        </w:tc>
        <w:tc>
          <w:tcPr>
            <w:tcW w:w="0" w:type="auto"/>
            <w:vAlign w:val="bottom"/>
            <w:hideMark/>
          </w:tcPr>
          <w:p w14:paraId="29E4809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3E26EA8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Airbag cushions</w:t>
            </w:r>
          </w:p>
        </w:tc>
        <w:tc>
          <w:tcPr>
            <w:tcW w:w="0" w:type="auto"/>
            <w:vAlign w:val="bottom"/>
            <w:hideMark/>
          </w:tcPr>
          <w:p w14:paraId="7600925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0EFBD8A6" w14:textId="77777777" w:rsidR="002F3D36" w:rsidRPr="002F3D36" w:rsidRDefault="002F3D36" w:rsidP="002F3D36">
            <w:pPr>
              <w:widowControl/>
              <w:jc w:val="center"/>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Leased</w:t>
            </w:r>
          </w:p>
        </w:tc>
      </w:tr>
      <w:tr w:rsidR="002F3D36" w:rsidRPr="002F3D36" w14:paraId="7E08596D" w14:textId="77777777" w:rsidTr="002F3D36">
        <w:trPr>
          <w:trHeight w:val="180"/>
          <w:tblCellSpacing w:w="15" w:type="dxa"/>
        </w:trPr>
        <w:tc>
          <w:tcPr>
            <w:tcW w:w="0" w:type="auto"/>
            <w:hideMark/>
          </w:tcPr>
          <w:p w14:paraId="659E4BE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Autoliv Steering Wheels Mexico S. de R.L. de C.V.</w:t>
            </w:r>
          </w:p>
        </w:tc>
        <w:tc>
          <w:tcPr>
            <w:tcW w:w="0" w:type="auto"/>
            <w:vAlign w:val="bottom"/>
            <w:hideMark/>
          </w:tcPr>
          <w:p w14:paraId="04D32F3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34C8323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Querétaro</w:t>
            </w:r>
          </w:p>
        </w:tc>
        <w:tc>
          <w:tcPr>
            <w:tcW w:w="0" w:type="auto"/>
            <w:vAlign w:val="bottom"/>
            <w:hideMark/>
          </w:tcPr>
          <w:p w14:paraId="7F3A656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7E50236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Airbags</w:t>
            </w:r>
          </w:p>
        </w:tc>
        <w:tc>
          <w:tcPr>
            <w:tcW w:w="0" w:type="auto"/>
            <w:vAlign w:val="bottom"/>
            <w:hideMark/>
          </w:tcPr>
          <w:p w14:paraId="636C5A6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4ED5E03D" w14:textId="77777777" w:rsidR="002F3D36" w:rsidRPr="002F3D36" w:rsidRDefault="002F3D36" w:rsidP="002F3D36">
            <w:pPr>
              <w:widowControl/>
              <w:jc w:val="center"/>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Leased</w:t>
            </w:r>
          </w:p>
        </w:tc>
      </w:tr>
      <w:tr w:rsidR="002F3D36" w:rsidRPr="002F3D36" w14:paraId="781CB4B0" w14:textId="77777777" w:rsidTr="002F3D36">
        <w:trPr>
          <w:tblCellSpacing w:w="15" w:type="dxa"/>
        </w:trPr>
        <w:tc>
          <w:tcPr>
            <w:tcW w:w="0" w:type="auto"/>
            <w:hideMark/>
          </w:tcPr>
          <w:p w14:paraId="215B9F90"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vAlign w:val="bottom"/>
            <w:hideMark/>
          </w:tcPr>
          <w:p w14:paraId="53051F9E"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vAlign w:val="bottom"/>
            <w:hideMark/>
          </w:tcPr>
          <w:p w14:paraId="069AD51B"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vAlign w:val="bottom"/>
            <w:hideMark/>
          </w:tcPr>
          <w:p w14:paraId="7CEE2514"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vAlign w:val="bottom"/>
            <w:hideMark/>
          </w:tcPr>
          <w:p w14:paraId="571159EA"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vAlign w:val="bottom"/>
            <w:hideMark/>
          </w:tcPr>
          <w:p w14:paraId="4FB34458"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vAlign w:val="bottom"/>
            <w:hideMark/>
          </w:tcPr>
          <w:p w14:paraId="2B51B1BF"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r>
      <w:tr w:rsidR="002F3D36" w:rsidRPr="002F3D36" w14:paraId="6348B8ED" w14:textId="77777777" w:rsidTr="002F3D36">
        <w:trPr>
          <w:trHeight w:val="180"/>
          <w:tblCellSpacing w:w="15" w:type="dxa"/>
        </w:trPr>
        <w:tc>
          <w:tcPr>
            <w:tcW w:w="0" w:type="auto"/>
            <w:shd w:val="clear" w:color="auto" w:fill="CCECFF"/>
            <w:hideMark/>
          </w:tcPr>
          <w:p w14:paraId="004CCF0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Philippines</w:t>
            </w:r>
          </w:p>
        </w:tc>
        <w:tc>
          <w:tcPr>
            <w:tcW w:w="0" w:type="auto"/>
            <w:shd w:val="clear" w:color="auto" w:fill="CCECFF"/>
            <w:vAlign w:val="bottom"/>
            <w:hideMark/>
          </w:tcPr>
          <w:p w14:paraId="1DAE380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CECFF"/>
            <w:vAlign w:val="bottom"/>
            <w:hideMark/>
          </w:tcPr>
          <w:p w14:paraId="3FA71B4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CECFF"/>
            <w:vAlign w:val="bottom"/>
            <w:hideMark/>
          </w:tcPr>
          <w:p w14:paraId="08CEAC1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CECFF"/>
            <w:vAlign w:val="bottom"/>
            <w:hideMark/>
          </w:tcPr>
          <w:p w14:paraId="7BACCFC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CECFF"/>
            <w:vAlign w:val="bottom"/>
            <w:hideMark/>
          </w:tcPr>
          <w:p w14:paraId="2FAB4AC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CECFF"/>
            <w:vAlign w:val="bottom"/>
            <w:hideMark/>
          </w:tcPr>
          <w:p w14:paraId="59606D2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4BD67A2C" w14:textId="77777777" w:rsidTr="002F3D36">
        <w:trPr>
          <w:trHeight w:val="180"/>
          <w:tblCellSpacing w:w="15" w:type="dxa"/>
        </w:trPr>
        <w:tc>
          <w:tcPr>
            <w:tcW w:w="0" w:type="auto"/>
            <w:hideMark/>
          </w:tcPr>
          <w:p w14:paraId="77EB3FA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Autoliv Cebu Safety Manufacturing, Inc.</w:t>
            </w:r>
          </w:p>
        </w:tc>
        <w:tc>
          <w:tcPr>
            <w:tcW w:w="0" w:type="auto"/>
            <w:vAlign w:val="bottom"/>
            <w:hideMark/>
          </w:tcPr>
          <w:p w14:paraId="16F6B90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1225DC1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Cebu</w:t>
            </w:r>
          </w:p>
        </w:tc>
        <w:tc>
          <w:tcPr>
            <w:tcW w:w="0" w:type="auto"/>
            <w:vAlign w:val="bottom"/>
            <w:hideMark/>
          </w:tcPr>
          <w:p w14:paraId="517983A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3DBC459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Steering wheels</w:t>
            </w:r>
          </w:p>
        </w:tc>
        <w:tc>
          <w:tcPr>
            <w:tcW w:w="0" w:type="auto"/>
            <w:vAlign w:val="bottom"/>
            <w:hideMark/>
          </w:tcPr>
          <w:p w14:paraId="7AC71E0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43D7E0C3" w14:textId="77777777" w:rsidR="002F3D36" w:rsidRPr="002F3D36" w:rsidRDefault="002F3D36" w:rsidP="002F3D36">
            <w:pPr>
              <w:widowControl/>
              <w:jc w:val="center"/>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Owned</w:t>
            </w:r>
          </w:p>
        </w:tc>
      </w:tr>
      <w:tr w:rsidR="002F3D36" w:rsidRPr="002F3D36" w14:paraId="4DD9BA8B" w14:textId="77777777" w:rsidTr="002F3D36">
        <w:trPr>
          <w:tblCellSpacing w:w="15" w:type="dxa"/>
        </w:trPr>
        <w:tc>
          <w:tcPr>
            <w:tcW w:w="0" w:type="auto"/>
            <w:hideMark/>
          </w:tcPr>
          <w:p w14:paraId="7E19C1F2"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vAlign w:val="bottom"/>
            <w:hideMark/>
          </w:tcPr>
          <w:p w14:paraId="3D326A8F"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522EBD59"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vAlign w:val="bottom"/>
            <w:hideMark/>
          </w:tcPr>
          <w:p w14:paraId="6622F185"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659874A0"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vAlign w:val="bottom"/>
            <w:hideMark/>
          </w:tcPr>
          <w:p w14:paraId="24BEFAE3"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4DABAB5C" w14:textId="77777777" w:rsidR="002F3D36" w:rsidRPr="002F3D36" w:rsidRDefault="002F3D36" w:rsidP="002F3D36">
            <w:pPr>
              <w:widowControl/>
              <w:jc w:val="center"/>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r>
      <w:tr w:rsidR="002F3D36" w:rsidRPr="002F3D36" w14:paraId="78D10375" w14:textId="77777777" w:rsidTr="002F3D36">
        <w:trPr>
          <w:trHeight w:val="180"/>
          <w:tblCellSpacing w:w="15" w:type="dxa"/>
        </w:trPr>
        <w:tc>
          <w:tcPr>
            <w:tcW w:w="0" w:type="auto"/>
            <w:shd w:val="clear" w:color="auto" w:fill="CCECFF"/>
            <w:hideMark/>
          </w:tcPr>
          <w:p w14:paraId="34D6435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Poland</w:t>
            </w:r>
          </w:p>
        </w:tc>
        <w:tc>
          <w:tcPr>
            <w:tcW w:w="0" w:type="auto"/>
            <w:shd w:val="clear" w:color="auto" w:fill="CCECFF"/>
            <w:vAlign w:val="bottom"/>
            <w:hideMark/>
          </w:tcPr>
          <w:p w14:paraId="1AE1EFB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CECFF"/>
            <w:hideMark/>
          </w:tcPr>
          <w:p w14:paraId="68B71A06" w14:textId="77777777" w:rsidR="002F3D36" w:rsidRPr="002F3D36" w:rsidRDefault="002F3D36" w:rsidP="002F3D36">
            <w:pPr>
              <w:widowControl/>
              <w:jc w:val="left"/>
              <w:rPr>
                <w:rFonts w:ascii="Times New Roman" w:eastAsia="微软雅黑" w:hAnsi="Times New Roman" w:cs="Times New Roman"/>
                <w:kern w:val="0"/>
                <w:sz w:val="20"/>
                <w:szCs w:val="20"/>
              </w:rPr>
            </w:pPr>
            <w:r w:rsidRPr="002F3D36">
              <w:rPr>
                <w:rFonts w:ascii="Arial" w:eastAsia="微软雅黑" w:hAnsi="Arial" w:cs="Arial"/>
                <w:kern w:val="0"/>
                <w:sz w:val="20"/>
                <w:szCs w:val="20"/>
              </w:rPr>
              <w:t> </w:t>
            </w:r>
          </w:p>
        </w:tc>
        <w:tc>
          <w:tcPr>
            <w:tcW w:w="0" w:type="auto"/>
            <w:shd w:val="clear" w:color="auto" w:fill="CCECFF"/>
            <w:vAlign w:val="bottom"/>
            <w:hideMark/>
          </w:tcPr>
          <w:p w14:paraId="536E3564" w14:textId="77777777" w:rsidR="002F3D36" w:rsidRPr="002F3D36" w:rsidRDefault="002F3D36" w:rsidP="002F3D36">
            <w:pPr>
              <w:widowControl/>
              <w:jc w:val="left"/>
              <w:rPr>
                <w:rFonts w:ascii="Times New Roman" w:eastAsia="微软雅黑" w:hAnsi="Times New Roman" w:cs="Times New Roman"/>
                <w:kern w:val="0"/>
                <w:sz w:val="20"/>
                <w:szCs w:val="20"/>
              </w:rPr>
            </w:pPr>
            <w:r w:rsidRPr="002F3D36">
              <w:rPr>
                <w:rFonts w:ascii="Arial" w:eastAsia="微软雅黑" w:hAnsi="Arial" w:cs="Arial"/>
                <w:kern w:val="0"/>
                <w:sz w:val="20"/>
                <w:szCs w:val="20"/>
              </w:rPr>
              <w:t> </w:t>
            </w:r>
          </w:p>
        </w:tc>
        <w:tc>
          <w:tcPr>
            <w:tcW w:w="0" w:type="auto"/>
            <w:shd w:val="clear" w:color="auto" w:fill="CCECFF"/>
            <w:hideMark/>
          </w:tcPr>
          <w:p w14:paraId="460315AB" w14:textId="77777777" w:rsidR="002F3D36" w:rsidRPr="002F3D36" w:rsidRDefault="002F3D36" w:rsidP="002F3D36">
            <w:pPr>
              <w:widowControl/>
              <w:jc w:val="left"/>
              <w:rPr>
                <w:rFonts w:ascii="Times New Roman" w:eastAsia="微软雅黑" w:hAnsi="Times New Roman" w:cs="Times New Roman"/>
                <w:kern w:val="0"/>
                <w:sz w:val="20"/>
                <w:szCs w:val="20"/>
              </w:rPr>
            </w:pPr>
            <w:r w:rsidRPr="002F3D36">
              <w:rPr>
                <w:rFonts w:ascii="Arial" w:eastAsia="微软雅黑" w:hAnsi="Arial" w:cs="Arial"/>
                <w:kern w:val="0"/>
                <w:sz w:val="20"/>
                <w:szCs w:val="20"/>
              </w:rPr>
              <w:t> </w:t>
            </w:r>
          </w:p>
        </w:tc>
        <w:tc>
          <w:tcPr>
            <w:tcW w:w="0" w:type="auto"/>
            <w:shd w:val="clear" w:color="auto" w:fill="CCECFF"/>
            <w:vAlign w:val="bottom"/>
            <w:hideMark/>
          </w:tcPr>
          <w:p w14:paraId="7F6320E0" w14:textId="77777777" w:rsidR="002F3D36" w:rsidRPr="002F3D36" w:rsidRDefault="002F3D36" w:rsidP="002F3D36">
            <w:pPr>
              <w:widowControl/>
              <w:jc w:val="left"/>
              <w:rPr>
                <w:rFonts w:ascii="Times New Roman" w:eastAsia="微软雅黑" w:hAnsi="Times New Roman" w:cs="Times New Roman"/>
                <w:kern w:val="0"/>
                <w:sz w:val="20"/>
                <w:szCs w:val="20"/>
              </w:rPr>
            </w:pPr>
            <w:r w:rsidRPr="002F3D36">
              <w:rPr>
                <w:rFonts w:ascii="Arial" w:eastAsia="微软雅黑" w:hAnsi="Arial" w:cs="Arial"/>
                <w:kern w:val="0"/>
                <w:sz w:val="20"/>
                <w:szCs w:val="20"/>
              </w:rPr>
              <w:t> </w:t>
            </w:r>
          </w:p>
        </w:tc>
        <w:tc>
          <w:tcPr>
            <w:tcW w:w="0" w:type="auto"/>
            <w:shd w:val="clear" w:color="auto" w:fill="CCECFF"/>
            <w:hideMark/>
          </w:tcPr>
          <w:p w14:paraId="18F136D3" w14:textId="77777777" w:rsidR="002F3D36" w:rsidRPr="002F3D36" w:rsidRDefault="002F3D36" w:rsidP="002F3D36">
            <w:pPr>
              <w:widowControl/>
              <w:jc w:val="center"/>
              <w:rPr>
                <w:rFonts w:ascii="Times New Roman" w:eastAsia="微软雅黑" w:hAnsi="Times New Roman" w:cs="Times New Roman"/>
                <w:kern w:val="0"/>
                <w:sz w:val="20"/>
                <w:szCs w:val="20"/>
              </w:rPr>
            </w:pPr>
            <w:r w:rsidRPr="002F3D36">
              <w:rPr>
                <w:rFonts w:ascii="Arial" w:eastAsia="微软雅黑" w:hAnsi="Arial" w:cs="Arial"/>
                <w:kern w:val="0"/>
                <w:sz w:val="20"/>
                <w:szCs w:val="20"/>
              </w:rPr>
              <w:t> </w:t>
            </w:r>
          </w:p>
        </w:tc>
      </w:tr>
      <w:tr w:rsidR="002F3D36" w:rsidRPr="002F3D36" w14:paraId="3C263905" w14:textId="77777777" w:rsidTr="002F3D36">
        <w:trPr>
          <w:trHeight w:val="180"/>
          <w:tblCellSpacing w:w="15" w:type="dxa"/>
        </w:trPr>
        <w:tc>
          <w:tcPr>
            <w:tcW w:w="0" w:type="auto"/>
            <w:hideMark/>
          </w:tcPr>
          <w:p w14:paraId="057E924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Autoliv Poland Sp. zo.o.</w:t>
            </w:r>
          </w:p>
        </w:tc>
        <w:tc>
          <w:tcPr>
            <w:tcW w:w="0" w:type="auto"/>
            <w:vAlign w:val="bottom"/>
            <w:hideMark/>
          </w:tcPr>
          <w:p w14:paraId="63BF2B9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37F7888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Olawa</w:t>
            </w:r>
          </w:p>
        </w:tc>
        <w:tc>
          <w:tcPr>
            <w:tcW w:w="0" w:type="auto"/>
            <w:vAlign w:val="bottom"/>
            <w:hideMark/>
          </w:tcPr>
          <w:p w14:paraId="2E3EADD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359FED6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Airbag cushions</w:t>
            </w:r>
          </w:p>
        </w:tc>
        <w:tc>
          <w:tcPr>
            <w:tcW w:w="0" w:type="auto"/>
            <w:vAlign w:val="bottom"/>
            <w:hideMark/>
          </w:tcPr>
          <w:p w14:paraId="5363F35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3C7A5546" w14:textId="77777777" w:rsidR="002F3D36" w:rsidRPr="002F3D36" w:rsidRDefault="002F3D36" w:rsidP="002F3D36">
            <w:pPr>
              <w:widowControl/>
              <w:jc w:val="center"/>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Owned</w:t>
            </w:r>
          </w:p>
        </w:tc>
      </w:tr>
      <w:tr w:rsidR="002F3D36" w:rsidRPr="002F3D36" w14:paraId="61E42602" w14:textId="77777777" w:rsidTr="002F3D36">
        <w:trPr>
          <w:trHeight w:val="180"/>
          <w:tblCellSpacing w:w="15" w:type="dxa"/>
        </w:trPr>
        <w:tc>
          <w:tcPr>
            <w:tcW w:w="0" w:type="auto"/>
            <w:hideMark/>
          </w:tcPr>
          <w:p w14:paraId="21663F72" w14:textId="77777777" w:rsidR="002F3D36" w:rsidRPr="002F3D36" w:rsidRDefault="002F3D36" w:rsidP="002F3D36">
            <w:pPr>
              <w:widowControl/>
              <w:jc w:val="left"/>
              <w:rPr>
                <w:rFonts w:ascii="Times New Roman" w:eastAsia="微软雅黑" w:hAnsi="Times New Roman" w:cs="Times New Roman"/>
                <w:kern w:val="0"/>
                <w:sz w:val="20"/>
                <w:szCs w:val="20"/>
              </w:rPr>
            </w:pPr>
            <w:r w:rsidRPr="002F3D36">
              <w:rPr>
                <w:rFonts w:ascii="Arial" w:eastAsia="微软雅黑" w:hAnsi="Arial" w:cs="Arial"/>
                <w:kern w:val="0"/>
                <w:sz w:val="20"/>
                <w:szCs w:val="20"/>
              </w:rPr>
              <w:t> </w:t>
            </w:r>
          </w:p>
        </w:tc>
        <w:tc>
          <w:tcPr>
            <w:tcW w:w="0" w:type="auto"/>
            <w:vAlign w:val="bottom"/>
            <w:hideMark/>
          </w:tcPr>
          <w:p w14:paraId="6A9CCEF4" w14:textId="77777777" w:rsidR="002F3D36" w:rsidRPr="002F3D36" w:rsidRDefault="002F3D36" w:rsidP="002F3D36">
            <w:pPr>
              <w:widowControl/>
              <w:jc w:val="left"/>
              <w:rPr>
                <w:rFonts w:ascii="Times New Roman" w:eastAsia="微软雅黑" w:hAnsi="Times New Roman" w:cs="Times New Roman"/>
                <w:kern w:val="0"/>
                <w:sz w:val="20"/>
                <w:szCs w:val="20"/>
              </w:rPr>
            </w:pPr>
            <w:r w:rsidRPr="002F3D36">
              <w:rPr>
                <w:rFonts w:ascii="Arial" w:eastAsia="微软雅黑" w:hAnsi="Arial" w:cs="Arial"/>
                <w:kern w:val="0"/>
                <w:sz w:val="20"/>
                <w:szCs w:val="20"/>
              </w:rPr>
              <w:t> </w:t>
            </w:r>
          </w:p>
        </w:tc>
        <w:tc>
          <w:tcPr>
            <w:tcW w:w="0" w:type="auto"/>
            <w:hideMark/>
          </w:tcPr>
          <w:p w14:paraId="1CBC5EF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Jelcz-Laskowice</w:t>
            </w:r>
          </w:p>
        </w:tc>
        <w:tc>
          <w:tcPr>
            <w:tcW w:w="0" w:type="auto"/>
            <w:vAlign w:val="bottom"/>
            <w:hideMark/>
          </w:tcPr>
          <w:p w14:paraId="01946BB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35F555F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Airbags and seatbelts</w:t>
            </w:r>
          </w:p>
        </w:tc>
        <w:tc>
          <w:tcPr>
            <w:tcW w:w="0" w:type="auto"/>
            <w:vAlign w:val="bottom"/>
            <w:hideMark/>
          </w:tcPr>
          <w:p w14:paraId="1FEF188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328CE2C3" w14:textId="77777777" w:rsidR="002F3D36" w:rsidRPr="002F3D36" w:rsidRDefault="002F3D36" w:rsidP="002F3D36">
            <w:pPr>
              <w:widowControl/>
              <w:jc w:val="center"/>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Owned</w:t>
            </w:r>
          </w:p>
        </w:tc>
      </w:tr>
      <w:tr w:rsidR="002F3D36" w:rsidRPr="002F3D36" w14:paraId="266FC9D9" w14:textId="77777777" w:rsidTr="002F3D36">
        <w:trPr>
          <w:tblCellSpacing w:w="15" w:type="dxa"/>
        </w:trPr>
        <w:tc>
          <w:tcPr>
            <w:tcW w:w="0" w:type="auto"/>
            <w:hideMark/>
          </w:tcPr>
          <w:p w14:paraId="08930C66"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vAlign w:val="bottom"/>
            <w:hideMark/>
          </w:tcPr>
          <w:p w14:paraId="0C4F473A"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586C28F4"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vAlign w:val="bottom"/>
            <w:hideMark/>
          </w:tcPr>
          <w:p w14:paraId="486BEAE9"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6F1FD76A"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vAlign w:val="bottom"/>
            <w:hideMark/>
          </w:tcPr>
          <w:p w14:paraId="3397F77E"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67FE6B85" w14:textId="77777777" w:rsidR="002F3D36" w:rsidRPr="002F3D36" w:rsidRDefault="002F3D36" w:rsidP="002F3D36">
            <w:pPr>
              <w:widowControl/>
              <w:jc w:val="center"/>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r>
      <w:tr w:rsidR="002F3D36" w:rsidRPr="002F3D36" w14:paraId="5AD0E174" w14:textId="77777777" w:rsidTr="002F3D36">
        <w:trPr>
          <w:trHeight w:val="180"/>
          <w:tblCellSpacing w:w="15" w:type="dxa"/>
        </w:trPr>
        <w:tc>
          <w:tcPr>
            <w:tcW w:w="0" w:type="auto"/>
            <w:shd w:val="clear" w:color="auto" w:fill="CCECFF"/>
            <w:hideMark/>
          </w:tcPr>
          <w:p w14:paraId="299F5F5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Romania</w:t>
            </w:r>
          </w:p>
        </w:tc>
        <w:tc>
          <w:tcPr>
            <w:tcW w:w="0" w:type="auto"/>
            <w:shd w:val="clear" w:color="auto" w:fill="CCECFF"/>
            <w:vAlign w:val="bottom"/>
            <w:hideMark/>
          </w:tcPr>
          <w:p w14:paraId="6218D6A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CECFF"/>
            <w:vAlign w:val="bottom"/>
            <w:hideMark/>
          </w:tcPr>
          <w:p w14:paraId="6DEFCD4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CECFF"/>
            <w:vAlign w:val="bottom"/>
            <w:hideMark/>
          </w:tcPr>
          <w:p w14:paraId="23A2623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CECFF"/>
            <w:vAlign w:val="bottom"/>
            <w:hideMark/>
          </w:tcPr>
          <w:p w14:paraId="279E16D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CECFF"/>
            <w:vAlign w:val="bottom"/>
            <w:hideMark/>
          </w:tcPr>
          <w:p w14:paraId="76E0226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CECFF"/>
            <w:vAlign w:val="bottom"/>
            <w:hideMark/>
          </w:tcPr>
          <w:p w14:paraId="0F94CED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53534E97" w14:textId="77777777" w:rsidTr="002F3D36">
        <w:trPr>
          <w:trHeight w:val="180"/>
          <w:tblCellSpacing w:w="15" w:type="dxa"/>
        </w:trPr>
        <w:tc>
          <w:tcPr>
            <w:tcW w:w="0" w:type="auto"/>
            <w:hideMark/>
          </w:tcPr>
          <w:p w14:paraId="1A6611E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Autoliv Romania S.R.L.</w:t>
            </w:r>
          </w:p>
        </w:tc>
        <w:tc>
          <w:tcPr>
            <w:tcW w:w="0" w:type="auto"/>
            <w:vAlign w:val="bottom"/>
            <w:hideMark/>
          </w:tcPr>
          <w:p w14:paraId="58CABBC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7493168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Brasov</w:t>
            </w:r>
          </w:p>
        </w:tc>
        <w:tc>
          <w:tcPr>
            <w:tcW w:w="0" w:type="auto"/>
            <w:vAlign w:val="bottom"/>
            <w:hideMark/>
          </w:tcPr>
          <w:p w14:paraId="49D4840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78D9B69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Seatbelts, seatbelt webbing, airbag inflators and seatbelt components</w:t>
            </w:r>
          </w:p>
        </w:tc>
        <w:tc>
          <w:tcPr>
            <w:tcW w:w="0" w:type="auto"/>
            <w:vAlign w:val="bottom"/>
            <w:hideMark/>
          </w:tcPr>
          <w:p w14:paraId="533DB11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00BFA616" w14:textId="77777777" w:rsidR="002F3D36" w:rsidRPr="002F3D36" w:rsidRDefault="002F3D36" w:rsidP="002F3D36">
            <w:pPr>
              <w:widowControl/>
              <w:jc w:val="center"/>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Owned</w:t>
            </w:r>
          </w:p>
        </w:tc>
      </w:tr>
      <w:tr w:rsidR="002F3D36" w:rsidRPr="002F3D36" w14:paraId="125C0B7F" w14:textId="77777777" w:rsidTr="002F3D36">
        <w:trPr>
          <w:trHeight w:val="180"/>
          <w:tblCellSpacing w:w="15" w:type="dxa"/>
        </w:trPr>
        <w:tc>
          <w:tcPr>
            <w:tcW w:w="0" w:type="auto"/>
            <w:hideMark/>
          </w:tcPr>
          <w:p w14:paraId="3DFAE45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5D1637E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386BFE3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Lugoj</w:t>
            </w:r>
          </w:p>
        </w:tc>
        <w:tc>
          <w:tcPr>
            <w:tcW w:w="0" w:type="auto"/>
            <w:vAlign w:val="bottom"/>
            <w:hideMark/>
          </w:tcPr>
          <w:p w14:paraId="2203BD7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0488A7B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Airbag cushions</w:t>
            </w:r>
          </w:p>
        </w:tc>
        <w:tc>
          <w:tcPr>
            <w:tcW w:w="0" w:type="auto"/>
            <w:vAlign w:val="bottom"/>
            <w:hideMark/>
          </w:tcPr>
          <w:p w14:paraId="099712B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03B6AEC9" w14:textId="77777777" w:rsidR="002F3D36" w:rsidRPr="002F3D36" w:rsidRDefault="002F3D36" w:rsidP="002F3D36">
            <w:pPr>
              <w:widowControl/>
              <w:jc w:val="center"/>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Owned</w:t>
            </w:r>
          </w:p>
        </w:tc>
      </w:tr>
      <w:tr w:rsidR="002F3D36" w:rsidRPr="002F3D36" w14:paraId="0D286F1E" w14:textId="77777777" w:rsidTr="002F3D36">
        <w:trPr>
          <w:trHeight w:val="180"/>
          <w:tblCellSpacing w:w="15" w:type="dxa"/>
        </w:trPr>
        <w:tc>
          <w:tcPr>
            <w:tcW w:w="0" w:type="auto"/>
            <w:hideMark/>
          </w:tcPr>
          <w:p w14:paraId="7031BCA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3F1E873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1136264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Resita</w:t>
            </w:r>
          </w:p>
        </w:tc>
        <w:tc>
          <w:tcPr>
            <w:tcW w:w="0" w:type="auto"/>
            <w:vAlign w:val="bottom"/>
            <w:hideMark/>
          </w:tcPr>
          <w:p w14:paraId="6566DE0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365FF4B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Airbag cushions</w:t>
            </w:r>
          </w:p>
        </w:tc>
        <w:tc>
          <w:tcPr>
            <w:tcW w:w="0" w:type="auto"/>
            <w:vAlign w:val="bottom"/>
            <w:hideMark/>
          </w:tcPr>
          <w:p w14:paraId="1A3C630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19AFED1F" w14:textId="77777777" w:rsidR="002F3D36" w:rsidRPr="002F3D36" w:rsidRDefault="002F3D36" w:rsidP="002F3D36">
            <w:pPr>
              <w:widowControl/>
              <w:jc w:val="center"/>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Owned</w:t>
            </w:r>
          </w:p>
        </w:tc>
      </w:tr>
      <w:tr w:rsidR="002F3D36" w:rsidRPr="002F3D36" w14:paraId="741430BB" w14:textId="77777777" w:rsidTr="002F3D36">
        <w:trPr>
          <w:trHeight w:val="180"/>
          <w:tblCellSpacing w:w="15" w:type="dxa"/>
        </w:trPr>
        <w:tc>
          <w:tcPr>
            <w:tcW w:w="0" w:type="auto"/>
            <w:hideMark/>
          </w:tcPr>
          <w:p w14:paraId="633B95D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7FF0E91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582B253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Sfantu Georghe</w:t>
            </w:r>
          </w:p>
        </w:tc>
        <w:tc>
          <w:tcPr>
            <w:tcW w:w="0" w:type="auto"/>
            <w:vAlign w:val="bottom"/>
            <w:hideMark/>
          </w:tcPr>
          <w:p w14:paraId="0A3EC32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24D1C72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Steering wheels</w:t>
            </w:r>
          </w:p>
        </w:tc>
        <w:tc>
          <w:tcPr>
            <w:tcW w:w="0" w:type="auto"/>
            <w:vAlign w:val="bottom"/>
            <w:hideMark/>
          </w:tcPr>
          <w:p w14:paraId="1ED0D83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4D0280CE" w14:textId="77777777" w:rsidR="002F3D36" w:rsidRPr="002F3D36" w:rsidRDefault="002F3D36" w:rsidP="002F3D36">
            <w:pPr>
              <w:widowControl/>
              <w:jc w:val="center"/>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Owned</w:t>
            </w:r>
          </w:p>
        </w:tc>
      </w:tr>
      <w:tr w:rsidR="002F3D36" w:rsidRPr="002F3D36" w14:paraId="0F423AA9" w14:textId="77777777" w:rsidTr="002F3D36">
        <w:trPr>
          <w:trHeight w:val="180"/>
          <w:tblCellSpacing w:w="15" w:type="dxa"/>
        </w:trPr>
        <w:tc>
          <w:tcPr>
            <w:tcW w:w="0" w:type="auto"/>
            <w:hideMark/>
          </w:tcPr>
          <w:p w14:paraId="459E643A" w14:textId="77777777" w:rsidR="002F3D36" w:rsidRPr="002F3D36" w:rsidRDefault="002F3D36" w:rsidP="002F3D36">
            <w:pPr>
              <w:widowControl/>
              <w:jc w:val="left"/>
              <w:rPr>
                <w:rFonts w:ascii="Times New Roman" w:eastAsia="微软雅黑" w:hAnsi="Times New Roman" w:cs="Times New Roman"/>
                <w:kern w:val="0"/>
                <w:sz w:val="20"/>
                <w:szCs w:val="20"/>
              </w:rPr>
            </w:pPr>
            <w:r w:rsidRPr="002F3D36">
              <w:rPr>
                <w:rFonts w:ascii="Arial" w:eastAsia="微软雅黑" w:hAnsi="Arial" w:cs="Arial"/>
                <w:kern w:val="0"/>
                <w:sz w:val="20"/>
                <w:szCs w:val="20"/>
              </w:rPr>
              <w:t> </w:t>
            </w:r>
          </w:p>
        </w:tc>
        <w:tc>
          <w:tcPr>
            <w:tcW w:w="0" w:type="auto"/>
            <w:vAlign w:val="bottom"/>
            <w:hideMark/>
          </w:tcPr>
          <w:p w14:paraId="6877ED4B" w14:textId="77777777" w:rsidR="002F3D36" w:rsidRPr="002F3D36" w:rsidRDefault="002F3D36" w:rsidP="002F3D36">
            <w:pPr>
              <w:widowControl/>
              <w:jc w:val="left"/>
              <w:rPr>
                <w:rFonts w:ascii="Times New Roman" w:eastAsia="微软雅黑" w:hAnsi="Times New Roman" w:cs="Times New Roman"/>
                <w:kern w:val="0"/>
                <w:sz w:val="20"/>
                <w:szCs w:val="20"/>
              </w:rPr>
            </w:pPr>
            <w:r w:rsidRPr="002F3D36">
              <w:rPr>
                <w:rFonts w:ascii="Arial" w:eastAsia="微软雅黑" w:hAnsi="Arial" w:cs="Arial"/>
                <w:kern w:val="0"/>
                <w:sz w:val="20"/>
                <w:szCs w:val="20"/>
              </w:rPr>
              <w:t> </w:t>
            </w:r>
          </w:p>
        </w:tc>
        <w:tc>
          <w:tcPr>
            <w:tcW w:w="0" w:type="auto"/>
            <w:hideMark/>
          </w:tcPr>
          <w:p w14:paraId="5BD7497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Onesti</w:t>
            </w:r>
          </w:p>
        </w:tc>
        <w:tc>
          <w:tcPr>
            <w:tcW w:w="0" w:type="auto"/>
            <w:vAlign w:val="bottom"/>
            <w:hideMark/>
          </w:tcPr>
          <w:p w14:paraId="6D2B01D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25F1C51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Steering wheels</w:t>
            </w:r>
          </w:p>
        </w:tc>
        <w:tc>
          <w:tcPr>
            <w:tcW w:w="0" w:type="auto"/>
            <w:vAlign w:val="bottom"/>
            <w:hideMark/>
          </w:tcPr>
          <w:p w14:paraId="472290C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14189CC0" w14:textId="77777777" w:rsidR="002F3D36" w:rsidRPr="002F3D36" w:rsidRDefault="002F3D36" w:rsidP="002F3D36">
            <w:pPr>
              <w:widowControl/>
              <w:jc w:val="center"/>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Leased</w:t>
            </w:r>
          </w:p>
        </w:tc>
      </w:tr>
      <w:tr w:rsidR="002F3D36" w:rsidRPr="002F3D36" w14:paraId="4D661B10" w14:textId="77777777" w:rsidTr="002F3D36">
        <w:trPr>
          <w:trHeight w:val="180"/>
          <w:tblCellSpacing w:w="15" w:type="dxa"/>
        </w:trPr>
        <w:tc>
          <w:tcPr>
            <w:tcW w:w="0" w:type="auto"/>
            <w:hideMark/>
          </w:tcPr>
          <w:p w14:paraId="7AD10EC0" w14:textId="77777777" w:rsidR="002F3D36" w:rsidRPr="002F3D36" w:rsidRDefault="002F3D36" w:rsidP="002F3D36">
            <w:pPr>
              <w:widowControl/>
              <w:jc w:val="left"/>
              <w:rPr>
                <w:rFonts w:ascii="Times New Roman" w:eastAsia="微软雅黑" w:hAnsi="Times New Roman" w:cs="Times New Roman"/>
                <w:kern w:val="0"/>
                <w:sz w:val="20"/>
                <w:szCs w:val="20"/>
              </w:rPr>
            </w:pPr>
            <w:r w:rsidRPr="002F3D36">
              <w:rPr>
                <w:rFonts w:ascii="Arial" w:eastAsia="微软雅黑" w:hAnsi="Arial" w:cs="Arial"/>
                <w:kern w:val="0"/>
                <w:sz w:val="20"/>
                <w:szCs w:val="20"/>
              </w:rPr>
              <w:t> </w:t>
            </w:r>
          </w:p>
        </w:tc>
        <w:tc>
          <w:tcPr>
            <w:tcW w:w="0" w:type="auto"/>
            <w:vAlign w:val="bottom"/>
            <w:hideMark/>
          </w:tcPr>
          <w:p w14:paraId="412FE625" w14:textId="77777777" w:rsidR="002F3D36" w:rsidRPr="002F3D36" w:rsidRDefault="002F3D36" w:rsidP="002F3D36">
            <w:pPr>
              <w:widowControl/>
              <w:jc w:val="left"/>
              <w:rPr>
                <w:rFonts w:ascii="Times New Roman" w:eastAsia="微软雅黑" w:hAnsi="Times New Roman" w:cs="Times New Roman"/>
                <w:kern w:val="0"/>
                <w:sz w:val="20"/>
                <w:szCs w:val="20"/>
              </w:rPr>
            </w:pPr>
            <w:r w:rsidRPr="002F3D36">
              <w:rPr>
                <w:rFonts w:ascii="Arial" w:eastAsia="微软雅黑" w:hAnsi="Arial" w:cs="Arial"/>
                <w:kern w:val="0"/>
                <w:sz w:val="20"/>
                <w:szCs w:val="20"/>
              </w:rPr>
              <w:t> </w:t>
            </w:r>
          </w:p>
        </w:tc>
        <w:tc>
          <w:tcPr>
            <w:tcW w:w="0" w:type="auto"/>
            <w:hideMark/>
          </w:tcPr>
          <w:p w14:paraId="659CDFC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Rovinari</w:t>
            </w:r>
          </w:p>
        </w:tc>
        <w:tc>
          <w:tcPr>
            <w:tcW w:w="0" w:type="auto"/>
            <w:vAlign w:val="bottom"/>
            <w:hideMark/>
          </w:tcPr>
          <w:p w14:paraId="4E42847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68E02CD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Seatbelts</w:t>
            </w:r>
          </w:p>
        </w:tc>
        <w:tc>
          <w:tcPr>
            <w:tcW w:w="0" w:type="auto"/>
            <w:vAlign w:val="bottom"/>
            <w:hideMark/>
          </w:tcPr>
          <w:p w14:paraId="7B24C74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4CFE288A" w14:textId="77777777" w:rsidR="002F3D36" w:rsidRPr="002F3D36" w:rsidRDefault="002F3D36" w:rsidP="002F3D36">
            <w:pPr>
              <w:widowControl/>
              <w:jc w:val="center"/>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Owned</w:t>
            </w:r>
          </w:p>
        </w:tc>
      </w:tr>
      <w:tr w:rsidR="002F3D36" w:rsidRPr="002F3D36" w14:paraId="02FAC21B" w14:textId="77777777" w:rsidTr="002F3D36">
        <w:trPr>
          <w:tblCellSpacing w:w="15" w:type="dxa"/>
        </w:trPr>
        <w:tc>
          <w:tcPr>
            <w:tcW w:w="0" w:type="auto"/>
            <w:vAlign w:val="bottom"/>
            <w:hideMark/>
          </w:tcPr>
          <w:p w14:paraId="612901FD"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vAlign w:val="bottom"/>
            <w:hideMark/>
          </w:tcPr>
          <w:p w14:paraId="7D3E2431"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vAlign w:val="bottom"/>
            <w:hideMark/>
          </w:tcPr>
          <w:p w14:paraId="53FF7179"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vAlign w:val="bottom"/>
            <w:hideMark/>
          </w:tcPr>
          <w:p w14:paraId="09B10A99"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vAlign w:val="bottom"/>
            <w:hideMark/>
          </w:tcPr>
          <w:p w14:paraId="67F048AD"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vAlign w:val="bottom"/>
            <w:hideMark/>
          </w:tcPr>
          <w:p w14:paraId="0820FE6D"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vAlign w:val="bottom"/>
            <w:hideMark/>
          </w:tcPr>
          <w:p w14:paraId="74CD4C73"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r>
      <w:tr w:rsidR="002F3D36" w:rsidRPr="002F3D36" w14:paraId="1F94014C" w14:textId="77777777" w:rsidTr="002F3D36">
        <w:trPr>
          <w:trHeight w:val="180"/>
          <w:tblCellSpacing w:w="15" w:type="dxa"/>
        </w:trPr>
        <w:tc>
          <w:tcPr>
            <w:tcW w:w="0" w:type="auto"/>
            <w:shd w:val="clear" w:color="auto" w:fill="CCECFF"/>
            <w:hideMark/>
          </w:tcPr>
          <w:p w14:paraId="68F52FB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Russia</w:t>
            </w:r>
          </w:p>
        </w:tc>
        <w:tc>
          <w:tcPr>
            <w:tcW w:w="0" w:type="auto"/>
            <w:shd w:val="clear" w:color="auto" w:fill="CCECFF"/>
            <w:vAlign w:val="bottom"/>
            <w:hideMark/>
          </w:tcPr>
          <w:p w14:paraId="213387C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CECFF"/>
            <w:vAlign w:val="bottom"/>
            <w:hideMark/>
          </w:tcPr>
          <w:p w14:paraId="50EB913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CECFF"/>
            <w:vAlign w:val="bottom"/>
            <w:hideMark/>
          </w:tcPr>
          <w:p w14:paraId="782DC05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CECFF"/>
            <w:vAlign w:val="bottom"/>
            <w:hideMark/>
          </w:tcPr>
          <w:p w14:paraId="0E39BF8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CECFF"/>
            <w:vAlign w:val="bottom"/>
            <w:hideMark/>
          </w:tcPr>
          <w:p w14:paraId="587453F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CECFF"/>
            <w:vAlign w:val="bottom"/>
            <w:hideMark/>
          </w:tcPr>
          <w:p w14:paraId="01C5E2A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663CDC05" w14:textId="77777777" w:rsidTr="002F3D36">
        <w:trPr>
          <w:trHeight w:val="180"/>
          <w:tblCellSpacing w:w="15" w:type="dxa"/>
        </w:trPr>
        <w:tc>
          <w:tcPr>
            <w:tcW w:w="0" w:type="auto"/>
            <w:hideMark/>
          </w:tcPr>
          <w:p w14:paraId="0C028D0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OOO Autoliv</w:t>
            </w:r>
          </w:p>
        </w:tc>
        <w:tc>
          <w:tcPr>
            <w:tcW w:w="0" w:type="auto"/>
            <w:vAlign w:val="bottom"/>
            <w:hideMark/>
          </w:tcPr>
          <w:p w14:paraId="58E98D9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12EA260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Togliatti</w:t>
            </w:r>
          </w:p>
        </w:tc>
        <w:tc>
          <w:tcPr>
            <w:tcW w:w="0" w:type="auto"/>
            <w:vAlign w:val="bottom"/>
            <w:hideMark/>
          </w:tcPr>
          <w:p w14:paraId="3BC1FFF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1C8642C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Airbags, seatbelts and steering wheels</w:t>
            </w:r>
          </w:p>
        </w:tc>
        <w:tc>
          <w:tcPr>
            <w:tcW w:w="0" w:type="auto"/>
            <w:vAlign w:val="bottom"/>
            <w:hideMark/>
          </w:tcPr>
          <w:p w14:paraId="65BCE37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1A706E1C" w14:textId="77777777" w:rsidR="002F3D36" w:rsidRPr="002F3D36" w:rsidRDefault="002F3D36" w:rsidP="002F3D36">
            <w:pPr>
              <w:widowControl/>
              <w:jc w:val="center"/>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Leased</w:t>
            </w:r>
          </w:p>
        </w:tc>
      </w:tr>
      <w:tr w:rsidR="002F3D36" w:rsidRPr="002F3D36" w14:paraId="042B74D1" w14:textId="77777777" w:rsidTr="002F3D36">
        <w:trPr>
          <w:tblCellSpacing w:w="15" w:type="dxa"/>
        </w:trPr>
        <w:tc>
          <w:tcPr>
            <w:tcW w:w="0" w:type="auto"/>
            <w:hideMark/>
          </w:tcPr>
          <w:p w14:paraId="47D1A054"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vAlign w:val="bottom"/>
            <w:hideMark/>
          </w:tcPr>
          <w:p w14:paraId="5000A1AA"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vAlign w:val="bottom"/>
            <w:hideMark/>
          </w:tcPr>
          <w:p w14:paraId="4346C6DB"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vAlign w:val="bottom"/>
            <w:hideMark/>
          </w:tcPr>
          <w:p w14:paraId="0D47A012"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vAlign w:val="bottom"/>
            <w:hideMark/>
          </w:tcPr>
          <w:p w14:paraId="0FD48438"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vAlign w:val="bottom"/>
            <w:hideMark/>
          </w:tcPr>
          <w:p w14:paraId="66E11C3A"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vAlign w:val="bottom"/>
            <w:hideMark/>
          </w:tcPr>
          <w:p w14:paraId="6504CCA3"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r>
      <w:tr w:rsidR="002F3D36" w:rsidRPr="002F3D36" w14:paraId="58CC5E0E" w14:textId="77777777" w:rsidTr="002F3D36">
        <w:trPr>
          <w:trHeight w:val="180"/>
          <w:tblCellSpacing w:w="15" w:type="dxa"/>
        </w:trPr>
        <w:tc>
          <w:tcPr>
            <w:tcW w:w="0" w:type="auto"/>
            <w:shd w:val="clear" w:color="auto" w:fill="CCECFF"/>
            <w:hideMark/>
          </w:tcPr>
          <w:p w14:paraId="122D231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lastRenderedPageBreak/>
              <w:t>South Africa</w:t>
            </w:r>
          </w:p>
        </w:tc>
        <w:tc>
          <w:tcPr>
            <w:tcW w:w="0" w:type="auto"/>
            <w:shd w:val="clear" w:color="auto" w:fill="CCECFF"/>
            <w:vAlign w:val="bottom"/>
            <w:hideMark/>
          </w:tcPr>
          <w:p w14:paraId="68A8B0F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CECFF"/>
            <w:vAlign w:val="bottom"/>
            <w:hideMark/>
          </w:tcPr>
          <w:p w14:paraId="2A995AE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CECFF"/>
            <w:vAlign w:val="bottom"/>
            <w:hideMark/>
          </w:tcPr>
          <w:p w14:paraId="5842319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CECFF"/>
            <w:vAlign w:val="bottom"/>
            <w:hideMark/>
          </w:tcPr>
          <w:p w14:paraId="7E74E1C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CECFF"/>
            <w:vAlign w:val="bottom"/>
            <w:hideMark/>
          </w:tcPr>
          <w:p w14:paraId="6506F93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CECFF"/>
            <w:vAlign w:val="bottom"/>
            <w:hideMark/>
          </w:tcPr>
          <w:p w14:paraId="5793B67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5AACDF8B" w14:textId="77777777" w:rsidTr="002F3D36">
        <w:trPr>
          <w:trHeight w:val="180"/>
          <w:tblCellSpacing w:w="15" w:type="dxa"/>
        </w:trPr>
        <w:tc>
          <w:tcPr>
            <w:tcW w:w="0" w:type="auto"/>
            <w:hideMark/>
          </w:tcPr>
          <w:p w14:paraId="334122F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Autoliv Southern Africa (Pty) Ltd.</w:t>
            </w:r>
          </w:p>
        </w:tc>
        <w:tc>
          <w:tcPr>
            <w:tcW w:w="0" w:type="auto"/>
            <w:vAlign w:val="bottom"/>
            <w:hideMark/>
          </w:tcPr>
          <w:p w14:paraId="64E73C7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1606854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Krügersdorp</w:t>
            </w:r>
          </w:p>
        </w:tc>
        <w:tc>
          <w:tcPr>
            <w:tcW w:w="0" w:type="auto"/>
            <w:vAlign w:val="bottom"/>
            <w:hideMark/>
          </w:tcPr>
          <w:p w14:paraId="1334DB6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6DD1BEA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Seatbelts and airbags</w:t>
            </w:r>
          </w:p>
        </w:tc>
        <w:tc>
          <w:tcPr>
            <w:tcW w:w="0" w:type="auto"/>
            <w:vAlign w:val="bottom"/>
            <w:hideMark/>
          </w:tcPr>
          <w:p w14:paraId="228B19E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4D6C9C16" w14:textId="77777777" w:rsidR="002F3D36" w:rsidRPr="002F3D36" w:rsidRDefault="002F3D36" w:rsidP="002F3D36">
            <w:pPr>
              <w:widowControl/>
              <w:jc w:val="center"/>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Owned</w:t>
            </w:r>
          </w:p>
        </w:tc>
      </w:tr>
      <w:tr w:rsidR="002F3D36" w:rsidRPr="002F3D36" w14:paraId="6E3BB862" w14:textId="77777777" w:rsidTr="002F3D36">
        <w:trPr>
          <w:tblCellSpacing w:w="15" w:type="dxa"/>
        </w:trPr>
        <w:tc>
          <w:tcPr>
            <w:tcW w:w="0" w:type="auto"/>
            <w:hideMark/>
          </w:tcPr>
          <w:p w14:paraId="3508B263"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vAlign w:val="bottom"/>
            <w:hideMark/>
          </w:tcPr>
          <w:p w14:paraId="29B0401B"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vAlign w:val="bottom"/>
            <w:hideMark/>
          </w:tcPr>
          <w:p w14:paraId="699811DD"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vAlign w:val="bottom"/>
            <w:hideMark/>
          </w:tcPr>
          <w:p w14:paraId="09F2451F"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vAlign w:val="bottom"/>
            <w:hideMark/>
          </w:tcPr>
          <w:p w14:paraId="2E527713"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vAlign w:val="bottom"/>
            <w:hideMark/>
          </w:tcPr>
          <w:p w14:paraId="2CAEF250"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vAlign w:val="bottom"/>
            <w:hideMark/>
          </w:tcPr>
          <w:p w14:paraId="4E92BBCE"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r>
      <w:tr w:rsidR="002F3D36" w:rsidRPr="002F3D36" w14:paraId="092F1D4D" w14:textId="77777777" w:rsidTr="002F3D36">
        <w:trPr>
          <w:trHeight w:val="180"/>
          <w:tblCellSpacing w:w="15" w:type="dxa"/>
        </w:trPr>
        <w:tc>
          <w:tcPr>
            <w:tcW w:w="0" w:type="auto"/>
            <w:shd w:val="clear" w:color="auto" w:fill="CCECFF"/>
            <w:hideMark/>
          </w:tcPr>
          <w:p w14:paraId="041D6CA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South Korea</w:t>
            </w:r>
          </w:p>
        </w:tc>
        <w:tc>
          <w:tcPr>
            <w:tcW w:w="0" w:type="auto"/>
            <w:shd w:val="clear" w:color="auto" w:fill="CCECFF"/>
            <w:vAlign w:val="bottom"/>
            <w:hideMark/>
          </w:tcPr>
          <w:p w14:paraId="77DF2A6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CECFF"/>
            <w:hideMark/>
          </w:tcPr>
          <w:p w14:paraId="476A6711" w14:textId="77777777" w:rsidR="002F3D36" w:rsidRPr="002F3D36" w:rsidRDefault="002F3D36" w:rsidP="002F3D36">
            <w:pPr>
              <w:widowControl/>
              <w:jc w:val="left"/>
              <w:rPr>
                <w:rFonts w:ascii="Times New Roman" w:eastAsia="微软雅黑" w:hAnsi="Times New Roman" w:cs="Times New Roman"/>
                <w:kern w:val="0"/>
                <w:sz w:val="20"/>
                <w:szCs w:val="20"/>
              </w:rPr>
            </w:pPr>
            <w:r w:rsidRPr="002F3D36">
              <w:rPr>
                <w:rFonts w:ascii="Arial" w:eastAsia="微软雅黑" w:hAnsi="Arial" w:cs="Arial"/>
                <w:kern w:val="0"/>
                <w:sz w:val="20"/>
                <w:szCs w:val="20"/>
              </w:rPr>
              <w:t> </w:t>
            </w:r>
          </w:p>
        </w:tc>
        <w:tc>
          <w:tcPr>
            <w:tcW w:w="0" w:type="auto"/>
            <w:shd w:val="clear" w:color="auto" w:fill="CCECFF"/>
            <w:vAlign w:val="bottom"/>
            <w:hideMark/>
          </w:tcPr>
          <w:p w14:paraId="5800D31D" w14:textId="77777777" w:rsidR="002F3D36" w:rsidRPr="002F3D36" w:rsidRDefault="002F3D36" w:rsidP="002F3D36">
            <w:pPr>
              <w:widowControl/>
              <w:jc w:val="left"/>
              <w:rPr>
                <w:rFonts w:ascii="Times New Roman" w:eastAsia="微软雅黑" w:hAnsi="Times New Roman" w:cs="Times New Roman"/>
                <w:kern w:val="0"/>
                <w:sz w:val="20"/>
                <w:szCs w:val="20"/>
              </w:rPr>
            </w:pPr>
            <w:r w:rsidRPr="002F3D36">
              <w:rPr>
                <w:rFonts w:ascii="Arial" w:eastAsia="微软雅黑" w:hAnsi="Arial" w:cs="Arial"/>
                <w:kern w:val="0"/>
                <w:sz w:val="20"/>
                <w:szCs w:val="20"/>
              </w:rPr>
              <w:t> </w:t>
            </w:r>
          </w:p>
        </w:tc>
        <w:tc>
          <w:tcPr>
            <w:tcW w:w="0" w:type="auto"/>
            <w:shd w:val="clear" w:color="auto" w:fill="CCECFF"/>
            <w:hideMark/>
          </w:tcPr>
          <w:p w14:paraId="32AFD481"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shd w:val="clear" w:color="auto" w:fill="CCECFF"/>
            <w:vAlign w:val="bottom"/>
            <w:hideMark/>
          </w:tcPr>
          <w:p w14:paraId="1E7831F5"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shd w:val="clear" w:color="auto" w:fill="CCECFF"/>
            <w:hideMark/>
          </w:tcPr>
          <w:p w14:paraId="0421365C" w14:textId="77777777" w:rsidR="002F3D36" w:rsidRPr="002F3D36" w:rsidRDefault="002F3D36" w:rsidP="002F3D36">
            <w:pPr>
              <w:widowControl/>
              <w:jc w:val="center"/>
              <w:rPr>
                <w:rFonts w:ascii="Times New Roman" w:eastAsia="微软雅黑" w:hAnsi="Times New Roman" w:cs="Times New Roman"/>
                <w:kern w:val="0"/>
                <w:sz w:val="20"/>
                <w:szCs w:val="20"/>
              </w:rPr>
            </w:pPr>
            <w:r w:rsidRPr="002F3D36">
              <w:rPr>
                <w:rFonts w:ascii="Arial" w:eastAsia="微软雅黑" w:hAnsi="Arial" w:cs="Arial"/>
                <w:kern w:val="0"/>
                <w:sz w:val="20"/>
                <w:szCs w:val="20"/>
              </w:rPr>
              <w:t> </w:t>
            </w:r>
          </w:p>
        </w:tc>
      </w:tr>
      <w:tr w:rsidR="002F3D36" w:rsidRPr="002F3D36" w14:paraId="7B55BB95" w14:textId="77777777" w:rsidTr="002F3D36">
        <w:trPr>
          <w:trHeight w:val="180"/>
          <w:tblCellSpacing w:w="15" w:type="dxa"/>
        </w:trPr>
        <w:tc>
          <w:tcPr>
            <w:tcW w:w="0" w:type="auto"/>
            <w:hideMark/>
          </w:tcPr>
          <w:p w14:paraId="6F83B71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Autoliv Corporation</w:t>
            </w:r>
          </w:p>
        </w:tc>
        <w:tc>
          <w:tcPr>
            <w:tcW w:w="0" w:type="auto"/>
            <w:vAlign w:val="bottom"/>
            <w:hideMark/>
          </w:tcPr>
          <w:p w14:paraId="2B13B5F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2E3878A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Hwasung</w:t>
            </w:r>
          </w:p>
        </w:tc>
        <w:tc>
          <w:tcPr>
            <w:tcW w:w="0" w:type="auto"/>
            <w:vAlign w:val="bottom"/>
            <w:hideMark/>
          </w:tcPr>
          <w:p w14:paraId="47799A2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1F1B8AD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Airbags</w:t>
            </w:r>
          </w:p>
        </w:tc>
        <w:tc>
          <w:tcPr>
            <w:tcW w:w="0" w:type="auto"/>
            <w:vAlign w:val="bottom"/>
            <w:hideMark/>
          </w:tcPr>
          <w:p w14:paraId="7EA9DDD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55B0D12E" w14:textId="77777777" w:rsidR="002F3D36" w:rsidRPr="002F3D36" w:rsidRDefault="002F3D36" w:rsidP="002F3D36">
            <w:pPr>
              <w:widowControl/>
              <w:jc w:val="center"/>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Owned</w:t>
            </w:r>
          </w:p>
        </w:tc>
      </w:tr>
      <w:tr w:rsidR="002F3D36" w:rsidRPr="002F3D36" w14:paraId="5FA40909" w14:textId="77777777" w:rsidTr="002F3D36">
        <w:trPr>
          <w:trHeight w:val="180"/>
          <w:tblCellSpacing w:w="15" w:type="dxa"/>
        </w:trPr>
        <w:tc>
          <w:tcPr>
            <w:tcW w:w="0" w:type="auto"/>
            <w:hideMark/>
          </w:tcPr>
          <w:p w14:paraId="230A3639"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vAlign w:val="bottom"/>
            <w:hideMark/>
          </w:tcPr>
          <w:p w14:paraId="59CEDC2E"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6FE1C8B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Wonju</w:t>
            </w:r>
          </w:p>
        </w:tc>
        <w:tc>
          <w:tcPr>
            <w:tcW w:w="0" w:type="auto"/>
            <w:vAlign w:val="bottom"/>
            <w:hideMark/>
          </w:tcPr>
          <w:p w14:paraId="43DF20C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61F9409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Seatbelts</w:t>
            </w:r>
          </w:p>
        </w:tc>
        <w:tc>
          <w:tcPr>
            <w:tcW w:w="0" w:type="auto"/>
            <w:vAlign w:val="bottom"/>
            <w:hideMark/>
          </w:tcPr>
          <w:p w14:paraId="322FD9F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70C8BA68" w14:textId="77777777" w:rsidR="002F3D36" w:rsidRPr="002F3D36" w:rsidRDefault="002F3D36" w:rsidP="002F3D36">
            <w:pPr>
              <w:widowControl/>
              <w:jc w:val="center"/>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Owned</w:t>
            </w:r>
          </w:p>
        </w:tc>
      </w:tr>
      <w:tr w:rsidR="002F3D36" w:rsidRPr="002F3D36" w14:paraId="4F82009F" w14:textId="77777777" w:rsidTr="002F3D36">
        <w:trPr>
          <w:tblCellSpacing w:w="15" w:type="dxa"/>
        </w:trPr>
        <w:tc>
          <w:tcPr>
            <w:tcW w:w="0" w:type="auto"/>
            <w:hideMark/>
          </w:tcPr>
          <w:p w14:paraId="32FB95C8"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vAlign w:val="bottom"/>
            <w:hideMark/>
          </w:tcPr>
          <w:p w14:paraId="78ADE8A1"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42C25390"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vAlign w:val="bottom"/>
            <w:hideMark/>
          </w:tcPr>
          <w:p w14:paraId="340C8485"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5F44A78C"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vAlign w:val="bottom"/>
            <w:hideMark/>
          </w:tcPr>
          <w:p w14:paraId="67DC9FC4"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15EA105A" w14:textId="77777777" w:rsidR="002F3D36" w:rsidRPr="002F3D36" w:rsidRDefault="002F3D36" w:rsidP="002F3D36">
            <w:pPr>
              <w:widowControl/>
              <w:jc w:val="center"/>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r>
      <w:tr w:rsidR="002F3D36" w:rsidRPr="002F3D36" w14:paraId="146E42C2" w14:textId="77777777" w:rsidTr="002F3D36">
        <w:trPr>
          <w:trHeight w:val="180"/>
          <w:tblCellSpacing w:w="15" w:type="dxa"/>
        </w:trPr>
        <w:tc>
          <w:tcPr>
            <w:tcW w:w="0" w:type="auto"/>
            <w:shd w:val="clear" w:color="auto" w:fill="CCECFF"/>
            <w:hideMark/>
          </w:tcPr>
          <w:p w14:paraId="495EA8E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Spain</w:t>
            </w:r>
          </w:p>
        </w:tc>
        <w:tc>
          <w:tcPr>
            <w:tcW w:w="0" w:type="auto"/>
            <w:shd w:val="clear" w:color="auto" w:fill="CCECFF"/>
            <w:vAlign w:val="bottom"/>
            <w:hideMark/>
          </w:tcPr>
          <w:p w14:paraId="4F81A6C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CECFF"/>
            <w:hideMark/>
          </w:tcPr>
          <w:p w14:paraId="3BE77DAD"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shd w:val="clear" w:color="auto" w:fill="CCECFF"/>
            <w:vAlign w:val="bottom"/>
            <w:hideMark/>
          </w:tcPr>
          <w:p w14:paraId="3ACD32D6"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shd w:val="clear" w:color="auto" w:fill="CCECFF"/>
            <w:hideMark/>
          </w:tcPr>
          <w:p w14:paraId="6D23FF2D"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shd w:val="clear" w:color="auto" w:fill="CCECFF"/>
            <w:vAlign w:val="bottom"/>
            <w:hideMark/>
          </w:tcPr>
          <w:p w14:paraId="19014D79"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shd w:val="clear" w:color="auto" w:fill="CCECFF"/>
            <w:hideMark/>
          </w:tcPr>
          <w:p w14:paraId="6205D2A1" w14:textId="77777777" w:rsidR="002F3D36" w:rsidRPr="002F3D36" w:rsidRDefault="002F3D36" w:rsidP="002F3D36">
            <w:pPr>
              <w:widowControl/>
              <w:jc w:val="center"/>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r>
      <w:tr w:rsidR="002F3D36" w:rsidRPr="002F3D36" w14:paraId="3E9FC380" w14:textId="77777777" w:rsidTr="002F3D36">
        <w:trPr>
          <w:trHeight w:val="180"/>
          <w:tblCellSpacing w:w="15" w:type="dxa"/>
        </w:trPr>
        <w:tc>
          <w:tcPr>
            <w:tcW w:w="0" w:type="auto"/>
            <w:hideMark/>
          </w:tcPr>
          <w:p w14:paraId="6503BEE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Autoliv BKI S.A.U.</w:t>
            </w:r>
          </w:p>
        </w:tc>
        <w:tc>
          <w:tcPr>
            <w:tcW w:w="0" w:type="auto"/>
            <w:vAlign w:val="bottom"/>
            <w:hideMark/>
          </w:tcPr>
          <w:p w14:paraId="5BBF871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5DAF9CF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Valencia</w:t>
            </w:r>
          </w:p>
        </w:tc>
        <w:tc>
          <w:tcPr>
            <w:tcW w:w="0" w:type="auto"/>
            <w:vAlign w:val="bottom"/>
            <w:hideMark/>
          </w:tcPr>
          <w:p w14:paraId="3526388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165369B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Airbags</w:t>
            </w:r>
          </w:p>
        </w:tc>
        <w:tc>
          <w:tcPr>
            <w:tcW w:w="0" w:type="auto"/>
            <w:vAlign w:val="bottom"/>
            <w:hideMark/>
          </w:tcPr>
          <w:p w14:paraId="190C313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03C884EA" w14:textId="77777777" w:rsidR="002F3D36" w:rsidRPr="002F3D36" w:rsidRDefault="002F3D36" w:rsidP="002F3D36">
            <w:pPr>
              <w:widowControl/>
              <w:jc w:val="center"/>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Owned</w:t>
            </w:r>
          </w:p>
        </w:tc>
      </w:tr>
      <w:tr w:rsidR="002F3D36" w:rsidRPr="002F3D36" w14:paraId="389A5EB1" w14:textId="77777777" w:rsidTr="002F3D36">
        <w:trPr>
          <w:tblCellSpacing w:w="15" w:type="dxa"/>
        </w:trPr>
        <w:tc>
          <w:tcPr>
            <w:tcW w:w="0" w:type="auto"/>
            <w:hideMark/>
          </w:tcPr>
          <w:p w14:paraId="121BCBB6"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vAlign w:val="bottom"/>
            <w:hideMark/>
          </w:tcPr>
          <w:p w14:paraId="4F62C029"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1A72C3D5"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vAlign w:val="bottom"/>
            <w:hideMark/>
          </w:tcPr>
          <w:p w14:paraId="3FCF7B2D"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vAlign w:val="bottom"/>
            <w:hideMark/>
          </w:tcPr>
          <w:p w14:paraId="15B53B0D"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vAlign w:val="bottom"/>
            <w:hideMark/>
          </w:tcPr>
          <w:p w14:paraId="64A7230F"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7AF8DF45" w14:textId="77777777" w:rsidR="002F3D36" w:rsidRPr="002F3D36" w:rsidRDefault="002F3D36" w:rsidP="002F3D36">
            <w:pPr>
              <w:widowControl/>
              <w:jc w:val="center"/>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r>
      <w:tr w:rsidR="002F3D36" w:rsidRPr="002F3D36" w14:paraId="33CD11D0" w14:textId="77777777" w:rsidTr="002F3D36">
        <w:trPr>
          <w:trHeight w:val="180"/>
          <w:tblCellSpacing w:w="15" w:type="dxa"/>
        </w:trPr>
        <w:tc>
          <w:tcPr>
            <w:tcW w:w="0" w:type="auto"/>
            <w:shd w:val="clear" w:color="auto" w:fill="CCECFF"/>
            <w:hideMark/>
          </w:tcPr>
          <w:p w14:paraId="152F734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Sweden</w:t>
            </w:r>
          </w:p>
        </w:tc>
        <w:tc>
          <w:tcPr>
            <w:tcW w:w="0" w:type="auto"/>
            <w:shd w:val="clear" w:color="auto" w:fill="CCECFF"/>
            <w:vAlign w:val="bottom"/>
            <w:hideMark/>
          </w:tcPr>
          <w:p w14:paraId="5865855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CECFF"/>
            <w:hideMark/>
          </w:tcPr>
          <w:p w14:paraId="49B936B1" w14:textId="77777777" w:rsidR="002F3D36" w:rsidRPr="002F3D36" w:rsidRDefault="002F3D36" w:rsidP="002F3D36">
            <w:pPr>
              <w:widowControl/>
              <w:jc w:val="left"/>
              <w:rPr>
                <w:rFonts w:ascii="Times New Roman" w:eastAsia="微软雅黑" w:hAnsi="Times New Roman" w:cs="Times New Roman"/>
                <w:kern w:val="0"/>
                <w:sz w:val="20"/>
                <w:szCs w:val="20"/>
              </w:rPr>
            </w:pPr>
            <w:r w:rsidRPr="002F3D36">
              <w:rPr>
                <w:rFonts w:ascii="Arial" w:eastAsia="微软雅黑" w:hAnsi="Arial" w:cs="Arial"/>
                <w:kern w:val="0"/>
                <w:sz w:val="20"/>
                <w:szCs w:val="20"/>
              </w:rPr>
              <w:t> </w:t>
            </w:r>
          </w:p>
        </w:tc>
        <w:tc>
          <w:tcPr>
            <w:tcW w:w="0" w:type="auto"/>
            <w:shd w:val="clear" w:color="auto" w:fill="CCECFF"/>
            <w:vAlign w:val="bottom"/>
            <w:hideMark/>
          </w:tcPr>
          <w:p w14:paraId="61740734" w14:textId="77777777" w:rsidR="002F3D36" w:rsidRPr="002F3D36" w:rsidRDefault="002F3D36" w:rsidP="002F3D36">
            <w:pPr>
              <w:widowControl/>
              <w:jc w:val="left"/>
              <w:rPr>
                <w:rFonts w:ascii="Times New Roman" w:eastAsia="微软雅黑" w:hAnsi="Times New Roman" w:cs="Times New Roman"/>
                <w:kern w:val="0"/>
                <w:sz w:val="20"/>
                <w:szCs w:val="20"/>
              </w:rPr>
            </w:pPr>
            <w:r w:rsidRPr="002F3D36">
              <w:rPr>
                <w:rFonts w:ascii="Arial" w:eastAsia="微软雅黑" w:hAnsi="Arial" w:cs="Arial"/>
                <w:kern w:val="0"/>
                <w:sz w:val="20"/>
                <w:szCs w:val="20"/>
              </w:rPr>
              <w:t> </w:t>
            </w:r>
          </w:p>
        </w:tc>
        <w:tc>
          <w:tcPr>
            <w:tcW w:w="0" w:type="auto"/>
            <w:shd w:val="clear" w:color="auto" w:fill="CCECFF"/>
            <w:vAlign w:val="bottom"/>
            <w:hideMark/>
          </w:tcPr>
          <w:p w14:paraId="3B454D1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CECFF"/>
            <w:vAlign w:val="bottom"/>
            <w:hideMark/>
          </w:tcPr>
          <w:p w14:paraId="6CABB7E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CECFF"/>
            <w:hideMark/>
          </w:tcPr>
          <w:p w14:paraId="12BB3AD7" w14:textId="77777777" w:rsidR="002F3D36" w:rsidRPr="002F3D36" w:rsidRDefault="002F3D36" w:rsidP="002F3D36">
            <w:pPr>
              <w:widowControl/>
              <w:jc w:val="center"/>
              <w:rPr>
                <w:rFonts w:ascii="Times New Roman" w:eastAsia="微软雅黑" w:hAnsi="Times New Roman" w:cs="Times New Roman"/>
                <w:kern w:val="0"/>
                <w:sz w:val="20"/>
                <w:szCs w:val="20"/>
              </w:rPr>
            </w:pPr>
            <w:r w:rsidRPr="002F3D36">
              <w:rPr>
                <w:rFonts w:ascii="Arial" w:eastAsia="微软雅黑" w:hAnsi="Arial" w:cs="Arial"/>
                <w:kern w:val="0"/>
                <w:sz w:val="20"/>
                <w:szCs w:val="20"/>
              </w:rPr>
              <w:t> </w:t>
            </w:r>
          </w:p>
        </w:tc>
      </w:tr>
      <w:tr w:rsidR="002F3D36" w:rsidRPr="002F3D36" w14:paraId="60FFA4BF" w14:textId="77777777" w:rsidTr="002F3D36">
        <w:trPr>
          <w:trHeight w:val="180"/>
          <w:tblCellSpacing w:w="15" w:type="dxa"/>
        </w:trPr>
        <w:tc>
          <w:tcPr>
            <w:tcW w:w="0" w:type="auto"/>
            <w:hideMark/>
          </w:tcPr>
          <w:p w14:paraId="5D312BE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Autoliv Sverige AB</w:t>
            </w:r>
          </w:p>
        </w:tc>
        <w:tc>
          <w:tcPr>
            <w:tcW w:w="0" w:type="auto"/>
            <w:vAlign w:val="bottom"/>
            <w:hideMark/>
          </w:tcPr>
          <w:p w14:paraId="426D565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77962E4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Vårgårda</w:t>
            </w:r>
          </w:p>
        </w:tc>
        <w:tc>
          <w:tcPr>
            <w:tcW w:w="0" w:type="auto"/>
            <w:vAlign w:val="bottom"/>
            <w:hideMark/>
          </w:tcPr>
          <w:p w14:paraId="57796DF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687CB4C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Airbag inflators</w:t>
            </w:r>
          </w:p>
        </w:tc>
        <w:tc>
          <w:tcPr>
            <w:tcW w:w="0" w:type="auto"/>
            <w:vAlign w:val="bottom"/>
            <w:hideMark/>
          </w:tcPr>
          <w:p w14:paraId="132F656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1C50C0C2" w14:textId="77777777" w:rsidR="002F3D36" w:rsidRPr="002F3D36" w:rsidRDefault="002F3D36" w:rsidP="002F3D36">
            <w:pPr>
              <w:widowControl/>
              <w:jc w:val="center"/>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Owned</w:t>
            </w:r>
          </w:p>
        </w:tc>
      </w:tr>
      <w:tr w:rsidR="002F3D36" w:rsidRPr="002F3D36" w14:paraId="49557231" w14:textId="77777777" w:rsidTr="002F3D36">
        <w:trPr>
          <w:tblCellSpacing w:w="15" w:type="dxa"/>
        </w:trPr>
        <w:tc>
          <w:tcPr>
            <w:tcW w:w="0" w:type="auto"/>
            <w:hideMark/>
          </w:tcPr>
          <w:p w14:paraId="4A601E29"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vAlign w:val="bottom"/>
            <w:hideMark/>
          </w:tcPr>
          <w:p w14:paraId="6471DE83"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vAlign w:val="bottom"/>
            <w:hideMark/>
          </w:tcPr>
          <w:p w14:paraId="7F723CB3"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vAlign w:val="bottom"/>
            <w:hideMark/>
          </w:tcPr>
          <w:p w14:paraId="5C8F9B8F"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0C4F9299"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vAlign w:val="bottom"/>
            <w:hideMark/>
          </w:tcPr>
          <w:p w14:paraId="63B79C4C"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vAlign w:val="bottom"/>
            <w:hideMark/>
          </w:tcPr>
          <w:p w14:paraId="15F3E99A"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r>
      <w:tr w:rsidR="002F3D36" w:rsidRPr="002F3D36" w14:paraId="512158FF" w14:textId="77777777" w:rsidTr="002F3D36">
        <w:trPr>
          <w:trHeight w:val="180"/>
          <w:tblCellSpacing w:w="15" w:type="dxa"/>
        </w:trPr>
        <w:tc>
          <w:tcPr>
            <w:tcW w:w="0" w:type="auto"/>
            <w:shd w:val="clear" w:color="auto" w:fill="CCECFF"/>
            <w:hideMark/>
          </w:tcPr>
          <w:p w14:paraId="6E0A92F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Thailand</w:t>
            </w:r>
          </w:p>
        </w:tc>
        <w:tc>
          <w:tcPr>
            <w:tcW w:w="0" w:type="auto"/>
            <w:shd w:val="clear" w:color="auto" w:fill="CCECFF"/>
            <w:vAlign w:val="bottom"/>
            <w:hideMark/>
          </w:tcPr>
          <w:p w14:paraId="26B4434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CECFF"/>
            <w:hideMark/>
          </w:tcPr>
          <w:p w14:paraId="6C84D978"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shd w:val="clear" w:color="auto" w:fill="CCECFF"/>
            <w:vAlign w:val="bottom"/>
            <w:hideMark/>
          </w:tcPr>
          <w:p w14:paraId="3F97CE06"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shd w:val="clear" w:color="auto" w:fill="CCECFF"/>
            <w:vAlign w:val="bottom"/>
            <w:hideMark/>
          </w:tcPr>
          <w:p w14:paraId="3DC798B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CECFF"/>
            <w:vAlign w:val="bottom"/>
            <w:hideMark/>
          </w:tcPr>
          <w:p w14:paraId="2D3A8AD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CECFF"/>
            <w:hideMark/>
          </w:tcPr>
          <w:p w14:paraId="39ECEBDD" w14:textId="77777777" w:rsidR="002F3D36" w:rsidRPr="002F3D36" w:rsidRDefault="002F3D36" w:rsidP="002F3D36">
            <w:pPr>
              <w:widowControl/>
              <w:jc w:val="center"/>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r>
      <w:tr w:rsidR="002F3D36" w:rsidRPr="002F3D36" w14:paraId="20B80092" w14:textId="77777777" w:rsidTr="002F3D36">
        <w:trPr>
          <w:trHeight w:val="180"/>
          <w:tblCellSpacing w:w="15" w:type="dxa"/>
        </w:trPr>
        <w:tc>
          <w:tcPr>
            <w:tcW w:w="0" w:type="auto"/>
            <w:hideMark/>
          </w:tcPr>
          <w:p w14:paraId="0760151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Autoliv Thailand Ltd.</w:t>
            </w:r>
          </w:p>
        </w:tc>
        <w:tc>
          <w:tcPr>
            <w:tcW w:w="0" w:type="auto"/>
            <w:vAlign w:val="bottom"/>
            <w:hideMark/>
          </w:tcPr>
          <w:p w14:paraId="0C14EC4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19B8C44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Chonburi</w:t>
            </w:r>
          </w:p>
        </w:tc>
        <w:tc>
          <w:tcPr>
            <w:tcW w:w="0" w:type="auto"/>
            <w:vAlign w:val="bottom"/>
            <w:hideMark/>
          </w:tcPr>
          <w:p w14:paraId="604F580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5EF1A64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Seatbelts, Airbags and Steering wheels</w:t>
            </w:r>
          </w:p>
        </w:tc>
        <w:tc>
          <w:tcPr>
            <w:tcW w:w="0" w:type="auto"/>
            <w:vAlign w:val="bottom"/>
            <w:hideMark/>
          </w:tcPr>
          <w:p w14:paraId="77854E3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5017161C" w14:textId="77777777" w:rsidR="002F3D36" w:rsidRPr="002F3D36" w:rsidRDefault="002F3D36" w:rsidP="002F3D36">
            <w:pPr>
              <w:widowControl/>
              <w:jc w:val="center"/>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Owned</w:t>
            </w:r>
          </w:p>
        </w:tc>
      </w:tr>
      <w:tr w:rsidR="002F3D36" w:rsidRPr="002F3D36" w14:paraId="248D7DC9" w14:textId="77777777" w:rsidTr="002F3D36">
        <w:trPr>
          <w:trHeight w:val="180"/>
          <w:tblCellSpacing w:w="15" w:type="dxa"/>
        </w:trPr>
        <w:tc>
          <w:tcPr>
            <w:tcW w:w="0" w:type="auto"/>
            <w:hideMark/>
          </w:tcPr>
          <w:p w14:paraId="4DFAB70E"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vAlign w:val="bottom"/>
            <w:hideMark/>
          </w:tcPr>
          <w:p w14:paraId="264D8202"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06814C1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Chonburi</w:t>
            </w:r>
          </w:p>
        </w:tc>
        <w:tc>
          <w:tcPr>
            <w:tcW w:w="0" w:type="auto"/>
            <w:vAlign w:val="bottom"/>
            <w:hideMark/>
          </w:tcPr>
          <w:p w14:paraId="2951AFA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3DCC7F9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Seatbelt components</w:t>
            </w:r>
          </w:p>
        </w:tc>
        <w:tc>
          <w:tcPr>
            <w:tcW w:w="0" w:type="auto"/>
            <w:vAlign w:val="bottom"/>
            <w:hideMark/>
          </w:tcPr>
          <w:p w14:paraId="6946DF1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5EE8D057" w14:textId="77777777" w:rsidR="002F3D36" w:rsidRPr="002F3D36" w:rsidRDefault="002F3D36" w:rsidP="002F3D36">
            <w:pPr>
              <w:widowControl/>
              <w:jc w:val="center"/>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Leased</w:t>
            </w:r>
          </w:p>
        </w:tc>
      </w:tr>
      <w:tr w:rsidR="002F3D36" w:rsidRPr="002F3D36" w14:paraId="571E6F38" w14:textId="77777777" w:rsidTr="002F3D36">
        <w:trPr>
          <w:tblCellSpacing w:w="15" w:type="dxa"/>
        </w:trPr>
        <w:tc>
          <w:tcPr>
            <w:tcW w:w="0" w:type="auto"/>
            <w:hideMark/>
          </w:tcPr>
          <w:p w14:paraId="631F5C3D"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vAlign w:val="bottom"/>
            <w:hideMark/>
          </w:tcPr>
          <w:p w14:paraId="4522704B"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553AC8CF"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vAlign w:val="bottom"/>
            <w:hideMark/>
          </w:tcPr>
          <w:p w14:paraId="4B3685B0"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05B39EA3"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vAlign w:val="bottom"/>
            <w:hideMark/>
          </w:tcPr>
          <w:p w14:paraId="56D983B1"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719E0B25" w14:textId="77777777" w:rsidR="002F3D36" w:rsidRPr="002F3D36" w:rsidRDefault="002F3D36" w:rsidP="002F3D36">
            <w:pPr>
              <w:widowControl/>
              <w:jc w:val="center"/>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r>
      <w:tr w:rsidR="002F3D36" w:rsidRPr="002F3D36" w14:paraId="21D7511D" w14:textId="77777777" w:rsidTr="002F3D36">
        <w:trPr>
          <w:trHeight w:val="180"/>
          <w:tblCellSpacing w:w="15" w:type="dxa"/>
        </w:trPr>
        <w:tc>
          <w:tcPr>
            <w:tcW w:w="0" w:type="auto"/>
            <w:shd w:val="clear" w:color="auto" w:fill="CCECFF"/>
            <w:hideMark/>
          </w:tcPr>
          <w:p w14:paraId="459D9D0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Tunisia</w:t>
            </w:r>
          </w:p>
        </w:tc>
        <w:tc>
          <w:tcPr>
            <w:tcW w:w="0" w:type="auto"/>
            <w:shd w:val="clear" w:color="auto" w:fill="CCECFF"/>
            <w:vAlign w:val="bottom"/>
            <w:hideMark/>
          </w:tcPr>
          <w:p w14:paraId="4A9DB55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CECFF"/>
            <w:hideMark/>
          </w:tcPr>
          <w:p w14:paraId="1F419881"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shd w:val="clear" w:color="auto" w:fill="CCECFF"/>
            <w:vAlign w:val="bottom"/>
            <w:hideMark/>
          </w:tcPr>
          <w:p w14:paraId="3284498E"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shd w:val="clear" w:color="auto" w:fill="CCECFF"/>
            <w:vAlign w:val="bottom"/>
            <w:hideMark/>
          </w:tcPr>
          <w:p w14:paraId="1806AB5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CECFF"/>
            <w:vAlign w:val="bottom"/>
            <w:hideMark/>
          </w:tcPr>
          <w:p w14:paraId="52E92CB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CECFF"/>
            <w:hideMark/>
          </w:tcPr>
          <w:p w14:paraId="5665FE3D" w14:textId="77777777" w:rsidR="002F3D36" w:rsidRPr="002F3D36" w:rsidRDefault="002F3D36" w:rsidP="002F3D36">
            <w:pPr>
              <w:widowControl/>
              <w:jc w:val="center"/>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r>
      <w:tr w:rsidR="002F3D36" w:rsidRPr="002F3D36" w14:paraId="2D40865C" w14:textId="77777777" w:rsidTr="002F3D36">
        <w:trPr>
          <w:trHeight w:val="180"/>
          <w:tblCellSpacing w:w="15" w:type="dxa"/>
        </w:trPr>
        <w:tc>
          <w:tcPr>
            <w:tcW w:w="0" w:type="auto"/>
            <w:hideMark/>
          </w:tcPr>
          <w:p w14:paraId="5C4F8F0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SWT1 SARL</w:t>
            </w:r>
          </w:p>
        </w:tc>
        <w:tc>
          <w:tcPr>
            <w:tcW w:w="0" w:type="auto"/>
            <w:vAlign w:val="bottom"/>
            <w:hideMark/>
          </w:tcPr>
          <w:p w14:paraId="732F53B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79AC631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El Fahs</w:t>
            </w:r>
          </w:p>
        </w:tc>
        <w:tc>
          <w:tcPr>
            <w:tcW w:w="0" w:type="auto"/>
            <w:vAlign w:val="bottom"/>
            <w:hideMark/>
          </w:tcPr>
          <w:p w14:paraId="65620C5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7D80859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Leather wrapping of steering wheels</w:t>
            </w:r>
          </w:p>
        </w:tc>
        <w:tc>
          <w:tcPr>
            <w:tcW w:w="0" w:type="auto"/>
            <w:vAlign w:val="bottom"/>
            <w:hideMark/>
          </w:tcPr>
          <w:p w14:paraId="4691510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4FDEB131" w14:textId="77777777" w:rsidR="002F3D36" w:rsidRPr="002F3D36" w:rsidRDefault="002F3D36" w:rsidP="002F3D36">
            <w:pPr>
              <w:widowControl/>
              <w:jc w:val="center"/>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Owned &amp; Leased</w:t>
            </w:r>
          </w:p>
        </w:tc>
      </w:tr>
      <w:tr w:rsidR="002F3D36" w:rsidRPr="002F3D36" w14:paraId="33A8A9D3" w14:textId="77777777" w:rsidTr="002F3D36">
        <w:trPr>
          <w:trHeight w:val="180"/>
          <w:tblCellSpacing w:w="15" w:type="dxa"/>
        </w:trPr>
        <w:tc>
          <w:tcPr>
            <w:tcW w:w="0" w:type="auto"/>
            <w:hideMark/>
          </w:tcPr>
          <w:p w14:paraId="1F6F3DE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ASW3 SARL</w:t>
            </w:r>
          </w:p>
        </w:tc>
        <w:tc>
          <w:tcPr>
            <w:tcW w:w="0" w:type="auto"/>
            <w:vAlign w:val="bottom"/>
            <w:hideMark/>
          </w:tcPr>
          <w:p w14:paraId="09A7AA6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004019B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Nadhour</w:t>
            </w:r>
          </w:p>
        </w:tc>
        <w:tc>
          <w:tcPr>
            <w:tcW w:w="0" w:type="auto"/>
            <w:vAlign w:val="bottom"/>
            <w:hideMark/>
          </w:tcPr>
          <w:p w14:paraId="3626559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77AE8E3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PU Molding and Leather wrapping of steering wheels</w:t>
            </w:r>
          </w:p>
        </w:tc>
        <w:tc>
          <w:tcPr>
            <w:tcW w:w="0" w:type="auto"/>
            <w:vAlign w:val="bottom"/>
            <w:hideMark/>
          </w:tcPr>
          <w:p w14:paraId="7E92048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42C5A71C" w14:textId="77777777" w:rsidR="002F3D36" w:rsidRPr="002F3D36" w:rsidRDefault="002F3D36" w:rsidP="002F3D36">
            <w:pPr>
              <w:widowControl/>
              <w:jc w:val="center"/>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Owned</w:t>
            </w:r>
          </w:p>
        </w:tc>
      </w:tr>
      <w:tr w:rsidR="002F3D36" w:rsidRPr="002F3D36" w14:paraId="02C048C5" w14:textId="77777777" w:rsidTr="002F3D36">
        <w:trPr>
          <w:tblCellSpacing w:w="15" w:type="dxa"/>
        </w:trPr>
        <w:tc>
          <w:tcPr>
            <w:tcW w:w="0" w:type="auto"/>
            <w:hideMark/>
          </w:tcPr>
          <w:p w14:paraId="6887D685"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vAlign w:val="bottom"/>
            <w:hideMark/>
          </w:tcPr>
          <w:p w14:paraId="3E3DA879"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5E7502F8"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vAlign w:val="bottom"/>
            <w:hideMark/>
          </w:tcPr>
          <w:p w14:paraId="49FFDC34"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77AF973F"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vAlign w:val="bottom"/>
            <w:hideMark/>
          </w:tcPr>
          <w:p w14:paraId="264A3C5B"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08FA3B44" w14:textId="77777777" w:rsidR="002F3D36" w:rsidRPr="002F3D36" w:rsidRDefault="002F3D36" w:rsidP="002F3D36">
            <w:pPr>
              <w:widowControl/>
              <w:jc w:val="center"/>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r>
      <w:tr w:rsidR="002F3D36" w:rsidRPr="002F3D36" w14:paraId="60EA2E83" w14:textId="77777777" w:rsidTr="002F3D36">
        <w:trPr>
          <w:trHeight w:val="180"/>
          <w:tblCellSpacing w:w="15" w:type="dxa"/>
        </w:trPr>
        <w:tc>
          <w:tcPr>
            <w:tcW w:w="0" w:type="auto"/>
            <w:shd w:val="clear" w:color="auto" w:fill="CCECFF"/>
            <w:hideMark/>
          </w:tcPr>
          <w:p w14:paraId="25B44F5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Turkey</w:t>
            </w:r>
          </w:p>
        </w:tc>
        <w:tc>
          <w:tcPr>
            <w:tcW w:w="0" w:type="auto"/>
            <w:shd w:val="clear" w:color="auto" w:fill="CCECFF"/>
            <w:vAlign w:val="bottom"/>
            <w:hideMark/>
          </w:tcPr>
          <w:p w14:paraId="1155533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CECFF"/>
            <w:vAlign w:val="bottom"/>
            <w:hideMark/>
          </w:tcPr>
          <w:p w14:paraId="1165565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CECFF"/>
            <w:vAlign w:val="bottom"/>
            <w:hideMark/>
          </w:tcPr>
          <w:p w14:paraId="77AD414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CECFF"/>
            <w:hideMark/>
          </w:tcPr>
          <w:p w14:paraId="4CAD6707"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shd w:val="clear" w:color="auto" w:fill="CCECFF"/>
            <w:vAlign w:val="bottom"/>
            <w:hideMark/>
          </w:tcPr>
          <w:p w14:paraId="335660AB"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shd w:val="clear" w:color="auto" w:fill="CCECFF"/>
            <w:vAlign w:val="bottom"/>
            <w:hideMark/>
          </w:tcPr>
          <w:p w14:paraId="13C753E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77659F48" w14:textId="77777777" w:rsidTr="002F3D36">
        <w:trPr>
          <w:trHeight w:val="180"/>
          <w:tblCellSpacing w:w="15" w:type="dxa"/>
        </w:trPr>
        <w:tc>
          <w:tcPr>
            <w:tcW w:w="0" w:type="auto"/>
            <w:hideMark/>
          </w:tcPr>
          <w:p w14:paraId="13074BE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Autoliv Cankor Otomotiv Emniyet Sistemleri Sanayi Ve Ticaret A.S.</w:t>
            </w:r>
          </w:p>
        </w:tc>
        <w:tc>
          <w:tcPr>
            <w:tcW w:w="0" w:type="auto"/>
            <w:vAlign w:val="bottom"/>
            <w:hideMark/>
          </w:tcPr>
          <w:p w14:paraId="19F6CCF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2C2295A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Gebze-Kocaeli</w:t>
            </w:r>
          </w:p>
        </w:tc>
        <w:tc>
          <w:tcPr>
            <w:tcW w:w="0" w:type="auto"/>
            <w:vAlign w:val="bottom"/>
            <w:hideMark/>
          </w:tcPr>
          <w:p w14:paraId="45D3BA5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669FE4C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Seatbelts</w:t>
            </w:r>
          </w:p>
        </w:tc>
        <w:tc>
          <w:tcPr>
            <w:tcW w:w="0" w:type="auto"/>
            <w:vAlign w:val="bottom"/>
            <w:hideMark/>
          </w:tcPr>
          <w:p w14:paraId="1F17C1D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6D733282" w14:textId="77777777" w:rsidR="002F3D36" w:rsidRPr="002F3D36" w:rsidRDefault="002F3D36" w:rsidP="002F3D36">
            <w:pPr>
              <w:widowControl/>
              <w:jc w:val="center"/>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Owned</w:t>
            </w:r>
          </w:p>
        </w:tc>
      </w:tr>
      <w:tr w:rsidR="002F3D36" w:rsidRPr="002F3D36" w14:paraId="1979C077" w14:textId="77777777" w:rsidTr="002F3D36">
        <w:trPr>
          <w:trHeight w:val="180"/>
          <w:tblCellSpacing w:w="15" w:type="dxa"/>
        </w:trPr>
        <w:tc>
          <w:tcPr>
            <w:tcW w:w="0" w:type="auto"/>
            <w:hideMark/>
          </w:tcPr>
          <w:p w14:paraId="109C895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Autoliv Cankor Otomotiv Emniyet Sistemleri Sanayi Ve Ticaret A.S. Gebze-Subesi</w:t>
            </w:r>
          </w:p>
        </w:tc>
        <w:tc>
          <w:tcPr>
            <w:tcW w:w="0" w:type="auto"/>
            <w:vAlign w:val="bottom"/>
            <w:hideMark/>
          </w:tcPr>
          <w:p w14:paraId="604C9B2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75E8FFE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Gebze-Kocaeli</w:t>
            </w:r>
          </w:p>
        </w:tc>
        <w:tc>
          <w:tcPr>
            <w:tcW w:w="0" w:type="auto"/>
            <w:vAlign w:val="bottom"/>
            <w:hideMark/>
          </w:tcPr>
          <w:p w14:paraId="06AD5D5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43E29D2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Airbags, Steering wheels and Seatbelt components</w:t>
            </w:r>
          </w:p>
        </w:tc>
        <w:tc>
          <w:tcPr>
            <w:tcW w:w="0" w:type="auto"/>
            <w:vAlign w:val="bottom"/>
            <w:hideMark/>
          </w:tcPr>
          <w:p w14:paraId="67B3FD7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7F0FBAAF" w14:textId="77777777" w:rsidR="002F3D36" w:rsidRPr="002F3D36" w:rsidRDefault="002F3D36" w:rsidP="002F3D36">
            <w:pPr>
              <w:widowControl/>
              <w:jc w:val="center"/>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Leased</w:t>
            </w:r>
          </w:p>
        </w:tc>
      </w:tr>
      <w:tr w:rsidR="002F3D36" w:rsidRPr="002F3D36" w14:paraId="5AC3CEFE" w14:textId="77777777" w:rsidTr="002F3D36">
        <w:trPr>
          <w:tblCellSpacing w:w="15" w:type="dxa"/>
        </w:trPr>
        <w:tc>
          <w:tcPr>
            <w:tcW w:w="0" w:type="auto"/>
            <w:hideMark/>
          </w:tcPr>
          <w:p w14:paraId="6ED9567E"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vAlign w:val="bottom"/>
            <w:hideMark/>
          </w:tcPr>
          <w:p w14:paraId="22D801A2"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53C36005"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vAlign w:val="bottom"/>
            <w:hideMark/>
          </w:tcPr>
          <w:p w14:paraId="09477430"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15411D26"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vAlign w:val="bottom"/>
            <w:hideMark/>
          </w:tcPr>
          <w:p w14:paraId="7E07E7C2"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1052FD15" w14:textId="77777777" w:rsidR="002F3D36" w:rsidRPr="002F3D36" w:rsidRDefault="002F3D36" w:rsidP="002F3D36">
            <w:pPr>
              <w:widowControl/>
              <w:jc w:val="center"/>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r>
      <w:tr w:rsidR="002F3D36" w:rsidRPr="002F3D36" w14:paraId="0C2D0112" w14:textId="77777777" w:rsidTr="002F3D36">
        <w:trPr>
          <w:trHeight w:val="180"/>
          <w:tblCellSpacing w:w="15" w:type="dxa"/>
        </w:trPr>
        <w:tc>
          <w:tcPr>
            <w:tcW w:w="0" w:type="auto"/>
            <w:shd w:val="clear" w:color="auto" w:fill="CCECFF"/>
            <w:hideMark/>
          </w:tcPr>
          <w:p w14:paraId="24E8C13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United Kingdom</w:t>
            </w:r>
          </w:p>
        </w:tc>
        <w:tc>
          <w:tcPr>
            <w:tcW w:w="0" w:type="auto"/>
            <w:shd w:val="clear" w:color="auto" w:fill="CCECFF"/>
            <w:vAlign w:val="bottom"/>
            <w:hideMark/>
          </w:tcPr>
          <w:p w14:paraId="104A084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CECFF"/>
            <w:hideMark/>
          </w:tcPr>
          <w:p w14:paraId="032C010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CECFF"/>
            <w:vAlign w:val="bottom"/>
            <w:hideMark/>
          </w:tcPr>
          <w:p w14:paraId="4A2F573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CECFF"/>
            <w:hideMark/>
          </w:tcPr>
          <w:p w14:paraId="15316FEA"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shd w:val="clear" w:color="auto" w:fill="CCECFF"/>
            <w:vAlign w:val="bottom"/>
            <w:hideMark/>
          </w:tcPr>
          <w:p w14:paraId="249F1E74"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shd w:val="clear" w:color="auto" w:fill="CCECFF"/>
            <w:hideMark/>
          </w:tcPr>
          <w:p w14:paraId="076015B2" w14:textId="77777777" w:rsidR="002F3D36" w:rsidRPr="002F3D36" w:rsidRDefault="002F3D36" w:rsidP="002F3D36">
            <w:pPr>
              <w:widowControl/>
              <w:jc w:val="center"/>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r>
      <w:tr w:rsidR="002F3D36" w:rsidRPr="002F3D36" w14:paraId="3875F645" w14:textId="77777777" w:rsidTr="002F3D36">
        <w:trPr>
          <w:trHeight w:val="180"/>
          <w:tblCellSpacing w:w="15" w:type="dxa"/>
        </w:trPr>
        <w:tc>
          <w:tcPr>
            <w:tcW w:w="0" w:type="auto"/>
            <w:hideMark/>
          </w:tcPr>
          <w:p w14:paraId="358EB3E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Airbags International Ltd</w:t>
            </w:r>
          </w:p>
        </w:tc>
        <w:tc>
          <w:tcPr>
            <w:tcW w:w="0" w:type="auto"/>
            <w:vAlign w:val="bottom"/>
            <w:hideMark/>
          </w:tcPr>
          <w:p w14:paraId="3E979C4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5952111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Congleton</w:t>
            </w:r>
          </w:p>
        </w:tc>
        <w:tc>
          <w:tcPr>
            <w:tcW w:w="0" w:type="auto"/>
            <w:vAlign w:val="bottom"/>
            <w:hideMark/>
          </w:tcPr>
          <w:p w14:paraId="3C66E1B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51EE306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Airbag cushions</w:t>
            </w:r>
          </w:p>
        </w:tc>
        <w:tc>
          <w:tcPr>
            <w:tcW w:w="0" w:type="auto"/>
            <w:vAlign w:val="bottom"/>
            <w:hideMark/>
          </w:tcPr>
          <w:p w14:paraId="39C4A49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47EBB470" w14:textId="77777777" w:rsidR="002F3D36" w:rsidRPr="002F3D36" w:rsidRDefault="002F3D36" w:rsidP="002F3D36">
            <w:pPr>
              <w:widowControl/>
              <w:jc w:val="center"/>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Owned</w:t>
            </w:r>
          </w:p>
        </w:tc>
      </w:tr>
      <w:tr w:rsidR="002F3D36" w:rsidRPr="002F3D36" w14:paraId="7CF6FD32" w14:textId="77777777" w:rsidTr="002F3D36">
        <w:trPr>
          <w:tblCellSpacing w:w="15" w:type="dxa"/>
        </w:trPr>
        <w:tc>
          <w:tcPr>
            <w:tcW w:w="0" w:type="auto"/>
            <w:hideMark/>
          </w:tcPr>
          <w:p w14:paraId="207576C8"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vAlign w:val="bottom"/>
            <w:hideMark/>
          </w:tcPr>
          <w:p w14:paraId="555A9598"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0F29D83D"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vAlign w:val="bottom"/>
            <w:hideMark/>
          </w:tcPr>
          <w:p w14:paraId="535964D7"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277E6D4A"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vAlign w:val="bottom"/>
            <w:hideMark/>
          </w:tcPr>
          <w:p w14:paraId="383379EA"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29D8CB2B"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r>
      <w:tr w:rsidR="002F3D36" w:rsidRPr="002F3D36" w14:paraId="62A8A5E4" w14:textId="77777777" w:rsidTr="002F3D36">
        <w:trPr>
          <w:trHeight w:val="180"/>
          <w:tblCellSpacing w:w="15" w:type="dxa"/>
        </w:trPr>
        <w:tc>
          <w:tcPr>
            <w:tcW w:w="0" w:type="auto"/>
            <w:shd w:val="clear" w:color="auto" w:fill="CCECFF"/>
            <w:hideMark/>
          </w:tcPr>
          <w:p w14:paraId="2A5C596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USA</w:t>
            </w:r>
          </w:p>
        </w:tc>
        <w:tc>
          <w:tcPr>
            <w:tcW w:w="0" w:type="auto"/>
            <w:shd w:val="clear" w:color="auto" w:fill="CCECFF"/>
            <w:vAlign w:val="bottom"/>
            <w:hideMark/>
          </w:tcPr>
          <w:p w14:paraId="33DFAAF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CECFF"/>
            <w:hideMark/>
          </w:tcPr>
          <w:p w14:paraId="26AE0BE3"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shd w:val="clear" w:color="auto" w:fill="CCECFF"/>
            <w:vAlign w:val="bottom"/>
            <w:hideMark/>
          </w:tcPr>
          <w:p w14:paraId="7E0AD49C"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shd w:val="clear" w:color="auto" w:fill="CCECFF"/>
            <w:hideMark/>
          </w:tcPr>
          <w:p w14:paraId="008B5A04"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shd w:val="clear" w:color="auto" w:fill="CCECFF"/>
            <w:vAlign w:val="bottom"/>
            <w:hideMark/>
          </w:tcPr>
          <w:p w14:paraId="7D08E9F2"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shd w:val="clear" w:color="auto" w:fill="CCECFF"/>
            <w:hideMark/>
          </w:tcPr>
          <w:p w14:paraId="5A03E658"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r>
      <w:tr w:rsidR="002F3D36" w:rsidRPr="002F3D36" w14:paraId="3EBEEA82" w14:textId="77777777" w:rsidTr="002F3D36">
        <w:trPr>
          <w:trHeight w:val="180"/>
          <w:tblCellSpacing w:w="15" w:type="dxa"/>
        </w:trPr>
        <w:tc>
          <w:tcPr>
            <w:tcW w:w="0" w:type="auto"/>
            <w:hideMark/>
          </w:tcPr>
          <w:p w14:paraId="7AF1198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Autoliv ASP, Inc.</w:t>
            </w:r>
          </w:p>
        </w:tc>
        <w:tc>
          <w:tcPr>
            <w:tcW w:w="0" w:type="auto"/>
            <w:vAlign w:val="bottom"/>
            <w:hideMark/>
          </w:tcPr>
          <w:p w14:paraId="0E6E54D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39B9D0D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Brigham City</w:t>
            </w:r>
          </w:p>
        </w:tc>
        <w:tc>
          <w:tcPr>
            <w:tcW w:w="0" w:type="auto"/>
            <w:vAlign w:val="bottom"/>
            <w:hideMark/>
          </w:tcPr>
          <w:p w14:paraId="288D90F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59FE0FF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Airbag inflators</w:t>
            </w:r>
          </w:p>
        </w:tc>
        <w:tc>
          <w:tcPr>
            <w:tcW w:w="0" w:type="auto"/>
            <w:vAlign w:val="bottom"/>
            <w:hideMark/>
          </w:tcPr>
          <w:p w14:paraId="02B678B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2D41574D" w14:textId="77777777" w:rsidR="002F3D36" w:rsidRPr="002F3D36" w:rsidRDefault="002F3D36" w:rsidP="002F3D36">
            <w:pPr>
              <w:widowControl/>
              <w:jc w:val="center"/>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Owned</w:t>
            </w:r>
          </w:p>
        </w:tc>
      </w:tr>
      <w:tr w:rsidR="002F3D36" w:rsidRPr="002F3D36" w14:paraId="0AEDA16C" w14:textId="77777777" w:rsidTr="002F3D36">
        <w:trPr>
          <w:trHeight w:val="180"/>
          <w:tblCellSpacing w:w="15" w:type="dxa"/>
        </w:trPr>
        <w:tc>
          <w:tcPr>
            <w:tcW w:w="0" w:type="auto"/>
            <w:hideMark/>
          </w:tcPr>
          <w:p w14:paraId="3D375D4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10028E1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4D12CB2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Ogden</w:t>
            </w:r>
          </w:p>
        </w:tc>
        <w:tc>
          <w:tcPr>
            <w:tcW w:w="0" w:type="auto"/>
            <w:vAlign w:val="bottom"/>
            <w:hideMark/>
          </w:tcPr>
          <w:p w14:paraId="650837C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07500E3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Airbags</w:t>
            </w:r>
          </w:p>
        </w:tc>
        <w:tc>
          <w:tcPr>
            <w:tcW w:w="0" w:type="auto"/>
            <w:vAlign w:val="bottom"/>
            <w:hideMark/>
          </w:tcPr>
          <w:p w14:paraId="253DBCF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4C87A5BA" w14:textId="77777777" w:rsidR="002F3D36" w:rsidRPr="002F3D36" w:rsidRDefault="002F3D36" w:rsidP="002F3D36">
            <w:pPr>
              <w:widowControl/>
              <w:jc w:val="center"/>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Owned</w:t>
            </w:r>
          </w:p>
        </w:tc>
      </w:tr>
      <w:tr w:rsidR="002F3D36" w:rsidRPr="002F3D36" w14:paraId="5F40D0B8" w14:textId="77777777" w:rsidTr="002F3D36">
        <w:trPr>
          <w:trHeight w:val="180"/>
          <w:tblCellSpacing w:w="15" w:type="dxa"/>
        </w:trPr>
        <w:tc>
          <w:tcPr>
            <w:tcW w:w="0" w:type="auto"/>
            <w:hideMark/>
          </w:tcPr>
          <w:p w14:paraId="59565F5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61943B6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0EB8FF5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Ogden</w:t>
            </w:r>
          </w:p>
        </w:tc>
        <w:tc>
          <w:tcPr>
            <w:tcW w:w="0" w:type="auto"/>
            <w:vAlign w:val="bottom"/>
            <w:hideMark/>
          </w:tcPr>
          <w:p w14:paraId="6A27B92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10F6777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Airbags and service parts</w:t>
            </w:r>
          </w:p>
        </w:tc>
        <w:tc>
          <w:tcPr>
            <w:tcW w:w="0" w:type="auto"/>
            <w:vAlign w:val="bottom"/>
            <w:hideMark/>
          </w:tcPr>
          <w:p w14:paraId="5A50E9F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6D2C803F" w14:textId="77777777" w:rsidR="002F3D36" w:rsidRPr="002F3D36" w:rsidRDefault="002F3D36" w:rsidP="002F3D36">
            <w:pPr>
              <w:widowControl/>
              <w:jc w:val="center"/>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Leased</w:t>
            </w:r>
          </w:p>
        </w:tc>
      </w:tr>
      <w:tr w:rsidR="002F3D36" w:rsidRPr="002F3D36" w14:paraId="6998B026" w14:textId="77777777" w:rsidTr="002F3D36">
        <w:trPr>
          <w:trHeight w:val="180"/>
          <w:tblCellSpacing w:w="15" w:type="dxa"/>
        </w:trPr>
        <w:tc>
          <w:tcPr>
            <w:tcW w:w="0" w:type="auto"/>
            <w:hideMark/>
          </w:tcPr>
          <w:p w14:paraId="549408F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4E29020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163FFB5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Promontory</w:t>
            </w:r>
          </w:p>
        </w:tc>
        <w:tc>
          <w:tcPr>
            <w:tcW w:w="0" w:type="auto"/>
            <w:vAlign w:val="bottom"/>
            <w:hideMark/>
          </w:tcPr>
          <w:p w14:paraId="2F9A444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4C39FB1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Propellant</w:t>
            </w:r>
          </w:p>
        </w:tc>
        <w:tc>
          <w:tcPr>
            <w:tcW w:w="0" w:type="auto"/>
            <w:vAlign w:val="bottom"/>
            <w:hideMark/>
          </w:tcPr>
          <w:p w14:paraId="676243A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3FCAFEAB" w14:textId="77777777" w:rsidR="002F3D36" w:rsidRPr="002F3D36" w:rsidRDefault="002F3D36" w:rsidP="002F3D36">
            <w:pPr>
              <w:widowControl/>
              <w:jc w:val="center"/>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Owned</w:t>
            </w:r>
          </w:p>
        </w:tc>
      </w:tr>
      <w:tr w:rsidR="002F3D36" w:rsidRPr="002F3D36" w14:paraId="2B07A6CC" w14:textId="77777777" w:rsidTr="002F3D36">
        <w:trPr>
          <w:trHeight w:val="180"/>
          <w:tblCellSpacing w:w="15" w:type="dxa"/>
        </w:trPr>
        <w:tc>
          <w:tcPr>
            <w:tcW w:w="0" w:type="auto"/>
            <w:hideMark/>
          </w:tcPr>
          <w:p w14:paraId="21AA8D5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26FC9C1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43FD109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Tremonton</w:t>
            </w:r>
          </w:p>
        </w:tc>
        <w:tc>
          <w:tcPr>
            <w:tcW w:w="0" w:type="auto"/>
            <w:vAlign w:val="bottom"/>
            <w:hideMark/>
          </w:tcPr>
          <w:p w14:paraId="5E737DA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0FA92E7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Airbag initiators and seatbelt micro gas generators</w:t>
            </w:r>
          </w:p>
        </w:tc>
        <w:tc>
          <w:tcPr>
            <w:tcW w:w="0" w:type="auto"/>
            <w:vAlign w:val="bottom"/>
            <w:hideMark/>
          </w:tcPr>
          <w:p w14:paraId="686946A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29C94FD0" w14:textId="77777777" w:rsidR="002F3D36" w:rsidRPr="002F3D36" w:rsidRDefault="002F3D36" w:rsidP="002F3D36">
            <w:pPr>
              <w:widowControl/>
              <w:jc w:val="center"/>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Owned</w:t>
            </w:r>
          </w:p>
        </w:tc>
      </w:tr>
    </w:tbl>
    <w:p w14:paraId="5F96977B" w14:textId="77777777" w:rsidR="002F3D36" w:rsidRPr="002F3D36" w:rsidRDefault="002F3D36" w:rsidP="002F3D36">
      <w:pPr>
        <w:widowControl/>
        <w:jc w:val="left"/>
        <w:rPr>
          <w:rFonts w:ascii="Times New Roman" w:eastAsia="宋体" w:hAnsi="Times New Roman" w:cs="Times New Roman"/>
          <w:color w:val="000000"/>
          <w:kern w:val="0"/>
          <w:sz w:val="20"/>
          <w:szCs w:val="20"/>
        </w:rPr>
      </w:pPr>
      <w:r w:rsidRPr="002F3D36">
        <w:rPr>
          <w:rFonts w:ascii="Times New Roman" w:eastAsia="宋体" w:hAnsi="Times New Roman" w:cs="Times New Roman"/>
          <w:color w:val="000000"/>
          <w:kern w:val="0"/>
          <w:sz w:val="20"/>
          <w:szCs w:val="20"/>
        </w:rPr>
        <w:t> </w:t>
      </w:r>
    </w:p>
    <w:p w14:paraId="2F3E2C71" w14:textId="77777777" w:rsidR="002F3D36" w:rsidRPr="002F3D36" w:rsidRDefault="002F3D36" w:rsidP="002F3D36">
      <w:pPr>
        <w:widowControl/>
        <w:spacing w:before="240"/>
        <w:jc w:val="center"/>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26</w:t>
      </w:r>
    </w:p>
    <w:p w14:paraId="7F3BADF5" w14:textId="77777777" w:rsidR="002F3D36" w:rsidRPr="002F3D36" w:rsidRDefault="002F3D36" w:rsidP="002F3D36">
      <w:pPr>
        <w:widowControl/>
        <w:jc w:val="left"/>
        <w:rPr>
          <w:rFonts w:ascii="宋体" w:eastAsia="宋体" w:hAnsi="宋体" w:cs="宋体"/>
          <w:kern w:val="0"/>
          <w:sz w:val="24"/>
          <w:szCs w:val="24"/>
        </w:rPr>
      </w:pPr>
      <w:r w:rsidRPr="002F3D36">
        <w:rPr>
          <w:rFonts w:ascii="宋体" w:eastAsia="宋体" w:hAnsi="宋体" w:cs="宋体"/>
          <w:kern w:val="0"/>
          <w:sz w:val="24"/>
          <w:szCs w:val="24"/>
        </w:rPr>
        <w:pict w14:anchorId="53DBC6BE">
          <v:rect id="_x0000_i1051" style="width:0;height:1.5pt" o:hralign="center" o:hrstd="t" o:hrnoshade="t" o:hr="t" fillcolor="black" stroked="f"/>
        </w:pict>
      </w:r>
    </w:p>
    <w:p w14:paraId="2F8D9813" w14:textId="77777777" w:rsidR="002F3D36" w:rsidRPr="002F3D36" w:rsidRDefault="002F3D36" w:rsidP="002F3D36">
      <w:pPr>
        <w:widowControl/>
        <w:spacing w:line="20" w:lineRule="atLeast"/>
        <w:jc w:val="left"/>
        <w:rPr>
          <w:rFonts w:ascii="Times New Roman" w:eastAsia="宋体" w:hAnsi="Times New Roman" w:cs="Times New Roman"/>
          <w:color w:val="000000"/>
          <w:kern w:val="0"/>
          <w:sz w:val="20"/>
          <w:szCs w:val="20"/>
        </w:rPr>
      </w:pPr>
      <w:r w:rsidRPr="002F3D36">
        <w:rPr>
          <w:rFonts w:ascii="Arial" w:eastAsia="宋体" w:hAnsi="Arial" w:cs="Arial"/>
          <w:color w:val="000000"/>
          <w:kern w:val="0"/>
          <w:sz w:val="2"/>
          <w:szCs w:val="2"/>
        </w:rPr>
        <w:lastRenderedPageBreak/>
        <w:t> </w:t>
      </w:r>
    </w:p>
    <w:p w14:paraId="660FE558" w14:textId="77777777" w:rsidR="002F3D36" w:rsidRPr="002F3D36" w:rsidRDefault="002F3D36" w:rsidP="002F3D36">
      <w:pPr>
        <w:widowControl/>
        <w:jc w:val="left"/>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w:t>
      </w:r>
    </w:p>
    <w:tbl>
      <w:tblPr>
        <w:tblW w:w="20614" w:type="dxa"/>
        <w:tblCellSpacing w:w="15" w:type="dxa"/>
        <w:tblCellMar>
          <w:top w:w="15" w:type="dxa"/>
          <w:left w:w="15" w:type="dxa"/>
          <w:bottom w:w="15" w:type="dxa"/>
          <w:right w:w="15" w:type="dxa"/>
        </w:tblCellMar>
        <w:tblLook w:val="04A0" w:firstRow="1" w:lastRow="0" w:firstColumn="1" w:lastColumn="0" w:noHBand="0" w:noVBand="1"/>
      </w:tblPr>
      <w:tblGrid>
        <w:gridCol w:w="6778"/>
        <w:gridCol w:w="325"/>
        <w:gridCol w:w="3093"/>
        <w:gridCol w:w="326"/>
        <w:gridCol w:w="10092"/>
      </w:tblGrid>
      <w:tr w:rsidR="002F3D36" w:rsidRPr="002F3D36" w14:paraId="50FB49AE" w14:textId="77777777" w:rsidTr="002F3D36">
        <w:trPr>
          <w:tblCellSpacing w:w="15" w:type="dxa"/>
        </w:trPr>
        <w:tc>
          <w:tcPr>
            <w:tcW w:w="8654" w:type="dxa"/>
            <w:vAlign w:val="center"/>
            <w:hideMark/>
          </w:tcPr>
          <w:p w14:paraId="0ADE5603" w14:textId="77777777" w:rsidR="002F3D36" w:rsidRPr="002F3D36" w:rsidRDefault="002F3D36" w:rsidP="002F3D36">
            <w:pPr>
              <w:widowControl/>
              <w:jc w:val="left"/>
              <w:rPr>
                <w:rFonts w:ascii="Times New Roman" w:eastAsia="宋体" w:hAnsi="Times New Roman" w:cs="Times New Roman"/>
                <w:color w:val="000000"/>
                <w:kern w:val="0"/>
                <w:sz w:val="20"/>
                <w:szCs w:val="20"/>
              </w:rPr>
            </w:pPr>
          </w:p>
        </w:tc>
        <w:tc>
          <w:tcPr>
            <w:tcW w:w="372" w:type="dxa"/>
            <w:vAlign w:val="center"/>
            <w:hideMark/>
          </w:tcPr>
          <w:p w14:paraId="0E9659EE"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3863" w:type="dxa"/>
            <w:vAlign w:val="center"/>
            <w:hideMark/>
          </w:tcPr>
          <w:p w14:paraId="3904B2B6"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372" w:type="dxa"/>
            <w:vAlign w:val="center"/>
            <w:hideMark/>
          </w:tcPr>
          <w:p w14:paraId="0448D340"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7203" w:type="dxa"/>
            <w:vAlign w:val="center"/>
            <w:hideMark/>
          </w:tcPr>
          <w:p w14:paraId="78DCFDA3" w14:textId="77777777" w:rsidR="002F3D36" w:rsidRPr="002F3D36" w:rsidRDefault="002F3D36" w:rsidP="002F3D36">
            <w:pPr>
              <w:widowControl/>
              <w:jc w:val="left"/>
              <w:rPr>
                <w:rFonts w:ascii="Times New Roman" w:eastAsia="Times New Roman" w:hAnsi="Times New Roman" w:cs="Times New Roman"/>
                <w:kern w:val="0"/>
                <w:sz w:val="20"/>
                <w:szCs w:val="20"/>
              </w:rPr>
            </w:pPr>
          </w:p>
        </w:tc>
      </w:tr>
      <w:tr w:rsidR="002F3D36" w:rsidRPr="002F3D36" w14:paraId="500DF458" w14:textId="77777777" w:rsidTr="002F3D36">
        <w:trPr>
          <w:trHeight w:val="180"/>
          <w:tblCellSpacing w:w="15" w:type="dxa"/>
        </w:trPr>
        <w:tc>
          <w:tcPr>
            <w:tcW w:w="0" w:type="auto"/>
            <w:gridSpan w:val="5"/>
            <w:vAlign w:val="bottom"/>
            <w:hideMark/>
          </w:tcPr>
          <w:p w14:paraId="53466E9A" w14:textId="77777777" w:rsidR="002F3D36" w:rsidRPr="002F3D36" w:rsidRDefault="002F3D36" w:rsidP="002F3D36">
            <w:pPr>
              <w:widowControl/>
              <w:jc w:val="center"/>
              <w:rPr>
                <w:rFonts w:ascii="Times New Roman" w:eastAsia="微软雅黑" w:hAnsi="Times New Roman" w:cs="Times New Roman"/>
                <w:kern w:val="0"/>
                <w:sz w:val="18"/>
                <w:szCs w:val="18"/>
              </w:rPr>
            </w:pPr>
            <w:r w:rsidRPr="002F3D36">
              <w:rPr>
                <w:rFonts w:ascii="Arial" w:eastAsia="微软雅黑" w:hAnsi="Arial" w:cs="Arial"/>
                <w:b/>
                <w:bCs/>
                <w:i/>
                <w:iCs/>
                <w:color w:val="000000"/>
                <w:kern w:val="0"/>
                <w:sz w:val="18"/>
                <w:szCs w:val="18"/>
              </w:rPr>
              <w:t>AUTOLIV TECHNICAL CENTERS AND CRASH TEST TRACKS</w:t>
            </w:r>
          </w:p>
        </w:tc>
      </w:tr>
      <w:tr w:rsidR="002F3D36" w:rsidRPr="002F3D36" w14:paraId="0A987904" w14:textId="77777777" w:rsidTr="002F3D36">
        <w:trPr>
          <w:tblCellSpacing w:w="15" w:type="dxa"/>
        </w:trPr>
        <w:tc>
          <w:tcPr>
            <w:tcW w:w="0" w:type="auto"/>
            <w:vAlign w:val="bottom"/>
            <w:hideMark/>
          </w:tcPr>
          <w:p w14:paraId="4263AB1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04A8348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43F3F35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00CB115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0965346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71047DEB" w14:textId="77777777" w:rsidTr="002F3D36">
        <w:trPr>
          <w:trHeight w:val="160"/>
          <w:tblCellSpacing w:w="15" w:type="dxa"/>
        </w:trPr>
        <w:tc>
          <w:tcPr>
            <w:tcW w:w="0" w:type="auto"/>
            <w:tcBorders>
              <w:bottom w:val="single" w:sz="4" w:space="0" w:color="000000"/>
            </w:tcBorders>
            <w:vAlign w:val="bottom"/>
            <w:hideMark/>
          </w:tcPr>
          <w:p w14:paraId="16673768" w14:textId="77777777" w:rsidR="002F3D36" w:rsidRPr="002F3D36" w:rsidRDefault="002F3D36" w:rsidP="002F3D36">
            <w:pPr>
              <w:widowControl/>
              <w:jc w:val="left"/>
              <w:rPr>
                <w:rFonts w:ascii="Times New Roman" w:eastAsia="微软雅黑" w:hAnsi="Times New Roman" w:cs="Times New Roman"/>
                <w:kern w:val="0"/>
                <w:sz w:val="16"/>
                <w:szCs w:val="16"/>
              </w:rPr>
            </w:pPr>
            <w:r w:rsidRPr="002F3D36">
              <w:rPr>
                <w:rFonts w:ascii="Arial" w:eastAsia="微软雅黑" w:hAnsi="Arial" w:cs="Arial"/>
                <w:b/>
                <w:bCs/>
                <w:color w:val="000000"/>
                <w:kern w:val="0"/>
                <w:sz w:val="16"/>
                <w:szCs w:val="16"/>
              </w:rPr>
              <w:t>Country/Company</w:t>
            </w:r>
          </w:p>
        </w:tc>
        <w:tc>
          <w:tcPr>
            <w:tcW w:w="0" w:type="auto"/>
            <w:vAlign w:val="bottom"/>
            <w:hideMark/>
          </w:tcPr>
          <w:p w14:paraId="10C53B4E" w14:textId="77777777" w:rsidR="002F3D36" w:rsidRPr="002F3D36" w:rsidRDefault="002F3D36" w:rsidP="002F3D36">
            <w:pPr>
              <w:widowControl/>
              <w:jc w:val="left"/>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tcBorders>
              <w:bottom w:val="single" w:sz="4" w:space="0" w:color="000000"/>
            </w:tcBorders>
            <w:vAlign w:val="bottom"/>
            <w:hideMark/>
          </w:tcPr>
          <w:p w14:paraId="7980E91A" w14:textId="77777777" w:rsidR="002F3D36" w:rsidRPr="002F3D36" w:rsidRDefault="002F3D36" w:rsidP="002F3D36">
            <w:pPr>
              <w:widowControl/>
              <w:jc w:val="left"/>
              <w:rPr>
                <w:rFonts w:ascii="Times New Roman" w:eastAsia="微软雅黑" w:hAnsi="Times New Roman" w:cs="Times New Roman"/>
                <w:kern w:val="0"/>
                <w:sz w:val="16"/>
                <w:szCs w:val="16"/>
              </w:rPr>
            </w:pPr>
            <w:r w:rsidRPr="002F3D36">
              <w:rPr>
                <w:rFonts w:ascii="Arial" w:eastAsia="微软雅黑" w:hAnsi="Arial" w:cs="Arial"/>
                <w:b/>
                <w:bCs/>
                <w:color w:val="000000"/>
                <w:kern w:val="0"/>
                <w:sz w:val="16"/>
                <w:szCs w:val="16"/>
              </w:rPr>
              <w:t>Location</w:t>
            </w:r>
          </w:p>
        </w:tc>
        <w:tc>
          <w:tcPr>
            <w:tcW w:w="0" w:type="auto"/>
            <w:vAlign w:val="bottom"/>
            <w:hideMark/>
          </w:tcPr>
          <w:p w14:paraId="617B70C2" w14:textId="77777777" w:rsidR="002F3D36" w:rsidRPr="002F3D36" w:rsidRDefault="002F3D36" w:rsidP="002F3D36">
            <w:pPr>
              <w:widowControl/>
              <w:jc w:val="left"/>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tcBorders>
              <w:bottom w:val="single" w:sz="4" w:space="0" w:color="000000"/>
            </w:tcBorders>
            <w:vAlign w:val="bottom"/>
            <w:hideMark/>
          </w:tcPr>
          <w:p w14:paraId="57A1B0B2" w14:textId="77777777" w:rsidR="002F3D36" w:rsidRPr="002F3D36" w:rsidRDefault="002F3D36" w:rsidP="002F3D36">
            <w:pPr>
              <w:widowControl/>
              <w:jc w:val="left"/>
              <w:rPr>
                <w:rFonts w:ascii="Times New Roman" w:eastAsia="微软雅黑" w:hAnsi="Times New Roman" w:cs="Times New Roman"/>
                <w:kern w:val="0"/>
                <w:sz w:val="16"/>
                <w:szCs w:val="16"/>
              </w:rPr>
            </w:pPr>
            <w:r w:rsidRPr="002F3D36">
              <w:rPr>
                <w:rFonts w:ascii="Arial" w:eastAsia="微软雅黑" w:hAnsi="Arial" w:cs="Arial"/>
                <w:b/>
                <w:bCs/>
                <w:color w:val="000000"/>
                <w:kern w:val="0"/>
                <w:sz w:val="16"/>
                <w:szCs w:val="16"/>
              </w:rPr>
              <w:t>Product(s) supported</w:t>
            </w:r>
          </w:p>
        </w:tc>
      </w:tr>
      <w:tr w:rsidR="002F3D36" w:rsidRPr="002F3D36" w14:paraId="52379181" w14:textId="77777777" w:rsidTr="002F3D36">
        <w:trPr>
          <w:trHeight w:val="180"/>
          <w:tblCellSpacing w:w="15" w:type="dxa"/>
        </w:trPr>
        <w:tc>
          <w:tcPr>
            <w:tcW w:w="0" w:type="auto"/>
            <w:shd w:val="clear" w:color="auto" w:fill="CCECFF"/>
            <w:hideMark/>
          </w:tcPr>
          <w:p w14:paraId="545F97B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China</w:t>
            </w:r>
          </w:p>
        </w:tc>
        <w:tc>
          <w:tcPr>
            <w:tcW w:w="0" w:type="auto"/>
            <w:shd w:val="clear" w:color="auto" w:fill="CCECFF"/>
            <w:vAlign w:val="bottom"/>
            <w:hideMark/>
          </w:tcPr>
          <w:p w14:paraId="724CC86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CECFF"/>
            <w:hideMark/>
          </w:tcPr>
          <w:p w14:paraId="06B13811" w14:textId="77777777" w:rsidR="002F3D36" w:rsidRPr="002F3D36" w:rsidRDefault="002F3D36" w:rsidP="002F3D36">
            <w:pPr>
              <w:widowControl/>
              <w:jc w:val="left"/>
              <w:rPr>
                <w:rFonts w:ascii="Times New Roman" w:eastAsia="微软雅黑" w:hAnsi="Times New Roman" w:cs="Times New Roman"/>
                <w:kern w:val="0"/>
                <w:sz w:val="20"/>
                <w:szCs w:val="20"/>
              </w:rPr>
            </w:pPr>
            <w:r w:rsidRPr="002F3D36">
              <w:rPr>
                <w:rFonts w:ascii="Arial" w:eastAsia="微软雅黑" w:hAnsi="Arial" w:cs="Arial"/>
                <w:kern w:val="0"/>
                <w:sz w:val="20"/>
                <w:szCs w:val="20"/>
              </w:rPr>
              <w:t> </w:t>
            </w:r>
          </w:p>
        </w:tc>
        <w:tc>
          <w:tcPr>
            <w:tcW w:w="0" w:type="auto"/>
            <w:shd w:val="clear" w:color="auto" w:fill="CCECFF"/>
            <w:vAlign w:val="bottom"/>
            <w:hideMark/>
          </w:tcPr>
          <w:p w14:paraId="57C0A86F" w14:textId="77777777" w:rsidR="002F3D36" w:rsidRPr="002F3D36" w:rsidRDefault="002F3D36" w:rsidP="002F3D36">
            <w:pPr>
              <w:widowControl/>
              <w:jc w:val="left"/>
              <w:rPr>
                <w:rFonts w:ascii="Times New Roman" w:eastAsia="微软雅黑" w:hAnsi="Times New Roman" w:cs="Times New Roman"/>
                <w:kern w:val="0"/>
                <w:sz w:val="20"/>
                <w:szCs w:val="20"/>
              </w:rPr>
            </w:pPr>
            <w:r w:rsidRPr="002F3D36">
              <w:rPr>
                <w:rFonts w:ascii="Arial" w:eastAsia="微软雅黑" w:hAnsi="Arial" w:cs="Arial"/>
                <w:kern w:val="0"/>
                <w:sz w:val="20"/>
                <w:szCs w:val="20"/>
              </w:rPr>
              <w:t> </w:t>
            </w:r>
          </w:p>
        </w:tc>
        <w:tc>
          <w:tcPr>
            <w:tcW w:w="0" w:type="auto"/>
            <w:shd w:val="clear" w:color="auto" w:fill="CCECFF"/>
            <w:hideMark/>
          </w:tcPr>
          <w:p w14:paraId="150A9660" w14:textId="77777777" w:rsidR="002F3D36" w:rsidRPr="002F3D36" w:rsidRDefault="002F3D36" w:rsidP="002F3D36">
            <w:pPr>
              <w:widowControl/>
              <w:jc w:val="left"/>
              <w:rPr>
                <w:rFonts w:ascii="Times New Roman" w:eastAsia="微软雅黑" w:hAnsi="Times New Roman" w:cs="Times New Roman"/>
                <w:kern w:val="0"/>
                <w:sz w:val="20"/>
                <w:szCs w:val="20"/>
              </w:rPr>
            </w:pPr>
            <w:r w:rsidRPr="002F3D36">
              <w:rPr>
                <w:rFonts w:ascii="Arial" w:eastAsia="微软雅黑" w:hAnsi="Arial" w:cs="Arial"/>
                <w:kern w:val="0"/>
                <w:sz w:val="20"/>
                <w:szCs w:val="20"/>
              </w:rPr>
              <w:t> </w:t>
            </w:r>
          </w:p>
        </w:tc>
      </w:tr>
      <w:tr w:rsidR="002F3D36" w:rsidRPr="002F3D36" w14:paraId="3E03F2F2" w14:textId="77777777" w:rsidTr="002F3D36">
        <w:trPr>
          <w:trHeight w:val="180"/>
          <w:tblCellSpacing w:w="15" w:type="dxa"/>
        </w:trPr>
        <w:tc>
          <w:tcPr>
            <w:tcW w:w="0" w:type="auto"/>
            <w:hideMark/>
          </w:tcPr>
          <w:p w14:paraId="38D5D74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Autoliv (Shanghai) Vehicle Safety System Technical Center Co., Ltd.</w:t>
            </w:r>
          </w:p>
        </w:tc>
        <w:tc>
          <w:tcPr>
            <w:tcW w:w="0" w:type="auto"/>
            <w:vAlign w:val="bottom"/>
            <w:hideMark/>
          </w:tcPr>
          <w:p w14:paraId="7EB0C1B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5E0389A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Shanghai</w:t>
            </w:r>
          </w:p>
        </w:tc>
        <w:tc>
          <w:tcPr>
            <w:tcW w:w="0" w:type="auto"/>
            <w:vAlign w:val="bottom"/>
            <w:hideMark/>
          </w:tcPr>
          <w:p w14:paraId="48C4AA4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3BC6359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Inflators and pyrotechnics customer applications, airbags, steering wheels and seatbelts customer applications and platform development with full-scale test laboratory</w:t>
            </w:r>
          </w:p>
        </w:tc>
      </w:tr>
      <w:tr w:rsidR="002F3D36" w:rsidRPr="002F3D36" w14:paraId="5954D206" w14:textId="77777777" w:rsidTr="002F3D36">
        <w:trPr>
          <w:tblCellSpacing w:w="15" w:type="dxa"/>
        </w:trPr>
        <w:tc>
          <w:tcPr>
            <w:tcW w:w="0" w:type="auto"/>
            <w:hideMark/>
          </w:tcPr>
          <w:p w14:paraId="388C141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70EC937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3EE1605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673ADBF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5815D9E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02195DD9" w14:textId="77777777" w:rsidTr="002F3D36">
        <w:trPr>
          <w:trHeight w:val="180"/>
          <w:tblCellSpacing w:w="15" w:type="dxa"/>
        </w:trPr>
        <w:tc>
          <w:tcPr>
            <w:tcW w:w="0" w:type="auto"/>
            <w:shd w:val="clear" w:color="auto" w:fill="CCECFF"/>
            <w:hideMark/>
          </w:tcPr>
          <w:p w14:paraId="260A13F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France</w:t>
            </w:r>
          </w:p>
        </w:tc>
        <w:tc>
          <w:tcPr>
            <w:tcW w:w="0" w:type="auto"/>
            <w:shd w:val="clear" w:color="auto" w:fill="CCECFF"/>
            <w:vAlign w:val="bottom"/>
            <w:hideMark/>
          </w:tcPr>
          <w:p w14:paraId="6BAD824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CECFF"/>
            <w:hideMark/>
          </w:tcPr>
          <w:p w14:paraId="7A6C1F41" w14:textId="77777777" w:rsidR="002F3D36" w:rsidRPr="002F3D36" w:rsidRDefault="002F3D36" w:rsidP="002F3D36">
            <w:pPr>
              <w:widowControl/>
              <w:jc w:val="left"/>
              <w:rPr>
                <w:rFonts w:ascii="Times New Roman" w:eastAsia="微软雅黑" w:hAnsi="Times New Roman" w:cs="Times New Roman"/>
                <w:kern w:val="0"/>
                <w:sz w:val="20"/>
                <w:szCs w:val="20"/>
              </w:rPr>
            </w:pPr>
            <w:r w:rsidRPr="002F3D36">
              <w:rPr>
                <w:rFonts w:ascii="Arial" w:eastAsia="微软雅黑" w:hAnsi="Arial" w:cs="Arial"/>
                <w:kern w:val="0"/>
                <w:sz w:val="20"/>
                <w:szCs w:val="20"/>
              </w:rPr>
              <w:t> </w:t>
            </w:r>
          </w:p>
        </w:tc>
        <w:tc>
          <w:tcPr>
            <w:tcW w:w="0" w:type="auto"/>
            <w:shd w:val="clear" w:color="auto" w:fill="CCECFF"/>
            <w:vAlign w:val="bottom"/>
            <w:hideMark/>
          </w:tcPr>
          <w:p w14:paraId="20F800D1" w14:textId="77777777" w:rsidR="002F3D36" w:rsidRPr="002F3D36" w:rsidRDefault="002F3D36" w:rsidP="002F3D36">
            <w:pPr>
              <w:widowControl/>
              <w:jc w:val="left"/>
              <w:rPr>
                <w:rFonts w:ascii="Times New Roman" w:eastAsia="微软雅黑" w:hAnsi="Times New Roman" w:cs="Times New Roman"/>
                <w:kern w:val="0"/>
                <w:sz w:val="20"/>
                <w:szCs w:val="20"/>
              </w:rPr>
            </w:pPr>
            <w:r w:rsidRPr="002F3D36">
              <w:rPr>
                <w:rFonts w:ascii="Arial" w:eastAsia="微软雅黑" w:hAnsi="Arial" w:cs="Arial"/>
                <w:kern w:val="0"/>
                <w:sz w:val="20"/>
                <w:szCs w:val="20"/>
              </w:rPr>
              <w:t> </w:t>
            </w:r>
          </w:p>
        </w:tc>
        <w:tc>
          <w:tcPr>
            <w:tcW w:w="0" w:type="auto"/>
            <w:shd w:val="clear" w:color="auto" w:fill="CCECFF"/>
            <w:hideMark/>
          </w:tcPr>
          <w:p w14:paraId="654423AC" w14:textId="77777777" w:rsidR="002F3D36" w:rsidRPr="002F3D36" w:rsidRDefault="002F3D36" w:rsidP="002F3D36">
            <w:pPr>
              <w:widowControl/>
              <w:jc w:val="left"/>
              <w:rPr>
                <w:rFonts w:ascii="Times New Roman" w:eastAsia="微软雅黑" w:hAnsi="Times New Roman" w:cs="Times New Roman"/>
                <w:kern w:val="0"/>
                <w:sz w:val="20"/>
                <w:szCs w:val="20"/>
              </w:rPr>
            </w:pPr>
            <w:r w:rsidRPr="002F3D36">
              <w:rPr>
                <w:rFonts w:ascii="Arial" w:eastAsia="微软雅黑" w:hAnsi="Arial" w:cs="Arial"/>
                <w:kern w:val="0"/>
                <w:sz w:val="20"/>
                <w:szCs w:val="20"/>
              </w:rPr>
              <w:t> </w:t>
            </w:r>
          </w:p>
        </w:tc>
      </w:tr>
      <w:tr w:rsidR="002F3D36" w:rsidRPr="002F3D36" w14:paraId="1E7D4ED2" w14:textId="77777777" w:rsidTr="002F3D36">
        <w:trPr>
          <w:trHeight w:val="180"/>
          <w:tblCellSpacing w:w="15" w:type="dxa"/>
        </w:trPr>
        <w:tc>
          <w:tcPr>
            <w:tcW w:w="0" w:type="auto"/>
            <w:hideMark/>
          </w:tcPr>
          <w:p w14:paraId="2231F19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Autoliv France SNC</w:t>
            </w:r>
          </w:p>
        </w:tc>
        <w:tc>
          <w:tcPr>
            <w:tcW w:w="0" w:type="auto"/>
            <w:vAlign w:val="bottom"/>
            <w:hideMark/>
          </w:tcPr>
          <w:p w14:paraId="710D608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293D20D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Gournay-en-Bray</w:t>
            </w:r>
          </w:p>
        </w:tc>
        <w:tc>
          <w:tcPr>
            <w:tcW w:w="0" w:type="auto"/>
            <w:vAlign w:val="bottom"/>
            <w:hideMark/>
          </w:tcPr>
          <w:p w14:paraId="2922A80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319439E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Airbags and seatbelts customer applications and platform development with full-scale test laboratory</w:t>
            </w:r>
          </w:p>
        </w:tc>
      </w:tr>
      <w:tr w:rsidR="002F3D36" w:rsidRPr="002F3D36" w14:paraId="6D35BDB0" w14:textId="77777777" w:rsidTr="002F3D36">
        <w:trPr>
          <w:trHeight w:val="180"/>
          <w:tblCellSpacing w:w="15" w:type="dxa"/>
        </w:trPr>
        <w:tc>
          <w:tcPr>
            <w:tcW w:w="0" w:type="auto"/>
            <w:hideMark/>
          </w:tcPr>
          <w:p w14:paraId="48459F3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Livbag SAS</w:t>
            </w:r>
          </w:p>
        </w:tc>
        <w:tc>
          <w:tcPr>
            <w:tcW w:w="0" w:type="auto"/>
            <w:vAlign w:val="bottom"/>
            <w:hideMark/>
          </w:tcPr>
          <w:p w14:paraId="31F9BB0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5489B2C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Pont-de-Buis</w:t>
            </w:r>
          </w:p>
        </w:tc>
        <w:tc>
          <w:tcPr>
            <w:tcW w:w="0" w:type="auto"/>
            <w:vAlign w:val="bottom"/>
            <w:hideMark/>
          </w:tcPr>
          <w:p w14:paraId="419D041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3FB3BBB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Inflator and pyrotechnic development</w:t>
            </w:r>
          </w:p>
        </w:tc>
      </w:tr>
      <w:tr w:rsidR="002F3D36" w:rsidRPr="002F3D36" w14:paraId="31B9A51B" w14:textId="77777777" w:rsidTr="002F3D36">
        <w:trPr>
          <w:trHeight w:val="180"/>
          <w:tblCellSpacing w:w="15" w:type="dxa"/>
        </w:trPr>
        <w:tc>
          <w:tcPr>
            <w:tcW w:w="0" w:type="auto"/>
            <w:hideMark/>
          </w:tcPr>
          <w:p w14:paraId="41BAF11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Autoliv Isodelta SAS</w:t>
            </w:r>
          </w:p>
        </w:tc>
        <w:tc>
          <w:tcPr>
            <w:tcW w:w="0" w:type="auto"/>
            <w:vAlign w:val="bottom"/>
            <w:hideMark/>
          </w:tcPr>
          <w:p w14:paraId="3BBFC56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470546F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Chiré-de-Montreuil</w:t>
            </w:r>
          </w:p>
        </w:tc>
        <w:tc>
          <w:tcPr>
            <w:tcW w:w="0" w:type="auto"/>
            <w:vAlign w:val="bottom"/>
            <w:hideMark/>
          </w:tcPr>
          <w:p w14:paraId="3080CBF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581ED40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Steering wheels development and customer applications</w:t>
            </w:r>
          </w:p>
        </w:tc>
      </w:tr>
      <w:tr w:rsidR="002F3D36" w:rsidRPr="002F3D36" w14:paraId="403A0CB9" w14:textId="77777777" w:rsidTr="002F3D36">
        <w:trPr>
          <w:tblCellSpacing w:w="15" w:type="dxa"/>
        </w:trPr>
        <w:tc>
          <w:tcPr>
            <w:tcW w:w="0" w:type="auto"/>
            <w:hideMark/>
          </w:tcPr>
          <w:p w14:paraId="39FFC0F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239BB55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278918C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5189923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25BC349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6E469E85" w14:textId="77777777" w:rsidTr="002F3D36">
        <w:trPr>
          <w:trHeight w:val="180"/>
          <w:tblCellSpacing w:w="15" w:type="dxa"/>
        </w:trPr>
        <w:tc>
          <w:tcPr>
            <w:tcW w:w="0" w:type="auto"/>
            <w:shd w:val="clear" w:color="auto" w:fill="CCECFF"/>
            <w:hideMark/>
          </w:tcPr>
          <w:p w14:paraId="0E06F1D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Germany</w:t>
            </w:r>
          </w:p>
        </w:tc>
        <w:tc>
          <w:tcPr>
            <w:tcW w:w="0" w:type="auto"/>
            <w:shd w:val="clear" w:color="auto" w:fill="CCECFF"/>
            <w:vAlign w:val="bottom"/>
            <w:hideMark/>
          </w:tcPr>
          <w:p w14:paraId="3B77CC3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CECFF"/>
            <w:hideMark/>
          </w:tcPr>
          <w:p w14:paraId="7DE3673F" w14:textId="77777777" w:rsidR="002F3D36" w:rsidRPr="002F3D36" w:rsidRDefault="002F3D36" w:rsidP="002F3D36">
            <w:pPr>
              <w:widowControl/>
              <w:jc w:val="left"/>
              <w:rPr>
                <w:rFonts w:ascii="Times New Roman" w:eastAsia="微软雅黑" w:hAnsi="Times New Roman" w:cs="Times New Roman"/>
                <w:kern w:val="0"/>
                <w:sz w:val="20"/>
                <w:szCs w:val="20"/>
              </w:rPr>
            </w:pPr>
            <w:r w:rsidRPr="002F3D36">
              <w:rPr>
                <w:rFonts w:ascii="Arial" w:eastAsia="微软雅黑" w:hAnsi="Arial" w:cs="Arial"/>
                <w:kern w:val="0"/>
                <w:sz w:val="20"/>
                <w:szCs w:val="20"/>
              </w:rPr>
              <w:t> </w:t>
            </w:r>
          </w:p>
        </w:tc>
        <w:tc>
          <w:tcPr>
            <w:tcW w:w="0" w:type="auto"/>
            <w:shd w:val="clear" w:color="auto" w:fill="CCECFF"/>
            <w:vAlign w:val="bottom"/>
            <w:hideMark/>
          </w:tcPr>
          <w:p w14:paraId="17FCDE57" w14:textId="77777777" w:rsidR="002F3D36" w:rsidRPr="002F3D36" w:rsidRDefault="002F3D36" w:rsidP="002F3D36">
            <w:pPr>
              <w:widowControl/>
              <w:jc w:val="left"/>
              <w:rPr>
                <w:rFonts w:ascii="Times New Roman" w:eastAsia="微软雅黑" w:hAnsi="Times New Roman" w:cs="Times New Roman"/>
                <w:kern w:val="0"/>
                <w:sz w:val="20"/>
                <w:szCs w:val="20"/>
              </w:rPr>
            </w:pPr>
            <w:r w:rsidRPr="002F3D36">
              <w:rPr>
                <w:rFonts w:ascii="Arial" w:eastAsia="微软雅黑" w:hAnsi="Arial" w:cs="Arial"/>
                <w:kern w:val="0"/>
                <w:sz w:val="20"/>
                <w:szCs w:val="20"/>
              </w:rPr>
              <w:t> </w:t>
            </w:r>
          </w:p>
        </w:tc>
        <w:tc>
          <w:tcPr>
            <w:tcW w:w="0" w:type="auto"/>
            <w:shd w:val="clear" w:color="auto" w:fill="CCECFF"/>
            <w:hideMark/>
          </w:tcPr>
          <w:p w14:paraId="5AEA6C39" w14:textId="77777777" w:rsidR="002F3D36" w:rsidRPr="002F3D36" w:rsidRDefault="002F3D36" w:rsidP="002F3D36">
            <w:pPr>
              <w:widowControl/>
              <w:jc w:val="left"/>
              <w:rPr>
                <w:rFonts w:ascii="Times New Roman" w:eastAsia="微软雅黑" w:hAnsi="Times New Roman" w:cs="Times New Roman"/>
                <w:kern w:val="0"/>
                <w:sz w:val="20"/>
                <w:szCs w:val="20"/>
              </w:rPr>
            </w:pPr>
            <w:r w:rsidRPr="002F3D36">
              <w:rPr>
                <w:rFonts w:ascii="Arial" w:eastAsia="微软雅黑" w:hAnsi="Arial" w:cs="Arial"/>
                <w:kern w:val="0"/>
                <w:sz w:val="20"/>
                <w:szCs w:val="20"/>
              </w:rPr>
              <w:t> </w:t>
            </w:r>
          </w:p>
        </w:tc>
      </w:tr>
      <w:tr w:rsidR="002F3D36" w:rsidRPr="002F3D36" w14:paraId="33E3DCE6" w14:textId="77777777" w:rsidTr="002F3D36">
        <w:trPr>
          <w:trHeight w:val="180"/>
          <w:tblCellSpacing w:w="15" w:type="dxa"/>
        </w:trPr>
        <w:tc>
          <w:tcPr>
            <w:tcW w:w="0" w:type="auto"/>
            <w:hideMark/>
          </w:tcPr>
          <w:p w14:paraId="263C500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Autoliv B.V. &amp; Co. KG</w:t>
            </w:r>
          </w:p>
        </w:tc>
        <w:tc>
          <w:tcPr>
            <w:tcW w:w="0" w:type="auto"/>
            <w:vAlign w:val="bottom"/>
            <w:hideMark/>
          </w:tcPr>
          <w:p w14:paraId="72D6CBD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355628B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Dachau</w:t>
            </w:r>
          </w:p>
        </w:tc>
        <w:tc>
          <w:tcPr>
            <w:tcW w:w="0" w:type="auto"/>
            <w:vAlign w:val="bottom"/>
            <w:hideMark/>
          </w:tcPr>
          <w:p w14:paraId="4565681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5E56681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Customer applications and platform development, airbags with full-scale test laboratory</w:t>
            </w:r>
          </w:p>
        </w:tc>
      </w:tr>
      <w:tr w:rsidR="002F3D36" w:rsidRPr="002F3D36" w14:paraId="11A9AF24" w14:textId="77777777" w:rsidTr="002F3D36">
        <w:trPr>
          <w:trHeight w:val="180"/>
          <w:tblCellSpacing w:w="15" w:type="dxa"/>
        </w:trPr>
        <w:tc>
          <w:tcPr>
            <w:tcW w:w="0" w:type="auto"/>
            <w:hideMark/>
          </w:tcPr>
          <w:p w14:paraId="479E3347"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vAlign w:val="bottom"/>
            <w:hideMark/>
          </w:tcPr>
          <w:p w14:paraId="1B220ED3"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049F7AF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Elmshorn</w:t>
            </w:r>
          </w:p>
        </w:tc>
        <w:tc>
          <w:tcPr>
            <w:tcW w:w="0" w:type="auto"/>
            <w:vAlign w:val="bottom"/>
            <w:hideMark/>
          </w:tcPr>
          <w:p w14:paraId="753C0B3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1B867E5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Seatbelts with full-scale test laboratory</w:t>
            </w:r>
          </w:p>
        </w:tc>
      </w:tr>
      <w:tr w:rsidR="002F3D36" w:rsidRPr="002F3D36" w14:paraId="2974401E" w14:textId="77777777" w:rsidTr="002F3D36">
        <w:trPr>
          <w:tblCellSpacing w:w="15" w:type="dxa"/>
        </w:trPr>
        <w:tc>
          <w:tcPr>
            <w:tcW w:w="0" w:type="auto"/>
            <w:hideMark/>
          </w:tcPr>
          <w:p w14:paraId="35B0C242"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vAlign w:val="bottom"/>
            <w:hideMark/>
          </w:tcPr>
          <w:p w14:paraId="59193112"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367C6A3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5E0472C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6BB5686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63678AE9" w14:textId="77777777" w:rsidTr="002F3D36">
        <w:trPr>
          <w:trHeight w:val="180"/>
          <w:tblCellSpacing w:w="15" w:type="dxa"/>
        </w:trPr>
        <w:tc>
          <w:tcPr>
            <w:tcW w:w="0" w:type="auto"/>
            <w:shd w:val="clear" w:color="auto" w:fill="CCECFF"/>
            <w:hideMark/>
          </w:tcPr>
          <w:p w14:paraId="6BCC97F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India</w:t>
            </w:r>
          </w:p>
        </w:tc>
        <w:tc>
          <w:tcPr>
            <w:tcW w:w="0" w:type="auto"/>
            <w:shd w:val="clear" w:color="auto" w:fill="CCECFF"/>
            <w:vAlign w:val="bottom"/>
            <w:hideMark/>
          </w:tcPr>
          <w:p w14:paraId="22EF9DA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CECFF"/>
            <w:hideMark/>
          </w:tcPr>
          <w:p w14:paraId="5D7EDF5C"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shd w:val="clear" w:color="auto" w:fill="CCECFF"/>
            <w:vAlign w:val="bottom"/>
            <w:hideMark/>
          </w:tcPr>
          <w:p w14:paraId="674BBD43"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shd w:val="clear" w:color="auto" w:fill="CCECFF"/>
            <w:hideMark/>
          </w:tcPr>
          <w:p w14:paraId="5FA8A24F"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r>
      <w:tr w:rsidR="002F3D36" w:rsidRPr="002F3D36" w14:paraId="5A99707E" w14:textId="77777777" w:rsidTr="002F3D36">
        <w:trPr>
          <w:trHeight w:val="180"/>
          <w:tblCellSpacing w:w="15" w:type="dxa"/>
        </w:trPr>
        <w:tc>
          <w:tcPr>
            <w:tcW w:w="0" w:type="auto"/>
            <w:hideMark/>
          </w:tcPr>
          <w:p w14:paraId="1649012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Autoliv India Private Ltd.</w:t>
            </w:r>
          </w:p>
        </w:tc>
        <w:tc>
          <w:tcPr>
            <w:tcW w:w="0" w:type="auto"/>
            <w:vAlign w:val="bottom"/>
            <w:hideMark/>
          </w:tcPr>
          <w:p w14:paraId="09BE46A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63AA514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Bangalore</w:t>
            </w:r>
          </w:p>
        </w:tc>
        <w:tc>
          <w:tcPr>
            <w:tcW w:w="0" w:type="auto"/>
            <w:vAlign w:val="bottom"/>
            <w:hideMark/>
          </w:tcPr>
          <w:p w14:paraId="17FE243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0BBFDD4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Airbags and seatbelts with sled testing</w:t>
            </w:r>
          </w:p>
        </w:tc>
      </w:tr>
      <w:tr w:rsidR="002F3D36" w:rsidRPr="002F3D36" w14:paraId="61136BF6" w14:textId="77777777" w:rsidTr="002F3D36">
        <w:trPr>
          <w:tblCellSpacing w:w="15" w:type="dxa"/>
        </w:trPr>
        <w:tc>
          <w:tcPr>
            <w:tcW w:w="0" w:type="auto"/>
            <w:hideMark/>
          </w:tcPr>
          <w:p w14:paraId="4B7D8157"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vAlign w:val="bottom"/>
            <w:hideMark/>
          </w:tcPr>
          <w:p w14:paraId="28D7D234"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vAlign w:val="bottom"/>
            <w:hideMark/>
          </w:tcPr>
          <w:p w14:paraId="7AA7E86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168CD87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34594E0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0B262FF9" w14:textId="77777777" w:rsidTr="002F3D36">
        <w:trPr>
          <w:trHeight w:val="180"/>
          <w:tblCellSpacing w:w="15" w:type="dxa"/>
        </w:trPr>
        <w:tc>
          <w:tcPr>
            <w:tcW w:w="0" w:type="auto"/>
            <w:shd w:val="clear" w:color="auto" w:fill="CCECFF"/>
            <w:hideMark/>
          </w:tcPr>
          <w:p w14:paraId="41219B2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Japan</w:t>
            </w:r>
          </w:p>
        </w:tc>
        <w:tc>
          <w:tcPr>
            <w:tcW w:w="0" w:type="auto"/>
            <w:shd w:val="clear" w:color="auto" w:fill="CCECFF"/>
            <w:vAlign w:val="bottom"/>
            <w:hideMark/>
          </w:tcPr>
          <w:p w14:paraId="4149F86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CECFF"/>
            <w:hideMark/>
          </w:tcPr>
          <w:p w14:paraId="4DCAEA45"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shd w:val="clear" w:color="auto" w:fill="CCECFF"/>
            <w:vAlign w:val="bottom"/>
            <w:hideMark/>
          </w:tcPr>
          <w:p w14:paraId="7C8A4004"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shd w:val="clear" w:color="auto" w:fill="CCECFF"/>
            <w:hideMark/>
          </w:tcPr>
          <w:p w14:paraId="5EC6C952"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r>
      <w:tr w:rsidR="002F3D36" w:rsidRPr="002F3D36" w14:paraId="25B332E3" w14:textId="77777777" w:rsidTr="002F3D36">
        <w:trPr>
          <w:trHeight w:val="180"/>
          <w:tblCellSpacing w:w="15" w:type="dxa"/>
        </w:trPr>
        <w:tc>
          <w:tcPr>
            <w:tcW w:w="0" w:type="auto"/>
            <w:hideMark/>
          </w:tcPr>
          <w:p w14:paraId="530B2D7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Autoliv Japan Ltd.</w:t>
            </w:r>
          </w:p>
        </w:tc>
        <w:tc>
          <w:tcPr>
            <w:tcW w:w="0" w:type="auto"/>
            <w:vAlign w:val="bottom"/>
            <w:hideMark/>
          </w:tcPr>
          <w:p w14:paraId="6EDCD99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2993829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Tsukuba</w:t>
            </w:r>
          </w:p>
        </w:tc>
        <w:tc>
          <w:tcPr>
            <w:tcW w:w="0" w:type="auto"/>
            <w:vAlign w:val="bottom"/>
            <w:hideMark/>
          </w:tcPr>
          <w:p w14:paraId="1B06B37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6B1F2AA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Airbags and seatbelts customer applications and platform development with sled test laboratory</w:t>
            </w:r>
          </w:p>
        </w:tc>
      </w:tr>
      <w:tr w:rsidR="002F3D36" w:rsidRPr="002F3D36" w14:paraId="772BDBE4" w14:textId="77777777" w:rsidTr="002F3D36">
        <w:trPr>
          <w:tblCellSpacing w:w="15" w:type="dxa"/>
        </w:trPr>
        <w:tc>
          <w:tcPr>
            <w:tcW w:w="0" w:type="auto"/>
            <w:hideMark/>
          </w:tcPr>
          <w:p w14:paraId="66B4048E"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vAlign w:val="bottom"/>
            <w:hideMark/>
          </w:tcPr>
          <w:p w14:paraId="231FB07A"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11C1F99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5990AAF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1DFC67E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31324600" w14:textId="77777777" w:rsidTr="002F3D36">
        <w:trPr>
          <w:trHeight w:val="180"/>
          <w:tblCellSpacing w:w="15" w:type="dxa"/>
        </w:trPr>
        <w:tc>
          <w:tcPr>
            <w:tcW w:w="0" w:type="auto"/>
            <w:shd w:val="clear" w:color="auto" w:fill="CCECFF"/>
            <w:hideMark/>
          </w:tcPr>
          <w:p w14:paraId="689FB02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Poland</w:t>
            </w:r>
          </w:p>
        </w:tc>
        <w:tc>
          <w:tcPr>
            <w:tcW w:w="0" w:type="auto"/>
            <w:shd w:val="clear" w:color="auto" w:fill="CCECFF"/>
            <w:vAlign w:val="bottom"/>
            <w:hideMark/>
          </w:tcPr>
          <w:p w14:paraId="513527B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CECFF"/>
            <w:hideMark/>
          </w:tcPr>
          <w:p w14:paraId="7F41CB74" w14:textId="77777777" w:rsidR="002F3D36" w:rsidRPr="002F3D36" w:rsidRDefault="002F3D36" w:rsidP="002F3D36">
            <w:pPr>
              <w:widowControl/>
              <w:jc w:val="left"/>
              <w:rPr>
                <w:rFonts w:ascii="Times New Roman" w:eastAsia="微软雅黑" w:hAnsi="Times New Roman" w:cs="Times New Roman"/>
                <w:kern w:val="0"/>
                <w:sz w:val="20"/>
                <w:szCs w:val="20"/>
              </w:rPr>
            </w:pPr>
            <w:r w:rsidRPr="002F3D36">
              <w:rPr>
                <w:rFonts w:ascii="Arial" w:eastAsia="微软雅黑" w:hAnsi="Arial" w:cs="Arial"/>
                <w:kern w:val="0"/>
                <w:sz w:val="20"/>
                <w:szCs w:val="20"/>
              </w:rPr>
              <w:t> </w:t>
            </w:r>
          </w:p>
        </w:tc>
        <w:tc>
          <w:tcPr>
            <w:tcW w:w="0" w:type="auto"/>
            <w:shd w:val="clear" w:color="auto" w:fill="CCECFF"/>
            <w:vAlign w:val="bottom"/>
            <w:hideMark/>
          </w:tcPr>
          <w:p w14:paraId="1A272CE2" w14:textId="77777777" w:rsidR="002F3D36" w:rsidRPr="002F3D36" w:rsidRDefault="002F3D36" w:rsidP="002F3D36">
            <w:pPr>
              <w:widowControl/>
              <w:jc w:val="left"/>
              <w:rPr>
                <w:rFonts w:ascii="Times New Roman" w:eastAsia="微软雅黑" w:hAnsi="Times New Roman" w:cs="Times New Roman"/>
                <w:kern w:val="0"/>
                <w:sz w:val="20"/>
                <w:szCs w:val="20"/>
              </w:rPr>
            </w:pPr>
            <w:r w:rsidRPr="002F3D36">
              <w:rPr>
                <w:rFonts w:ascii="Arial" w:eastAsia="微软雅黑" w:hAnsi="Arial" w:cs="Arial"/>
                <w:kern w:val="0"/>
                <w:sz w:val="20"/>
                <w:szCs w:val="20"/>
              </w:rPr>
              <w:t> </w:t>
            </w:r>
          </w:p>
        </w:tc>
        <w:tc>
          <w:tcPr>
            <w:tcW w:w="0" w:type="auto"/>
            <w:shd w:val="clear" w:color="auto" w:fill="CCECFF"/>
            <w:hideMark/>
          </w:tcPr>
          <w:p w14:paraId="6BF1AACC" w14:textId="77777777" w:rsidR="002F3D36" w:rsidRPr="002F3D36" w:rsidRDefault="002F3D36" w:rsidP="002F3D36">
            <w:pPr>
              <w:widowControl/>
              <w:jc w:val="left"/>
              <w:rPr>
                <w:rFonts w:ascii="Times New Roman" w:eastAsia="微软雅黑" w:hAnsi="Times New Roman" w:cs="Times New Roman"/>
                <w:kern w:val="0"/>
                <w:sz w:val="20"/>
                <w:szCs w:val="20"/>
              </w:rPr>
            </w:pPr>
            <w:r w:rsidRPr="002F3D36">
              <w:rPr>
                <w:rFonts w:ascii="Arial" w:eastAsia="微软雅黑" w:hAnsi="Arial" w:cs="Arial"/>
                <w:kern w:val="0"/>
                <w:sz w:val="20"/>
                <w:szCs w:val="20"/>
              </w:rPr>
              <w:t> </w:t>
            </w:r>
          </w:p>
        </w:tc>
      </w:tr>
      <w:tr w:rsidR="002F3D36" w:rsidRPr="002F3D36" w14:paraId="1DEB86F7" w14:textId="77777777" w:rsidTr="002F3D36">
        <w:trPr>
          <w:trHeight w:val="180"/>
          <w:tblCellSpacing w:w="15" w:type="dxa"/>
        </w:trPr>
        <w:tc>
          <w:tcPr>
            <w:tcW w:w="0" w:type="auto"/>
            <w:hideMark/>
          </w:tcPr>
          <w:p w14:paraId="70B44B6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Autoliv Poland Sp. zo.o.</w:t>
            </w:r>
          </w:p>
        </w:tc>
        <w:tc>
          <w:tcPr>
            <w:tcW w:w="0" w:type="auto"/>
            <w:vAlign w:val="bottom"/>
            <w:hideMark/>
          </w:tcPr>
          <w:p w14:paraId="4FBECE9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66078A9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Jelcz</w:t>
            </w:r>
          </w:p>
        </w:tc>
        <w:tc>
          <w:tcPr>
            <w:tcW w:w="0" w:type="auto"/>
            <w:vAlign w:val="bottom"/>
            <w:hideMark/>
          </w:tcPr>
          <w:p w14:paraId="4A5C644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557FABB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Airbags applications and platform development</w:t>
            </w:r>
          </w:p>
        </w:tc>
      </w:tr>
      <w:tr w:rsidR="002F3D36" w:rsidRPr="002F3D36" w14:paraId="3BBFF2C1" w14:textId="77777777" w:rsidTr="002F3D36">
        <w:trPr>
          <w:tblCellSpacing w:w="15" w:type="dxa"/>
        </w:trPr>
        <w:tc>
          <w:tcPr>
            <w:tcW w:w="0" w:type="auto"/>
            <w:hideMark/>
          </w:tcPr>
          <w:p w14:paraId="6FA57264"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vAlign w:val="bottom"/>
            <w:hideMark/>
          </w:tcPr>
          <w:p w14:paraId="39225D2A"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765CF164" w14:textId="77777777" w:rsidR="002F3D36" w:rsidRPr="002F3D36" w:rsidRDefault="002F3D36" w:rsidP="002F3D36">
            <w:pPr>
              <w:widowControl/>
              <w:jc w:val="left"/>
              <w:rPr>
                <w:rFonts w:ascii="Times New Roman" w:eastAsia="微软雅黑" w:hAnsi="Times New Roman" w:cs="Times New Roman"/>
                <w:kern w:val="0"/>
                <w:sz w:val="20"/>
                <w:szCs w:val="20"/>
              </w:rPr>
            </w:pPr>
            <w:r w:rsidRPr="002F3D36">
              <w:rPr>
                <w:rFonts w:ascii="Arial" w:eastAsia="微软雅黑" w:hAnsi="Arial" w:cs="Arial"/>
                <w:kern w:val="0"/>
                <w:sz w:val="20"/>
                <w:szCs w:val="20"/>
              </w:rPr>
              <w:t> </w:t>
            </w:r>
          </w:p>
        </w:tc>
        <w:tc>
          <w:tcPr>
            <w:tcW w:w="0" w:type="auto"/>
            <w:vAlign w:val="bottom"/>
            <w:hideMark/>
          </w:tcPr>
          <w:p w14:paraId="66A58110" w14:textId="77777777" w:rsidR="002F3D36" w:rsidRPr="002F3D36" w:rsidRDefault="002F3D36" w:rsidP="002F3D36">
            <w:pPr>
              <w:widowControl/>
              <w:jc w:val="left"/>
              <w:rPr>
                <w:rFonts w:ascii="Times New Roman" w:eastAsia="微软雅黑" w:hAnsi="Times New Roman" w:cs="Times New Roman"/>
                <w:kern w:val="0"/>
                <w:sz w:val="20"/>
                <w:szCs w:val="20"/>
              </w:rPr>
            </w:pPr>
            <w:r w:rsidRPr="002F3D36">
              <w:rPr>
                <w:rFonts w:ascii="Arial" w:eastAsia="微软雅黑" w:hAnsi="Arial" w:cs="Arial"/>
                <w:kern w:val="0"/>
                <w:sz w:val="20"/>
                <w:szCs w:val="20"/>
              </w:rPr>
              <w:t> </w:t>
            </w:r>
          </w:p>
        </w:tc>
        <w:tc>
          <w:tcPr>
            <w:tcW w:w="0" w:type="auto"/>
            <w:hideMark/>
          </w:tcPr>
          <w:p w14:paraId="765526D7" w14:textId="77777777" w:rsidR="002F3D36" w:rsidRPr="002F3D36" w:rsidRDefault="002F3D36" w:rsidP="002F3D36">
            <w:pPr>
              <w:widowControl/>
              <w:jc w:val="left"/>
              <w:rPr>
                <w:rFonts w:ascii="Times New Roman" w:eastAsia="微软雅黑" w:hAnsi="Times New Roman" w:cs="Times New Roman"/>
                <w:kern w:val="0"/>
                <w:sz w:val="20"/>
                <w:szCs w:val="20"/>
              </w:rPr>
            </w:pPr>
            <w:r w:rsidRPr="002F3D36">
              <w:rPr>
                <w:rFonts w:ascii="Arial" w:eastAsia="微软雅黑" w:hAnsi="Arial" w:cs="Arial"/>
                <w:kern w:val="0"/>
                <w:sz w:val="20"/>
                <w:szCs w:val="20"/>
              </w:rPr>
              <w:t> </w:t>
            </w:r>
          </w:p>
        </w:tc>
      </w:tr>
      <w:tr w:rsidR="002F3D36" w:rsidRPr="002F3D36" w14:paraId="56637375" w14:textId="77777777" w:rsidTr="002F3D36">
        <w:trPr>
          <w:trHeight w:val="180"/>
          <w:tblCellSpacing w:w="15" w:type="dxa"/>
        </w:trPr>
        <w:tc>
          <w:tcPr>
            <w:tcW w:w="0" w:type="auto"/>
            <w:shd w:val="clear" w:color="auto" w:fill="CCECFF"/>
            <w:hideMark/>
          </w:tcPr>
          <w:p w14:paraId="4DD0984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Romania</w:t>
            </w:r>
          </w:p>
        </w:tc>
        <w:tc>
          <w:tcPr>
            <w:tcW w:w="0" w:type="auto"/>
            <w:shd w:val="clear" w:color="auto" w:fill="CCECFF"/>
            <w:vAlign w:val="bottom"/>
            <w:hideMark/>
          </w:tcPr>
          <w:p w14:paraId="566E9E2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CECFF"/>
            <w:vAlign w:val="bottom"/>
            <w:hideMark/>
          </w:tcPr>
          <w:p w14:paraId="6CB7220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CECFF"/>
            <w:vAlign w:val="bottom"/>
            <w:hideMark/>
          </w:tcPr>
          <w:p w14:paraId="48A04B4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CECFF"/>
            <w:vAlign w:val="bottom"/>
            <w:hideMark/>
          </w:tcPr>
          <w:p w14:paraId="4875484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1EDCBD5D" w14:textId="77777777" w:rsidTr="002F3D36">
        <w:trPr>
          <w:trHeight w:val="180"/>
          <w:tblCellSpacing w:w="15" w:type="dxa"/>
        </w:trPr>
        <w:tc>
          <w:tcPr>
            <w:tcW w:w="0" w:type="auto"/>
            <w:hideMark/>
          </w:tcPr>
          <w:p w14:paraId="4051464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Autoliv Romania S.R.L.</w:t>
            </w:r>
          </w:p>
        </w:tc>
        <w:tc>
          <w:tcPr>
            <w:tcW w:w="0" w:type="auto"/>
            <w:vAlign w:val="bottom"/>
            <w:hideMark/>
          </w:tcPr>
          <w:p w14:paraId="090174B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17E7A4C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Brasov</w:t>
            </w:r>
          </w:p>
        </w:tc>
        <w:tc>
          <w:tcPr>
            <w:tcW w:w="0" w:type="auto"/>
            <w:vAlign w:val="bottom"/>
            <w:hideMark/>
          </w:tcPr>
          <w:p w14:paraId="2CA8B89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5FBE33F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Seatbelts with sled test laboratory</w:t>
            </w:r>
          </w:p>
        </w:tc>
      </w:tr>
      <w:tr w:rsidR="002F3D36" w:rsidRPr="002F3D36" w14:paraId="13F6F18A" w14:textId="77777777" w:rsidTr="002F3D36">
        <w:trPr>
          <w:tblCellSpacing w:w="15" w:type="dxa"/>
        </w:trPr>
        <w:tc>
          <w:tcPr>
            <w:tcW w:w="0" w:type="auto"/>
            <w:vAlign w:val="bottom"/>
            <w:hideMark/>
          </w:tcPr>
          <w:p w14:paraId="15594D7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1DFD75F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1FA282B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387E142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57D7FC4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27B6B71D" w14:textId="77777777" w:rsidTr="002F3D36">
        <w:trPr>
          <w:trHeight w:val="180"/>
          <w:tblCellSpacing w:w="15" w:type="dxa"/>
        </w:trPr>
        <w:tc>
          <w:tcPr>
            <w:tcW w:w="0" w:type="auto"/>
            <w:shd w:val="clear" w:color="auto" w:fill="CCECFF"/>
            <w:hideMark/>
          </w:tcPr>
          <w:p w14:paraId="039CED4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South Korea</w:t>
            </w:r>
          </w:p>
        </w:tc>
        <w:tc>
          <w:tcPr>
            <w:tcW w:w="0" w:type="auto"/>
            <w:shd w:val="clear" w:color="auto" w:fill="CCECFF"/>
            <w:vAlign w:val="bottom"/>
            <w:hideMark/>
          </w:tcPr>
          <w:p w14:paraId="3646EAA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CECFF"/>
            <w:hideMark/>
          </w:tcPr>
          <w:p w14:paraId="59A59F53" w14:textId="77777777" w:rsidR="002F3D36" w:rsidRPr="002F3D36" w:rsidRDefault="002F3D36" w:rsidP="002F3D36">
            <w:pPr>
              <w:widowControl/>
              <w:jc w:val="left"/>
              <w:rPr>
                <w:rFonts w:ascii="Times New Roman" w:eastAsia="微软雅黑" w:hAnsi="Times New Roman" w:cs="Times New Roman"/>
                <w:kern w:val="0"/>
                <w:sz w:val="20"/>
                <w:szCs w:val="20"/>
              </w:rPr>
            </w:pPr>
            <w:r w:rsidRPr="002F3D36">
              <w:rPr>
                <w:rFonts w:ascii="Arial" w:eastAsia="微软雅黑" w:hAnsi="Arial" w:cs="Arial"/>
                <w:kern w:val="0"/>
                <w:sz w:val="20"/>
                <w:szCs w:val="20"/>
              </w:rPr>
              <w:t> </w:t>
            </w:r>
          </w:p>
        </w:tc>
        <w:tc>
          <w:tcPr>
            <w:tcW w:w="0" w:type="auto"/>
            <w:shd w:val="clear" w:color="auto" w:fill="CCECFF"/>
            <w:vAlign w:val="bottom"/>
            <w:hideMark/>
          </w:tcPr>
          <w:p w14:paraId="41DE20FF" w14:textId="77777777" w:rsidR="002F3D36" w:rsidRPr="002F3D36" w:rsidRDefault="002F3D36" w:rsidP="002F3D36">
            <w:pPr>
              <w:widowControl/>
              <w:jc w:val="left"/>
              <w:rPr>
                <w:rFonts w:ascii="Times New Roman" w:eastAsia="微软雅黑" w:hAnsi="Times New Roman" w:cs="Times New Roman"/>
                <w:kern w:val="0"/>
                <w:sz w:val="20"/>
                <w:szCs w:val="20"/>
              </w:rPr>
            </w:pPr>
            <w:r w:rsidRPr="002F3D36">
              <w:rPr>
                <w:rFonts w:ascii="Arial" w:eastAsia="微软雅黑" w:hAnsi="Arial" w:cs="Arial"/>
                <w:kern w:val="0"/>
                <w:sz w:val="20"/>
                <w:szCs w:val="20"/>
              </w:rPr>
              <w:t> </w:t>
            </w:r>
          </w:p>
        </w:tc>
        <w:tc>
          <w:tcPr>
            <w:tcW w:w="0" w:type="auto"/>
            <w:shd w:val="clear" w:color="auto" w:fill="CCECFF"/>
            <w:hideMark/>
          </w:tcPr>
          <w:p w14:paraId="01A4BB6B"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r>
      <w:tr w:rsidR="002F3D36" w:rsidRPr="002F3D36" w14:paraId="5E489F64" w14:textId="77777777" w:rsidTr="002F3D36">
        <w:trPr>
          <w:trHeight w:val="180"/>
          <w:tblCellSpacing w:w="15" w:type="dxa"/>
        </w:trPr>
        <w:tc>
          <w:tcPr>
            <w:tcW w:w="0" w:type="auto"/>
            <w:hideMark/>
          </w:tcPr>
          <w:p w14:paraId="279B92B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Autoliv Corporation</w:t>
            </w:r>
          </w:p>
        </w:tc>
        <w:tc>
          <w:tcPr>
            <w:tcW w:w="0" w:type="auto"/>
            <w:vAlign w:val="bottom"/>
            <w:hideMark/>
          </w:tcPr>
          <w:p w14:paraId="1657C71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407D885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Seoul</w:t>
            </w:r>
          </w:p>
        </w:tc>
        <w:tc>
          <w:tcPr>
            <w:tcW w:w="0" w:type="auto"/>
            <w:vAlign w:val="bottom"/>
            <w:hideMark/>
          </w:tcPr>
          <w:p w14:paraId="2AE3948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77C511C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Airbags and seatbelts customer applications and platform development with sled test laboratory</w:t>
            </w:r>
          </w:p>
        </w:tc>
      </w:tr>
      <w:tr w:rsidR="002F3D36" w:rsidRPr="002F3D36" w14:paraId="18CD383E" w14:textId="77777777" w:rsidTr="002F3D36">
        <w:trPr>
          <w:tblCellSpacing w:w="15" w:type="dxa"/>
        </w:trPr>
        <w:tc>
          <w:tcPr>
            <w:tcW w:w="0" w:type="auto"/>
            <w:hideMark/>
          </w:tcPr>
          <w:p w14:paraId="2317A8E7"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vAlign w:val="bottom"/>
            <w:hideMark/>
          </w:tcPr>
          <w:p w14:paraId="5DB77D22"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63486BA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6C579C0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7809534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5A181924" w14:textId="77777777" w:rsidTr="002F3D36">
        <w:trPr>
          <w:trHeight w:val="180"/>
          <w:tblCellSpacing w:w="15" w:type="dxa"/>
        </w:trPr>
        <w:tc>
          <w:tcPr>
            <w:tcW w:w="0" w:type="auto"/>
            <w:shd w:val="clear" w:color="auto" w:fill="CCECFF"/>
            <w:hideMark/>
          </w:tcPr>
          <w:p w14:paraId="13F36DD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Sweden</w:t>
            </w:r>
          </w:p>
        </w:tc>
        <w:tc>
          <w:tcPr>
            <w:tcW w:w="0" w:type="auto"/>
            <w:shd w:val="clear" w:color="auto" w:fill="CCECFF"/>
            <w:vAlign w:val="bottom"/>
            <w:hideMark/>
          </w:tcPr>
          <w:p w14:paraId="7CC9268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CECFF"/>
            <w:hideMark/>
          </w:tcPr>
          <w:p w14:paraId="4BD89C1B" w14:textId="77777777" w:rsidR="002F3D36" w:rsidRPr="002F3D36" w:rsidRDefault="002F3D36" w:rsidP="002F3D36">
            <w:pPr>
              <w:widowControl/>
              <w:jc w:val="left"/>
              <w:rPr>
                <w:rFonts w:ascii="Times New Roman" w:eastAsia="微软雅黑" w:hAnsi="Times New Roman" w:cs="Times New Roman"/>
                <w:kern w:val="0"/>
                <w:sz w:val="20"/>
                <w:szCs w:val="20"/>
              </w:rPr>
            </w:pPr>
            <w:r w:rsidRPr="002F3D36">
              <w:rPr>
                <w:rFonts w:ascii="Arial" w:eastAsia="微软雅黑" w:hAnsi="Arial" w:cs="Arial"/>
                <w:kern w:val="0"/>
                <w:sz w:val="20"/>
                <w:szCs w:val="20"/>
              </w:rPr>
              <w:t> </w:t>
            </w:r>
          </w:p>
        </w:tc>
        <w:tc>
          <w:tcPr>
            <w:tcW w:w="0" w:type="auto"/>
            <w:shd w:val="clear" w:color="auto" w:fill="CCECFF"/>
            <w:vAlign w:val="bottom"/>
            <w:hideMark/>
          </w:tcPr>
          <w:p w14:paraId="4FE98A27" w14:textId="77777777" w:rsidR="002F3D36" w:rsidRPr="002F3D36" w:rsidRDefault="002F3D36" w:rsidP="002F3D36">
            <w:pPr>
              <w:widowControl/>
              <w:jc w:val="left"/>
              <w:rPr>
                <w:rFonts w:ascii="Times New Roman" w:eastAsia="微软雅黑" w:hAnsi="Times New Roman" w:cs="Times New Roman"/>
                <w:kern w:val="0"/>
                <w:sz w:val="20"/>
                <w:szCs w:val="20"/>
              </w:rPr>
            </w:pPr>
            <w:r w:rsidRPr="002F3D36">
              <w:rPr>
                <w:rFonts w:ascii="Arial" w:eastAsia="微软雅黑" w:hAnsi="Arial" w:cs="Arial"/>
                <w:kern w:val="0"/>
                <w:sz w:val="20"/>
                <w:szCs w:val="20"/>
              </w:rPr>
              <w:t> </w:t>
            </w:r>
          </w:p>
        </w:tc>
        <w:tc>
          <w:tcPr>
            <w:tcW w:w="0" w:type="auto"/>
            <w:shd w:val="clear" w:color="auto" w:fill="CCECFF"/>
            <w:vAlign w:val="bottom"/>
            <w:hideMark/>
          </w:tcPr>
          <w:p w14:paraId="4D65EBE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7B3FAA09" w14:textId="77777777" w:rsidTr="002F3D36">
        <w:trPr>
          <w:trHeight w:val="180"/>
          <w:tblCellSpacing w:w="15" w:type="dxa"/>
        </w:trPr>
        <w:tc>
          <w:tcPr>
            <w:tcW w:w="0" w:type="auto"/>
            <w:hideMark/>
          </w:tcPr>
          <w:p w14:paraId="69896F9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Autoliv Development AB</w:t>
            </w:r>
          </w:p>
        </w:tc>
        <w:tc>
          <w:tcPr>
            <w:tcW w:w="0" w:type="auto"/>
            <w:vAlign w:val="bottom"/>
            <w:hideMark/>
          </w:tcPr>
          <w:p w14:paraId="5889E05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3C6F910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Vårgårda</w:t>
            </w:r>
          </w:p>
        </w:tc>
        <w:tc>
          <w:tcPr>
            <w:tcW w:w="0" w:type="auto"/>
            <w:vAlign w:val="bottom"/>
            <w:hideMark/>
          </w:tcPr>
          <w:p w14:paraId="1F1C120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12EBCDB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Research center</w:t>
            </w:r>
          </w:p>
        </w:tc>
      </w:tr>
      <w:tr w:rsidR="002F3D36" w:rsidRPr="002F3D36" w14:paraId="4058B9FF" w14:textId="77777777" w:rsidTr="002F3D36">
        <w:trPr>
          <w:trHeight w:val="180"/>
          <w:tblCellSpacing w:w="15" w:type="dxa"/>
        </w:trPr>
        <w:tc>
          <w:tcPr>
            <w:tcW w:w="0" w:type="auto"/>
            <w:hideMark/>
          </w:tcPr>
          <w:p w14:paraId="546B233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Autoliv Sverige AB</w:t>
            </w:r>
          </w:p>
        </w:tc>
        <w:tc>
          <w:tcPr>
            <w:tcW w:w="0" w:type="auto"/>
            <w:vAlign w:val="bottom"/>
            <w:hideMark/>
          </w:tcPr>
          <w:p w14:paraId="2D31D57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6BD6CE5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Vårgårda</w:t>
            </w:r>
          </w:p>
        </w:tc>
        <w:tc>
          <w:tcPr>
            <w:tcW w:w="0" w:type="auto"/>
            <w:vAlign w:val="bottom"/>
            <w:hideMark/>
          </w:tcPr>
          <w:p w14:paraId="2AB765A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58C2B2F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Airbags customer applications, inflator and special safety products development with full-scale test laboratory</w:t>
            </w:r>
          </w:p>
        </w:tc>
      </w:tr>
      <w:tr w:rsidR="002F3D36" w:rsidRPr="002F3D36" w14:paraId="3B062475" w14:textId="77777777" w:rsidTr="002F3D36">
        <w:trPr>
          <w:tblCellSpacing w:w="15" w:type="dxa"/>
        </w:trPr>
        <w:tc>
          <w:tcPr>
            <w:tcW w:w="0" w:type="auto"/>
            <w:hideMark/>
          </w:tcPr>
          <w:p w14:paraId="26E446AD"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vAlign w:val="bottom"/>
            <w:hideMark/>
          </w:tcPr>
          <w:p w14:paraId="1E7828ED"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vAlign w:val="bottom"/>
            <w:hideMark/>
          </w:tcPr>
          <w:p w14:paraId="02C6C9E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1F3CEA3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7EF29334"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r>
      <w:tr w:rsidR="002F3D36" w:rsidRPr="002F3D36" w14:paraId="663F1362" w14:textId="77777777" w:rsidTr="002F3D36">
        <w:trPr>
          <w:trHeight w:val="180"/>
          <w:tblCellSpacing w:w="15" w:type="dxa"/>
        </w:trPr>
        <w:tc>
          <w:tcPr>
            <w:tcW w:w="0" w:type="auto"/>
            <w:shd w:val="clear" w:color="auto" w:fill="CCECFF"/>
            <w:hideMark/>
          </w:tcPr>
          <w:p w14:paraId="75B16C0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lastRenderedPageBreak/>
              <w:t>USA</w:t>
            </w:r>
          </w:p>
        </w:tc>
        <w:tc>
          <w:tcPr>
            <w:tcW w:w="0" w:type="auto"/>
            <w:shd w:val="clear" w:color="auto" w:fill="CCECFF"/>
            <w:vAlign w:val="bottom"/>
            <w:hideMark/>
          </w:tcPr>
          <w:p w14:paraId="3289317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CECFF"/>
            <w:hideMark/>
          </w:tcPr>
          <w:p w14:paraId="543C5B0E"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shd w:val="clear" w:color="auto" w:fill="CCECFF"/>
            <w:vAlign w:val="bottom"/>
            <w:hideMark/>
          </w:tcPr>
          <w:p w14:paraId="2A7E0F57"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shd w:val="clear" w:color="auto" w:fill="CCECFF"/>
            <w:hideMark/>
          </w:tcPr>
          <w:p w14:paraId="411F3B9F"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r>
      <w:tr w:rsidR="002F3D36" w:rsidRPr="002F3D36" w14:paraId="6043A049" w14:textId="77777777" w:rsidTr="002F3D36">
        <w:trPr>
          <w:trHeight w:val="180"/>
          <w:tblCellSpacing w:w="15" w:type="dxa"/>
        </w:trPr>
        <w:tc>
          <w:tcPr>
            <w:tcW w:w="0" w:type="auto"/>
            <w:hideMark/>
          </w:tcPr>
          <w:p w14:paraId="1CD7818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Autoliv ASP, Inc.</w:t>
            </w:r>
          </w:p>
        </w:tc>
        <w:tc>
          <w:tcPr>
            <w:tcW w:w="0" w:type="auto"/>
            <w:vAlign w:val="bottom"/>
            <w:hideMark/>
          </w:tcPr>
          <w:p w14:paraId="1290D33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590491A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Auburn Hills</w:t>
            </w:r>
          </w:p>
        </w:tc>
        <w:tc>
          <w:tcPr>
            <w:tcW w:w="0" w:type="auto"/>
            <w:vAlign w:val="bottom"/>
            <w:hideMark/>
          </w:tcPr>
          <w:p w14:paraId="1F55240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2054621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Airbags, steering wheels, and seatbelts customer applications and platform development with sled test laboratory</w:t>
            </w:r>
          </w:p>
        </w:tc>
      </w:tr>
      <w:tr w:rsidR="002F3D36" w:rsidRPr="002F3D36" w14:paraId="1AD6D319" w14:textId="77777777" w:rsidTr="002F3D36">
        <w:trPr>
          <w:trHeight w:val="180"/>
          <w:tblCellSpacing w:w="15" w:type="dxa"/>
        </w:trPr>
        <w:tc>
          <w:tcPr>
            <w:tcW w:w="0" w:type="auto"/>
            <w:hideMark/>
          </w:tcPr>
          <w:p w14:paraId="1D68F68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5EC5482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516D7D6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Ogden</w:t>
            </w:r>
          </w:p>
        </w:tc>
        <w:tc>
          <w:tcPr>
            <w:tcW w:w="0" w:type="auto"/>
            <w:vAlign w:val="bottom"/>
            <w:hideMark/>
          </w:tcPr>
          <w:p w14:paraId="7070703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248EF19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Airbags, inflators and pyrotechnics customer applications and platform development</w:t>
            </w:r>
          </w:p>
        </w:tc>
      </w:tr>
    </w:tbl>
    <w:p w14:paraId="3E6D2420" w14:textId="77777777" w:rsidR="002F3D36" w:rsidRPr="002F3D36" w:rsidRDefault="002F3D36" w:rsidP="002F3D36">
      <w:pPr>
        <w:widowControl/>
        <w:jc w:val="left"/>
        <w:rPr>
          <w:rFonts w:ascii="Times New Roman" w:eastAsia="宋体" w:hAnsi="Times New Roman" w:cs="Times New Roman"/>
          <w:color w:val="000000"/>
          <w:kern w:val="0"/>
          <w:sz w:val="20"/>
          <w:szCs w:val="20"/>
        </w:rPr>
      </w:pPr>
      <w:r w:rsidRPr="002F3D36">
        <w:rPr>
          <w:rFonts w:ascii="Arial" w:eastAsia="宋体" w:hAnsi="Arial" w:cs="Arial"/>
          <w:color w:val="000000"/>
          <w:kern w:val="0"/>
          <w:sz w:val="12"/>
          <w:szCs w:val="12"/>
        </w:rPr>
        <w:t> </w:t>
      </w:r>
    </w:p>
    <w:p w14:paraId="7C0FA262" w14:textId="77777777" w:rsidR="002F3D36" w:rsidRPr="002F3D36" w:rsidRDefault="002F3D36" w:rsidP="002F3D36">
      <w:pPr>
        <w:widowControl/>
        <w:jc w:val="left"/>
        <w:rPr>
          <w:rFonts w:ascii="Times New Roman" w:eastAsia="宋体" w:hAnsi="Times New Roman" w:cs="Times New Roman"/>
          <w:color w:val="000000"/>
          <w:kern w:val="0"/>
          <w:sz w:val="20"/>
          <w:szCs w:val="20"/>
        </w:rPr>
      </w:pPr>
      <w:r w:rsidRPr="002F3D36">
        <w:rPr>
          <w:rFonts w:ascii="Times New Roman" w:eastAsia="宋体" w:hAnsi="Times New Roman" w:cs="Times New Roman"/>
          <w:color w:val="000000"/>
          <w:kern w:val="0"/>
          <w:sz w:val="20"/>
          <w:szCs w:val="20"/>
        </w:rPr>
        <w:t> </w:t>
      </w:r>
    </w:p>
    <w:p w14:paraId="7ED583BB" w14:textId="77777777" w:rsidR="002F3D36" w:rsidRPr="002F3D36" w:rsidRDefault="002F3D36" w:rsidP="002F3D36">
      <w:pPr>
        <w:widowControl/>
        <w:spacing w:before="240"/>
        <w:jc w:val="center"/>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27</w:t>
      </w:r>
    </w:p>
    <w:p w14:paraId="602BA022" w14:textId="77777777" w:rsidR="002F3D36" w:rsidRPr="002F3D36" w:rsidRDefault="002F3D36" w:rsidP="002F3D36">
      <w:pPr>
        <w:widowControl/>
        <w:jc w:val="left"/>
        <w:rPr>
          <w:rFonts w:ascii="宋体" w:eastAsia="宋体" w:hAnsi="宋体" w:cs="宋体"/>
          <w:kern w:val="0"/>
          <w:sz w:val="24"/>
          <w:szCs w:val="24"/>
        </w:rPr>
      </w:pPr>
      <w:r w:rsidRPr="002F3D36">
        <w:rPr>
          <w:rFonts w:ascii="宋体" w:eastAsia="宋体" w:hAnsi="宋体" w:cs="宋体"/>
          <w:kern w:val="0"/>
          <w:sz w:val="24"/>
          <w:szCs w:val="24"/>
        </w:rPr>
        <w:pict w14:anchorId="31643C4B">
          <v:rect id="_x0000_i1052" style="width:0;height:1.5pt" o:hralign="center" o:hrstd="t" o:hrnoshade="t" o:hr="t" fillcolor="black" stroked="f"/>
        </w:pict>
      </w:r>
    </w:p>
    <w:p w14:paraId="04AB144B" w14:textId="77777777" w:rsidR="002F3D36" w:rsidRPr="002F3D36" w:rsidRDefault="002F3D36" w:rsidP="002F3D36">
      <w:pPr>
        <w:widowControl/>
        <w:spacing w:line="20" w:lineRule="atLeast"/>
        <w:jc w:val="left"/>
        <w:rPr>
          <w:rFonts w:ascii="Times New Roman" w:eastAsia="宋体" w:hAnsi="Times New Roman" w:cs="Times New Roman"/>
          <w:color w:val="000000"/>
          <w:kern w:val="0"/>
          <w:sz w:val="20"/>
          <w:szCs w:val="20"/>
        </w:rPr>
      </w:pPr>
      <w:r w:rsidRPr="002F3D36">
        <w:rPr>
          <w:rFonts w:ascii="Arial" w:eastAsia="宋体" w:hAnsi="Arial" w:cs="Arial"/>
          <w:color w:val="000000"/>
          <w:kern w:val="0"/>
          <w:sz w:val="2"/>
          <w:szCs w:val="2"/>
        </w:rPr>
        <w:t> </w:t>
      </w:r>
    </w:p>
    <w:p w14:paraId="32362FDA" w14:textId="77777777" w:rsidR="002F3D36" w:rsidRPr="002F3D36" w:rsidRDefault="002F3D36" w:rsidP="002F3D36">
      <w:pPr>
        <w:widowControl/>
        <w:spacing w:before="100"/>
        <w:rPr>
          <w:rFonts w:ascii="Times New Roman" w:eastAsia="宋体" w:hAnsi="Times New Roman" w:cs="Times New Roman"/>
          <w:color w:val="000000"/>
          <w:kern w:val="0"/>
          <w:sz w:val="20"/>
          <w:szCs w:val="20"/>
        </w:rPr>
      </w:pPr>
      <w:r w:rsidRPr="002F3D36">
        <w:rPr>
          <w:rFonts w:ascii="Arial" w:eastAsia="宋体" w:hAnsi="Arial" w:cs="Arial"/>
          <w:b/>
          <w:bCs/>
          <w:color w:val="010202"/>
          <w:kern w:val="0"/>
          <w:sz w:val="22"/>
        </w:rPr>
        <w:t>Item 3. Legal Proceedings</w:t>
      </w:r>
    </w:p>
    <w:p w14:paraId="63D69748"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10202"/>
          <w:kern w:val="0"/>
          <w:sz w:val="18"/>
          <w:szCs w:val="18"/>
        </w:rPr>
        <w:t>In the ordinary course of its business, the Company is subject to legal proceedings brought by or against the Company and its subsidiaries.</w:t>
      </w:r>
    </w:p>
    <w:p w14:paraId="3A76A43C" w14:textId="77777777" w:rsidR="002F3D36" w:rsidRPr="002F3D36" w:rsidRDefault="002F3D36" w:rsidP="002F3D36">
      <w:pPr>
        <w:widowControl/>
        <w:spacing w:before="240"/>
        <w:rPr>
          <w:rFonts w:ascii="Times New Roman" w:eastAsia="宋体" w:hAnsi="Times New Roman" w:cs="Times New Roman"/>
          <w:color w:val="000000"/>
          <w:kern w:val="0"/>
          <w:sz w:val="20"/>
          <w:szCs w:val="20"/>
        </w:rPr>
      </w:pPr>
      <w:r w:rsidRPr="002F3D36">
        <w:rPr>
          <w:rFonts w:ascii="Arial" w:eastAsia="宋体" w:hAnsi="Arial" w:cs="Arial"/>
          <w:color w:val="010202"/>
          <w:kern w:val="0"/>
          <w:sz w:val="18"/>
          <w:szCs w:val="18"/>
        </w:rPr>
        <w:t>See Note 17 to the Consolidated Financial Statements in this Annual Report for a summary of certain ongoing legal proceedings. Such information is incorporated into this Part I, Item 3 – “Legal Proceedings” by reference.</w:t>
      </w:r>
    </w:p>
    <w:p w14:paraId="74876E08"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10202"/>
          <w:kern w:val="0"/>
          <w:sz w:val="22"/>
        </w:rPr>
        <w:t>Item 4. Mine Safety Disclosures</w:t>
      </w:r>
    </w:p>
    <w:p w14:paraId="0A9519C0"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10202"/>
          <w:kern w:val="0"/>
          <w:sz w:val="18"/>
          <w:szCs w:val="18"/>
        </w:rPr>
        <w:t>Not applicable.</w:t>
      </w:r>
    </w:p>
    <w:p w14:paraId="1509A382" w14:textId="77777777" w:rsidR="002F3D36" w:rsidRPr="002F3D36" w:rsidRDefault="002F3D36" w:rsidP="002F3D36">
      <w:pPr>
        <w:widowControl/>
        <w:spacing w:before="240"/>
        <w:jc w:val="center"/>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28</w:t>
      </w:r>
    </w:p>
    <w:p w14:paraId="2DD27404" w14:textId="77777777" w:rsidR="002F3D36" w:rsidRPr="002F3D36" w:rsidRDefault="002F3D36" w:rsidP="002F3D36">
      <w:pPr>
        <w:widowControl/>
        <w:jc w:val="left"/>
        <w:rPr>
          <w:rFonts w:ascii="宋体" w:eastAsia="宋体" w:hAnsi="宋体" w:cs="宋体"/>
          <w:kern w:val="0"/>
          <w:sz w:val="24"/>
          <w:szCs w:val="24"/>
        </w:rPr>
      </w:pPr>
      <w:r w:rsidRPr="002F3D36">
        <w:rPr>
          <w:rFonts w:ascii="宋体" w:eastAsia="宋体" w:hAnsi="宋体" w:cs="宋体"/>
          <w:kern w:val="0"/>
          <w:sz w:val="24"/>
          <w:szCs w:val="24"/>
        </w:rPr>
        <w:pict w14:anchorId="6D69D7D8">
          <v:rect id="_x0000_i1053" style="width:0;height:1.5pt" o:hralign="center" o:hrstd="t" o:hrnoshade="t" o:hr="t" fillcolor="black" stroked="f"/>
        </w:pict>
      </w:r>
    </w:p>
    <w:p w14:paraId="7DB9835C" w14:textId="77777777" w:rsidR="002F3D36" w:rsidRPr="002F3D36" w:rsidRDefault="002F3D36" w:rsidP="002F3D36">
      <w:pPr>
        <w:widowControl/>
        <w:spacing w:line="20" w:lineRule="atLeast"/>
        <w:jc w:val="left"/>
        <w:rPr>
          <w:rFonts w:ascii="Times New Roman" w:eastAsia="宋体" w:hAnsi="Times New Roman" w:cs="Times New Roman"/>
          <w:color w:val="000000"/>
          <w:kern w:val="0"/>
          <w:sz w:val="20"/>
          <w:szCs w:val="20"/>
        </w:rPr>
      </w:pPr>
      <w:r w:rsidRPr="002F3D36">
        <w:rPr>
          <w:rFonts w:ascii="Arial" w:eastAsia="宋体" w:hAnsi="Arial" w:cs="Arial"/>
          <w:color w:val="000000"/>
          <w:kern w:val="0"/>
          <w:sz w:val="2"/>
          <w:szCs w:val="2"/>
        </w:rPr>
        <w:t> </w:t>
      </w:r>
    </w:p>
    <w:p w14:paraId="50F14C51" w14:textId="77777777" w:rsidR="002F3D36" w:rsidRPr="002F3D36" w:rsidRDefault="002F3D36" w:rsidP="002F3D36">
      <w:pPr>
        <w:widowControl/>
        <w:jc w:val="center"/>
        <w:rPr>
          <w:rFonts w:ascii="Times New Roman" w:eastAsia="宋体" w:hAnsi="Times New Roman" w:cs="Times New Roman"/>
          <w:color w:val="000000"/>
          <w:kern w:val="0"/>
          <w:sz w:val="20"/>
          <w:szCs w:val="20"/>
        </w:rPr>
      </w:pPr>
      <w:r w:rsidRPr="002F3D36">
        <w:rPr>
          <w:rFonts w:ascii="Arial" w:eastAsia="宋体" w:hAnsi="Arial" w:cs="Arial"/>
          <w:b/>
          <w:bCs/>
          <w:color w:val="010202"/>
          <w:kern w:val="0"/>
          <w:sz w:val="18"/>
          <w:szCs w:val="18"/>
        </w:rPr>
        <w:t>PART II</w:t>
      </w:r>
    </w:p>
    <w:p w14:paraId="5409AED8" w14:textId="77777777" w:rsidR="002F3D36" w:rsidRPr="002F3D36" w:rsidRDefault="002F3D36" w:rsidP="002F3D36">
      <w:pPr>
        <w:widowControl/>
        <w:spacing w:before="240"/>
        <w:rPr>
          <w:rFonts w:ascii="Times New Roman" w:eastAsia="宋体" w:hAnsi="Times New Roman" w:cs="Times New Roman"/>
          <w:color w:val="000000"/>
          <w:kern w:val="0"/>
          <w:sz w:val="20"/>
          <w:szCs w:val="20"/>
        </w:rPr>
      </w:pPr>
      <w:r w:rsidRPr="002F3D36">
        <w:rPr>
          <w:rFonts w:ascii="Arial" w:eastAsia="宋体" w:hAnsi="Arial" w:cs="Arial"/>
          <w:b/>
          <w:bCs/>
          <w:color w:val="010202"/>
          <w:kern w:val="0"/>
          <w:sz w:val="22"/>
        </w:rPr>
        <w:t>Item 5. Market for Registrant’s Common Equity, Related Stockholder Matters and Issuer Purchases of Equity Securities</w:t>
      </w:r>
    </w:p>
    <w:p w14:paraId="12857222"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2"/>
          <w:szCs w:val="12"/>
        </w:rPr>
        <w:t> </w:t>
      </w:r>
    </w:p>
    <w:p w14:paraId="247837C7"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w:t>
      </w:r>
    </w:p>
    <w:p w14:paraId="33009453"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b/>
          <w:bCs/>
          <w:color w:val="010202"/>
          <w:kern w:val="0"/>
          <w:sz w:val="18"/>
          <w:szCs w:val="18"/>
        </w:rPr>
        <w:t>Shareholder information</w:t>
      </w:r>
    </w:p>
    <w:p w14:paraId="3847157C"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2"/>
          <w:szCs w:val="12"/>
        </w:rPr>
        <w:t> </w:t>
      </w:r>
    </w:p>
    <w:p w14:paraId="1A100E04"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The primary exchange market for Autoliv’s securities is the New York Stock Exchange (NYSE) where Autoliv’s common stock trades under the symbol “ALV”. Autoliv’s Swedish Depositary Receipts (SDRs) are traded on NASDAQ Stockholm’s list for large market cap companies under the symbol “ALIV SDB”. Options in SDRs trade on Nasdaq Stockholm under the name “Autoliv SDB”. Options in Autoliv shares are traded on NASDAQ OMX PHLX and on NYSE Amex Options under the symbol “ALV”.</w:t>
      </w:r>
    </w:p>
    <w:p w14:paraId="74F66C5E"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w:t>
      </w:r>
    </w:p>
    <w:p w14:paraId="2CA845D7"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u w:val="single"/>
        </w:rPr>
        <w:t>Share price information</w:t>
      </w:r>
      <w:r w:rsidRPr="002F3D36">
        <w:rPr>
          <w:rFonts w:ascii="Arial" w:eastAsia="宋体" w:hAnsi="Arial" w:cs="Arial"/>
          <w:b/>
          <w:bCs/>
          <w:color w:val="000000"/>
          <w:kern w:val="0"/>
          <w:sz w:val="18"/>
          <w:szCs w:val="18"/>
        </w:rPr>
        <w:t>*</w:t>
      </w:r>
    </w:p>
    <w:p w14:paraId="4E8C0DF7" w14:textId="51558190"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Times New Roman" w:eastAsia="宋体" w:hAnsi="Times New Roman" w:cs="Times New Roman"/>
          <w:noProof/>
          <w:color w:val="000000"/>
          <w:kern w:val="0"/>
          <w:sz w:val="20"/>
          <w:szCs w:val="20"/>
        </w:rPr>
        <mc:AlternateContent>
          <mc:Choice Requires="wps">
            <w:drawing>
              <wp:inline distT="0" distB="0" distL="0" distR="0" wp14:anchorId="108A6811" wp14:editId="22E8A02C">
                <wp:extent cx="306705" cy="306705"/>
                <wp:effectExtent l="0" t="0" r="0" b="0"/>
                <wp:docPr id="2" name="矩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354CD4" id="矩形 2"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" filled="f" stroked="f">
                <o:lock v:ext="edit" aspectratio="t"/>
                <w10:anchorlock/>
              </v:rect>
            </w:pict>
          </mc:Fallback>
        </mc:AlternateContent>
      </w:r>
      <w:r w:rsidRPr="002F3D36">
        <w:rPr>
          <w:rFonts w:ascii="Times New Roman" w:eastAsia="宋体" w:hAnsi="Times New Roman" w:cs="Times New Roman"/>
          <w:color w:val="000000"/>
          <w:kern w:val="0"/>
          <w:sz w:val="20"/>
          <w:szCs w:val="20"/>
        </w:rPr>
        <w:t> </w:t>
      </w:r>
    </w:p>
    <w:p w14:paraId="6E0093CB" w14:textId="4985AC16"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Times New Roman" w:eastAsia="宋体" w:hAnsi="Times New Roman" w:cs="Times New Roman"/>
          <w:noProof/>
          <w:color w:val="000000"/>
          <w:kern w:val="0"/>
          <w:sz w:val="20"/>
          <w:szCs w:val="20"/>
        </w:rPr>
        <mc:AlternateContent>
          <mc:Choice Requires="wps">
            <w:drawing>
              <wp:inline distT="0" distB="0" distL="0" distR="0" wp14:anchorId="28C70B8D" wp14:editId="18427B6C">
                <wp:extent cx="306705" cy="306705"/>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E0FBC2" id="矩形 1"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" filled="f" stroked="f">
                <o:lock v:ext="edit" aspectratio="t"/>
                <w10:anchorlock/>
              </v:rect>
            </w:pict>
          </mc:Fallback>
        </mc:AlternateContent>
      </w:r>
      <w:r w:rsidRPr="002F3D36">
        <w:rPr>
          <w:rFonts w:ascii="Times New Roman" w:eastAsia="宋体" w:hAnsi="Times New Roman" w:cs="Times New Roman"/>
          <w:color w:val="000000"/>
          <w:kern w:val="0"/>
          <w:sz w:val="20"/>
          <w:szCs w:val="20"/>
        </w:rPr>
        <w:t> </w:t>
      </w:r>
    </w:p>
    <w:p w14:paraId="2732D57F"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w:t>
      </w:r>
    </w:p>
    <w:p w14:paraId="643541A0" w14:textId="77777777" w:rsidR="002F3D36" w:rsidRPr="002F3D36" w:rsidRDefault="002F3D36" w:rsidP="002F3D36">
      <w:pPr>
        <w:widowControl/>
        <w:ind w:left="214"/>
        <w:jc w:val="left"/>
        <w:rPr>
          <w:rFonts w:ascii="Times New Roman" w:eastAsia="宋体" w:hAnsi="Times New Roman" w:cs="Times New Roman"/>
          <w:color w:val="000000"/>
          <w:kern w:val="0"/>
          <w:sz w:val="20"/>
          <w:szCs w:val="20"/>
        </w:rPr>
      </w:pPr>
      <w:r w:rsidRPr="002F3D36">
        <w:rPr>
          <w:rFonts w:ascii="Arial" w:eastAsia="宋体" w:hAnsi="Arial" w:cs="Arial"/>
          <w:color w:val="000000"/>
          <w:kern w:val="0"/>
          <w:sz w:val="16"/>
          <w:szCs w:val="16"/>
        </w:rPr>
        <w:lastRenderedPageBreak/>
        <w:t>* For all periods before the distribution date of Veoneer on June 29, 2018, the Autoliv share prices are adjusted by a factor of 72.04%.</w:t>
      </w:r>
    </w:p>
    <w:p w14:paraId="6A2384D1" w14:textId="77777777" w:rsidR="002F3D36" w:rsidRPr="002F3D36" w:rsidRDefault="002F3D36" w:rsidP="002F3D36">
      <w:pPr>
        <w:widowControl/>
        <w:jc w:val="left"/>
        <w:rPr>
          <w:rFonts w:ascii="Times New Roman" w:eastAsia="宋体" w:hAnsi="Times New Roman" w:cs="Times New Roman"/>
          <w:color w:val="000000"/>
          <w:kern w:val="0"/>
          <w:sz w:val="20"/>
          <w:szCs w:val="20"/>
        </w:rPr>
      </w:pPr>
      <w:r w:rsidRPr="002F3D36">
        <w:rPr>
          <w:rFonts w:ascii="Times New Roman" w:eastAsia="宋体" w:hAnsi="Times New Roman" w:cs="Times New Roman"/>
          <w:color w:val="000000"/>
          <w:kern w:val="0"/>
          <w:sz w:val="20"/>
          <w:szCs w:val="20"/>
        </w:rPr>
        <w:t> </w:t>
      </w:r>
    </w:p>
    <w:p w14:paraId="6FAB4321" w14:textId="77777777" w:rsidR="002F3D36" w:rsidRPr="002F3D36" w:rsidRDefault="002F3D36" w:rsidP="002F3D36">
      <w:pPr>
        <w:widowControl/>
        <w:spacing w:before="240"/>
        <w:jc w:val="center"/>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29</w:t>
      </w:r>
    </w:p>
    <w:p w14:paraId="183B36D6" w14:textId="77777777" w:rsidR="002F3D36" w:rsidRPr="002F3D36" w:rsidRDefault="002F3D36" w:rsidP="002F3D36">
      <w:pPr>
        <w:widowControl/>
        <w:jc w:val="left"/>
        <w:rPr>
          <w:rFonts w:ascii="宋体" w:eastAsia="宋体" w:hAnsi="宋体" w:cs="宋体"/>
          <w:kern w:val="0"/>
          <w:sz w:val="24"/>
          <w:szCs w:val="24"/>
        </w:rPr>
      </w:pPr>
      <w:r w:rsidRPr="002F3D36">
        <w:rPr>
          <w:rFonts w:ascii="宋体" w:eastAsia="宋体" w:hAnsi="宋体" w:cs="宋体"/>
          <w:kern w:val="0"/>
          <w:sz w:val="24"/>
          <w:szCs w:val="24"/>
        </w:rPr>
        <w:pict w14:anchorId="7712DC9D">
          <v:rect id="_x0000_i1056" style="width:0;height:1.5pt" o:hralign="center" o:hrstd="t" o:hrnoshade="t" o:hr="t" fillcolor="black" stroked="f"/>
        </w:pict>
      </w:r>
    </w:p>
    <w:p w14:paraId="32B36E4F" w14:textId="77777777" w:rsidR="002F3D36" w:rsidRPr="002F3D36" w:rsidRDefault="002F3D36" w:rsidP="002F3D36">
      <w:pPr>
        <w:widowControl/>
        <w:spacing w:line="20" w:lineRule="atLeast"/>
        <w:jc w:val="left"/>
        <w:rPr>
          <w:rFonts w:ascii="Times New Roman" w:eastAsia="宋体" w:hAnsi="Times New Roman" w:cs="Times New Roman"/>
          <w:color w:val="000000"/>
          <w:kern w:val="0"/>
          <w:sz w:val="20"/>
          <w:szCs w:val="20"/>
        </w:rPr>
      </w:pPr>
      <w:r w:rsidRPr="002F3D36">
        <w:rPr>
          <w:rFonts w:ascii="Arial" w:eastAsia="宋体" w:hAnsi="Arial" w:cs="Arial"/>
          <w:color w:val="000000"/>
          <w:kern w:val="0"/>
          <w:sz w:val="2"/>
          <w:szCs w:val="2"/>
        </w:rPr>
        <w:t> </w:t>
      </w:r>
    </w:p>
    <w:p w14:paraId="289B99E1"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u w:val="single"/>
        </w:rPr>
        <w:t>Number of shares</w:t>
      </w:r>
    </w:p>
    <w:p w14:paraId="746B03A8"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2"/>
          <w:szCs w:val="12"/>
        </w:rPr>
        <w:t> </w:t>
      </w:r>
    </w:p>
    <w:p w14:paraId="487849B4"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xml:space="preserve">During 2021, the weighted average number of shares outstanding (excluding dilution and treasury shares) increased to 87.5 million from 87.3 million in 2020. Assuming dilution, the weighted average number of shares outstanding for the full year 2021 increased to 87.7 from 87.5 million in 2020. </w:t>
      </w:r>
    </w:p>
    <w:p w14:paraId="49B05A07"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Stock options (if exercised) and granted Restricted Stock Units (RSUs) and Performance Shares (PSs) could increase the number of shares outstanding by 0.4 million shares in the aggregate. Combined, this would add 0.5% to the number of shares outstanding. In November 2021, the Board of Directors approved a new stock repurchase program that authorizes the Company to repurchase up to $1.5 billion or up to 17 million shares (whichever comes first) between January 2022 and the end of 2024. On December 31, 2021, the Company had 15.3 million treasury shares.</w:t>
      </w:r>
    </w:p>
    <w:p w14:paraId="0D7A9E01"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u w:val="single"/>
        </w:rPr>
        <w:t>Shareholders</w:t>
      </w:r>
    </w:p>
    <w:p w14:paraId="340C4F93"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2"/>
          <w:szCs w:val="12"/>
        </w:rPr>
        <w:t> </w:t>
      </w:r>
    </w:p>
    <w:p w14:paraId="5755919E"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As of the end of 2021 around 23% of Autoliv’s securities were held by U.S.-based shareholders and around 60% by Sweden-based shareholders. Most of the remaining Autoliv securities were held in the U.K., Switzerland, Norway, France and Germany.</w:t>
      </w:r>
    </w:p>
    <w:p w14:paraId="08C044BA"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10202"/>
          <w:kern w:val="0"/>
          <w:sz w:val="18"/>
          <w:szCs w:val="18"/>
        </w:rPr>
        <w:t>Dividends</w:t>
      </w:r>
    </w:p>
    <w:p w14:paraId="53193D61"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Autoliv has a history of paying quarterly cash dividends. Declared dividends are announced in press releases and published on Autoliv’s corporate website. On April 2, 2020, the Board of Directors suspended the Company's quarterly dividend after determining that a suspension was necessary considering the evolving global COVID-19 pandemic, decline in global LVP, the uncertainty surrounding the recession at that time and the inherent risk of customer defaults.</w:t>
      </w:r>
      <w:r w:rsidRPr="002F3D36">
        <w:rPr>
          <w:rFonts w:ascii="Arial" w:eastAsia="宋体" w:hAnsi="Arial" w:cs="Arial"/>
          <w:color w:val="000000"/>
          <w:kern w:val="0"/>
          <w:sz w:val="18"/>
          <w:szCs w:val="18"/>
          <w:shd w:val="clear" w:color="auto" w:fill="FFFFFF"/>
        </w:rPr>
        <w:t xml:space="preserve"> In the second quarter of 2021 the Board of Directors reinstated quarterly dividends. The Board of Directors revisits dividends on a quart</w:t>
      </w:r>
      <w:r w:rsidRPr="002F3D36">
        <w:rPr>
          <w:rFonts w:ascii="Arial" w:eastAsia="宋体" w:hAnsi="Arial" w:cs="Arial"/>
          <w:color w:val="000000"/>
          <w:kern w:val="0"/>
          <w:sz w:val="18"/>
          <w:szCs w:val="18"/>
        </w:rPr>
        <w:t>erly basis. There can be no assurance that the Board of Directors will declare dividends in the future. See Autoliv’s corporate website for additional details regarding historical dividends.</w:t>
      </w:r>
    </w:p>
    <w:p w14:paraId="0A5499B8"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Stock incentive plan</w:t>
      </w:r>
    </w:p>
    <w:p w14:paraId="6A99D566"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Autoliv employees participate in the Autoliv, Inc. 1997 Stock Incentive Plan, as amended (the “Stock Incentive Plan”) and receive Autoliv stock-based awards from time to time. Additional information regarding the securities authorized for issuance under the Stock Incentive Plan is included in Item 12 of this Annual Report.</w:t>
      </w:r>
    </w:p>
    <w:p w14:paraId="2A9C94AE"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10202"/>
          <w:kern w:val="0"/>
          <w:sz w:val="18"/>
          <w:szCs w:val="18"/>
        </w:rPr>
        <w:t xml:space="preserve">Autoliv has adopted a Stock Ownership Policy for Executives requiring the Company’s Chief Executive Officer (CEO) to accumulate and hold the number of Autoliv shares having a value of twice his annual </w:t>
      </w:r>
      <w:r w:rsidRPr="002F3D36">
        <w:rPr>
          <w:rFonts w:ascii="Arial" w:eastAsia="宋体" w:hAnsi="Arial" w:cs="Arial"/>
          <w:color w:val="010202"/>
          <w:kern w:val="0"/>
          <w:sz w:val="18"/>
          <w:szCs w:val="18"/>
        </w:rPr>
        <w:lastRenderedPageBreak/>
        <w:t>base salary. For other executives, the minimum requirement is, over time, a holding equal to each executive’s annual base salary.</w:t>
      </w:r>
    </w:p>
    <w:p w14:paraId="54009CE5"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10202"/>
          <w:kern w:val="0"/>
          <w:sz w:val="18"/>
          <w:szCs w:val="18"/>
        </w:rPr>
        <w:t>Stock repurchase program</w:t>
      </w:r>
    </w:p>
    <w:p w14:paraId="368FD42F" w14:textId="77777777" w:rsidR="002F3D36" w:rsidRPr="002F3D36" w:rsidRDefault="002F3D36" w:rsidP="002F3D36">
      <w:pPr>
        <w:widowControl/>
        <w:spacing w:before="120"/>
        <w:jc w:val="left"/>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On December 31, 2021, the stock repurchase program authorized by the Board of Directors in 2014 expired with approximately 3 million shares remaining. In November 2021, the Board of Directors approved a new stock repurchase program that authorizes the Company to repurchase up to $1.5 billion or up to 17 million shares (whichever comes first) between January 2022 and the end of 2024.</w:t>
      </w:r>
    </w:p>
    <w:p w14:paraId="46CBE47E" w14:textId="77777777" w:rsidR="002F3D36" w:rsidRPr="002F3D36" w:rsidRDefault="002F3D36" w:rsidP="002F3D36">
      <w:pPr>
        <w:widowControl/>
        <w:spacing w:before="240"/>
        <w:jc w:val="center"/>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30</w:t>
      </w:r>
    </w:p>
    <w:p w14:paraId="17099250" w14:textId="77777777" w:rsidR="002F3D36" w:rsidRPr="002F3D36" w:rsidRDefault="002F3D36" w:rsidP="002F3D36">
      <w:pPr>
        <w:widowControl/>
        <w:jc w:val="left"/>
        <w:rPr>
          <w:rFonts w:ascii="宋体" w:eastAsia="宋体" w:hAnsi="宋体" w:cs="宋体"/>
          <w:kern w:val="0"/>
          <w:sz w:val="24"/>
          <w:szCs w:val="24"/>
        </w:rPr>
      </w:pPr>
      <w:r w:rsidRPr="002F3D36">
        <w:rPr>
          <w:rFonts w:ascii="宋体" w:eastAsia="宋体" w:hAnsi="宋体" w:cs="宋体"/>
          <w:kern w:val="0"/>
          <w:sz w:val="24"/>
          <w:szCs w:val="24"/>
        </w:rPr>
        <w:pict w14:anchorId="29A65C50">
          <v:rect id="_x0000_i1057" style="width:0;height:1.5pt" o:hralign="center" o:hrstd="t" o:hrnoshade="t" o:hr="t" fillcolor="black" stroked="f"/>
        </w:pict>
      </w:r>
    </w:p>
    <w:p w14:paraId="653EC70D" w14:textId="77777777" w:rsidR="002F3D36" w:rsidRPr="002F3D36" w:rsidRDefault="002F3D36" w:rsidP="002F3D36">
      <w:pPr>
        <w:widowControl/>
        <w:spacing w:line="20" w:lineRule="atLeast"/>
        <w:jc w:val="left"/>
        <w:rPr>
          <w:rFonts w:ascii="Times New Roman" w:eastAsia="宋体" w:hAnsi="Times New Roman" w:cs="Times New Roman"/>
          <w:color w:val="000000"/>
          <w:kern w:val="0"/>
          <w:sz w:val="20"/>
          <w:szCs w:val="20"/>
        </w:rPr>
      </w:pPr>
      <w:r w:rsidRPr="002F3D36">
        <w:rPr>
          <w:rFonts w:ascii="Arial" w:eastAsia="宋体" w:hAnsi="Arial" w:cs="Arial"/>
          <w:color w:val="000000"/>
          <w:kern w:val="0"/>
          <w:sz w:val="2"/>
          <w:szCs w:val="2"/>
        </w:rPr>
        <w:t> </w:t>
      </w:r>
    </w:p>
    <w:p w14:paraId="34671C35"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22"/>
        </w:rPr>
        <w:t>Item 7. Management’s Discussion and Analysis of Financial Condition and Results of Operations</w:t>
      </w:r>
    </w:p>
    <w:p w14:paraId="72B1F8F7"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b/>
          <w:bCs/>
          <w:caps/>
          <w:color w:val="000000"/>
          <w:kern w:val="0"/>
          <w:sz w:val="18"/>
          <w:szCs w:val="18"/>
        </w:rPr>
        <w:t>IMPORTANT TRENDS</w:t>
      </w:r>
    </w:p>
    <w:p w14:paraId="30A90229"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The discussions and analysis in this section are focused on the Company’s results of operations for the year ended December 31, 2021 compared to the year ended December 31, 2020. Discussions of the Company's results of operations for the year ended December 31, 2020 compared to the year ended December 31, 2019 can be found in Part II, Item 7. Management's Discussion and Analysis of Financial Condition and Results of Operations in the Company's Form 10-K for the year ended December 31, 2020, which was filed with the United States Securities and Exchange Commission on February 21, 2021.</w:t>
      </w:r>
    </w:p>
    <w:p w14:paraId="5EC49E0F"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Autoliv, Inc. (the “Company”) provides automotive safety systems to the automotive industry with a broad range of product offerings, primarily passive safety systems. In the year ended December 31, 2021, a number of factors have influenced the Company’s results of operations. The most notable factors have been:</w:t>
      </w:r>
    </w:p>
    <w:p w14:paraId="37F08402" w14:textId="77777777" w:rsidR="002F3D36" w:rsidRPr="002F3D36" w:rsidRDefault="002F3D36" w:rsidP="002F3D36">
      <w:pPr>
        <w:widowControl/>
        <w:rPr>
          <w:rFonts w:ascii="微软雅黑" w:eastAsia="微软雅黑" w:hAnsi="微软雅黑" w:cs="宋体"/>
          <w:color w:val="000000"/>
          <w:kern w:val="0"/>
          <w:sz w:val="27"/>
          <w:szCs w:val="27"/>
        </w:rPr>
      </w:pPr>
      <w:r w:rsidRPr="002F3D36">
        <w:rPr>
          <w:rFonts w:ascii="Times New Roman" w:eastAsia="微软雅黑" w:hAnsi="Times New Roman" w:cs="Times New Roman"/>
          <w:color w:val="000000"/>
          <w:kern w:val="0"/>
          <w:sz w:val="18"/>
          <w:szCs w:val="18"/>
        </w:rPr>
        <w:t>•</w:t>
      </w:r>
    </w:p>
    <w:p w14:paraId="21052369" w14:textId="77777777" w:rsidR="002F3D36" w:rsidRPr="002F3D36" w:rsidRDefault="002F3D36" w:rsidP="002F3D36">
      <w:pPr>
        <w:widowControl/>
        <w:rPr>
          <w:rFonts w:ascii="微软雅黑" w:eastAsia="微软雅黑" w:hAnsi="微软雅黑" w:cs="宋体" w:hint="eastAsia"/>
          <w:color w:val="000000"/>
          <w:kern w:val="0"/>
          <w:sz w:val="27"/>
          <w:szCs w:val="27"/>
        </w:rPr>
      </w:pPr>
      <w:r w:rsidRPr="002F3D36">
        <w:rPr>
          <w:rFonts w:ascii="Arial" w:eastAsia="微软雅黑" w:hAnsi="Arial" w:cs="Arial"/>
          <w:color w:val="000000"/>
          <w:kern w:val="0"/>
          <w:sz w:val="18"/>
          <w:szCs w:val="18"/>
        </w:rPr>
        <w:t xml:space="preserve">COVID-19 pandemic </w:t>
      </w:r>
    </w:p>
    <w:p w14:paraId="5D2C2F16" w14:textId="77777777" w:rsidR="002F3D36" w:rsidRPr="002F3D36" w:rsidRDefault="002F3D36" w:rsidP="002F3D36">
      <w:pPr>
        <w:widowControl/>
        <w:rPr>
          <w:rFonts w:ascii="微软雅黑" w:eastAsia="微软雅黑" w:hAnsi="微软雅黑" w:cs="宋体" w:hint="eastAsia"/>
          <w:color w:val="000000"/>
          <w:kern w:val="0"/>
          <w:sz w:val="27"/>
          <w:szCs w:val="27"/>
        </w:rPr>
      </w:pPr>
      <w:r w:rsidRPr="002F3D36">
        <w:rPr>
          <w:rFonts w:ascii="Times New Roman" w:eastAsia="微软雅黑" w:hAnsi="Times New Roman" w:cs="Times New Roman"/>
          <w:color w:val="000000"/>
          <w:kern w:val="0"/>
          <w:sz w:val="18"/>
          <w:szCs w:val="18"/>
        </w:rPr>
        <w:t>•</w:t>
      </w:r>
    </w:p>
    <w:p w14:paraId="031744D3" w14:textId="77777777" w:rsidR="002F3D36" w:rsidRPr="002F3D36" w:rsidRDefault="002F3D36" w:rsidP="002F3D36">
      <w:pPr>
        <w:widowControl/>
        <w:rPr>
          <w:rFonts w:ascii="微软雅黑" w:eastAsia="微软雅黑" w:hAnsi="微软雅黑" w:cs="宋体" w:hint="eastAsia"/>
          <w:color w:val="000000"/>
          <w:kern w:val="0"/>
          <w:sz w:val="27"/>
          <w:szCs w:val="27"/>
        </w:rPr>
      </w:pPr>
      <w:r w:rsidRPr="002F3D36">
        <w:rPr>
          <w:rFonts w:ascii="Arial" w:eastAsia="微软雅黑" w:hAnsi="Arial" w:cs="Arial"/>
          <w:color w:val="000000"/>
          <w:kern w:val="0"/>
          <w:sz w:val="18"/>
          <w:szCs w:val="18"/>
        </w:rPr>
        <w:t>Industry supply chain challenges and availability of semi-conductors limiting the light vehicle production ("LVP") recovery</w:t>
      </w:r>
    </w:p>
    <w:p w14:paraId="2EB8005C" w14:textId="77777777" w:rsidR="002F3D36" w:rsidRPr="002F3D36" w:rsidRDefault="002F3D36" w:rsidP="002F3D36">
      <w:pPr>
        <w:widowControl/>
        <w:rPr>
          <w:rFonts w:ascii="微软雅黑" w:eastAsia="微软雅黑" w:hAnsi="微软雅黑" w:cs="宋体" w:hint="eastAsia"/>
          <w:color w:val="000000"/>
          <w:kern w:val="0"/>
          <w:sz w:val="27"/>
          <w:szCs w:val="27"/>
        </w:rPr>
      </w:pPr>
      <w:r w:rsidRPr="002F3D36">
        <w:rPr>
          <w:rFonts w:ascii="Times New Roman" w:eastAsia="微软雅黑" w:hAnsi="Times New Roman" w:cs="Times New Roman"/>
          <w:color w:val="000000"/>
          <w:kern w:val="0"/>
          <w:sz w:val="18"/>
          <w:szCs w:val="18"/>
        </w:rPr>
        <w:t>•</w:t>
      </w:r>
    </w:p>
    <w:p w14:paraId="63F29B9E" w14:textId="77777777" w:rsidR="002F3D36" w:rsidRPr="002F3D36" w:rsidRDefault="002F3D36" w:rsidP="002F3D36">
      <w:pPr>
        <w:widowControl/>
        <w:rPr>
          <w:rFonts w:ascii="微软雅黑" w:eastAsia="微软雅黑" w:hAnsi="微软雅黑" w:cs="宋体" w:hint="eastAsia"/>
          <w:color w:val="000000"/>
          <w:kern w:val="0"/>
          <w:sz w:val="27"/>
          <w:szCs w:val="27"/>
        </w:rPr>
      </w:pPr>
      <w:r w:rsidRPr="002F3D36">
        <w:rPr>
          <w:rFonts w:ascii="Arial" w:eastAsia="微软雅黑" w:hAnsi="Arial" w:cs="Arial"/>
          <w:color w:val="000000"/>
          <w:kern w:val="0"/>
          <w:sz w:val="18"/>
          <w:szCs w:val="18"/>
        </w:rPr>
        <w:t>Raw material price increases</w:t>
      </w:r>
    </w:p>
    <w:p w14:paraId="6D48F734" w14:textId="77777777" w:rsidR="002F3D36" w:rsidRPr="002F3D36" w:rsidRDefault="002F3D36" w:rsidP="002F3D36">
      <w:pPr>
        <w:widowControl/>
        <w:rPr>
          <w:rFonts w:ascii="微软雅黑" w:eastAsia="微软雅黑" w:hAnsi="微软雅黑" w:cs="宋体" w:hint="eastAsia"/>
          <w:color w:val="000000"/>
          <w:kern w:val="0"/>
          <w:sz w:val="27"/>
          <w:szCs w:val="27"/>
        </w:rPr>
      </w:pPr>
      <w:r w:rsidRPr="002F3D36">
        <w:rPr>
          <w:rFonts w:ascii="Times New Roman" w:eastAsia="微软雅黑" w:hAnsi="Times New Roman" w:cs="Times New Roman"/>
          <w:color w:val="000000"/>
          <w:kern w:val="0"/>
          <w:sz w:val="18"/>
          <w:szCs w:val="18"/>
        </w:rPr>
        <w:t>•</w:t>
      </w:r>
    </w:p>
    <w:p w14:paraId="23407AEE" w14:textId="77777777" w:rsidR="002F3D36" w:rsidRPr="002F3D36" w:rsidRDefault="002F3D36" w:rsidP="002F3D36">
      <w:pPr>
        <w:widowControl/>
        <w:rPr>
          <w:rFonts w:ascii="微软雅黑" w:eastAsia="微软雅黑" w:hAnsi="微软雅黑" w:cs="宋体" w:hint="eastAsia"/>
          <w:color w:val="000000"/>
          <w:kern w:val="0"/>
          <w:sz w:val="27"/>
          <w:szCs w:val="27"/>
        </w:rPr>
      </w:pPr>
      <w:r w:rsidRPr="002F3D36">
        <w:rPr>
          <w:rFonts w:ascii="Arial" w:eastAsia="微软雅黑" w:hAnsi="Arial" w:cs="Arial"/>
          <w:color w:val="000000"/>
          <w:kern w:val="0"/>
          <w:sz w:val="18"/>
          <w:szCs w:val="18"/>
        </w:rPr>
        <w:t>Continued growth above LVP driven by higher content per vehicle and execution of strong order book</w:t>
      </w:r>
    </w:p>
    <w:p w14:paraId="7BB8CBCF" w14:textId="77777777" w:rsidR="002F3D36" w:rsidRPr="002F3D36" w:rsidRDefault="002F3D36" w:rsidP="002F3D36">
      <w:pPr>
        <w:widowControl/>
        <w:rPr>
          <w:rFonts w:ascii="微软雅黑" w:eastAsia="微软雅黑" w:hAnsi="微软雅黑" w:cs="宋体" w:hint="eastAsia"/>
          <w:color w:val="000000"/>
          <w:kern w:val="0"/>
          <w:sz w:val="27"/>
          <w:szCs w:val="27"/>
        </w:rPr>
      </w:pPr>
      <w:r w:rsidRPr="002F3D36">
        <w:rPr>
          <w:rFonts w:ascii="Times New Roman" w:eastAsia="微软雅黑" w:hAnsi="Times New Roman" w:cs="Times New Roman"/>
          <w:color w:val="000000"/>
          <w:kern w:val="0"/>
          <w:sz w:val="18"/>
          <w:szCs w:val="18"/>
        </w:rPr>
        <w:t>•</w:t>
      </w:r>
    </w:p>
    <w:p w14:paraId="7B6FABBF" w14:textId="77777777" w:rsidR="002F3D36" w:rsidRPr="002F3D36" w:rsidRDefault="002F3D36" w:rsidP="002F3D36">
      <w:pPr>
        <w:widowControl/>
        <w:rPr>
          <w:rFonts w:ascii="微软雅黑" w:eastAsia="微软雅黑" w:hAnsi="微软雅黑" w:cs="宋体" w:hint="eastAsia"/>
          <w:color w:val="000000"/>
          <w:kern w:val="0"/>
          <w:sz w:val="27"/>
          <w:szCs w:val="27"/>
        </w:rPr>
      </w:pPr>
      <w:r w:rsidRPr="002F3D36">
        <w:rPr>
          <w:rFonts w:ascii="Arial" w:eastAsia="微软雅黑" w:hAnsi="Arial" w:cs="Arial"/>
          <w:color w:val="000000"/>
          <w:kern w:val="0"/>
          <w:sz w:val="18"/>
          <w:szCs w:val="18"/>
        </w:rPr>
        <w:t>High order intake share maintained</w:t>
      </w:r>
    </w:p>
    <w:p w14:paraId="061CBFCB" w14:textId="77777777" w:rsidR="002F3D36" w:rsidRPr="002F3D36" w:rsidRDefault="002F3D36" w:rsidP="002F3D36">
      <w:pPr>
        <w:widowControl/>
        <w:rPr>
          <w:rFonts w:ascii="微软雅黑" w:eastAsia="微软雅黑" w:hAnsi="微软雅黑" w:cs="宋体" w:hint="eastAsia"/>
          <w:color w:val="000000"/>
          <w:kern w:val="0"/>
          <w:sz w:val="27"/>
          <w:szCs w:val="27"/>
        </w:rPr>
      </w:pPr>
      <w:r w:rsidRPr="002F3D36">
        <w:rPr>
          <w:rFonts w:ascii="Times New Roman" w:eastAsia="微软雅黑" w:hAnsi="Times New Roman" w:cs="Times New Roman"/>
          <w:color w:val="000000"/>
          <w:kern w:val="0"/>
          <w:sz w:val="18"/>
          <w:szCs w:val="18"/>
        </w:rPr>
        <w:t>•</w:t>
      </w:r>
    </w:p>
    <w:p w14:paraId="17F67689" w14:textId="77777777" w:rsidR="002F3D36" w:rsidRPr="002F3D36" w:rsidRDefault="002F3D36" w:rsidP="002F3D36">
      <w:pPr>
        <w:widowControl/>
        <w:rPr>
          <w:rFonts w:ascii="微软雅黑" w:eastAsia="微软雅黑" w:hAnsi="微软雅黑" w:cs="宋体" w:hint="eastAsia"/>
          <w:color w:val="000000"/>
          <w:kern w:val="0"/>
          <w:sz w:val="27"/>
          <w:szCs w:val="27"/>
        </w:rPr>
      </w:pPr>
      <w:r w:rsidRPr="002F3D36">
        <w:rPr>
          <w:rFonts w:ascii="Arial" w:eastAsia="微软雅黑" w:hAnsi="Arial" w:cs="Arial"/>
          <w:color w:val="000000"/>
          <w:kern w:val="0"/>
          <w:sz w:val="18"/>
          <w:szCs w:val="18"/>
        </w:rPr>
        <w:t xml:space="preserve">Strategic and structural initiatives </w:t>
      </w:r>
    </w:p>
    <w:p w14:paraId="652E2A8D" w14:textId="77777777" w:rsidR="002F3D36" w:rsidRPr="002F3D36" w:rsidRDefault="002F3D36" w:rsidP="002F3D36">
      <w:pPr>
        <w:widowControl/>
        <w:rPr>
          <w:rFonts w:ascii="微软雅黑" w:eastAsia="微软雅黑" w:hAnsi="微软雅黑" w:cs="宋体" w:hint="eastAsia"/>
          <w:color w:val="000000"/>
          <w:kern w:val="0"/>
          <w:sz w:val="27"/>
          <w:szCs w:val="27"/>
        </w:rPr>
      </w:pPr>
      <w:r w:rsidRPr="002F3D36">
        <w:rPr>
          <w:rFonts w:ascii="Times New Roman" w:eastAsia="微软雅黑" w:hAnsi="Times New Roman" w:cs="Times New Roman"/>
          <w:color w:val="000000"/>
          <w:kern w:val="0"/>
          <w:sz w:val="18"/>
          <w:szCs w:val="18"/>
        </w:rPr>
        <w:t>•</w:t>
      </w:r>
    </w:p>
    <w:p w14:paraId="372359AF" w14:textId="77777777" w:rsidR="002F3D36" w:rsidRPr="002F3D36" w:rsidRDefault="002F3D36" w:rsidP="002F3D36">
      <w:pPr>
        <w:widowControl/>
        <w:rPr>
          <w:rFonts w:ascii="微软雅黑" w:eastAsia="微软雅黑" w:hAnsi="微软雅黑" w:cs="宋体" w:hint="eastAsia"/>
          <w:color w:val="000000"/>
          <w:kern w:val="0"/>
          <w:sz w:val="27"/>
          <w:szCs w:val="27"/>
        </w:rPr>
      </w:pPr>
      <w:r w:rsidRPr="002F3D36">
        <w:rPr>
          <w:rFonts w:ascii="Arial" w:eastAsia="微软雅黑" w:hAnsi="Arial" w:cs="Arial"/>
          <w:color w:val="000000"/>
          <w:kern w:val="0"/>
          <w:sz w:val="18"/>
          <w:szCs w:val="18"/>
        </w:rPr>
        <w:t>Continued focus on operational excellence and quality</w:t>
      </w:r>
    </w:p>
    <w:p w14:paraId="62346F15" w14:textId="77777777" w:rsidR="002F3D36" w:rsidRPr="002F3D36" w:rsidRDefault="002F3D36" w:rsidP="002F3D36">
      <w:pPr>
        <w:widowControl/>
        <w:rPr>
          <w:rFonts w:ascii="Times New Roman" w:eastAsia="宋体" w:hAnsi="Times New Roman" w:cs="Times New Roman" w:hint="eastAsia"/>
          <w:color w:val="000000"/>
          <w:kern w:val="0"/>
          <w:sz w:val="20"/>
          <w:szCs w:val="20"/>
        </w:rPr>
      </w:pPr>
      <w:r w:rsidRPr="002F3D36">
        <w:rPr>
          <w:rFonts w:ascii="Arial" w:eastAsia="宋体" w:hAnsi="Arial" w:cs="Arial"/>
          <w:color w:val="000000"/>
          <w:kern w:val="0"/>
          <w:sz w:val="18"/>
          <w:szCs w:val="18"/>
        </w:rPr>
        <w:t> </w:t>
      </w:r>
    </w:p>
    <w:tbl>
      <w:tblPr>
        <w:tblW w:w="20614" w:type="dxa"/>
        <w:tblCellSpacing w:w="15" w:type="dxa"/>
        <w:tblCellMar>
          <w:top w:w="15" w:type="dxa"/>
          <w:left w:w="15" w:type="dxa"/>
          <w:bottom w:w="15" w:type="dxa"/>
          <w:right w:w="15" w:type="dxa"/>
        </w:tblCellMar>
        <w:tblLook w:val="04A0" w:firstRow="1" w:lastRow="0" w:firstColumn="1" w:lastColumn="0" w:noHBand="0" w:noVBand="1"/>
      </w:tblPr>
      <w:tblGrid>
        <w:gridCol w:w="11204"/>
        <w:gridCol w:w="272"/>
        <w:gridCol w:w="1436"/>
        <w:gridCol w:w="229"/>
        <w:gridCol w:w="346"/>
        <w:gridCol w:w="231"/>
        <w:gridCol w:w="1438"/>
        <w:gridCol w:w="231"/>
        <w:gridCol w:w="530"/>
        <w:gridCol w:w="272"/>
        <w:gridCol w:w="1436"/>
        <w:gridCol w:w="229"/>
        <w:gridCol w:w="346"/>
        <w:gridCol w:w="231"/>
        <w:gridCol w:w="1406"/>
        <w:gridCol w:w="231"/>
        <w:gridCol w:w="546"/>
      </w:tblGrid>
      <w:tr w:rsidR="002F3D36" w:rsidRPr="002F3D36" w14:paraId="339F9766" w14:textId="77777777" w:rsidTr="002F3D36">
        <w:trPr>
          <w:tblCellSpacing w:w="15" w:type="dxa"/>
        </w:trPr>
        <w:tc>
          <w:tcPr>
            <w:tcW w:w="11181" w:type="dxa"/>
            <w:vAlign w:val="center"/>
            <w:hideMark/>
          </w:tcPr>
          <w:p w14:paraId="109650AC" w14:textId="77777777" w:rsidR="002F3D36" w:rsidRPr="002F3D36" w:rsidRDefault="002F3D36" w:rsidP="002F3D36">
            <w:pPr>
              <w:widowControl/>
              <w:jc w:val="left"/>
              <w:rPr>
                <w:rFonts w:ascii="Times New Roman" w:eastAsia="宋体" w:hAnsi="Times New Roman" w:cs="Times New Roman"/>
                <w:color w:val="000000"/>
                <w:kern w:val="0"/>
                <w:sz w:val="20"/>
                <w:szCs w:val="20"/>
              </w:rPr>
            </w:pPr>
          </w:p>
        </w:tc>
        <w:tc>
          <w:tcPr>
            <w:tcW w:w="242" w:type="dxa"/>
            <w:vAlign w:val="center"/>
            <w:hideMark/>
          </w:tcPr>
          <w:p w14:paraId="71A19A5E"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408" w:type="dxa"/>
            <w:vAlign w:val="center"/>
            <w:hideMark/>
          </w:tcPr>
          <w:p w14:paraId="5FABF7B7"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99" w:type="dxa"/>
            <w:vAlign w:val="center"/>
            <w:hideMark/>
          </w:tcPr>
          <w:p w14:paraId="634B1327"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316" w:type="dxa"/>
            <w:vAlign w:val="center"/>
            <w:hideMark/>
          </w:tcPr>
          <w:p w14:paraId="522A99AE"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01" w:type="dxa"/>
            <w:vAlign w:val="center"/>
            <w:hideMark/>
          </w:tcPr>
          <w:p w14:paraId="4756923C"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410" w:type="dxa"/>
            <w:vAlign w:val="center"/>
            <w:hideMark/>
          </w:tcPr>
          <w:p w14:paraId="5F34E275"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01" w:type="dxa"/>
            <w:vAlign w:val="center"/>
            <w:hideMark/>
          </w:tcPr>
          <w:p w14:paraId="0AE09A78"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501" w:type="dxa"/>
            <w:vAlign w:val="center"/>
            <w:hideMark/>
          </w:tcPr>
          <w:p w14:paraId="659299A6"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42" w:type="dxa"/>
            <w:vAlign w:val="center"/>
            <w:hideMark/>
          </w:tcPr>
          <w:p w14:paraId="441D6E04"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408" w:type="dxa"/>
            <w:vAlign w:val="center"/>
            <w:hideMark/>
          </w:tcPr>
          <w:p w14:paraId="38125AD5"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99" w:type="dxa"/>
            <w:vAlign w:val="center"/>
            <w:hideMark/>
          </w:tcPr>
          <w:p w14:paraId="33336CE1"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316" w:type="dxa"/>
            <w:vAlign w:val="center"/>
            <w:hideMark/>
          </w:tcPr>
          <w:p w14:paraId="56E4C2DD"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01" w:type="dxa"/>
            <w:vAlign w:val="center"/>
            <w:hideMark/>
          </w:tcPr>
          <w:p w14:paraId="21146AEF"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378" w:type="dxa"/>
            <w:vAlign w:val="center"/>
            <w:hideMark/>
          </w:tcPr>
          <w:p w14:paraId="275713B7"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01" w:type="dxa"/>
            <w:vAlign w:val="center"/>
            <w:hideMark/>
          </w:tcPr>
          <w:p w14:paraId="529C127F"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502" w:type="dxa"/>
            <w:vAlign w:val="center"/>
            <w:hideMark/>
          </w:tcPr>
          <w:p w14:paraId="487E62C2" w14:textId="77777777" w:rsidR="002F3D36" w:rsidRPr="002F3D36" w:rsidRDefault="002F3D36" w:rsidP="002F3D36">
            <w:pPr>
              <w:widowControl/>
              <w:jc w:val="left"/>
              <w:rPr>
                <w:rFonts w:ascii="Times New Roman" w:eastAsia="Times New Roman" w:hAnsi="Times New Roman" w:cs="Times New Roman"/>
                <w:kern w:val="0"/>
                <w:sz w:val="20"/>
                <w:szCs w:val="20"/>
              </w:rPr>
            </w:pPr>
          </w:p>
        </w:tc>
      </w:tr>
      <w:tr w:rsidR="002F3D36" w:rsidRPr="002F3D36" w14:paraId="32983F46" w14:textId="77777777" w:rsidTr="002F3D36">
        <w:trPr>
          <w:trHeight w:val="160"/>
          <w:tblCellSpacing w:w="15" w:type="dxa"/>
        </w:trPr>
        <w:tc>
          <w:tcPr>
            <w:tcW w:w="0" w:type="auto"/>
            <w:vAlign w:val="bottom"/>
            <w:hideMark/>
          </w:tcPr>
          <w:p w14:paraId="0C80059D"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gridSpan w:val="6"/>
            <w:tcBorders>
              <w:bottom w:val="single" w:sz="4" w:space="0" w:color="000000"/>
            </w:tcBorders>
            <w:vAlign w:val="bottom"/>
            <w:hideMark/>
          </w:tcPr>
          <w:p w14:paraId="26641E8B"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b/>
                <w:bCs/>
                <w:color w:val="000000"/>
                <w:kern w:val="0"/>
                <w:sz w:val="16"/>
                <w:szCs w:val="16"/>
              </w:rPr>
              <w:t>2021</w:t>
            </w:r>
          </w:p>
        </w:tc>
        <w:tc>
          <w:tcPr>
            <w:tcW w:w="0" w:type="auto"/>
            <w:vAlign w:val="bottom"/>
            <w:hideMark/>
          </w:tcPr>
          <w:p w14:paraId="69F49169"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vAlign w:val="bottom"/>
            <w:hideMark/>
          </w:tcPr>
          <w:p w14:paraId="667B5DF5" w14:textId="77777777" w:rsidR="002F3D36" w:rsidRPr="002F3D36" w:rsidRDefault="002F3D36" w:rsidP="002F3D36">
            <w:pPr>
              <w:widowControl/>
              <w:jc w:val="left"/>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gridSpan w:val="6"/>
            <w:tcBorders>
              <w:bottom w:val="single" w:sz="4" w:space="0" w:color="000000"/>
            </w:tcBorders>
            <w:vAlign w:val="bottom"/>
            <w:hideMark/>
          </w:tcPr>
          <w:p w14:paraId="25D060AA"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b/>
                <w:bCs/>
                <w:color w:val="000000"/>
                <w:kern w:val="0"/>
                <w:sz w:val="16"/>
                <w:szCs w:val="16"/>
              </w:rPr>
              <w:t>2020</w:t>
            </w:r>
          </w:p>
        </w:tc>
        <w:tc>
          <w:tcPr>
            <w:tcW w:w="0" w:type="auto"/>
            <w:vAlign w:val="bottom"/>
            <w:hideMark/>
          </w:tcPr>
          <w:p w14:paraId="4619195F"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vAlign w:val="bottom"/>
            <w:hideMark/>
          </w:tcPr>
          <w:p w14:paraId="4BEF3384"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r>
      <w:tr w:rsidR="002F3D36" w:rsidRPr="002F3D36" w14:paraId="73307ED0" w14:textId="77777777" w:rsidTr="002F3D36">
        <w:trPr>
          <w:trHeight w:val="160"/>
          <w:tblCellSpacing w:w="15" w:type="dxa"/>
        </w:trPr>
        <w:tc>
          <w:tcPr>
            <w:tcW w:w="0" w:type="auto"/>
            <w:vAlign w:val="bottom"/>
            <w:hideMark/>
          </w:tcPr>
          <w:p w14:paraId="15C01EA0" w14:textId="77777777" w:rsidR="002F3D36" w:rsidRPr="002F3D36" w:rsidRDefault="002F3D36" w:rsidP="002F3D36">
            <w:pPr>
              <w:widowControl/>
              <w:jc w:val="left"/>
              <w:rPr>
                <w:rFonts w:ascii="Times New Roman" w:eastAsia="微软雅黑" w:hAnsi="Times New Roman" w:cs="Times New Roman"/>
                <w:kern w:val="0"/>
                <w:sz w:val="16"/>
                <w:szCs w:val="16"/>
              </w:rPr>
            </w:pPr>
            <w:r w:rsidRPr="002F3D36">
              <w:rPr>
                <w:rFonts w:ascii="Arial" w:eastAsia="微软雅黑" w:hAnsi="Arial" w:cs="Arial"/>
                <w:b/>
                <w:bCs/>
                <w:color w:val="000000"/>
                <w:kern w:val="0"/>
                <w:sz w:val="16"/>
                <w:szCs w:val="16"/>
                <w:u w:val="single"/>
              </w:rPr>
              <w:lastRenderedPageBreak/>
              <w:t>YEARS ENDED DEC. 31 (DOLLARS IN MILLIONS, EXCEPT EPS)</w:t>
            </w:r>
          </w:p>
        </w:tc>
        <w:tc>
          <w:tcPr>
            <w:tcW w:w="0" w:type="auto"/>
            <w:gridSpan w:val="2"/>
            <w:tcBorders>
              <w:bottom w:val="single" w:sz="4" w:space="0" w:color="000000"/>
            </w:tcBorders>
            <w:vAlign w:val="bottom"/>
            <w:hideMark/>
          </w:tcPr>
          <w:p w14:paraId="06638A77"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b/>
                <w:bCs/>
                <w:color w:val="000000"/>
                <w:kern w:val="0"/>
                <w:sz w:val="16"/>
                <w:szCs w:val="16"/>
              </w:rPr>
              <w:t>Reported</w:t>
            </w:r>
            <w:r w:rsidRPr="002F3D36">
              <w:rPr>
                <w:rFonts w:ascii="Arial" w:eastAsia="微软雅黑" w:hAnsi="Arial" w:cs="Arial"/>
                <w:b/>
                <w:bCs/>
                <w:color w:val="000000"/>
                <w:kern w:val="0"/>
                <w:sz w:val="11"/>
                <w:szCs w:val="11"/>
              </w:rPr>
              <w:t>1)</w:t>
            </w:r>
          </w:p>
        </w:tc>
        <w:tc>
          <w:tcPr>
            <w:tcW w:w="0" w:type="auto"/>
            <w:vAlign w:val="bottom"/>
            <w:hideMark/>
          </w:tcPr>
          <w:p w14:paraId="33C39C65"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vAlign w:val="bottom"/>
            <w:hideMark/>
          </w:tcPr>
          <w:p w14:paraId="7253AC20" w14:textId="77777777" w:rsidR="002F3D36" w:rsidRPr="002F3D36" w:rsidRDefault="002F3D36" w:rsidP="002F3D36">
            <w:pPr>
              <w:widowControl/>
              <w:jc w:val="left"/>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gridSpan w:val="2"/>
            <w:tcBorders>
              <w:bottom w:val="single" w:sz="4" w:space="0" w:color="000000"/>
            </w:tcBorders>
            <w:vAlign w:val="bottom"/>
            <w:hideMark/>
          </w:tcPr>
          <w:p w14:paraId="0EFF34E0"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b/>
                <w:bCs/>
                <w:color w:val="000000"/>
                <w:kern w:val="0"/>
                <w:sz w:val="16"/>
                <w:szCs w:val="16"/>
              </w:rPr>
              <w:t>change</w:t>
            </w:r>
          </w:p>
        </w:tc>
        <w:tc>
          <w:tcPr>
            <w:tcW w:w="0" w:type="auto"/>
            <w:vAlign w:val="bottom"/>
            <w:hideMark/>
          </w:tcPr>
          <w:p w14:paraId="6F9C228E"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vAlign w:val="bottom"/>
            <w:hideMark/>
          </w:tcPr>
          <w:p w14:paraId="53E68FBB" w14:textId="77777777" w:rsidR="002F3D36" w:rsidRPr="002F3D36" w:rsidRDefault="002F3D36" w:rsidP="002F3D36">
            <w:pPr>
              <w:widowControl/>
              <w:jc w:val="left"/>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gridSpan w:val="2"/>
            <w:tcBorders>
              <w:bottom w:val="single" w:sz="4" w:space="0" w:color="000000"/>
            </w:tcBorders>
            <w:vAlign w:val="bottom"/>
            <w:hideMark/>
          </w:tcPr>
          <w:p w14:paraId="4F24D35F"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b/>
                <w:bCs/>
                <w:color w:val="000000"/>
                <w:kern w:val="0"/>
                <w:sz w:val="16"/>
                <w:szCs w:val="16"/>
              </w:rPr>
              <w:t>Reported</w:t>
            </w:r>
            <w:r w:rsidRPr="002F3D36">
              <w:rPr>
                <w:rFonts w:ascii="Arial" w:eastAsia="微软雅黑" w:hAnsi="Arial" w:cs="Arial"/>
                <w:b/>
                <w:bCs/>
                <w:color w:val="000000"/>
                <w:kern w:val="0"/>
                <w:sz w:val="11"/>
                <w:szCs w:val="11"/>
              </w:rPr>
              <w:t>1)</w:t>
            </w:r>
          </w:p>
        </w:tc>
        <w:tc>
          <w:tcPr>
            <w:tcW w:w="0" w:type="auto"/>
            <w:vAlign w:val="bottom"/>
            <w:hideMark/>
          </w:tcPr>
          <w:p w14:paraId="52CDC691"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vAlign w:val="bottom"/>
            <w:hideMark/>
          </w:tcPr>
          <w:p w14:paraId="3B478776" w14:textId="77777777" w:rsidR="002F3D36" w:rsidRPr="002F3D36" w:rsidRDefault="002F3D36" w:rsidP="002F3D36">
            <w:pPr>
              <w:widowControl/>
              <w:jc w:val="left"/>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gridSpan w:val="2"/>
            <w:tcBorders>
              <w:bottom w:val="single" w:sz="4" w:space="0" w:color="000000"/>
            </w:tcBorders>
            <w:vAlign w:val="bottom"/>
            <w:hideMark/>
          </w:tcPr>
          <w:p w14:paraId="42248B17"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b/>
                <w:bCs/>
                <w:color w:val="000000"/>
                <w:kern w:val="0"/>
                <w:sz w:val="16"/>
                <w:szCs w:val="16"/>
              </w:rPr>
              <w:t>change</w:t>
            </w:r>
          </w:p>
        </w:tc>
        <w:tc>
          <w:tcPr>
            <w:tcW w:w="0" w:type="auto"/>
            <w:vAlign w:val="bottom"/>
            <w:hideMark/>
          </w:tcPr>
          <w:p w14:paraId="0EF8C74D"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vAlign w:val="bottom"/>
            <w:hideMark/>
          </w:tcPr>
          <w:p w14:paraId="7902958F"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r>
      <w:tr w:rsidR="002F3D36" w:rsidRPr="002F3D36" w14:paraId="43AE93AF" w14:textId="77777777" w:rsidTr="002F3D36">
        <w:trPr>
          <w:trHeight w:val="180"/>
          <w:tblCellSpacing w:w="15" w:type="dxa"/>
        </w:trPr>
        <w:tc>
          <w:tcPr>
            <w:tcW w:w="0" w:type="auto"/>
            <w:shd w:val="clear" w:color="auto" w:fill="CFF0FC"/>
            <w:hideMark/>
          </w:tcPr>
          <w:p w14:paraId="267DF91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Global light vehicle production (in thousands)</w:t>
            </w:r>
          </w:p>
        </w:tc>
        <w:tc>
          <w:tcPr>
            <w:tcW w:w="0" w:type="auto"/>
            <w:shd w:val="clear" w:color="auto" w:fill="CFF0FC"/>
            <w:vAlign w:val="bottom"/>
            <w:hideMark/>
          </w:tcPr>
          <w:p w14:paraId="49CA714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76687CEB"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73,425</w:t>
            </w:r>
          </w:p>
        </w:tc>
        <w:tc>
          <w:tcPr>
            <w:tcW w:w="0" w:type="auto"/>
            <w:shd w:val="clear" w:color="auto" w:fill="CFF0FC"/>
            <w:vAlign w:val="bottom"/>
            <w:hideMark/>
          </w:tcPr>
          <w:p w14:paraId="218D323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40CB4E2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52820B8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62012051"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3</w:t>
            </w:r>
          </w:p>
        </w:tc>
        <w:tc>
          <w:tcPr>
            <w:tcW w:w="0" w:type="auto"/>
            <w:shd w:val="clear" w:color="auto" w:fill="CFF0FC"/>
            <w:vAlign w:val="bottom"/>
            <w:hideMark/>
          </w:tcPr>
          <w:p w14:paraId="6041C14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55A1AD2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shd w:val="clear" w:color="auto" w:fill="CFF0FC"/>
            <w:vAlign w:val="bottom"/>
            <w:hideMark/>
          </w:tcPr>
          <w:p w14:paraId="367D30A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7BC11F75"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71,538</w:t>
            </w:r>
          </w:p>
        </w:tc>
        <w:tc>
          <w:tcPr>
            <w:tcW w:w="0" w:type="auto"/>
            <w:shd w:val="clear" w:color="auto" w:fill="CFF0FC"/>
            <w:vAlign w:val="bottom"/>
            <w:hideMark/>
          </w:tcPr>
          <w:p w14:paraId="3AE0B7B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59F432F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0853AE2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0D4DF800"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(17</w:t>
            </w:r>
          </w:p>
        </w:tc>
        <w:tc>
          <w:tcPr>
            <w:tcW w:w="0" w:type="auto"/>
            <w:shd w:val="clear" w:color="auto" w:fill="CFF0FC"/>
            <w:vAlign w:val="bottom"/>
            <w:hideMark/>
          </w:tcPr>
          <w:p w14:paraId="032FD0F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shd w:val="clear" w:color="auto" w:fill="CFF0FC"/>
            <w:vAlign w:val="bottom"/>
            <w:hideMark/>
          </w:tcPr>
          <w:p w14:paraId="5C6FAF8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r>
      <w:tr w:rsidR="002F3D36" w:rsidRPr="002F3D36" w14:paraId="37F3EF29" w14:textId="77777777" w:rsidTr="002F3D36">
        <w:trPr>
          <w:trHeight w:val="180"/>
          <w:tblCellSpacing w:w="15" w:type="dxa"/>
        </w:trPr>
        <w:tc>
          <w:tcPr>
            <w:tcW w:w="0" w:type="auto"/>
            <w:hideMark/>
          </w:tcPr>
          <w:p w14:paraId="1B647AC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Consolidated net sales</w:t>
            </w:r>
          </w:p>
        </w:tc>
        <w:tc>
          <w:tcPr>
            <w:tcW w:w="0" w:type="auto"/>
            <w:vAlign w:val="bottom"/>
            <w:hideMark/>
          </w:tcPr>
          <w:p w14:paraId="78C7658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vAlign w:val="bottom"/>
            <w:hideMark/>
          </w:tcPr>
          <w:p w14:paraId="148EFD8F"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8,230</w:t>
            </w:r>
          </w:p>
        </w:tc>
        <w:tc>
          <w:tcPr>
            <w:tcW w:w="0" w:type="auto"/>
            <w:vAlign w:val="bottom"/>
            <w:hideMark/>
          </w:tcPr>
          <w:p w14:paraId="4CA200D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7E06D9D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67DF437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7B2B7DD9"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11</w:t>
            </w:r>
          </w:p>
        </w:tc>
        <w:tc>
          <w:tcPr>
            <w:tcW w:w="0" w:type="auto"/>
            <w:vAlign w:val="bottom"/>
            <w:hideMark/>
          </w:tcPr>
          <w:p w14:paraId="4E87DD5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4D429DC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vAlign w:val="bottom"/>
            <w:hideMark/>
          </w:tcPr>
          <w:p w14:paraId="0FABD95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vAlign w:val="bottom"/>
            <w:hideMark/>
          </w:tcPr>
          <w:p w14:paraId="4EBD0C8F"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7,447</w:t>
            </w:r>
          </w:p>
        </w:tc>
        <w:tc>
          <w:tcPr>
            <w:tcW w:w="0" w:type="auto"/>
            <w:vAlign w:val="bottom"/>
            <w:hideMark/>
          </w:tcPr>
          <w:p w14:paraId="4597A7C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660BA73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681A34A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5063D94B"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(13</w:t>
            </w:r>
          </w:p>
        </w:tc>
        <w:tc>
          <w:tcPr>
            <w:tcW w:w="0" w:type="auto"/>
            <w:vAlign w:val="bottom"/>
            <w:hideMark/>
          </w:tcPr>
          <w:p w14:paraId="2193E32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vAlign w:val="bottom"/>
            <w:hideMark/>
          </w:tcPr>
          <w:p w14:paraId="417EC90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r>
      <w:tr w:rsidR="002F3D36" w:rsidRPr="002F3D36" w14:paraId="4EAF8227" w14:textId="77777777" w:rsidTr="002F3D36">
        <w:trPr>
          <w:trHeight w:val="180"/>
          <w:tblCellSpacing w:w="15" w:type="dxa"/>
        </w:trPr>
        <w:tc>
          <w:tcPr>
            <w:tcW w:w="0" w:type="auto"/>
            <w:shd w:val="clear" w:color="auto" w:fill="CFF0FC"/>
            <w:hideMark/>
          </w:tcPr>
          <w:p w14:paraId="242ABFE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Operating income</w:t>
            </w:r>
          </w:p>
        </w:tc>
        <w:tc>
          <w:tcPr>
            <w:tcW w:w="0" w:type="auto"/>
            <w:shd w:val="clear" w:color="auto" w:fill="CFF0FC"/>
            <w:vAlign w:val="bottom"/>
            <w:hideMark/>
          </w:tcPr>
          <w:p w14:paraId="1710C9C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7A189381"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675</w:t>
            </w:r>
          </w:p>
        </w:tc>
        <w:tc>
          <w:tcPr>
            <w:tcW w:w="0" w:type="auto"/>
            <w:shd w:val="clear" w:color="auto" w:fill="CFF0FC"/>
            <w:vAlign w:val="bottom"/>
            <w:hideMark/>
          </w:tcPr>
          <w:p w14:paraId="1BDFA40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6DA3F38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45C1BC0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345872C7"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77</w:t>
            </w:r>
          </w:p>
        </w:tc>
        <w:tc>
          <w:tcPr>
            <w:tcW w:w="0" w:type="auto"/>
            <w:shd w:val="clear" w:color="auto" w:fill="CFF0FC"/>
            <w:vAlign w:val="bottom"/>
            <w:hideMark/>
          </w:tcPr>
          <w:p w14:paraId="4038024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3FBC2A4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shd w:val="clear" w:color="auto" w:fill="CFF0FC"/>
            <w:vAlign w:val="bottom"/>
            <w:hideMark/>
          </w:tcPr>
          <w:p w14:paraId="30AF6A8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54973488"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382</w:t>
            </w:r>
          </w:p>
        </w:tc>
        <w:tc>
          <w:tcPr>
            <w:tcW w:w="0" w:type="auto"/>
            <w:shd w:val="clear" w:color="auto" w:fill="CFF0FC"/>
            <w:vAlign w:val="bottom"/>
            <w:hideMark/>
          </w:tcPr>
          <w:p w14:paraId="47C71DA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3CCA284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3277E8A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3D247B93"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(47</w:t>
            </w:r>
          </w:p>
        </w:tc>
        <w:tc>
          <w:tcPr>
            <w:tcW w:w="0" w:type="auto"/>
            <w:shd w:val="clear" w:color="auto" w:fill="CFF0FC"/>
            <w:vAlign w:val="bottom"/>
            <w:hideMark/>
          </w:tcPr>
          <w:p w14:paraId="3BA57F6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shd w:val="clear" w:color="auto" w:fill="CFF0FC"/>
            <w:vAlign w:val="bottom"/>
            <w:hideMark/>
          </w:tcPr>
          <w:p w14:paraId="5714A94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r>
      <w:tr w:rsidR="002F3D36" w:rsidRPr="002F3D36" w14:paraId="41E8C40C" w14:textId="77777777" w:rsidTr="002F3D36">
        <w:trPr>
          <w:trHeight w:val="180"/>
          <w:tblCellSpacing w:w="15" w:type="dxa"/>
        </w:trPr>
        <w:tc>
          <w:tcPr>
            <w:tcW w:w="0" w:type="auto"/>
            <w:hideMark/>
          </w:tcPr>
          <w:p w14:paraId="3E20FF3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Operating margin, %</w:t>
            </w:r>
          </w:p>
        </w:tc>
        <w:tc>
          <w:tcPr>
            <w:tcW w:w="0" w:type="auto"/>
            <w:vAlign w:val="bottom"/>
            <w:hideMark/>
          </w:tcPr>
          <w:p w14:paraId="12EAB94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51D33874"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8.2</w:t>
            </w:r>
          </w:p>
        </w:tc>
        <w:tc>
          <w:tcPr>
            <w:tcW w:w="0" w:type="auto"/>
            <w:vAlign w:val="bottom"/>
            <w:hideMark/>
          </w:tcPr>
          <w:p w14:paraId="2F299B8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6A4128C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60C6D2E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4695DBFB"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3.1</w:t>
            </w:r>
          </w:p>
        </w:tc>
        <w:tc>
          <w:tcPr>
            <w:tcW w:w="0" w:type="auto"/>
            <w:vAlign w:val="bottom"/>
            <w:hideMark/>
          </w:tcPr>
          <w:p w14:paraId="7E2513E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6F78ADE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pp</w:t>
            </w:r>
          </w:p>
        </w:tc>
        <w:tc>
          <w:tcPr>
            <w:tcW w:w="0" w:type="auto"/>
            <w:vAlign w:val="bottom"/>
            <w:hideMark/>
          </w:tcPr>
          <w:p w14:paraId="03B53B7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5AB5DF2C"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5.1</w:t>
            </w:r>
          </w:p>
        </w:tc>
        <w:tc>
          <w:tcPr>
            <w:tcW w:w="0" w:type="auto"/>
            <w:vAlign w:val="bottom"/>
            <w:hideMark/>
          </w:tcPr>
          <w:p w14:paraId="0E3F90A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379C045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775F82F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263096F3"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(3.4</w:t>
            </w:r>
          </w:p>
        </w:tc>
        <w:tc>
          <w:tcPr>
            <w:tcW w:w="0" w:type="auto"/>
            <w:vAlign w:val="bottom"/>
            <w:hideMark/>
          </w:tcPr>
          <w:p w14:paraId="311BB1E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vAlign w:val="bottom"/>
            <w:hideMark/>
          </w:tcPr>
          <w:p w14:paraId="0E85E68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pp</w:t>
            </w:r>
          </w:p>
        </w:tc>
      </w:tr>
      <w:tr w:rsidR="002F3D36" w:rsidRPr="002F3D36" w14:paraId="035EC484" w14:textId="77777777" w:rsidTr="002F3D36">
        <w:trPr>
          <w:trHeight w:val="180"/>
          <w:tblCellSpacing w:w="15" w:type="dxa"/>
        </w:trPr>
        <w:tc>
          <w:tcPr>
            <w:tcW w:w="0" w:type="auto"/>
            <w:shd w:val="clear" w:color="auto" w:fill="CFF0FC"/>
            <w:hideMark/>
          </w:tcPr>
          <w:p w14:paraId="19B5CA6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Net income attributable to controlling interest</w:t>
            </w:r>
          </w:p>
        </w:tc>
        <w:tc>
          <w:tcPr>
            <w:tcW w:w="0" w:type="auto"/>
            <w:shd w:val="clear" w:color="auto" w:fill="CFF0FC"/>
            <w:vAlign w:val="bottom"/>
            <w:hideMark/>
          </w:tcPr>
          <w:p w14:paraId="6E22237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2EB83EFD"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435</w:t>
            </w:r>
          </w:p>
        </w:tc>
        <w:tc>
          <w:tcPr>
            <w:tcW w:w="0" w:type="auto"/>
            <w:shd w:val="clear" w:color="auto" w:fill="CFF0FC"/>
            <w:vAlign w:val="bottom"/>
            <w:hideMark/>
          </w:tcPr>
          <w:p w14:paraId="6D553BF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79EA343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28E218E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04E1C6DC"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133</w:t>
            </w:r>
          </w:p>
        </w:tc>
        <w:tc>
          <w:tcPr>
            <w:tcW w:w="0" w:type="auto"/>
            <w:shd w:val="clear" w:color="auto" w:fill="CFF0FC"/>
            <w:vAlign w:val="bottom"/>
            <w:hideMark/>
          </w:tcPr>
          <w:p w14:paraId="6496AC3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03592F4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shd w:val="clear" w:color="auto" w:fill="CFF0FC"/>
            <w:vAlign w:val="bottom"/>
            <w:hideMark/>
          </w:tcPr>
          <w:p w14:paraId="0F771E8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67DA8D7C"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187</w:t>
            </w:r>
          </w:p>
        </w:tc>
        <w:tc>
          <w:tcPr>
            <w:tcW w:w="0" w:type="auto"/>
            <w:shd w:val="clear" w:color="auto" w:fill="CFF0FC"/>
            <w:vAlign w:val="bottom"/>
            <w:hideMark/>
          </w:tcPr>
          <w:p w14:paraId="4672BE9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3B0679F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028149F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34FFC879"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(60</w:t>
            </w:r>
          </w:p>
        </w:tc>
        <w:tc>
          <w:tcPr>
            <w:tcW w:w="0" w:type="auto"/>
            <w:shd w:val="clear" w:color="auto" w:fill="CFF0FC"/>
            <w:vAlign w:val="bottom"/>
            <w:hideMark/>
          </w:tcPr>
          <w:p w14:paraId="53BA9CD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shd w:val="clear" w:color="auto" w:fill="CFF0FC"/>
            <w:vAlign w:val="bottom"/>
            <w:hideMark/>
          </w:tcPr>
          <w:p w14:paraId="391F5DD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r>
      <w:tr w:rsidR="002F3D36" w:rsidRPr="002F3D36" w14:paraId="1A24E85F" w14:textId="77777777" w:rsidTr="002F3D36">
        <w:trPr>
          <w:trHeight w:val="180"/>
          <w:tblCellSpacing w:w="15" w:type="dxa"/>
        </w:trPr>
        <w:tc>
          <w:tcPr>
            <w:tcW w:w="0" w:type="auto"/>
            <w:hideMark/>
          </w:tcPr>
          <w:p w14:paraId="65A5A82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Earnings per share</w:t>
            </w:r>
            <w:r w:rsidRPr="002F3D36">
              <w:rPr>
                <w:rFonts w:ascii="Arial" w:eastAsia="微软雅黑" w:hAnsi="Arial" w:cs="Arial"/>
                <w:color w:val="000000"/>
                <w:kern w:val="0"/>
                <w:sz w:val="12"/>
                <w:szCs w:val="12"/>
              </w:rPr>
              <w:t>2)</w:t>
            </w:r>
          </w:p>
        </w:tc>
        <w:tc>
          <w:tcPr>
            <w:tcW w:w="0" w:type="auto"/>
            <w:vAlign w:val="bottom"/>
            <w:hideMark/>
          </w:tcPr>
          <w:p w14:paraId="1F310D2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37D360D9"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4.96</w:t>
            </w:r>
          </w:p>
        </w:tc>
        <w:tc>
          <w:tcPr>
            <w:tcW w:w="0" w:type="auto"/>
            <w:vAlign w:val="bottom"/>
            <w:hideMark/>
          </w:tcPr>
          <w:p w14:paraId="4337351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37FC2EB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6098CBE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60D3BB01"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132</w:t>
            </w:r>
          </w:p>
        </w:tc>
        <w:tc>
          <w:tcPr>
            <w:tcW w:w="0" w:type="auto"/>
            <w:vAlign w:val="bottom"/>
            <w:hideMark/>
          </w:tcPr>
          <w:p w14:paraId="35B9FDE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3B4DD63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vAlign w:val="bottom"/>
            <w:hideMark/>
          </w:tcPr>
          <w:p w14:paraId="341FD34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43F8EF5C"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2.14</w:t>
            </w:r>
          </w:p>
        </w:tc>
        <w:tc>
          <w:tcPr>
            <w:tcW w:w="0" w:type="auto"/>
            <w:vAlign w:val="bottom"/>
            <w:hideMark/>
          </w:tcPr>
          <w:p w14:paraId="4003687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5DCBD1C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6F3CC29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09023D9A"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(60</w:t>
            </w:r>
          </w:p>
        </w:tc>
        <w:tc>
          <w:tcPr>
            <w:tcW w:w="0" w:type="auto"/>
            <w:vAlign w:val="bottom"/>
            <w:hideMark/>
          </w:tcPr>
          <w:p w14:paraId="3602048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vAlign w:val="bottom"/>
            <w:hideMark/>
          </w:tcPr>
          <w:p w14:paraId="06738E4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r>
      <w:tr w:rsidR="002F3D36" w:rsidRPr="002F3D36" w14:paraId="6DB6BD87" w14:textId="77777777" w:rsidTr="002F3D36">
        <w:trPr>
          <w:trHeight w:val="180"/>
          <w:tblCellSpacing w:w="15" w:type="dxa"/>
        </w:trPr>
        <w:tc>
          <w:tcPr>
            <w:tcW w:w="0" w:type="auto"/>
            <w:shd w:val="clear" w:color="auto" w:fill="CFF0FC"/>
            <w:hideMark/>
          </w:tcPr>
          <w:p w14:paraId="14F3440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Net cash provided by operating activities</w:t>
            </w:r>
          </w:p>
        </w:tc>
        <w:tc>
          <w:tcPr>
            <w:tcW w:w="0" w:type="auto"/>
            <w:shd w:val="clear" w:color="auto" w:fill="CFF0FC"/>
            <w:vAlign w:val="bottom"/>
            <w:hideMark/>
          </w:tcPr>
          <w:p w14:paraId="538681C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6A2CE3EA"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754</w:t>
            </w:r>
          </w:p>
        </w:tc>
        <w:tc>
          <w:tcPr>
            <w:tcW w:w="0" w:type="auto"/>
            <w:shd w:val="clear" w:color="auto" w:fill="CFF0FC"/>
            <w:vAlign w:val="bottom"/>
            <w:hideMark/>
          </w:tcPr>
          <w:p w14:paraId="57306C3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77B341A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32EAAA2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6F8EE8E4"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(11</w:t>
            </w:r>
          </w:p>
        </w:tc>
        <w:tc>
          <w:tcPr>
            <w:tcW w:w="0" w:type="auto"/>
            <w:shd w:val="clear" w:color="auto" w:fill="CFF0FC"/>
            <w:vAlign w:val="bottom"/>
            <w:hideMark/>
          </w:tcPr>
          <w:p w14:paraId="588978A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shd w:val="clear" w:color="auto" w:fill="CFF0FC"/>
            <w:vAlign w:val="bottom"/>
            <w:hideMark/>
          </w:tcPr>
          <w:p w14:paraId="2CE6620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shd w:val="clear" w:color="auto" w:fill="CFF0FC"/>
            <w:vAlign w:val="bottom"/>
            <w:hideMark/>
          </w:tcPr>
          <w:p w14:paraId="1D4B8BB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763B0DBE"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849</w:t>
            </w:r>
          </w:p>
        </w:tc>
        <w:tc>
          <w:tcPr>
            <w:tcW w:w="0" w:type="auto"/>
            <w:shd w:val="clear" w:color="auto" w:fill="CFF0FC"/>
            <w:vAlign w:val="bottom"/>
            <w:hideMark/>
          </w:tcPr>
          <w:p w14:paraId="528B294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3FBC9C2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41BE956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47773E9B"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32</w:t>
            </w:r>
          </w:p>
        </w:tc>
        <w:tc>
          <w:tcPr>
            <w:tcW w:w="0" w:type="auto"/>
            <w:shd w:val="clear" w:color="auto" w:fill="CFF0FC"/>
            <w:vAlign w:val="bottom"/>
            <w:hideMark/>
          </w:tcPr>
          <w:p w14:paraId="44A9892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36FEF2D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r>
      <w:tr w:rsidR="002F3D36" w:rsidRPr="002F3D36" w14:paraId="302DEC3B" w14:textId="77777777" w:rsidTr="002F3D36">
        <w:trPr>
          <w:trHeight w:val="180"/>
          <w:tblCellSpacing w:w="15" w:type="dxa"/>
        </w:trPr>
        <w:tc>
          <w:tcPr>
            <w:tcW w:w="0" w:type="auto"/>
            <w:hideMark/>
          </w:tcPr>
          <w:p w14:paraId="1691D05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Return on capital employed, %</w:t>
            </w:r>
          </w:p>
        </w:tc>
        <w:tc>
          <w:tcPr>
            <w:tcW w:w="0" w:type="auto"/>
            <w:vAlign w:val="bottom"/>
            <w:hideMark/>
          </w:tcPr>
          <w:p w14:paraId="72F1790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34BD1E4B"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18.3</w:t>
            </w:r>
          </w:p>
        </w:tc>
        <w:tc>
          <w:tcPr>
            <w:tcW w:w="0" w:type="auto"/>
            <w:vAlign w:val="bottom"/>
            <w:hideMark/>
          </w:tcPr>
          <w:p w14:paraId="563FFCC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6FD1872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543BD99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17171C4C"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7.9</w:t>
            </w:r>
          </w:p>
        </w:tc>
        <w:tc>
          <w:tcPr>
            <w:tcW w:w="0" w:type="auto"/>
            <w:vAlign w:val="bottom"/>
            <w:hideMark/>
          </w:tcPr>
          <w:p w14:paraId="6CA54A0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1C16C8A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pp</w:t>
            </w:r>
          </w:p>
        </w:tc>
        <w:tc>
          <w:tcPr>
            <w:tcW w:w="0" w:type="auto"/>
            <w:vAlign w:val="bottom"/>
            <w:hideMark/>
          </w:tcPr>
          <w:p w14:paraId="311BEF0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17AEBDC3"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10.4</w:t>
            </w:r>
          </w:p>
        </w:tc>
        <w:tc>
          <w:tcPr>
            <w:tcW w:w="0" w:type="auto"/>
            <w:vAlign w:val="bottom"/>
            <w:hideMark/>
          </w:tcPr>
          <w:p w14:paraId="25B294D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4F05D6D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2E111B2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614A8CF7"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(9.3</w:t>
            </w:r>
          </w:p>
        </w:tc>
        <w:tc>
          <w:tcPr>
            <w:tcW w:w="0" w:type="auto"/>
            <w:vAlign w:val="bottom"/>
            <w:hideMark/>
          </w:tcPr>
          <w:p w14:paraId="040EC09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vAlign w:val="bottom"/>
            <w:hideMark/>
          </w:tcPr>
          <w:p w14:paraId="45001B8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pp</w:t>
            </w:r>
          </w:p>
        </w:tc>
      </w:tr>
    </w:tbl>
    <w:p w14:paraId="6CCC5E82" w14:textId="77777777" w:rsidR="002F3D36" w:rsidRPr="002F3D36" w:rsidRDefault="002F3D36" w:rsidP="002F3D36">
      <w:pPr>
        <w:widowControl/>
        <w:ind w:hanging="581"/>
        <w:rPr>
          <w:rFonts w:ascii="Times New Roman" w:eastAsia="宋体" w:hAnsi="Times New Roman" w:cs="Times New Roman"/>
          <w:color w:val="000000"/>
          <w:kern w:val="0"/>
          <w:sz w:val="20"/>
          <w:szCs w:val="20"/>
        </w:rPr>
      </w:pPr>
      <w:r w:rsidRPr="002F3D36">
        <w:rPr>
          <w:rFonts w:ascii="Arial" w:eastAsia="宋体" w:hAnsi="Arial" w:cs="Arial"/>
          <w:color w:val="000000"/>
          <w:kern w:val="0"/>
          <w:sz w:val="24"/>
          <w:szCs w:val="24"/>
        </w:rPr>
        <w:t> </w:t>
      </w:r>
    </w:p>
    <w:p w14:paraId="7752A193"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6"/>
          <w:szCs w:val="16"/>
        </w:rPr>
        <w:t>1) Reported figures impacted by costs for capacity alignments and antitrust related matters. See section Items affecting comparability and Note 11 to the Consolidated Financial Statements included herein.</w:t>
      </w:r>
    </w:p>
    <w:p w14:paraId="380D8A73"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6"/>
          <w:szCs w:val="16"/>
        </w:rPr>
        <w:t>2) Assuming dilution and net of treasury shares.</w:t>
      </w:r>
    </w:p>
    <w:p w14:paraId="7A8535F7"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shd w:val="clear" w:color="auto" w:fill="FFFFFF"/>
        </w:rPr>
        <w:t>COVID-19 PANDEMIC</w:t>
      </w:r>
    </w:p>
    <w:p w14:paraId="63743CEA" w14:textId="77777777" w:rsidR="002F3D36" w:rsidRPr="002F3D36" w:rsidRDefault="002F3D36" w:rsidP="002F3D36">
      <w:pPr>
        <w:widowControl/>
        <w:spacing w:before="24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The COVID-19 pandemic continued to impact the Company's business in 2021 mainly indirectly through the global semiconductor shortage and other industry supply chain disruptions which both limited the LVP by the Company's customers and resulted in significantly increased raw material prices. Supply chain disruptions also lead to lower customer demand visibility and material changes to call-offs with short notice which negatively impacted production efficiency and profitability in the year, although the situation stabilized somewhat in the latter part of the year. Rising raw material costs amounted to around 1.3pp in operating margin headwind in 2021, of which a small part was offset by commercial customer recoveries.</w:t>
      </w:r>
    </w:p>
    <w:p w14:paraId="7D51C455" w14:textId="77777777" w:rsidR="002F3D36" w:rsidRPr="002F3D36" w:rsidRDefault="002F3D36" w:rsidP="002F3D36">
      <w:pPr>
        <w:widowControl/>
        <w:spacing w:before="120"/>
        <w:jc w:val="left"/>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Direct COVID-19 related costs, such as personal protective equipment, quarantine costs, premium freight and other items, were around $14 million in 2021 ($20 million in 2020). Governmental support in connection with furloughing, short-term work weeks, and other similar activities was around $2 million in 2021 ($37 million in 2020).</w:t>
      </w:r>
    </w:p>
    <w:p w14:paraId="44E5DD3A" w14:textId="77777777" w:rsidR="002F3D36" w:rsidRPr="002F3D36" w:rsidRDefault="002F3D36" w:rsidP="002F3D36">
      <w:pPr>
        <w:widowControl/>
        <w:spacing w:before="120"/>
        <w:jc w:val="left"/>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In response to the ongoing challenging market conditions, Autoliv management continued to implement strict cost control measures in 2021. This includes footprint and capacity alignment in Europe, as well as moving overhead functions to Best Cost Countries in Americas. The Company has initiated further footprint adjustments in Japan and in the Rest of Asia. By December 31, 2021, total headcount was reduced by 11% compared to December 31, 2020. The situation is monitored closely, and further actions are being evaluated.</w:t>
      </w:r>
    </w:p>
    <w:p w14:paraId="4164C6B9" w14:textId="77777777" w:rsidR="002F3D36" w:rsidRPr="002F3D36" w:rsidRDefault="002F3D36" w:rsidP="002F3D36">
      <w:pPr>
        <w:widowControl/>
        <w:spacing w:before="120"/>
        <w:jc w:val="left"/>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The Company expects the current industry-wide semiconductor supply shortage to be a limiting factor for the LVP recovery in 2022. Rising raw material costs are expected to amount to around 3pp in operating margin headwind in full year 2022, with around 5pp year over year impact in the first half and around 1-2pp in the second half. Customer recoveries are expected to offset some of these expected raw material cost increases, mainly in the second half of the year.</w:t>
      </w:r>
    </w:p>
    <w:p w14:paraId="52287A14" w14:textId="77777777" w:rsidR="002F3D36" w:rsidRPr="002F3D36" w:rsidRDefault="002F3D36" w:rsidP="002F3D36">
      <w:pPr>
        <w:widowControl/>
        <w:spacing w:before="240"/>
        <w:jc w:val="center"/>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31</w:t>
      </w:r>
    </w:p>
    <w:p w14:paraId="75E0270E" w14:textId="77777777" w:rsidR="002F3D36" w:rsidRPr="002F3D36" w:rsidRDefault="002F3D36" w:rsidP="002F3D36">
      <w:pPr>
        <w:widowControl/>
        <w:jc w:val="left"/>
        <w:rPr>
          <w:rFonts w:ascii="宋体" w:eastAsia="宋体" w:hAnsi="宋体" w:cs="宋体"/>
          <w:kern w:val="0"/>
          <w:sz w:val="24"/>
          <w:szCs w:val="24"/>
        </w:rPr>
      </w:pPr>
      <w:r w:rsidRPr="002F3D36">
        <w:rPr>
          <w:rFonts w:ascii="宋体" w:eastAsia="宋体" w:hAnsi="宋体" w:cs="宋体"/>
          <w:kern w:val="0"/>
          <w:sz w:val="24"/>
          <w:szCs w:val="24"/>
        </w:rPr>
        <w:pict w14:anchorId="6E30247A">
          <v:rect id="_x0000_i1058" style="width:0;height:1.5pt" o:hralign="center" o:hrstd="t" o:hrnoshade="t" o:hr="t" fillcolor="black" stroked="f"/>
        </w:pict>
      </w:r>
    </w:p>
    <w:p w14:paraId="33474377" w14:textId="77777777" w:rsidR="002F3D36" w:rsidRPr="002F3D36" w:rsidRDefault="002F3D36" w:rsidP="002F3D36">
      <w:pPr>
        <w:widowControl/>
        <w:spacing w:line="20" w:lineRule="atLeast"/>
        <w:jc w:val="left"/>
        <w:rPr>
          <w:rFonts w:ascii="Times New Roman" w:eastAsia="宋体" w:hAnsi="Times New Roman" w:cs="Times New Roman"/>
          <w:color w:val="000000"/>
          <w:kern w:val="0"/>
          <w:sz w:val="20"/>
          <w:szCs w:val="20"/>
        </w:rPr>
      </w:pPr>
      <w:r w:rsidRPr="002F3D36">
        <w:rPr>
          <w:rFonts w:ascii="Arial" w:eastAsia="宋体" w:hAnsi="Arial" w:cs="Arial"/>
          <w:color w:val="000000"/>
          <w:kern w:val="0"/>
          <w:sz w:val="2"/>
          <w:szCs w:val="2"/>
        </w:rPr>
        <w:t> </w:t>
      </w:r>
    </w:p>
    <w:p w14:paraId="4FF3FDFA"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lastRenderedPageBreak/>
        <w:t>GROWTH IMPACTED BY LIGHT VEHICLE PRODUCTION, SAFETY CONTENT PER VEHICLE AND STRONG ORDER BOOK</w:t>
      </w:r>
    </w:p>
    <w:p w14:paraId="5E63402D"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xml:space="preserve">The most important driver for Autoliv’s sales is the LVP. During the past ten years LVP has shown year-over-year growth with the exception of the years </w:t>
      </w:r>
      <w:r w:rsidRPr="002F3D36">
        <w:rPr>
          <w:rFonts w:ascii="Arial" w:eastAsia="宋体" w:hAnsi="Arial" w:cs="Arial"/>
          <w:color w:val="000000"/>
          <w:kern w:val="0"/>
          <w:sz w:val="18"/>
          <w:szCs w:val="18"/>
          <w:shd w:val="clear" w:color="auto" w:fill="FFFFFF"/>
        </w:rPr>
        <w:t>2018-2020.</w:t>
      </w:r>
      <w:r w:rsidRPr="002F3D36">
        <w:rPr>
          <w:rFonts w:ascii="Arial" w:eastAsia="宋体" w:hAnsi="Arial" w:cs="Arial"/>
          <w:color w:val="000000"/>
          <w:kern w:val="0"/>
          <w:sz w:val="18"/>
          <w:szCs w:val="18"/>
        </w:rPr>
        <w:t xml:space="preserve"> Despite strong end-consumer demand for new vehicles, global light vehicle production (LVP) only grew by 3% in 2021 - significantly less than the 14% expected by IHS Markit in the beginning of the year. This was a result of the COVID-19 pandemic continuing to impact the availability of semiconductors as well as other parts of the global automotive supply chain. </w:t>
      </w:r>
    </w:p>
    <w:p w14:paraId="20A1EED1"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shd w:val="clear" w:color="auto" w:fill="FFFFFF"/>
        </w:rPr>
        <w:t>During 2021</w:t>
      </w:r>
      <w:r w:rsidRPr="002F3D36">
        <w:rPr>
          <w:rFonts w:ascii="Arial" w:eastAsia="宋体" w:hAnsi="Arial" w:cs="Arial"/>
          <w:color w:val="000000"/>
          <w:kern w:val="0"/>
          <w:sz w:val="18"/>
          <w:szCs w:val="18"/>
        </w:rPr>
        <w:t xml:space="preserve"> the Company experienced a recovery of global LVP in the early parts of the year, while increased industry wide supply chain issues, especially semi-conductor availability, lowered global LVP in the second and especially the third quarter. In the fourth quarter of 2021, LVP rebounded as compared to the third quarter indicating improved availability of semiconductors. </w:t>
      </w:r>
    </w:p>
    <w:p w14:paraId="7F53940D"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w:t>
      </w:r>
    </w:p>
    <w:tbl>
      <w:tblPr>
        <w:tblW w:w="20614" w:type="dxa"/>
        <w:tblCellSpacing w:w="15" w:type="dxa"/>
        <w:tblCellMar>
          <w:top w:w="15" w:type="dxa"/>
          <w:left w:w="15" w:type="dxa"/>
          <w:bottom w:w="15" w:type="dxa"/>
          <w:right w:w="15" w:type="dxa"/>
        </w:tblCellMar>
        <w:tblLook w:val="04A0" w:firstRow="1" w:lastRow="0" w:firstColumn="1" w:lastColumn="0" w:noHBand="0" w:noVBand="1"/>
      </w:tblPr>
      <w:tblGrid>
        <w:gridCol w:w="2203"/>
        <w:gridCol w:w="3025"/>
        <w:gridCol w:w="204"/>
        <w:gridCol w:w="2103"/>
        <w:gridCol w:w="204"/>
        <w:gridCol w:w="378"/>
        <w:gridCol w:w="206"/>
        <w:gridCol w:w="1628"/>
        <w:gridCol w:w="409"/>
        <w:gridCol w:w="378"/>
        <w:gridCol w:w="204"/>
        <w:gridCol w:w="1634"/>
        <w:gridCol w:w="204"/>
        <w:gridCol w:w="378"/>
        <w:gridCol w:w="206"/>
        <w:gridCol w:w="1628"/>
        <w:gridCol w:w="409"/>
        <w:gridCol w:w="384"/>
        <w:gridCol w:w="204"/>
        <w:gridCol w:w="1630"/>
        <w:gridCol w:w="206"/>
        <w:gridCol w:w="384"/>
        <w:gridCol w:w="204"/>
        <w:gridCol w:w="1635"/>
        <w:gridCol w:w="566"/>
      </w:tblGrid>
      <w:tr w:rsidR="002F3D36" w:rsidRPr="002F3D36" w14:paraId="58B33AD2" w14:textId="77777777" w:rsidTr="002F3D36">
        <w:trPr>
          <w:tblCellSpacing w:w="15" w:type="dxa"/>
        </w:trPr>
        <w:tc>
          <w:tcPr>
            <w:tcW w:w="2161" w:type="dxa"/>
            <w:vAlign w:val="center"/>
            <w:hideMark/>
          </w:tcPr>
          <w:p w14:paraId="4463A58B" w14:textId="77777777" w:rsidR="002F3D36" w:rsidRPr="002F3D36" w:rsidRDefault="002F3D36" w:rsidP="002F3D36">
            <w:pPr>
              <w:widowControl/>
              <w:jc w:val="left"/>
              <w:rPr>
                <w:rFonts w:ascii="Times New Roman" w:eastAsia="宋体" w:hAnsi="Times New Roman" w:cs="Times New Roman"/>
                <w:color w:val="000000"/>
                <w:kern w:val="0"/>
                <w:sz w:val="20"/>
                <w:szCs w:val="20"/>
              </w:rPr>
            </w:pPr>
          </w:p>
        </w:tc>
        <w:tc>
          <w:tcPr>
            <w:tcW w:w="2999" w:type="dxa"/>
            <w:vAlign w:val="center"/>
            <w:hideMark/>
          </w:tcPr>
          <w:p w14:paraId="3DD291D9"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74" w:type="dxa"/>
            <w:vAlign w:val="center"/>
            <w:hideMark/>
          </w:tcPr>
          <w:p w14:paraId="52320F31"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076" w:type="dxa"/>
            <w:vAlign w:val="center"/>
            <w:hideMark/>
          </w:tcPr>
          <w:p w14:paraId="657DB113"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74" w:type="dxa"/>
            <w:vAlign w:val="center"/>
            <w:hideMark/>
          </w:tcPr>
          <w:p w14:paraId="21FF23C9"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349" w:type="dxa"/>
            <w:vAlign w:val="center"/>
            <w:hideMark/>
          </w:tcPr>
          <w:p w14:paraId="540C8F7D"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76" w:type="dxa"/>
            <w:vAlign w:val="center"/>
            <w:hideMark/>
          </w:tcPr>
          <w:p w14:paraId="00E99477"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600" w:type="dxa"/>
            <w:vAlign w:val="center"/>
            <w:hideMark/>
          </w:tcPr>
          <w:p w14:paraId="1BF15BD8"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379" w:type="dxa"/>
            <w:vAlign w:val="center"/>
            <w:hideMark/>
          </w:tcPr>
          <w:p w14:paraId="155D334E"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349" w:type="dxa"/>
            <w:vAlign w:val="center"/>
            <w:hideMark/>
          </w:tcPr>
          <w:p w14:paraId="33860167"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74" w:type="dxa"/>
            <w:vAlign w:val="center"/>
            <w:hideMark/>
          </w:tcPr>
          <w:p w14:paraId="36F0A83E"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606" w:type="dxa"/>
            <w:vAlign w:val="center"/>
            <w:hideMark/>
          </w:tcPr>
          <w:p w14:paraId="49733039"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74" w:type="dxa"/>
            <w:vAlign w:val="center"/>
            <w:hideMark/>
          </w:tcPr>
          <w:p w14:paraId="630DC6D5"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349" w:type="dxa"/>
            <w:vAlign w:val="center"/>
            <w:hideMark/>
          </w:tcPr>
          <w:p w14:paraId="2291C833"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76" w:type="dxa"/>
            <w:vAlign w:val="center"/>
            <w:hideMark/>
          </w:tcPr>
          <w:p w14:paraId="4DBA18CE"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600" w:type="dxa"/>
            <w:vAlign w:val="center"/>
            <w:hideMark/>
          </w:tcPr>
          <w:p w14:paraId="77566D3A"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379" w:type="dxa"/>
            <w:vAlign w:val="center"/>
            <w:hideMark/>
          </w:tcPr>
          <w:p w14:paraId="49A93478"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355" w:type="dxa"/>
            <w:vAlign w:val="center"/>
            <w:hideMark/>
          </w:tcPr>
          <w:p w14:paraId="7B4EB6BB"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74" w:type="dxa"/>
            <w:vAlign w:val="center"/>
            <w:hideMark/>
          </w:tcPr>
          <w:p w14:paraId="15C52DA8"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602" w:type="dxa"/>
            <w:vAlign w:val="center"/>
            <w:hideMark/>
          </w:tcPr>
          <w:p w14:paraId="4875341D"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76" w:type="dxa"/>
            <w:vAlign w:val="center"/>
            <w:hideMark/>
          </w:tcPr>
          <w:p w14:paraId="535D0B36"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355" w:type="dxa"/>
            <w:vAlign w:val="center"/>
            <w:hideMark/>
          </w:tcPr>
          <w:p w14:paraId="3383E5D1"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74" w:type="dxa"/>
            <w:vAlign w:val="center"/>
            <w:hideMark/>
          </w:tcPr>
          <w:p w14:paraId="66145C8A"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608" w:type="dxa"/>
            <w:vAlign w:val="center"/>
            <w:hideMark/>
          </w:tcPr>
          <w:p w14:paraId="362EFD44"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522" w:type="dxa"/>
            <w:vAlign w:val="center"/>
            <w:hideMark/>
          </w:tcPr>
          <w:p w14:paraId="43B6D918" w14:textId="77777777" w:rsidR="002F3D36" w:rsidRPr="002F3D36" w:rsidRDefault="002F3D36" w:rsidP="002F3D36">
            <w:pPr>
              <w:widowControl/>
              <w:jc w:val="left"/>
              <w:rPr>
                <w:rFonts w:ascii="Times New Roman" w:eastAsia="Times New Roman" w:hAnsi="Times New Roman" w:cs="Times New Roman"/>
                <w:kern w:val="0"/>
                <w:sz w:val="20"/>
                <w:szCs w:val="20"/>
              </w:rPr>
            </w:pPr>
          </w:p>
        </w:tc>
      </w:tr>
      <w:tr w:rsidR="002F3D36" w:rsidRPr="002F3D36" w14:paraId="16ADE817" w14:textId="77777777" w:rsidTr="002F3D36">
        <w:trPr>
          <w:trHeight w:val="200"/>
          <w:tblCellSpacing w:w="15" w:type="dxa"/>
        </w:trPr>
        <w:tc>
          <w:tcPr>
            <w:tcW w:w="0" w:type="auto"/>
            <w:gridSpan w:val="4"/>
            <w:shd w:val="clear" w:color="auto" w:fill="FFFFFF"/>
            <w:vAlign w:val="bottom"/>
            <w:hideMark/>
          </w:tcPr>
          <w:p w14:paraId="6EE4609B" w14:textId="77777777" w:rsidR="002F3D36" w:rsidRPr="002F3D36" w:rsidRDefault="002F3D36" w:rsidP="002F3D36">
            <w:pPr>
              <w:widowControl/>
              <w:jc w:val="left"/>
              <w:rPr>
                <w:rFonts w:ascii="Times New Roman" w:eastAsia="微软雅黑" w:hAnsi="Times New Roman" w:cs="Times New Roman"/>
                <w:kern w:val="0"/>
                <w:sz w:val="20"/>
                <w:szCs w:val="20"/>
              </w:rPr>
            </w:pPr>
            <w:r w:rsidRPr="002F3D36">
              <w:rPr>
                <w:rFonts w:ascii="Arial" w:eastAsia="微软雅黑" w:hAnsi="Arial" w:cs="Arial"/>
                <w:b/>
                <w:bCs/>
                <w:color w:val="000000"/>
                <w:kern w:val="0"/>
                <w:sz w:val="20"/>
                <w:szCs w:val="20"/>
              </w:rPr>
              <w:t>Light Vehicle Production</w:t>
            </w:r>
            <w:r w:rsidRPr="002F3D36">
              <w:rPr>
                <w:rFonts w:ascii="Arial" w:eastAsia="微软雅黑" w:hAnsi="Arial" w:cs="Arial"/>
                <w:color w:val="000000"/>
                <w:kern w:val="0"/>
                <w:sz w:val="13"/>
                <w:szCs w:val="13"/>
              </w:rPr>
              <w:t>1)</w:t>
            </w:r>
          </w:p>
        </w:tc>
        <w:tc>
          <w:tcPr>
            <w:tcW w:w="0" w:type="auto"/>
            <w:shd w:val="clear" w:color="auto" w:fill="FFFFFF"/>
            <w:vAlign w:val="bottom"/>
            <w:hideMark/>
          </w:tcPr>
          <w:p w14:paraId="4A5AFDBD" w14:textId="77777777" w:rsidR="002F3D36" w:rsidRPr="002F3D36" w:rsidRDefault="002F3D36" w:rsidP="002F3D36">
            <w:pPr>
              <w:widowControl/>
              <w:jc w:val="left"/>
              <w:rPr>
                <w:rFonts w:ascii="Times New Roman" w:eastAsia="微软雅黑" w:hAnsi="Times New Roman" w:cs="Times New Roman"/>
                <w:kern w:val="0"/>
                <w:sz w:val="20"/>
                <w:szCs w:val="20"/>
              </w:rPr>
            </w:pPr>
            <w:r w:rsidRPr="002F3D36">
              <w:rPr>
                <w:rFonts w:ascii="Arial" w:eastAsia="微软雅黑" w:hAnsi="Arial" w:cs="Arial"/>
                <w:kern w:val="0"/>
                <w:sz w:val="20"/>
                <w:szCs w:val="20"/>
              </w:rPr>
              <w:t> </w:t>
            </w:r>
          </w:p>
        </w:tc>
        <w:tc>
          <w:tcPr>
            <w:tcW w:w="0" w:type="auto"/>
            <w:shd w:val="clear" w:color="auto" w:fill="FFFFFF"/>
            <w:vAlign w:val="bottom"/>
            <w:hideMark/>
          </w:tcPr>
          <w:p w14:paraId="1FC51700" w14:textId="77777777" w:rsidR="002F3D36" w:rsidRPr="002F3D36" w:rsidRDefault="002F3D36" w:rsidP="002F3D36">
            <w:pPr>
              <w:widowControl/>
              <w:jc w:val="left"/>
              <w:rPr>
                <w:rFonts w:ascii="Times New Roman" w:eastAsia="微软雅黑" w:hAnsi="Times New Roman" w:cs="Times New Roman"/>
                <w:kern w:val="0"/>
                <w:sz w:val="22"/>
              </w:rPr>
            </w:pPr>
            <w:r w:rsidRPr="002F3D36">
              <w:rPr>
                <w:rFonts w:ascii="Calibri" w:eastAsia="微软雅黑" w:hAnsi="Calibri" w:cs="Calibri"/>
                <w:kern w:val="0"/>
                <w:sz w:val="22"/>
              </w:rPr>
              <w:t> </w:t>
            </w:r>
          </w:p>
        </w:tc>
        <w:tc>
          <w:tcPr>
            <w:tcW w:w="0" w:type="auto"/>
            <w:gridSpan w:val="2"/>
            <w:shd w:val="clear" w:color="auto" w:fill="FFFFFF"/>
            <w:vAlign w:val="bottom"/>
            <w:hideMark/>
          </w:tcPr>
          <w:p w14:paraId="67101E95" w14:textId="77777777" w:rsidR="002F3D36" w:rsidRPr="002F3D36" w:rsidRDefault="002F3D36" w:rsidP="002F3D36">
            <w:pPr>
              <w:widowControl/>
              <w:jc w:val="left"/>
              <w:rPr>
                <w:rFonts w:ascii="Times New Roman" w:eastAsia="微软雅黑" w:hAnsi="Times New Roman" w:cs="Times New Roman"/>
                <w:kern w:val="0"/>
                <w:sz w:val="22"/>
              </w:rPr>
            </w:pPr>
            <w:r w:rsidRPr="002F3D36">
              <w:rPr>
                <w:rFonts w:ascii="Calibri" w:eastAsia="微软雅黑" w:hAnsi="Calibri" w:cs="Calibri"/>
                <w:kern w:val="0"/>
                <w:sz w:val="22"/>
              </w:rPr>
              <w:t> </w:t>
            </w:r>
          </w:p>
        </w:tc>
        <w:tc>
          <w:tcPr>
            <w:tcW w:w="0" w:type="auto"/>
            <w:shd w:val="clear" w:color="auto" w:fill="FFFFFF"/>
            <w:vAlign w:val="bottom"/>
            <w:hideMark/>
          </w:tcPr>
          <w:p w14:paraId="7072342F" w14:textId="77777777" w:rsidR="002F3D36" w:rsidRPr="002F3D36" w:rsidRDefault="002F3D36" w:rsidP="002F3D36">
            <w:pPr>
              <w:widowControl/>
              <w:jc w:val="left"/>
              <w:rPr>
                <w:rFonts w:ascii="Times New Roman" w:eastAsia="微软雅黑" w:hAnsi="Times New Roman" w:cs="Times New Roman"/>
                <w:kern w:val="0"/>
                <w:sz w:val="22"/>
              </w:rPr>
            </w:pPr>
            <w:r w:rsidRPr="002F3D36">
              <w:rPr>
                <w:rFonts w:ascii="Calibri" w:eastAsia="微软雅黑" w:hAnsi="Calibri" w:cs="Calibri"/>
                <w:kern w:val="0"/>
                <w:sz w:val="22"/>
              </w:rPr>
              <w:t> </w:t>
            </w:r>
          </w:p>
        </w:tc>
        <w:tc>
          <w:tcPr>
            <w:tcW w:w="0" w:type="auto"/>
            <w:shd w:val="clear" w:color="auto" w:fill="FFFFFF"/>
            <w:vAlign w:val="bottom"/>
            <w:hideMark/>
          </w:tcPr>
          <w:p w14:paraId="6848EB27" w14:textId="77777777" w:rsidR="002F3D36" w:rsidRPr="002F3D36" w:rsidRDefault="002F3D36" w:rsidP="002F3D36">
            <w:pPr>
              <w:widowControl/>
              <w:jc w:val="left"/>
              <w:rPr>
                <w:rFonts w:ascii="Times New Roman" w:eastAsia="微软雅黑" w:hAnsi="Times New Roman" w:cs="Times New Roman"/>
                <w:kern w:val="0"/>
                <w:sz w:val="22"/>
              </w:rPr>
            </w:pPr>
            <w:r w:rsidRPr="002F3D36">
              <w:rPr>
                <w:rFonts w:ascii="Calibri" w:eastAsia="微软雅黑" w:hAnsi="Calibri" w:cs="Calibri"/>
                <w:kern w:val="0"/>
                <w:sz w:val="22"/>
              </w:rPr>
              <w:t> </w:t>
            </w:r>
          </w:p>
        </w:tc>
        <w:tc>
          <w:tcPr>
            <w:tcW w:w="0" w:type="auto"/>
            <w:gridSpan w:val="2"/>
            <w:shd w:val="clear" w:color="auto" w:fill="FFFFFF"/>
            <w:vAlign w:val="bottom"/>
            <w:hideMark/>
          </w:tcPr>
          <w:p w14:paraId="50722F94" w14:textId="77777777" w:rsidR="002F3D36" w:rsidRPr="002F3D36" w:rsidRDefault="002F3D36" w:rsidP="002F3D36">
            <w:pPr>
              <w:widowControl/>
              <w:jc w:val="left"/>
              <w:rPr>
                <w:rFonts w:ascii="Times New Roman" w:eastAsia="微软雅黑" w:hAnsi="Times New Roman" w:cs="Times New Roman"/>
                <w:kern w:val="0"/>
                <w:sz w:val="22"/>
              </w:rPr>
            </w:pPr>
            <w:r w:rsidRPr="002F3D36">
              <w:rPr>
                <w:rFonts w:ascii="Calibri" w:eastAsia="微软雅黑" w:hAnsi="Calibri" w:cs="Calibri"/>
                <w:kern w:val="0"/>
                <w:sz w:val="22"/>
              </w:rPr>
              <w:t> </w:t>
            </w:r>
          </w:p>
        </w:tc>
        <w:tc>
          <w:tcPr>
            <w:tcW w:w="0" w:type="auto"/>
            <w:shd w:val="clear" w:color="auto" w:fill="FFFFFF"/>
            <w:vAlign w:val="bottom"/>
            <w:hideMark/>
          </w:tcPr>
          <w:p w14:paraId="479816A2" w14:textId="77777777" w:rsidR="002F3D36" w:rsidRPr="002F3D36" w:rsidRDefault="002F3D36" w:rsidP="002F3D36">
            <w:pPr>
              <w:widowControl/>
              <w:jc w:val="left"/>
              <w:rPr>
                <w:rFonts w:ascii="Times New Roman" w:eastAsia="微软雅黑" w:hAnsi="Times New Roman" w:cs="Times New Roman"/>
                <w:kern w:val="0"/>
                <w:sz w:val="22"/>
              </w:rPr>
            </w:pPr>
            <w:r w:rsidRPr="002F3D36">
              <w:rPr>
                <w:rFonts w:ascii="Calibri" w:eastAsia="微软雅黑" w:hAnsi="Calibri" w:cs="Calibri"/>
                <w:kern w:val="0"/>
                <w:sz w:val="22"/>
              </w:rPr>
              <w:t> </w:t>
            </w:r>
          </w:p>
        </w:tc>
        <w:tc>
          <w:tcPr>
            <w:tcW w:w="0" w:type="auto"/>
            <w:shd w:val="clear" w:color="auto" w:fill="FFFFFF"/>
            <w:vAlign w:val="bottom"/>
            <w:hideMark/>
          </w:tcPr>
          <w:p w14:paraId="30A924D6" w14:textId="77777777" w:rsidR="002F3D36" w:rsidRPr="002F3D36" w:rsidRDefault="002F3D36" w:rsidP="002F3D36">
            <w:pPr>
              <w:widowControl/>
              <w:jc w:val="left"/>
              <w:rPr>
                <w:rFonts w:ascii="Times New Roman" w:eastAsia="微软雅黑" w:hAnsi="Times New Roman" w:cs="Times New Roman"/>
                <w:kern w:val="0"/>
                <w:sz w:val="22"/>
              </w:rPr>
            </w:pPr>
            <w:r w:rsidRPr="002F3D36">
              <w:rPr>
                <w:rFonts w:ascii="Calibri" w:eastAsia="微软雅黑" w:hAnsi="Calibri" w:cs="Calibri"/>
                <w:kern w:val="0"/>
                <w:sz w:val="22"/>
              </w:rPr>
              <w:t> </w:t>
            </w:r>
          </w:p>
        </w:tc>
        <w:tc>
          <w:tcPr>
            <w:tcW w:w="0" w:type="auto"/>
            <w:gridSpan w:val="2"/>
            <w:shd w:val="clear" w:color="auto" w:fill="FFFFFF"/>
            <w:vAlign w:val="bottom"/>
            <w:hideMark/>
          </w:tcPr>
          <w:p w14:paraId="63F6F35E" w14:textId="77777777" w:rsidR="002F3D36" w:rsidRPr="002F3D36" w:rsidRDefault="002F3D36" w:rsidP="002F3D36">
            <w:pPr>
              <w:widowControl/>
              <w:jc w:val="left"/>
              <w:rPr>
                <w:rFonts w:ascii="Times New Roman" w:eastAsia="微软雅黑" w:hAnsi="Times New Roman" w:cs="Times New Roman"/>
                <w:kern w:val="0"/>
                <w:sz w:val="22"/>
              </w:rPr>
            </w:pPr>
            <w:r w:rsidRPr="002F3D36">
              <w:rPr>
                <w:rFonts w:ascii="Calibri" w:eastAsia="微软雅黑" w:hAnsi="Calibri" w:cs="Calibri"/>
                <w:kern w:val="0"/>
                <w:sz w:val="22"/>
              </w:rPr>
              <w:t> </w:t>
            </w:r>
          </w:p>
        </w:tc>
        <w:tc>
          <w:tcPr>
            <w:tcW w:w="0" w:type="auto"/>
            <w:shd w:val="clear" w:color="auto" w:fill="FFFFFF"/>
            <w:vAlign w:val="bottom"/>
            <w:hideMark/>
          </w:tcPr>
          <w:p w14:paraId="13E33DE2" w14:textId="77777777" w:rsidR="002F3D36" w:rsidRPr="002F3D36" w:rsidRDefault="002F3D36" w:rsidP="002F3D36">
            <w:pPr>
              <w:widowControl/>
              <w:jc w:val="left"/>
              <w:rPr>
                <w:rFonts w:ascii="Times New Roman" w:eastAsia="微软雅黑" w:hAnsi="Times New Roman" w:cs="Times New Roman"/>
                <w:kern w:val="0"/>
                <w:sz w:val="22"/>
              </w:rPr>
            </w:pPr>
            <w:r w:rsidRPr="002F3D36">
              <w:rPr>
                <w:rFonts w:ascii="Calibri" w:eastAsia="微软雅黑" w:hAnsi="Calibri" w:cs="Calibri"/>
                <w:kern w:val="0"/>
                <w:sz w:val="22"/>
              </w:rPr>
              <w:t> </w:t>
            </w:r>
          </w:p>
        </w:tc>
        <w:tc>
          <w:tcPr>
            <w:tcW w:w="0" w:type="auto"/>
            <w:shd w:val="clear" w:color="auto" w:fill="FFFFFF"/>
            <w:vAlign w:val="bottom"/>
            <w:hideMark/>
          </w:tcPr>
          <w:p w14:paraId="0FC9CDB0" w14:textId="77777777" w:rsidR="002F3D36" w:rsidRPr="002F3D36" w:rsidRDefault="002F3D36" w:rsidP="002F3D36">
            <w:pPr>
              <w:widowControl/>
              <w:jc w:val="left"/>
              <w:rPr>
                <w:rFonts w:ascii="Times New Roman" w:eastAsia="微软雅黑" w:hAnsi="Times New Roman" w:cs="Times New Roman"/>
                <w:kern w:val="0"/>
                <w:sz w:val="22"/>
              </w:rPr>
            </w:pPr>
            <w:r w:rsidRPr="002F3D36">
              <w:rPr>
                <w:rFonts w:ascii="Calibri" w:eastAsia="微软雅黑" w:hAnsi="Calibri" w:cs="Calibri"/>
                <w:kern w:val="0"/>
                <w:sz w:val="22"/>
              </w:rPr>
              <w:t> </w:t>
            </w:r>
          </w:p>
        </w:tc>
        <w:tc>
          <w:tcPr>
            <w:tcW w:w="0" w:type="auto"/>
            <w:gridSpan w:val="2"/>
            <w:shd w:val="clear" w:color="auto" w:fill="FFFFFF"/>
            <w:vAlign w:val="bottom"/>
            <w:hideMark/>
          </w:tcPr>
          <w:p w14:paraId="4BE49075" w14:textId="77777777" w:rsidR="002F3D36" w:rsidRPr="002F3D36" w:rsidRDefault="002F3D36" w:rsidP="002F3D36">
            <w:pPr>
              <w:widowControl/>
              <w:jc w:val="left"/>
              <w:rPr>
                <w:rFonts w:ascii="Times New Roman" w:eastAsia="微软雅黑" w:hAnsi="Times New Roman" w:cs="Times New Roman"/>
                <w:kern w:val="0"/>
                <w:sz w:val="22"/>
              </w:rPr>
            </w:pPr>
            <w:r w:rsidRPr="002F3D36">
              <w:rPr>
                <w:rFonts w:ascii="Calibri" w:eastAsia="微软雅黑" w:hAnsi="Calibri" w:cs="Calibri"/>
                <w:kern w:val="0"/>
                <w:sz w:val="22"/>
              </w:rPr>
              <w:t> </w:t>
            </w:r>
          </w:p>
        </w:tc>
        <w:tc>
          <w:tcPr>
            <w:tcW w:w="0" w:type="auto"/>
            <w:shd w:val="clear" w:color="auto" w:fill="FFFFFF"/>
            <w:vAlign w:val="bottom"/>
            <w:hideMark/>
          </w:tcPr>
          <w:p w14:paraId="1A86C933" w14:textId="77777777" w:rsidR="002F3D36" w:rsidRPr="002F3D36" w:rsidRDefault="002F3D36" w:rsidP="002F3D36">
            <w:pPr>
              <w:widowControl/>
              <w:jc w:val="left"/>
              <w:rPr>
                <w:rFonts w:ascii="Times New Roman" w:eastAsia="微软雅黑" w:hAnsi="Times New Roman" w:cs="Times New Roman"/>
                <w:kern w:val="0"/>
                <w:sz w:val="22"/>
              </w:rPr>
            </w:pPr>
            <w:r w:rsidRPr="002F3D36">
              <w:rPr>
                <w:rFonts w:ascii="Calibri" w:eastAsia="微软雅黑" w:hAnsi="Calibri" w:cs="Calibri"/>
                <w:kern w:val="0"/>
                <w:sz w:val="22"/>
              </w:rPr>
              <w:t> </w:t>
            </w:r>
          </w:p>
        </w:tc>
        <w:tc>
          <w:tcPr>
            <w:tcW w:w="0" w:type="auto"/>
            <w:shd w:val="clear" w:color="auto" w:fill="FFFFFF"/>
            <w:vAlign w:val="bottom"/>
            <w:hideMark/>
          </w:tcPr>
          <w:p w14:paraId="3FE16432" w14:textId="77777777" w:rsidR="002F3D36" w:rsidRPr="002F3D36" w:rsidRDefault="002F3D36" w:rsidP="002F3D36">
            <w:pPr>
              <w:widowControl/>
              <w:jc w:val="left"/>
              <w:rPr>
                <w:rFonts w:ascii="Times New Roman" w:eastAsia="微软雅黑" w:hAnsi="Times New Roman" w:cs="Times New Roman"/>
                <w:kern w:val="0"/>
                <w:sz w:val="22"/>
              </w:rPr>
            </w:pPr>
            <w:r w:rsidRPr="002F3D36">
              <w:rPr>
                <w:rFonts w:ascii="Calibri" w:eastAsia="微软雅黑" w:hAnsi="Calibri" w:cs="Calibri"/>
                <w:kern w:val="0"/>
                <w:sz w:val="22"/>
              </w:rPr>
              <w:t> </w:t>
            </w:r>
          </w:p>
        </w:tc>
        <w:tc>
          <w:tcPr>
            <w:tcW w:w="0" w:type="auto"/>
            <w:gridSpan w:val="2"/>
            <w:shd w:val="clear" w:color="auto" w:fill="FFFFFF"/>
            <w:vAlign w:val="bottom"/>
            <w:hideMark/>
          </w:tcPr>
          <w:p w14:paraId="44CDB49F" w14:textId="77777777" w:rsidR="002F3D36" w:rsidRPr="002F3D36" w:rsidRDefault="002F3D36" w:rsidP="002F3D36">
            <w:pPr>
              <w:widowControl/>
              <w:jc w:val="left"/>
              <w:rPr>
                <w:rFonts w:ascii="Times New Roman" w:eastAsia="微软雅黑" w:hAnsi="Times New Roman" w:cs="Times New Roman"/>
                <w:kern w:val="0"/>
                <w:sz w:val="22"/>
              </w:rPr>
            </w:pPr>
            <w:r w:rsidRPr="002F3D36">
              <w:rPr>
                <w:rFonts w:ascii="Calibri" w:eastAsia="微软雅黑" w:hAnsi="Calibri" w:cs="Calibri"/>
                <w:kern w:val="0"/>
                <w:sz w:val="22"/>
              </w:rPr>
              <w:t> </w:t>
            </w:r>
          </w:p>
        </w:tc>
        <w:tc>
          <w:tcPr>
            <w:tcW w:w="0" w:type="auto"/>
            <w:shd w:val="clear" w:color="auto" w:fill="FFFFFF"/>
            <w:vAlign w:val="bottom"/>
            <w:hideMark/>
          </w:tcPr>
          <w:p w14:paraId="2297052A" w14:textId="77777777" w:rsidR="002F3D36" w:rsidRPr="002F3D36" w:rsidRDefault="002F3D36" w:rsidP="002F3D36">
            <w:pPr>
              <w:widowControl/>
              <w:jc w:val="left"/>
              <w:rPr>
                <w:rFonts w:ascii="Times New Roman" w:eastAsia="微软雅黑" w:hAnsi="Times New Roman" w:cs="Times New Roman"/>
                <w:kern w:val="0"/>
                <w:sz w:val="22"/>
              </w:rPr>
            </w:pPr>
            <w:r w:rsidRPr="002F3D36">
              <w:rPr>
                <w:rFonts w:ascii="Calibri" w:eastAsia="微软雅黑" w:hAnsi="Calibri" w:cs="Calibri"/>
                <w:kern w:val="0"/>
                <w:sz w:val="22"/>
              </w:rPr>
              <w:t> </w:t>
            </w:r>
          </w:p>
        </w:tc>
      </w:tr>
      <w:tr w:rsidR="002F3D36" w:rsidRPr="002F3D36" w14:paraId="5670CC8A" w14:textId="77777777" w:rsidTr="002F3D36">
        <w:trPr>
          <w:trHeight w:val="220"/>
          <w:tblCellSpacing w:w="15" w:type="dxa"/>
        </w:trPr>
        <w:tc>
          <w:tcPr>
            <w:tcW w:w="0" w:type="auto"/>
            <w:shd w:val="clear" w:color="auto" w:fill="FFFFFF"/>
            <w:vAlign w:val="center"/>
            <w:hideMark/>
          </w:tcPr>
          <w:p w14:paraId="28AD66F1" w14:textId="77777777" w:rsidR="002F3D36" w:rsidRPr="002F3D36" w:rsidRDefault="002F3D36" w:rsidP="002F3D36">
            <w:pPr>
              <w:widowControl/>
              <w:jc w:val="left"/>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shd w:val="clear" w:color="auto" w:fill="FFFFFF"/>
            <w:vAlign w:val="center"/>
            <w:hideMark/>
          </w:tcPr>
          <w:p w14:paraId="1F52E1F3" w14:textId="77777777" w:rsidR="002F3D36" w:rsidRPr="002F3D36" w:rsidRDefault="002F3D36" w:rsidP="002F3D36">
            <w:pPr>
              <w:widowControl/>
              <w:jc w:val="left"/>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gridSpan w:val="6"/>
            <w:tcBorders>
              <w:bottom w:val="single" w:sz="4" w:space="0" w:color="000000"/>
            </w:tcBorders>
            <w:shd w:val="clear" w:color="auto" w:fill="FFFFFF"/>
            <w:vAlign w:val="center"/>
            <w:hideMark/>
          </w:tcPr>
          <w:p w14:paraId="49B2FC2C"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b/>
                <w:bCs/>
                <w:color w:val="000000"/>
                <w:kern w:val="0"/>
                <w:sz w:val="16"/>
                <w:szCs w:val="16"/>
              </w:rPr>
              <w:t>2021</w:t>
            </w:r>
          </w:p>
        </w:tc>
        <w:tc>
          <w:tcPr>
            <w:tcW w:w="0" w:type="auto"/>
            <w:shd w:val="clear" w:color="auto" w:fill="FFFFFF"/>
            <w:vAlign w:val="center"/>
            <w:hideMark/>
          </w:tcPr>
          <w:p w14:paraId="7280F61A"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shd w:val="clear" w:color="auto" w:fill="FFFFFF"/>
            <w:vAlign w:val="center"/>
            <w:hideMark/>
          </w:tcPr>
          <w:p w14:paraId="586E46A5" w14:textId="77777777" w:rsidR="002F3D36" w:rsidRPr="002F3D36" w:rsidRDefault="002F3D36" w:rsidP="002F3D36">
            <w:pPr>
              <w:widowControl/>
              <w:jc w:val="left"/>
              <w:rPr>
                <w:rFonts w:ascii="Times New Roman" w:eastAsia="微软雅黑" w:hAnsi="Times New Roman" w:cs="Times New Roman"/>
                <w:kern w:val="0"/>
                <w:sz w:val="22"/>
              </w:rPr>
            </w:pPr>
            <w:r w:rsidRPr="002F3D36">
              <w:rPr>
                <w:rFonts w:ascii="Times New Roman" w:eastAsia="微软雅黑" w:hAnsi="Times New Roman" w:cs="Times New Roman"/>
                <w:kern w:val="0"/>
                <w:sz w:val="22"/>
              </w:rPr>
              <w:t> </w:t>
            </w:r>
          </w:p>
        </w:tc>
        <w:tc>
          <w:tcPr>
            <w:tcW w:w="0" w:type="auto"/>
            <w:gridSpan w:val="6"/>
            <w:tcBorders>
              <w:bottom w:val="single" w:sz="4" w:space="0" w:color="000000"/>
            </w:tcBorders>
            <w:shd w:val="clear" w:color="auto" w:fill="FFFFFF"/>
            <w:vAlign w:val="center"/>
            <w:hideMark/>
          </w:tcPr>
          <w:p w14:paraId="199903E2"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b/>
                <w:bCs/>
                <w:color w:val="000000"/>
                <w:kern w:val="0"/>
                <w:sz w:val="16"/>
                <w:szCs w:val="16"/>
              </w:rPr>
              <w:t>2020</w:t>
            </w:r>
          </w:p>
        </w:tc>
        <w:tc>
          <w:tcPr>
            <w:tcW w:w="0" w:type="auto"/>
            <w:shd w:val="clear" w:color="auto" w:fill="FFFFFF"/>
            <w:vAlign w:val="center"/>
            <w:hideMark/>
          </w:tcPr>
          <w:p w14:paraId="1E36A3B6"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shd w:val="clear" w:color="auto" w:fill="FFFFFF"/>
            <w:vAlign w:val="center"/>
            <w:hideMark/>
          </w:tcPr>
          <w:p w14:paraId="31332FD8" w14:textId="77777777" w:rsidR="002F3D36" w:rsidRPr="002F3D36" w:rsidRDefault="002F3D36" w:rsidP="002F3D36">
            <w:pPr>
              <w:widowControl/>
              <w:jc w:val="left"/>
              <w:rPr>
                <w:rFonts w:ascii="Times New Roman" w:eastAsia="微软雅黑" w:hAnsi="Times New Roman" w:cs="Times New Roman"/>
                <w:kern w:val="0"/>
                <w:sz w:val="22"/>
              </w:rPr>
            </w:pPr>
            <w:r w:rsidRPr="002F3D36">
              <w:rPr>
                <w:rFonts w:ascii="Times New Roman" w:eastAsia="微软雅黑" w:hAnsi="Times New Roman" w:cs="Times New Roman"/>
                <w:kern w:val="0"/>
                <w:sz w:val="22"/>
              </w:rPr>
              <w:t> </w:t>
            </w:r>
          </w:p>
        </w:tc>
        <w:tc>
          <w:tcPr>
            <w:tcW w:w="0" w:type="auto"/>
            <w:gridSpan w:val="6"/>
            <w:tcBorders>
              <w:bottom w:val="single" w:sz="4" w:space="0" w:color="000000"/>
            </w:tcBorders>
            <w:shd w:val="clear" w:color="auto" w:fill="FFFFFF"/>
            <w:vAlign w:val="center"/>
            <w:hideMark/>
          </w:tcPr>
          <w:p w14:paraId="13BF4A30"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b/>
                <w:bCs/>
                <w:color w:val="000000"/>
                <w:kern w:val="0"/>
                <w:sz w:val="16"/>
                <w:szCs w:val="16"/>
              </w:rPr>
              <w:t>Change 2021 vs 2020</w:t>
            </w:r>
          </w:p>
        </w:tc>
        <w:tc>
          <w:tcPr>
            <w:tcW w:w="0" w:type="auto"/>
            <w:shd w:val="clear" w:color="auto" w:fill="FFFFFF"/>
            <w:vAlign w:val="center"/>
            <w:hideMark/>
          </w:tcPr>
          <w:p w14:paraId="2C8DC950"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r>
      <w:tr w:rsidR="002F3D36" w:rsidRPr="002F3D36" w14:paraId="337FD69B" w14:textId="77777777" w:rsidTr="002F3D36">
        <w:trPr>
          <w:trHeight w:val="160"/>
          <w:tblCellSpacing w:w="15" w:type="dxa"/>
        </w:trPr>
        <w:tc>
          <w:tcPr>
            <w:tcW w:w="0" w:type="auto"/>
            <w:shd w:val="clear" w:color="auto" w:fill="FFFFFF"/>
            <w:vAlign w:val="center"/>
            <w:hideMark/>
          </w:tcPr>
          <w:p w14:paraId="4063B91A" w14:textId="77777777" w:rsidR="002F3D36" w:rsidRPr="002F3D36" w:rsidRDefault="002F3D36" w:rsidP="002F3D36">
            <w:pPr>
              <w:widowControl/>
              <w:jc w:val="left"/>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shd w:val="clear" w:color="auto" w:fill="FFFFFF"/>
            <w:vAlign w:val="center"/>
            <w:hideMark/>
          </w:tcPr>
          <w:p w14:paraId="4CC0F4A9" w14:textId="77777777" w:rsidR="002F3D36" w:rsidRPr="002F3D36" w:rsidRDefault="002F3D36" w:rsidP="002F3D36">
            <w:pPr>
              <w:widowControl/>
              <w:jc w:val="left"/>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gridSpan w:val="2"/>
            <w:tcBorders>
              <w:bottom w:val="single" w:sz="4" w:space="0" w:color="000000"/>
            </w:tcBorders>
            <w:shd w:val="clear" w:color="auto" w:fill="FFFFFF"/>
            <w:vAlign w:val="bottom"/>
            <w:hideMark/>
          </w:tcPr>
          <w:p w14:paraId="2176C58C"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b/>
                <w:bCs/>
                <w:color w:val="000000"/>
                <w:kern w:val="0"/>
                <w:sz w:val="16"/>
                <w:szCs w:val="16"/>
              </w:rPr>
              <w:t>(000´)</w:t>
            </w:r>
            <w:r w:rsidRPr="002F3D36">
              <w:rPr>
                <w:rFonts w:ascii="Arial" w:eastAsia="微软雅黑" w:hAnsi="Arial" w:cs="Arial"/>
                <w:b/>
                <w:bCs/>
                <w:color w:val="000000"/>
                <w:kern w:val="0"/>
                <w:sz w:val="16"/>
                <w:szCs w:val="16"/>
              </w:rPr>
              <w:br/>
              <w:t>units</w:t>
            </w:r>
          </w:p>
        </w:tc>
        <w:tc>
          <w:tcPr>
            <w:tcW w:w="0" w:type="auto"/>
            <w:shd w:val="clear" w:color="auto" w:fill="FFFFFF"/>
            <w:vAlign w:val="bottom"/>
            <w:hideMark/>
          </w:tcPr>
          <w:p w14:paraId="648550A4"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shd w:val="clear" w:color="auto" w:fill="FFFFFF"/>
            <w:vAlign w:val="bottom"/>
            <w:hideMark/>
          </w:tcPr>
          <w:p w14:paraId="69739A0A"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Times New Roman" w:eastAsia="微软雅黑" w:hAnsi="Times New Roman" w:cs="Times New Roman"/>
                <w:kern w:val="0"/>
                <w:sz w:val="16"/>
                <w:szCs w:val="16"/>
              </w:rPr>
              <w:t> </w:t>
            </w:r>
          </w:p>
        </w:tc>
        <w:tc>
          <w:tcPr>
            <w:tcW w:w="0" w:type="auto"/>
            <w:gridSpan w:val="2"/>
            <w:tcBorders>
              <w:bottom w:val="single" w:sz="4" w:space="0" w:color="000000"/>
            </w:tcBorders>
            <w:shd w:val="clear" w:color="auto" w:fill="FFFFFF"/>
            <w:vAlign w:val="bottom"/>
            <w:hideMark/>
          </w:tcPr>
          <w:p w14:paraId="12E95225"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b/>
                <w:bCs/>
                <w:color w:val="000000"/>
                <w:kern w:val="0"/>
                <w:sz w:val="16"/>
                <w:szCs w:val="16"/>
              </w:rPr>
              <w:t>% global</w:t>
            </w:r>
          </w:p>
        </w:tc>
        <w:tc>
          <w:tcPr>
            <w:tcW w:w="0" w:type="auto"/>
            <w:shd w:val="clear" w:color="auto" w:fill="FFFFFF"/>
            <w:vAlign w:val="bottom"/>
            <w:hideMark/>
          </w:tcPr>
          <w:p w14:paraId="1C01071F"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shd w:val="clear" w:color="auto" w:fill="FFFFFF"/>
            <w:vAlign w:val="bottom"/>
            <w:hideMark/>
          </w:tcPr>
          <w:p w14:paraId="6E7AF425"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Times New Roman" w:eastAsia="微软雅黑" w:hAnsi="Times New Roman" w:cs="Times New Roman"/>
                <w:kern w:val="0"/>
                <w:sz w:val="16"/>
                <w:szCs w:val="16"/>
              </w:rPr>
              <w:t> </w:t>
            </w:r>
          </w:p>
        </w:tc>
        <w:tc>
          <w:tcPr>
            <w:tcW w:w="0" w:type="auto"/>
            <w:gridSpan w:val="2"/>
            <w:tcBorders>
              <w:bottom w:val="single" w:sz="4" w:space="0" w:color="000000"/>
            </w:tcBorders>
            <w:shd w:val="clear" w:color="auto" w:fill="FFFFFF"/>
            <w:vAlign w:val="bottom"/>
            <w:hideMark/>
          </w:tcPr>
          <w:p w14:paraId="7DF51F02"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b/>
                <w:bCs/>
                <w:color w:val="000000"/>
                <w:kern w:val="0"/>
                <w:sz w:val="16"/>
                <w:szCs w:val="16"/>
              </w:rPr>
              <w:t>(000´)</w:t>
            </w:r>
            <w:r w:rsidRPr="002F3D36">
              <w:rPr>
                <w:rFonts w:ascii="Arial" w:eastAsia="微软雅黑" w:hAnsi="Arial" w:cs="Arial"/>
                <w:b/>
                <w:bCs/>
                <w:color w:val="000000"/>
                <w:kern w:val="0"/>
                <w:sz w:val="16"/>
                <w:szCs w:val="16"/>
              </w:rPr>
              <w:br/>
              <w:t>units</w:t>
            </w:r>
          </w:p>
        </w:tc>
        <w:tc>
          <w:tcPr>
            <w:tcW w:w="0" w:type="auto"/>
            <w:shd w:val="clear" w:color="auto" w:fill="FFFFFF"/>
            <w:vAlign w:val="bottom"/>
            <w:hideMark/>
          </w:tcPr>
          <w:p w14:paraId="3FB37B66"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shd w:val="clear" w:color="auto" w:fill="FFFFFF"/>
            <w:vAlign w:val="bottom"/>
            <w:hideMark/>
          </w:tcPr>
          <w:p w14:paraId="6391D2A4"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Times New Roman" w:eastAsia="微软雅黑" w:hAnsi="Times New Roman" w:cs="Times New Roman"/>
                <w:kern w:val="0"/>
                <w:sz w:val="16"/>
                <w:szCs w:val="16"/>
              </w:rPr>
              <w:t> </w:t>
            </w:r>
          </w:p>
        </w:tc>
        <w:tc>
          <w:tcPr>
            <w:tcW w:w="0" w:type="auto"/>
            <w:gridSpan w:val="2"/>
            <w:tcBorders>
              <w:bottom w:val="single" w:sz="4" w:space="0" w:color="000000"/>
            </w:tcBorders>
            <w:shd w:val="clear" w:color="auto" w:fill="FFFFFF"/>
            <w:vAlign w:val="bottom"/>
            <w:hideMark/>
          </w:tcPr>
          <w:p w14:paraId="6C4ACE91"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b/>
                <w:bCs/>
                <w:color w:val="000000"/>
                <w:kern w:val="0"/>
                <w:sz w:val="16"/>
                <w:szCs w:val="16"/>
              </w:rPr>
              <w:t>% global</w:t>
            </w:r>
          </w:p>
        </w:tc>
        <w:tc>
          <w:tcPr>
            <w:tcW w:w="0" w:type="auto"/>
            <w:shd w:val="clear" w:color="auto" w:fill="FFFFFF"/>
            <w:vAlign w:val="bottom"/>
            <w:hideMark/>
          </w:tcPr>
          <w:p w14:paraId="0CE38D96"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shd w:val="clear" w:color="auto" w:fill="FFFFFF"/>
            <w:vAlign w:val="bottom"/>
            <w:hideMark/>
          </w:tcPr>
          <w:p w14:paraId="10BB5F2E" w14:textId="77777777" w:rsidR="002F3D36" w:rsidRPr="002F3D36" w:rsidRDefault="002F3D36" w:rsidP="002F3D36">
            <w:pPr>
              <w:widowControl/>
              <w:jc w:val="left"/>
              <w:rPr>
                <w:rFonts w:ascii="Times New Roman" w:eastAsia="微软雅黑" w:hAnsi="Times New Roman" w:cs="Times New Roman"/>
                <w:kern w:val="0"/>
                <w:sz w:val="16"/>
                <w:szCs w:val="16"/>
              </w:rPr>
            </w:pPr>
            <w:r w:rsidRPr="002F3D36">
              <w:rPr>
                <w:rFonts w:ascii="Times New Roman" w:eastAsia="微软雅黑" w:hAnsi="Times New Roman" w:cs="Times New Roman"/>
                <w:kern w:val="0"/>
                <w:sz w:val="16"/>
                <w:szCs w:val="16"/>
              </w:rPr>
              <w:t> </w:t>
            </w:r>
          </w:p>
        </w:tc>
        <w:tc>
          <w:tcPr>
            <w:tcW w:w="0" w:type="auto"/>
            <w:gridSpan w:val="2"/>
            <w:tcBorders>
              <w:bottom w:val="single" w:sz="4" w:space="0" w:color="000000"/>
            </w:tcBorders>
            <w:shd w:val="clear" w:color="auto" w:fill="FFFFFF"/>
            <w:vAlign w:val="bottom"/>
            <w:hideMark/>
          </w:tcPr>
          <w:p w14:paraId="7F3F1736"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b/>
                <w:bCs/>
                <w:color w:val="000000"/>
                <w:kern w:val="0"/>
                <w:sz w:val="16"/>
                <w:szCs w:val="16"/>
              </w:rPr>
              <w:t>(000´)</w:t>
            </w:r>
            <w:r w:rsidRPr="002F3D36">
              <w:rPr>
                <w:rFonts w:ascii="Arial" w:eastAsia="微软雅黑" w:hAnsi="Arial" w:cs="Arial"/>
                <w:b/>
                <w:bCs/>
                <w:color w:val="000000"/>
                <w:kern w:val="0"/>
                <w:sz w:val="16"/>
                <w:szCs w:val="16"/>
              </w:rPr>
              <w:br/>
              <w:t>units</w:t>
            </w:r>
          </w:p>
        </w:tc>
        <w:tc>
          <w:tcPr>
            <w:tcW w:w="0" w:type="auto"/>
            <w:shd w:val="clear" w:color="auto" w:fill="FFFFFF"/>
            <w:vAlign w:val="bottom"/>
            <w:hideMark/>
          </w:tcPr>
          <w:p w14:paraId="326A78F7"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shd w:val="clear" w:color="auto" w:fill="FFFFFF"/>
            <w:vAlign w:val="bottom"/>
            <w:hideMark/>
          </w:tcPr>
          <w:p w14:paraId="39AF696F"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Times New Roman" w:eastAsia="微软雅黑" w:hAnsi="Times New Roman" w:cs="Times New Roman"/>
                <w:kern w:val="0"/>
                <w:sz w:val="16"/>
                <w:szCs w:val="16"/>
              </w:rPr>
              <w:t> </w:t>
            </w:r>
          </w:p>
        </w:tc>
        <w:tc>
          <w:tcPr>
            <w:tcW w:w="0" w:type="auto"/>
            <w:gridSpan w:val="2"/>
            <w:tcBorders>
              <w:bottom w:val="single" w:sz="4" w:space="0" w:color="000000"/>
            </w:tcBorders>
            <w:shd w:val="clear" w:color="auto" w:fill="FFFFFF"/>
            <w:vAlign w:val="bottom"/>
            <w:hideMark/>
          </w:tcPr>
          <w:p w14:paraId="196C88AA"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b/>
                <w:bCs/>
                <w:color w:val="000000"/>
                <w:kern w:val="0"/>
                <w:sz w:val="16"/>
                <w:szCs w:val="16"/>
              </w:rPr>
              <w:t>%</w:t>
            </w:r>
          </w:p>
        </w:tc>
        <w:tc>
          <w:tcPr>
            <w:tcW w:w="0" w:type="auto"/>
            <w:shd w:val="clear" w:color="auto" w:fill="FFFFFF"/>
            <w:vAlign w:val="bottom"/>
            <w:hideMark/>
          </w:tcPr>
          <w:p w14:paraId="73C3A437"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r>
      <w:tr w:rsidR="002F3D36" w:rsidRPr="002F3D36" w14:paraId="5C5DF426" w14:textId="77777777" w:rsidTr="002F3D36">
        <w:trPr>
          <w:trHeight w:val="180"/>
          <w:tblCellSpacing w:w="15" w:type="dxa"/>
        </w:trPr>
        <w:tc>
          <w:tcPr>
            <w:tcW w:w="0" w:type="auto"/>
            <w:shd w:val="clear" w:color="auto" w:fill="CFF0FC"/>
            <w:vAlign w:val="center"/>
            <w:hideMark/>
          </w:tcPr>
          <w:p w14:paraId="4A58BF4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Americas</w:t>
            </w:r>
          </w:p>
        </w:tc>
        <w:tc>
          <w:tcPr>
            <w:tcW w:w="0" w:type="auto"/>
            <w:shd w:val="clear" w:color="auto" w:fill="CFF0FC"/>
            <w:vAlign w:val="center"/>
            <w:hideMark/>
          </w:tcPr>
          <w:p w14:paraId="49AE6E1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center"/>
            <w:hideMark/>
          </w:tcPr>
          <w:p w14:paraId="43C15E4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center"/>
            <w:hideMark/>
          </w:tcPr>
          <w:p w14:paraId="6C4A133E"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14,507</w:t>
            </w:r>
          </w:p>
        </w:tc>
        <w:tc>
          <w:tcPr>
            <w:tcW w:w="0" w:type="auto"/>
            <w:shd w:val="clear" w:color="auto" w:fill="CFF0FC"/>
            <w:vAlign w:val="center"/>
            <w:hideMark/>
          </w:tcPr>
          <w:p w14:paraId="70D128B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center"/>
            <w:hideMark/>
          </w:tcPr>
          <w:p w14:paraId="23148DD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Times New Roman" w:eastAsia="微软雅黑" w:hAnsi="Times New Roman" w:cs="Times New Roman"/>
                <w:kern w:val="0"/>
                <w:sz w:val="18"/>
                <w:szCs w:val="18"/>
              </w:rPr>
              <w:t> </w:t>
            </w:r>
          </w:p>
        </w:tc>
        <w:tc>
          <w:tcPr>
            <w:tcW w:w="0" w:type="auto"/>
            <w:shd w:val="clear" w:color="auto" w:fill="CFF0FC"/>
            <w:vAlign w:val="center"/>
            <w:hideMark/>
          </w:tcPr>
          <w:p w14:paraId="669226F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center"/>
            <w:hideMark/>
          </w:tcPr>
          <w:p w14:paraId="0FEE35AA"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20</w:t>
            </w:r>
          </w:p>
        </w:tc>
        <w:tc>
          <w:tcPr>
            <w:tcW w:w="0" w:type="auto"/>
            <w:shd w:val="clear" w:color="auto" w:fill="CFF0FC"/>
            <w:vAlign w:val="center"/>
            <w:hideMark/>
          </w:tcPr>
          <w:p w14:paraId="408D835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shd w:val="clear" w:color="auto" w:fill="CFF0FC"/>
            <w:vAlign w:val="center"/>
            <w:hideMark/>
          </w:tcPr>
          <w:p w14:paraId="0FF5610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Times New Roman" w:eastAsia="微软雅黑" w:hAnsi="Times New Roman" w:cs="Times New Roman"/>
                <w:kern w:val="0"/>
                <w:sz w:val="18"/>
                <w:szCs w:val="18"/>
              </w:rPr>
              <w:t> </w:t>
            </w:r>
          </w:p>
        </w:tc>
        <w:tc>
          <w:tcPr>
            <w:tcW w:w="0" w:type="auto"/>
            <w:shd w:val="clear" w:color="auto" w:fill="CFF0FC"/>
            <w:vAlign w:val="center"/>
            <w:hideMark/>
          </w:tcPr>
          <w:p w14:paraId="53970B2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center"/>
            <w:hideMark/>
          </w:tcPr>
          <w:p w14:paraId="64939BF3"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14,178</w:t>
            </w:r>
          </w:p>
        </w:tc>
        <w:tc>
          <w:tcPr>
            <w:tcW w:w="0" w:type="auto"/>
            <w:shd w:val="clear" w:color="auto" w:fill="CFF0FC"/>
            <w:vAlign w:val="center"/>
            <w:hideMark/>
          </w:tcPr>
          <w:p w14:paraId="0DD2AFB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center"/>
            <w:hideMark/>
          </w:tcPr>
          <w:p w14:paraId="66ACC62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Times New Roman" w:eastAsia="微软雅黑" w:hAnsi="Times New Roman" w:cs="Times New Roman"/>
                <w:kern w:val="0"/>
                <w:sz w:val="18"/>
                <w:szCs w:val="18"/>
              </w:rPr>
              <w:t> </w:t>
            </w:r>
          </w:p>
        </w:tc>
        <w:tc>
          <w:tcPr>
            <w:tcW w:w="0" w:type="auto"/>
            <w:shd w:val="clear" w:color="auto" w:fill="CFF0FC"/>
            <w:vAlign w:val="center"/>
            <w:hideMark/>
          </w:tcPr>
          <w:p w14:paraId="0D3B37A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center"/>
            <w:hideMark/>
          </w:tcPr>
          <w:p w14:paraId="33D338A5"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20</w:t>
            </w:r>
          </w:p>
        </w:tc>
        <w:tc>
          <w:tcPr>
            <w:tcW w:w="0" w:type="auto"/>
            <w:shd w:val="clear" w:color="auto" w:fill="CFF0FC"/>
            <w:vAlign w:val="center"/>
            <w:hideMark/>
          </w:tcPr>
          <w:p w14:paraId="4930DB2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shd w:val="clear" w:color="auto" w:fill="CFF0FC"/>
            <w:vAlign w:val="center"/>
            <w:hideMark/>
          </w:tcPr>
          <w:p w14:paraId="7254060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Times New Roman" w:eastAsia="微软雅黑" w:hAnsi="Times New Roman" w:cs="Times New Roman"/>
                <w:kern w:val="0"/>
                <w:sz w:val="18"/>
                <w:szCs w:val="18"/>
              </w:rPr>
              <w:t> </w:t>
            </w:r>
          </w:p>
        </w:tc>
        <w:tc>
          <w:tcPr>
            <w:tcW w:w="0" w:type="auto"/>
            <w:shd w:val="clear" w:color="auto" w:fill="CFF0FC"/>
            <w:vAlign w:val="center"/>
            <w:hideMark/>
          </w:tcPr>
          <w:p w14:paraId="1C78812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center"/>
            <w:hideMark/>
          </w:tcPr>
          <w:p w14:paraId="56008991"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330</w:t>
            </w:r>
          </w:p>
        </w:tc>
        <w:tc>
          <w:tcPr>
            <w:tcW w:w="0" w:type="auto"/>
            <w:shd w:val="clear" w:color="auto" w:fill="CFF0FC"/>
            <w:vAlign w:val="center"/>
            <w:hideMark/>
          </w:tcPr>
          <w:p w14:paraId="6DAA60E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center"/>
            <w:hideMark/>
          </w:tcPr>
          <w:p w14:paraId="3C5581D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Times New Roman" w:eastAsia="微软雅黑" w:hAnsi="Times New Roman" w:cs="Times New Roman"/>
                <w:kern w:val="0"/>
                <w:sz w:val="18"/>
                <w:szCs w:val="18"/>
              </w:rPr>
              <w:t> </w:t>
            </w:r>
          </w:p>
        </w:tc>
        <w:tc>
          <w:tcPr>
            <w:tcW w:w="0" w:type="auto"/>
            <w:shd w:val="clear" w:color="auto" w:fill="CFF0FC"/>
            <w:vAlign w:val="center"/>
            <w:hideMark/>
          </w:tcPr>
          <w:p w14:paraId="37623CC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center"/>
            <w:hideMark/>
          </w:tcPr>
          <w:p w14:paraId="4EC1FF1F"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2</w:t>
            </w:r>
          </w:p>
        </w:tc>
        <w:tc>
          <w:tcPr>
            <w:tcW w:w="0" w:type="auto"/>
            <w:shd w:val="clear" w:color="auto" w:fill="CFF0FC"/>
            <w:vAlign w:val="center"/>
            <w:hideMark/>
          </w:tcPr>
          <w:p w14:paraId="036532E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r>
      <w:tr w:rsidR="002F3D36" w:rsidRPr="002F3D36" w14:paraId="063FF12E" w14:textId="77777777" w:rsidTr="002F3D36">
        <w:trPr>
          <w:trHeight w:val="180"/>
          <w:tblCellSpacing w:w="15" w:type="dxa"/>
        </w:trPr>
        <w:tc>
          <w:tcPr>
            <w:tcW w:w="0" w:type="auto"/>
            <w:vAlign w:val="center"/>
            <w:hideMark/>
          </w:tcPr>
          <w:p w14:paraId="1B6C2CC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Times New Roman" w:eastAsia="微软雅黑" w:hAnsi="Times New Roman" w:cs="Times New Roman"/>
                <w:kern w:val="0"/>
                <w:sz w:val="18"/>
                <w:szCs w:val="18"/>
              </w:rPr>
              <w:t> </w:t>
            </w:r>
          </w:p>
        </w:tc>
        <w:tc>
          <w:tcPr>
            <w:tcW w:w="0" w:type="auto"/>
            <w:vAlign w:val="center"/>
            <w:hideMark/>
          </w:tcPr>
          <w:p w14:paraId="1FFF638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i/>
                <w:iCs/>
                <w:color w:val="000000"/>
                <w:kern w:val="0"/>
                <w:sz w:val="18"/>
                <w:szCs w:val="18"/>
              </w:rPr>
              <w:t>North America</w:t>
            </w:r>
          </w:p>
        </w:tc>
        <w:tc>
          <w:tcPr>
            <w:tcW w:w="0" w:type="auto"/>
            <w:vAlign w:val="center"/>
            <w:hideMark/>
          </w:tcPr>
          <w:p w14:paraId="239A0E9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center"/>
            <w:hideMark/>
          </w:tcPr>
          <w:p w14:paraId="682E2A1E"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i/>
                <w:iCs/>
                <w:color w:val="000000"/>
                <w:kern w:val="0"/>
                <w:sz w:val="18"/>
                <w:szCs w:val="18"/>
              </w:rPr>
              <w:t>11,922</w:t>
            </w:r>
          </w:p>
        </w:tc>
        <w:tc>
          <w:tcPr>
            <w:tcW w:w="0" w:type="auto"/>
            <w:vAlign w:val="center"/>
            <w:hideMark/>
          </w:tcPr>
          <w:p w14:paraId="4E129F6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center"/>
            <w:hideMark/>
          </w:tcPr>
          <w:p w14:paraId="3B794E5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Times New Roman" w:eastAsia="微软雅黑" w:hAnsi="Times New Roman" w:cs="Times New Roman"/>
                <w:kern w:val="0"/>
                <w:sz w:val="18"/>
                <w:szCs w:val="18"/>
              </w:rPr>
              <w:t> </w:t>
            </w:r>
          </w:p>
        </w:tc>
        <w:tc>
          <w:tcPr>
            <w:tcW w:w="0" w:type="auto"/>
            <w:vAlign w:val="center"/>
            <w:hideMark/>
          </w:tcPr>
          <w:p w14:paraId="37BE397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center"/>
            <w:hideMark/>
          </w:tcPr>
          <w:p w14:paraId="17B055DE"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i/>
                <w:iCs/>
                <w:color w:val="000000"/>
                <w:kern w:val="0"/>
                <w:sz w:val="18"/>
                <w:szCs w:val="18"/>
              </w:rPr>
              <w:t>16</w:t>
            </w:r>
          </w:p>
        </w:tc>
        <w:tc>
          <w:tcPr>
            <w:tcW w:w="0" w:type="auto"/>
            <w:vAlign w:val="center"/>
            <w:hideMark/>
          </w:tcPr>
          <w:p w14:paraId="62DAD6E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i/>
                <w:iCs/>
                <w:color w:val="000000"/>
                <w:kern w:val="0"/>
                <w:sz w:val="18"/>
                <w:szCs w:val="18"/>
              </w:rPr>
              <w:t>%</w:t>
            </w:r>
          </w:p>
        </w:tc>
        <w:tc>
          <w:tcPr>
            <w:tcW w:w="0" w:type="auto"/>
            <w:vAlign w:val="center"/>
            <w:hideMark/>
          </w:tcPr>
          <w:p w14:paraId="0072362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Times New Roman" w:eastAsia="微软雅黑" w:hAnsi="Times New Roman" w:cs="Times New Roman"/>
                <w:kern w:val="0"/>
                <w:sz w:val="18"/>
                <w:szCs w:val="18"/>
              </w:rPr>
              <w:t> </w:t>
            </w:r>
          </w:p>
        </w:tc>
        <w:tc>
          <w:tcPr>
            <w:tcW w:w="0" w:type="auto"/>
            <w:vAlign w:val="center"/>
            <w:hideMark/>
          </w:tcPr>
          <w:p w14:paraId="38953E4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center"/>
            <w:hideMark/>
          </w:tcPr>
          <w:p w14:paraId="50831325"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i/>
                <w:iCs/>
                <w:color w:val="000000"/>
                <w:kern w:val="0"/>
                <w:sz w:val="18"/>
                <w:szCs w:val="18"/>
              </w:rPr>
              <w:t>11,948</w:t>
            </w:r>
          </w:p>
        </w:tc>
        <w:tc>
          <w:tcPr>
            <w:tcW w:w="0" w:type="auto"/>
            <w:vAlign w:val="center"/>
            <w:hideMark/>
          </w:tcPr>
          <w:p w14:paraId="4F82403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center"/>
            <w:hideMark/>
          </w:tcPr>
          <w:p w14:paraId="52E66CA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Times New Roman" w:eastAsia="微软雅黑" w:hAnsi="Times New Roman" w:cs="Times New Roman"/>
                <w:kern w:val="0"/>
                <w:sz w:val="18"/>
                <w:szCs w:val="18"/>
              </w:rPr>
              <w:t> </w:t>
            </w:r>
          </w:p>
        </w:tc>
        <w:tc>
          <w:tcPr>
            <w:tcW w:w="0" w:type="auto"/>
            <w:vAlign w:val="center"/>
            <w:hideMark/>
          </w:tcPr>
          <w:p w14:paraId="6CE3010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center"/>
            <w:hideMark/>
          </w:tcPr>
          <w:p w14:paraId="5BAA885C"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i/>
                <w:iCs/>
                <w:color w:val="000000"/>
                <w:kern w:val="0"/>
                <w:sz w:val="18"/>
                <w:szCs w:val="18"/>
              </w:rPr>
              <w:t>17</w:t>
            </w:r>
          </w:p>
        </w:tc>
        <w:tc>
          <w:tcPr>
            <w:tcW w:w="0" w:type="auto"/>
            <w:vAlign w:val="center"/>
            <w:hideMark/>
          </w:tcPr>
          <w:p w14:paraId="383E1B2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i/>
                <w:iCs/>
                <w:color w:val="000000"/>
                <w:kern w:val="0"/>
                <w:sz w:val="18"/>
                <w:szCs w:val="18"/>
              </w:rPr>
              <w:t>%</w:t>
            </w:r>
          </w:p>
        </w:tc>
        <w:tc>
          <w:tcPr>
            <w:tcW w:w="0" w:type="auto"/>
            <w:vAlign w:val="center"/>
            <w:hideMark/>
          </w:tcPr>
          <w:p w14:paraId="41A43F9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Times New Roman" w:eastAsia="微软雅黑" w:hAnsi="Times New Roman" w:cs="Times New Roman"/>
                <w:kern w:val="0"/>
                <w:sz w:val="18"/>
                <w:szCs w:val="18"/>
              </w:rPr>
              <w:t> </w:t>
            </w:r>
          </w:p>
        </w:tc>
        <w:tc>
          <w:tcPr>
            <w:tcW w:w="0" w:type="auto"/>
            <w:vAlign w:val="center"/>
            <w:hideMark/>
          </w:tcPr>
          <w:p w14:paraId="55288C4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center"/>
            <w:hideMark/>
          </w:tcPr>
          <w:p w14:paraId="0F9B36E6"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(26</w:t>
            </w:r>
          </w:p>
        </w:tc>
        <w:tc>
          <w:tcPr>
            <w:tcW w:w="0" w:type="auto"/>
            <w:vAlign w:val="center"/>
            <w:hideMark/>
          </w:tcPr>
          <w:p w14:paraId="5095CFA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vAlign w:val="center"/>
            <w:hideMark/>
          </w:tcPr>
          <w:p w14:paraId="1E4AFE3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Times New Roman" w:eastAsia="微软雅黑" w:hAnsi="Times New Roman" w:cs="Times New Roman"/>
                <w:kern w:val="0"/>
                <w:sz w:val="18"/>
                <w:szCs w:val="18"/>
              </w:rPr>
              <w:t> </w:t>
            </w:r>
          </w:p>
        </w:tc>
        <w:tc>
          <w:tcPr>
            <w:tcW w:w="0" w:type="auto"/>
            <w:vAlign w:val="center"/>
            <w:hideMark/>
          </w:tcPr>
          <w:p w14:paraId="3E06B28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center"/>
            <w:hideMark/>
          </w:tcPr>
          <w:p w14:paraId="21FBFA9A"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i/>
                <w:iCs/>
                <w:color w:val="000000"/>
                <w:kern w:val="0"/>
                <w:sz w:val="18"/>
                <w:szCs w:val="18"/>
              </w:rPr>
              <w:t>(0</w:t>
            </w:r>
          </w:p>
        </w:tc>
        <w:tc>
          <w:tcPr>
            <w:tcW w:w="0" w:type="auto"/>
            <w:vAlign w:val="center"/>
            <w:hideMark/>
          </w:tcPr>
          <w:p w14:paraId="5AC9AEB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i/>
                <w:iCs/>
                <w:color w:val="000000"/>
                <w:kern w:val="0"/>
                <w:sz w:val="18"/>
                <w:szCs w:val="18"/>
              </w:rPr>
              <w:t>)%</w:t>
            </w:r>
          </w:p>
        </w:tc>
      </w:tr>
      <w:tr w:rsidR="002F3D36" w:rsidRPr="002F3D36" w14:paraId="0527E1A1" w14:textId="77777777" w:rsidTr="002F3D36">
        <w:trPr>
          <w:trHeight w:val="180"/>
          <w:tblCellSpacing w:w="15" w:type="dxa"/>
        </w:trPr>
        <w:tc>
          <w:tcPr>
            <w:tcW w:w="0" w:type="auto"/>
            <w:shd w:val="clear" w:color="auto" w:fill="CFF0FC"/>
            <w:vAlign w:val="center"/>
            <w:hideMark/>
          </w:tcPr>
          <w:p w14:paraId="5E14379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Times New Roman" w:eastAsia="微软雅黑" w:hAnsi="Times New Roman" w:cs="Times New Roman"/>
                <w:kern w:val="0"/>
                <w:sz w:val="18"/>
                <w:szCs w:val="18"/>
              </w:rPr>
              <w:t> </w:t>
            </w:r>
          </w:p>
        </w:tc>
        <w:tc>
          <w:tcPr>
            <w:tcW w:w="0" w:type="auto"/>
            <w:shd w:val="clear" w:color="auto" w:fill="CFF0FC"/>
            <w:vAlign w:val="center"/>
            <w:hideMark/>
          </w:tcPr>
          <w:p w14:paraId="48A6944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i/>
                <w:iCs/>
                <w:color w:val="000000"/>
                <w:kern w:val="0"/>
                <w:sz w:val="18"/>
                <w:szCs w:val="18"/>
              </w:rPr>
              <w:t>South America</w:t>
            </w:r>
          </w:p>
        </w:tc>
        <w:tc>
          <w:tcPr>
            <w:tcW w:w="0" w:type="auto"/>
            <w:shd w:val="clear" w:color="auto" w:fill="CFF0FC"/>
            <w:vAlign w:val="center"/>
            <w:hideMark/>
          </w:tcPr>
          <w:p w14:paraId="3993F0A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center"/>
            <w:hideMark/>
          </w:tcPr>
          <w:p w14:paraId="7B84876A"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i/>
                <w:iCs/>
                <w:color w:val="000000"/>
                <w:kern w:val="0"/>
                <w:sz w:val="18"/>
                <w:szCs w:val="18"/>
              </w:rPr>
              <w:t>2,586</w:t>
            </w:r>
          </w:p>
        </w:tc>
        <w:tc>
          <w:tcPr>
            <w:tcW w:w="0" w:type="auto"/>
            <w:shd w:val="clear" w:color="auto" w:fill="CFF0FC"/>
            <w:vAlign w:val="center"/>
            <w:hideMark/>
          </w:tcPr>
          <w:p w14:paraId="264BEFA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center"/>
            <w:hideMark/>
          </w:tcPr>
          <w:p w14:paraId="4A35ED8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Times New Roman" w:eastAsia="微软雅黑" w:hAnsi="Times New Roman" w:cs="Times New Roman"/>
                <w:kern w:val="0"/>
                <w:sz w:val="18"/>
                <w:szCs w:val="18"/>
              </w:rPr>
              <w:t> </w:t>
            </w:r>
          </w:p>
        </w:tc>
        <w:tc>
          <w:tcPr>
            <w:tcW w:w="0" w:type="auto"/>
            <w:shd w:val="clear" w:color="auto" w:fill="CFF0FC"/>
            <w:vAlign w:val="center"/>
            <w:hideMark/>
          </w:tcPr>
          <w:p w14:paraId="11E52FC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center"/>
            <w:hideMark/>
          </w:tcPr>
          <w:p w14:paraId="20679F52"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i/>
                <w:iCs/>
                <w:color w:val="000000"/>
                <w:kern w:val="0"/>
                <w:sz w:val="18"/>
                <w:szCs w:val="18"/>
              </w:rPr>
              <w:t>4</w:t>
            </w:r>
          </w:p>
        </w:tc>
        <w:tc>
          <w:tcPr>
            <w:tcW w:w="0" w:type="auto"/>
            <w:shd w:val="clear" w:color="auto" w:fill="CFF0FC"/>
            <w:vAlign w:val="center"/>
            <w:hideMark/>
          </w:tcPr>
          <w:p w14:paraId="4257CA1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i/>
                <w:iCs/>
                <w:color w:val="000000"/>
                <w:kern w:val="0"/>
                <w:sz w:val="18"/>
                <w:szCs w:val="18"/>
              </w:rPr>
              <w:t>%</w:t>
            </w:r>
          </w:p>
        </w:tc>
        <w:tc>
          <w:tcPr>
            <w:tcW w:w="0" w:type="auto"/>
            <w:shd w:val="clear" w:color="auto" w:fill="CFF0FC"/>
            <w:vAlign w:val="center"/>
            <w:hideMark/>
          </w:tcPr>
          <w:p w14:paraId="3CF0516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center"/>
            <w:hideMark/>
          </w:tcPr>
          <w:p w14:paraId="6A70E5F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center"/>
            <w:hideMark/>
          </w:tcPr>
          <w:p w14:paraId="0832277F"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i/>
                <w:iCs/>
                <w:color w:val="000000"/>
                <w:kern w:val="0"/>
                <w:sz w:val="18"/>
                <w:szCs w:val="18"/>
              </w:rPr>
              <w:t>2,230</w:t>
            </w:r>
          </w:p>
        </w:tc>
        <w:tc>
          <w:tcPr>
            <w:tcW w:w="0" w:type="auto"/>
            <w:shd w:val="clear" w:color="auto" w:fill="CFF0FC"/>
            <w:vAlign w:val="center"/>
            <w:hideMark/>
          </w:tcPr>
          <w:p w14:paraId="0721D78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center"/>
            <w:hideMark/>
          </w:tcPr>
          <w:p w14:paraId="385720B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Times New Roman" w:eastAsia="微软雅黑" w:hAnsi="Times New Roman" w:cs="Times New Roman"/>
                <w:kern w:val="0"/>
                <w:sz w:val="18"/>
                <w:szCs w:val="18"/>
              </w:rPr>
              <w:t> </w:t>
            </w:r>
          </w:p>
        </w:tc>
        <w:tc>
          <w:tcPr>
            <w:tcW w:w="0" w:type="auto"/>
            <w:shd w:val="clear" w:color="auto" w:fill="CFF0FC"/>
            <w:vAlign w:val="center"/>
            <w:hideMark/>
          </w:tcPr>
          <w:p w14:paraId="018E632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center"/>
            <w:hideMark/>
          </w:tcPr>
          <w:p w14:paraId="4E7D6BE9"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i/>
                <w:iCs/>
                <w:color w:val="000000"/>
                <w:kern w:val="0"/>
                <w:sz w:val="18"/>
                <w:szCs w:val="18"/>
              </w:rPr>
              <w:t>3</w:t>
            </w:r>
          </w:p>
        </w:tc>
        <w:tc>
          <w:tcPr>
            <w:tcW w:w="0" w:type="auto"/>
            <w:shd w:val="clear" w:color="auto" w:fill="CFF0FC"/>
            <w:vAlign w:val="center"/>
            <w:hideMark/>
          </w:tcPr>
          <w:p w14:paraId="3CA1A6B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i/>
                <w:iCs/>
                <w:color w:val="000000"/>
                <w:kern w:val="0"/>
                <w:sz w:val="18"/>
                <w:szCs w:val="18"/>
              </w:rPr>
              <w:t>%</w:t>
            </w:r>
          </w:p>
        </w:tc>
        <w:tc>
          <w:tcPr>
            <w:tcW w:w="0" w:type="auto"/>
            <w:shd w:val="clear" w:color="auto" w:fill="CFF0FC"/>
            <w:vAlign w:val="center"/>
            <w:hideMark/>
          </w:tcPr>
          <w:p w14:paraId="208543A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center"/>
            <w:hideMark/>
          </w:tcPr>
          <w:p w14:paraId="33800AB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center"/>
            <w:hideMark/>
          </w:tcPr>
          <w:p w14:paraId="52290F03"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356</w:t>
            </w:r>
          </w:p>
        </w:tc>
        <w:tc>
          <w:tcPr>
            <w:tcW w:w="0" w:type="auto"/>
            <w:shd w:val="clear" w:color="auto" w:fill="CFF0FC"/>
            <w:vAlign w:val="center"/>
            <w:hideMark/>
          </w:tcPr>
          <w:p w14:paraId="0C31C6D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center"/>
            <w:hideMark/>
          </w:tcPr>
          <w:p w14:paraId="6CA5533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Times New Roman" w:eastAsia="微软雅黑" w:hAnsi="Times New Roman" w:cs="Times New Roman"/>
                <w:kern w:val="0"/>
                <w:sz w:val="18"/>
                <w:szCs w:val="18"/>
              </w:rPr>
              <w:t> </w:t>
            </w:r>
          </w:p>
        </w:tc>
        <w:tc>
          <w:tcPr>
            <w:tcW w:w="0" w:type="auto"/>
            <w:shd w:val="clear" w:color="auto" w:fill="CFF0FC"/>
            <w:vAlign w:val="center"/>
            <w:hideMark/>
          </w:tcPr>
          <w:p w14:paraId="1D7702A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center"/>
            <w:hideMark/>
          </w:tcPr>
          <w:p w14:paraId="79AEBDFA"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i/>
                <w:iCs/>
                <w:color w:val="000000"/>
                <w:kern w:val="0"/>
                <w:sz w:val="18"/>
                <w:szCs w:val="18"/>
              </w:rPr>
              <w:t>16</w:t>
            </w:r>
          </w:p>
        </w:tc>
        <w:tc>
          <w:tcPr>
            <w:tcW w:w="0" w:type="auto"/>
            <w:shd w:val="clear" w:color="auto" w:fill="CFF0FC"/>
            <w:vAlign w:val="center"/>
            <w:hideMark/>
          </w:tcPr>
          <w:p w14:paraId="3FBB07D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i/>
                <w:iCs/>
                <w:color w:val="000000"/>
                <w:kern w:val="0"/>
                <w:sz w:val="18"/>
                <w:szCs w:val="18"/>
              </w:rPr>
              <w:t>%</w:t>
            </w:r>
          </w:p>
        </w:tc>
      </w:tr>
      <w:tr w:rsidR="002F3D36" w:rsidRPr="002F3D36" w14:paraId="2A05A958" w14:textId="77777777" w:rsidTr="002F3D36">
        <w:trPr>
          <w:trHeight w:val="180"/>
          <w:tblCellSpacing w:w="15" w:type="dxa"/>
        </w:trPr>
        <w:tc>
          <w:tcPr>
            <w:tcW w:w="0" w:type="auto"/>
            <w:vAlign w:val="center"/>
            <w:hideMark/>
          </w:tcPr>
          <w:p w14:paraId="660784E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Europe</w:t>
            </w:r>
          </w:p>
        </w:tc>
        <w:tc>
          <w:tcPr>
            <w:tcW w:w="0" w:type="auto"/>
            <w:vAlign w:val="center"/>
            <w:hideMark/>
          </w:tcPr>
          <w:p w14:paraId="49825A3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Times New Roman" w:eastAsia="微软雅黑" w:hAnsi="Times New Roman" w:cs="Times New Roman"/>
                <w:kern w:val="0"/>
                <w:sz w:val="18"/>
                <w:szCs w:val="18"/>
              </w:rPr>
              <w:t> </w:t>
            </w:r>
          </w:p>
        </w:tc>
        <w:tc>
          <w:tcPr>
            <w:tcW w:w="0" w:type="auto"/>
            <w:vAlign w:val="center"/>
            <w:hideMark/>
          </w:tcPr>
          <w:p w14:paraId="28CC216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center"/>
            <w:hideMark/>
          </w:tcPr>
          <w:p w14:paraId="3A2A97C8"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15,623</w:t>
            </w:r>
          </w:p>
        </w:tc>
        <w:tc>
          <w:tcPr>
            <w:tcW w:w="0" w:type="auto"/>
            <w:vAlign w:val="center"/>
            <w:hideMark/>
          </w:tcPr>
          <w:p w14:paraId="0F0D96F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center"/>
            <w:hideMark/>
          </w:tcPr>
          <w:p w14:paraId="176479B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Times New Roman" w:eastAsia="微软雅黑" w:hAnsi="Times New Roman" w:cs="Times New Roman"/>
                <w:kern w:val="0"/>
                <w:sz w:val="18"/>
                <w:szCs w:val="18"/>
              </w:rPr>
              <w:t> </w:t>
            </w:r>
          </w:p>
        </w:tc>
        <w:tc>
          <w:tcPr>
            <w:tcW w:w="0" w:type="auto"/>
            <w:vAlign w:val="center"/>
            <w:hideMark/>
          </w:tcPr>
          <w:p w14:paraId="049F078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center"/>
            <w:hideMark/>
          </w:tcPr>
          <w:p w14:paraId="63EF8A0C"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21</w:t>
            </w:r>
          </w:p>
        </w:tc>
        <w:tc>
          <w:tcPr>
            <w:tcW w:w="0" w:type="auto"/>
            <w:vAlign w:val="center"/>
            <w:hideMark/>
          </w:tcPr>
          <w:p w14:paraId="778FD25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vAlign w:val="center"/>
            <w:hideMark/>
          </w:tcPr>
          <w:p w14:paraId="63842CB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center"/>
            <w:hideMark/>
          </w:tcPr>
          <w:p w14:paraId="60B53B3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center"/>
            <w:hideMark/>
          </w:tcPr>
          <w:p w14:paraId="23AE27D8"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16,454</w:t>
            </w:r>
          </w:p>
        </w:tc>
        <w:tc>
          <w:tcPr>
            <w:tcW w:w="0" w:type="auto"/>
            <w:vAlign w:val="center"/>
            <w:hideMark/>
          </w:tcPr>
          <w:p w14:paraId="6B3B420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center"/>
            <w:hideMark/>
          </w:tcPr>
          <w:p w14:paraId="5B6158C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Times New Roman" w:eastAsia="微软雅黑" w:hAnsi="Times New Roman" w:cs="Times New Roman"/>
                <w:kern w:val="0"/>
                <w:sz w:val="18"/>
                <w:szCs w:val="18"/>
              </w:rPr>
              <w:t> </w:t>
            </w:r>
          </w:p>
        </w:tc>
        <w:tc>
          <w:tcPr>
            <w:tcW w:w="0" w:type="auto"/>
            <w:vAlign w:val="center"/>
            <w:hideMark/>
          </w:tcPr>
          <w:p w14:paraId="4098319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center"/>
            <w:hideMark/>
          </w:tcPr>
          <w:p w14:paraId="29B389DC"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23</w:t>
            </w:r>
          </w:p>
        </w:tc>
        <w:tc>
          <w:tcPr>
            <w:tcW w:w="0" w:type="auto"/>
            <w:vAlign w:val="center"/>
            <w:hideMark/>
          </w:tcPr>
          <w:p w14:paraId="67BC772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vAlign w:val="center"/>
            <w:hideMark/>
          </w:tcPr>
          <w:p w14:paraId="44337F1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center"/>
            <w:hideMark/>
          </w:tcPr>
          <w:p w14:paraId="069F552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center"/>
            <w:hideMark/>
          </w:tcPr>
          <w:p w14:paraId="29914FD8"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(831</w:t>
            </w:r>
          </w:p>
        </w:tc>
        <w:tc>
          <w:tcPr>
            <w:tcW w:w="0" w:type="auto"/>
            <w:vAlign w:val="center"/>
            <w:hideMark/>
          </w:tcPr>
          <w:p w14:paraId="46B0D32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vAlign w:val="center"/>
            <w:hideMark/>
          </w:tcPr>
          <w:p w14:paraId="08A2710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Times New Roman" w:eastAsia="微软雅黑" w:hAnsi="Times New Roman" w:cs="Times New Roman"/>
                <w:kern w:val="0"/>
                <w:sz w:val="18"/>
                <w:szCs w:val="18"/>
              </w:rPr>
              <w:t> </w:t>
            </w:r>
          </w:p>
        </w:tc>
        <w:tc>
          <w:tcPr>
            <w:tcW w:w="0" w:type="auto"/>
            <w:vAlign w:val="center"/>
            <w:hideMark/>
          </w:tcPr>
          <w:p w14:paraId="5AD6701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center"/>
            <w:hideMark/>
          </w:tcPr>
          <w:p w14:paraId="6F97AADA"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i/>
                <w:iCs/>
                <w:color w:val="000000"/>
                <w:kern w:val="0"/>
                <w:sz w:val="18"/>
                <w:szCs w:val="18"/>
              </w:rPr>
              <w:t>(5</w:t>
            </w:r>
          </w:p>
        </w:tc>
        <w:tc>
          <w:tcPr>
            <w:tcW w:w="0" w:type="auto"/>
            <w:vAlign w:val="center"/>
            <w:hideMark/>
          </w:tcPr>
          <w:p w14:paraId="28824E6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i/>
                <w:iCs/>
                <w:color w:val="000000"/>
                <w:kern w:val="0"/>
                <w:sz w:val="18"/>
                <w:szCs w:val="18"/>
              </w:rPr>
              <w:t>)%</w:t>
            </w:r>
          </w:p>
        </w:tc>
      </w:tr>
      <w:tr w:rsidR="002F3D36" w:rsidRPr="002F3D36" w14:paraId="42D221E2" w14:textId="77777777" w:rsidTr="002F3D36">
        <w:trPr>
          <w:trHeight w:val="180"/>
          <w:tblCellSpacing w:w="15" w:type="dxa"/>
        </w:trPr>
        <w:tc>
          <w:tcPr>
            <w:tcW w:w="0" w:type="auto"/>
            <w:shd w:val="clear" w:color="auto" w:fill="CFF0FC"/>
            <w:vAlign w:val="center"/>
            <w:hideMark/>
          </w:tcPr>
          <w:p w14:paraId="363E611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Asia</w:t>
            </w:r>
          </w:p>
        </w:tc>
        <w:tc>
          <w:tcPr>
            <w:tcW w:w="0" w:type="auto"/>
            <w:shd w:val="clear" w:color="auto" w:fill="CFF0FC"/>
            <w:vAlign w:val="center"/>
            <w:hideMark/>
          </w:tcPr>
          <w:p w14:paraId="121FC48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center"/>
            <w:hideMark/>
          </w:tcPr>
          <w:p w14:paraId="67C3AE6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center"/>
            <w:hideMark/>
          </w:tcPr>
          <w:p w14:paraId="5906C889"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41,371</w:t>
            </w:r>
          </w:p>
        </w:tc>
        <w:tc>
          <w:tcPr>
            <w:tcW w:w="0" w:type="auto"/>
            <w:shd w:val="clear" w:color="auto" w:fill="CFF0FC"/>
            <w:vAlign w:val="center"/>
            <w:hideMark/>
          </w:tcPr>
          <w:p w14:paraId="74481A2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center"/>
            <w:hideMark/>
          </w:tcPr>
          <w:p w14:paraId="0D20BAC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Times New Roman" w:eastAsia="微软雅黑" w:hAnsi="Times New Roman" w:cs="Times New Roman"/>
                <w:kern w:val="0"/>
                <w:sz w:val="18"/>
                <w:szCs w:val="18"/>
              </w:rPr>
              <w:t> </w:t>
            </w:r>
          </w:p>
        </w:tc>
        <w:tc>
          <w:tcPr>
            <w:tcW w:w="0" w:type="auto"/>
            <w:shd w:val="clear" w:color="auto" w:fill="CFF0FC"/>
            <w:vAlign w:val="center"/>
            <w:hideMark/>
          </w:tcPr>
          <w:p w14:paraId="3BA9AE4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center"/>
            <w:hideMark/>
          </w:tcPr>
          <w:p w14:paraId="778F6853"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56</w:t>
            </w:r>
          </w:p>
        </w:tc>
        <w:tc>
          <w:tcPr>
            <w:tcW w:w="0" w:type="auto"/>
            <w:shd w:val="clear" w:color="auto" w:fill="CFF0FC"/>
            <w:vAlign w:val="center"/>
            <w:hideMark/>
          </w:tcPr>
          <w:p w14:paraId="53A2417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shd w:val="clear" w:color="auto" w:fill="CFF0FC"/>
            <w:vAlign w:val="center"/>
            <w:hideMark/>
          </w:tcPr>
          <w:p w14:paraId="12B77D0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center"/>
            <w:hideMark/>
          </w:tcPr>
          <w:p w14:paraId="244451D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center"/>
            <w:hideMark/>
          </w:tcPr>
          <w:p w14:paraId="6C051001"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39,180</w:t>
            </w:r>
          </w:p>
        </w:tc>
        <w:tc>
          <w:tcPr>
            <w:tcW w:w="0" w:type="auto"/>
            <w:shd w:val="clear" w:color="auto" w:fill="CFF0FC"/>
            <w:vAlign w:val="center"/>
            <w:hideMark/>
          </w:tcPr>
          <w:p w14:paraId="1943E13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center"/>
            <w:hideMark/>
          </w:tcPr>
          <w:p w14:paraId="5C23AF5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Times New Roman" w:eastAsia="微软雅黑" w:hAnsi="Times New Roman" w:cs="Times New Roman"/>
                <w:kern w:val="0"/>
                <w:sz w:val="18"/>
                <w:szCs w:val="18"/>
              </w:rPr>
              <w:t> </w:t>
            </w:r>
          </w:p>
        </w:tc>
        <w:tc>
          <w:tcPr>
            <w:tcW w:w="0" w:type="auto"/>
            <w:shd w:val="clear" w:color="auto" w:fill="CFF0FC"/>
            <w:vAlign w:val="center"/>
            <w:hideMark/>
          </w:tcPr>
          <w:p w14:paraId="600B0E9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center"/>
            <w:hideMark/>
          </w:tcPr>
          <w:p w14:paraId="233CDE6D"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55</w:t>
            </w:r>
          </w:p>
        </w:tc>
        <w:tc>
          <w:tcPr>
            <w:tcW w:w="0" w:type="auto"/>
            <w:shd w:val="clear" w:color="auto" w:fill="CFF0FC"/>
            <w:vAlign w:val="center"/>
            <w:hideMark/>
          </w:tcPr>
          <w:p w14:paraId="712DCE5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shd w:val="clear" w:color="auto" w:fill="CFF0FC"/>
            <w:vAlign w:val="center"/>
            <w:hideMark/>
          </w:tcPr>
          <w:p w14:paraId="0550E7A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center"/>
            <w:hideMark/>
          </w:tcPr>
          <w:p w14:paraId="0BD3864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center"/>
            <w:hideMark/>
          </w:tcPr>
          <w:p w14:paraId="4CD30365"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2,191</w:t>
            </w:r>
          </w:p>
        </w:tc>
        <w:tc>
          <w:tcPr>
            <w:tcW w:w="0" w:type="auto"/>
            <w:shd w:val="clear" w:color="auto" w:fill="CFF0FC"/>
            <w:vAlign w:val="center"/>
            <w:hideMark/>
          </w:tcPr>
          <w:p w14:paraId="56361CF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center"/>
            <w:hideMark/>
          </w:tcPr>
          <w:p w14:paraId="750249C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Times New Roman" w:eastAsia="微软雅黑" w:hAnsi="Times New Roman" w:cs="Times New Roman"/>
                <w:kern w:val="0"/>
                <w:sz w:val="18"/>
                <w:szCs w:val="18"/>
              </w:rPr>
              <w:t> </w:t>
            </w:r>
          </w:p>
        </w:tc>
        <w:tc>
          <w:tcPr>
            <w:tcW w:w="0" w:type="auto"/>
            <w:shd w:val="clear" w:color="auto" w:fill="CFF0FC"/>
            <w:vAlign w:val="center"/>
            <w:hideMark/>
          </w:tcPr>
          <w:p w14:paraId="73D568E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center"/>
            <w:hideMark/>
          </w:tcPr>
          <w:p w14:paraId="5D2556E1"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i/>
                <w:iCs/>
                <w:color w:val="000000"/>
                <w:kern w:val="0"/>
                <w:sz w:val="18"/>
                <w:szCs w:val="18"/>
              </w:rPr>
              <w:t>6</w:t>
            </w:r>
          </w:p>
        </w:tc>
        <w:tc>
          <w:tcPr>
            <w:tcW w:w="0" w:type="auto"/>
            <w:shd w:val="clear" w:color="auto" w:fill="CFF0FC"/>
            <w:vAlign w:val="center"/>
            <w:hideMark/>
          </w:tcPr>
          <w:p w14:paraId="7C82D92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i/>
                <w:iCs/>
                <w:color w:val="000000"/>
                <w:kern w:val="0"/>
                <w:sz w:val="18"/>
                <w:szCs w:val="18"/>
              </w:rPr>
              <w:t>%</w:t>
            </w:r>
          </w:p>
        </w:tc>
      </w:tr>
      <w:tr w:rsidR="002F3D36" w:rsidRPr="002F3D36" w14:paraId="433B7FEC" w14:textId="77777777" w:rsidTr="002F3D36">
        <w:trPr>
          <w:trHeight w:val="180"/>
          <w:tblCellSpacing w:w="15" w:type="dxa"/>
        </w:trPr>
        <w:tc>
          <w:tcPr>
            <w:tcW w:w="0" w:type="auto"/>
            <w:vAlign w:val="center"/>
            <w:hideMark/>
          </w:tcPr>
          <w:p w14:paraId="126ABE3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Times New Roman" w:eastAsia="微软雅黑" w:hAnsi="Times New Roman" w:cs="Times New Roman"/>
                <w:kern w:val="0"/>
                <w:sz w:val="18"/>
                <w:szCs w:val="18"/>
              </w:rPr>
              <w:t> </w:t>
            </w:r>
          </w:p>
        </w:tc>
        <w:tc>
          <w:tcPr>
            <w:tcW w:w="0" w:type="auto"/>
            <w:vAlign w:val="center"/>
            <w:hideMark/>
          </w:tcPr>
          <w:p w14:paraId="2410C33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i/>
                <w:iCs/>
                <w:color w:val="000000"/>
                <w:kern w:val="0"/>
                <w:sz w:val="18"/>
                <w:szCs w:val="18"/>
              </w:rPr>
              <w:t>China</w:t>
            </w:r>
          </w:p>
        </w:tc>
        <w:tc>
          <w:tcPr>
            <w:tcW w:w="0" w:type="auto"/>
            <w:vAlign w:val="center"/>
            <w:hideMark/>
          </w:tcPr>
          <w:p w14:paraId="321CD58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center"/>
            <w:hideMark/>
          </w:tcPr>
          <w:p w14:paraId="1738E574"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i/>
                <w:iCs/>
                <w:color w:val="000000"/>
                <w:kern w:val="0"/>
                <w:sz w:val="18"/>
                <w:szCs w:val="18"/>
              </w:rPr>
              <w:t>23,028</w:t>
            </w:r>
          </w:p>
        </w:tc>
        <w:tc>
          <w:tcPr>
            <w:tcW w:w="0" w:type="auto"/>
            <w:vAlign w:val="center"/>
            <w:hideMark/>
          </w:tcPr>
          <w:p w14:paraId="7CC7503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center"/>
            <w:hideMark/>
          </w:tcPr>
          <w:p w14:paraId="055CDC8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Times New Roman" w:eastAsia="微软雅黑" w:hAnsi="Times New Roman" w:cs="Times New Roman"/>
                <w:kern w:val="0"/>
                <w:sz w:val="18"/>
                <w:szCs w:val="18"/>
              </w:rPr>
              <w:t> </w:t>
            </w:r>
          </w:p>
        </w:tc>
        <w:tc>
          <w:tcPr>
            <w:tcW w:w="0" w:type="auto"/>
            <w:vAlign w:val="center"/>
            <w:hideMark/>
          </w:tcPr>
          <w:p w14:paraId="5684971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center"/>
            <w:hideMark/>
          </w:tcPr>
          <w:p w14:paraId="37A4E662"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i/>
                <w:iCs/>
                <w:color w:val="000000"/>
                <w:kern w:val="0"/>
                <w:sz w:val="18"/>
                <w:szCs w:val="18"/>
              </w:rPr>
              <w:t>31</w:t>
            </w:r>
          </w:p>
        </w:tc>
        <w:tc>
          <w:tcPr>
            <w:tcW w:w="0" w:type="auto"/>
            <w:vAlign w:val="center"/>
            <w:hideMark/>
          </w:tcPr>
          <w:p w14:paraId="4C270AB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i/>
                <w:iCs/>
                <w:color w:val="000000"/>
                <w:kern w:val="0"/>
                <w:sz w:val="18"/>
                <w:szCs w:val="18"/>
              </w:rPr>
              <w:t>%</w:t>
            </w:r>
          </w:p>
        </w:tc>
        <w:tc>
          <w:tcPr>
            <w:tcW w:w="0" w:type="auto"/>
            <w:vAlign w:val="center"/>
            <w:hideMark/>
          </w:tcPr>
          <w:p w14:paraId="10D271B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center"/>
            <w:hideMark/>
          </w:tcPr>
          <w:p w14:paraId="7461102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center"/>
            <w:hideMark/>
          </w:tcPr>
          <w:p w14:paraId="4AB6B656"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i/>
                <w:iCs/>
                <w:color w:val="000000"/>
                <w:kern w:val="0"/>
                <w:sz w:val="18"/>
                <w:szCs w:val="18"/>
              </w:rPr>
              <w:t>21,959</w:t>
            </w:r>
          </w:p>
        </w:tc>
        <w:tc>
          <w:tcPr>
            <w:tcW w:w="0" w:type="auto"/>
            <w:vAlign w:val="center"/>
            <w:hideMark/>
          </w:tcPr>
          <w:p w14:paraId="5E7DE45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center"/>
            <w:hideMark/>
          </w:tcPr>
          <w:p w14:paraId="1EAEF64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Times New Roman" w:eastAsia="微软雅黑" w:hAnsi="Times New Roman" w:cs="Times New Roman"/>
                <w:kern w:val="0"/>
                <w:sz w:val="18"/>
                <w:szCs w:val="18"/>
              </w:rPr>
              <w:t> </w:t>
            </w:r>
          </w:p>
        </w:tc>
        <w:tc>
          <w:tcPr>
            <w:tcW w:w="0" w:type="auto"/>
            <w:vAlign w:val="center"/>
            <w:hideMark/>
          </w:tcPr>
          <w:p w14:paraId="392A5BC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center"/>
            <w:hideMark/>
          </w:tcPr>
          <w:p w14:paraId="2910C428"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i/>
                <w:iCs/>
                <w:color w:val="000000"/>
                <w:kern w:val="0"/>
                <w:sz w:val="18"/>
                <w:szCs w:val="18"/>
              </w:rPr>
              <w:t>31</w:t>
            </w:r>
          </w:p>
        </w:tc>
        <w:tc>
          <w:tcPr>
            <w:tcW w:w="0" w:type="auto"/>
            <w:vAlign w:val="center"/>
            <w:hideMark/>
          </w:tcPr>
          <w:p w14:paraId="0341EF9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i/>
                <w:iCs/>
                <w:color w:val="000000"/>
                <w:kern w:val="0"/>
                <w:sz w:val="18"/>
                <w:szCs w:val="18"/>
              </w:rPr>
              <w:t>%</w:t>
            </w:r>
          </w:p>
        </w:tc>
        <w:tc>
          <w:tcPr>
            <w:tcW w:w="0" w:type="auto"/>
            <w:vAlign w:val="center"/>
            <w:hideMark/>
          </w:tcPr>
          <w:p w14:paraId="13919BD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center"/>
            <w:hideMark/>
          </w:tcPr>
          <w:p w14:paraId="5414907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center"/>
            <w:hideMark/>
          </w:tcPr>
          <w:p w14:paraId="33F67A99"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1,069</w:t>
            </w:r>
          </w:p>
        </w:tc>
        <w:tc>
          <w:tcPr>
            <w:tcW w:w="0" w:type="auto"/>
            <w:vAlign w:val="center"/>
            <w:hideMark/>
          </w:tcPr>
          <w:p w14:paraId="11CA0BD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center"/>
            <w:hideMark/>
          </w:tcPr>
          <w:p w14:paraId="0F35CD5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Times New Roman" w:eastAsia="微软雅黑" w:hAnsi="Times New Roman" w:cs="Times New Roman"/>
                <w:kern w:val="0"/>
                <w:sz w:val="18"/>
                <w:szCs w:val="18"/>
              </w:rPr>
              <w:t> </w:t>
            </w:r>
          </w:p>
        </w:tc>
        <w:tc>
          <w:tcPr>
            <w:tcW w:w="0" w:type="auto"/>
            <w:vAlign w:val="center"/>
            <w:hideMark/>
          </w:tcPr>
          <w:p w14:paraId="1E12607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center"/>
            <w:hideMark/>
          </w:tcPr>
          <w:p w14:paraId="420B6602"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i/>
                <w:iCs/>
                <w:color w:val="000000"/>
                <w:kern w:val="0"/>
                <w:sz w:val="18"/>
                <w:szCs w:val="18"/>
              </w:rPr>
              <w:t>5</w:t>
            </w:r>
          </w:p>
        </w:tc>
        <w:tc>
          <w:tcPr>
            <w:tcW w:w="0" w:type="auto"/>
            <w:vAlign w:val="center"/>
            <w:hideMark/>
          </w:tcPr>
          <w:p w14:paraId="4A553E1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i/>
                <w:iCs/>
                <w:color w:val="000000"/>
                <w:kern w:val="0"/>
                <w:sz w:val="18"/>
                <w:szCs w:val="18"/>
              </w:rPr>
              <w:t>%</w:t>
            </w:r>
          </w:p>
        </w:tc>
      </w:tr>
      <w:tr w:rsidR="002F3D36" w:rsidRPr="002F3D36" w14:paraId="414138F0" w14:textId="77777777" w:rsidTr="002F3D36">
        <w:trPr>
          <w:trHeight w:val="180"/>
          <w:tblCellSpacing w:w="15" w:type="dxa"/>
        </w:trPr>
        <w:tc>
          <w:tcPr>
            <w:tcW w:w="0" w:type="auto"/>
            <w:shd w:val="clear" w:color="auto" w:fill="CFF0FC"/>
            <w:vAlign w:val="center"/>
            <w:hideMark/>
          </w:tcPr>
          <w:p w14:paraId="5CA767D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Times New Roman" w:eastAsia="微软雅黑" w:hAnsi="Times New Roman" w:cs="Times New Roman"/>
                <w:kern w:val="0"/>
                <w:sz w:val="18"/>
                <w:szCs w:val="18"/>
              </w:rPr>
              <w:t> </w:t>
            </w:r>
          </w:p>
        </w:tc>
        <w:tc>
          <w:tcPr>
            <w:tcW w:w="0" w:type="auto"/>
            <w:shd w:val="clear" w:color="auto" w:fill="CFF0FC"/>
            <w:vAlign w:val="center"/>
            <w:hideMark/>
          </w:tcPr>
          <w:p w14:paraId="1D47543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i/>
                <w:iCs/>
                <w:color w:val="000000"/>
                <w:kern w:val="0"/>
                <w:sz w:val="18"/>
                <w:szCs w:val="18"/>
              </w:rPr>
              <w:t>Japan</w:t>
            </w:r>
          </w:p>
        </w:tc>
        <w:tc>
          <w:tcPr>
            <w:tcW w:w="0" w:type="auto"/>
            <w:shd w:val="clear" w:color="auto" w:fill="CFF0FC"/>
            <w:vAlign w:val="center"/>
            <w:hideMark/>
          </w:tcPr>
          <w:p w14:paraId="547567F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center"/>
            <w:hideMark/>
          </w:tcPr>
          <w:p w14:paraId="37214C5D"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i/>
                <w:iCs/>
                <w:color w:val="000000"/>
                <w:kern w:val="0"/>
                <w:sz w:val="18"/>
                <w:szCs w:val="18"/>
              </w:rPr>
              <w:t>7,292</w:t>
            </w:r>
          </w:p>
        </w:tc>
        <w:tc>
          <w:tcPr>
            <w:tcW w:w="0" w:type="auto"/>
            <w:shd w:val="clear" w:color="auto" w:fill="CFF0FC"/>
            <w:vAlign w:val="center"/>
            <w:hideMark/>
          </w:tcPr>
          <w:p w14:paraId="137B4E0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center"/>
            <w:hideMark/>
          </w:tcPr>
          <w:p w14:paraId="7C6D058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Times New Roman" w:eastAsia="微软雅黑" w:hAnsi="Times New Roman" w:cs="Times New Roman"/>
                <w:kern w:val="0"/>
                <w:sz w:val="18"/>
                <w:szCs w:val="18"/>
              </w:rPr>
              <w:t> </w:t>
            </w:r>
          </w:p>
        </w:tc>
        <w:tc>
          <w:tcPr>
            <w:tcW w:w="0" w:type="auto"/>
            <w:shd w:val="clear" w:color="auto" w:fill="CFF0FC"/>
            <w:vAlign w:val="center"/>
            <w:hideMark/>
          </w:tcPr>
          <w:p w14:paraId="7D7A2BF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center"/>
            <w:hideMark/>
          </w:tcPr>
          <w:p w14:paraId="52F48801"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i/>
                <w:iCs/>
                <w:color w:val="000000"/>
                <w:kern w:val="0"/>
                <w:sz w:val="18"/>
                <w:szCs w:val="18"/>
              </w:rPr>
              <w:t>10</w:t>
            </w:r>
          </w:p>
        </w:tc>
        <w:tc>
          <w:tcPr>
            <w:tcW w:w="0" w:type="auto"/>
            <w:shd w:val="clear" w:color="auto" w:fill="CFF0FC"/>
            <w:vAlign w:val="center"/>
            <w:hideMark/>
          </w:tcPr>
          <w:p w14:paraId="0A1264E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i/>
                <w:iCs/>
                <w:color w:val="000000"/>
                <w:kern w:val="0"/>
                <w:sz w:val="18"/>
                <w:szCs w:val="18"/>
              </w:rPr>
              <w:t>%</w:t>
            </w:r>
          </w:p>
        </w:tc>
        <w:tc>
          <w:tcPr>
            <w:tcW w:w="0" w:type="auto"/>
            <w:shd w:val="clear" w:color="auto" w:fill="CFF0FC"/>
            <w:vAlign w:val="center"/>
            <w:hideMark/>
          </w:tcPr>
          <w:p w14:paraId="7EB5EA4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center"/>
            <w:hideMark/>
          </w:tcPr>
          <w:p w14:paraId="23E88E8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center"/>
            <w:hideMark/>
          </w:tcPr>
          <w:p w14:paraId="2BB01BC5"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i/>
                <w:iCs/>
                <w:color w:val="000000"/>
                <w:kern w:val="0"/>
                <w:sz w:val="18"/>
                <w:szCs w:val="18"/>
              </w:rPr>
              <w:t>7,624</w:t>
            </w:r>
          </w:p>
        </w:tc>
        <w:tc>
          <w:tcPr>
            <w:tcW w:w="0" w:type="auto"/>
            <w:shd w:val="clear" w:color="auto" w:fill="CFF0FC"/>
            <w:vAlign w:val="center"/>
            <w:hideMark/>
          </w:tcPr>
          <w:p w14:paraId="1E2628C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center"/>
            <w:hideMark/>
          </w:tcPr>
          <w:p w14:paraId="38F7872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Times New Roman" w:eastAsia="微软雅黑" w:hAnsi="Times New Roman" w:cs="Times New Roman"/>
                <w:kern w:val="0"/>
                <w:sz w:val="18"/>
                <w:szCs w:val="18"/>
              </w:rPr>
              <w:t> </w:t>
            </w:r>
          </w:p>
        </w:tc>
        <w:tc>
          <w:tcPr>
            <w:tcW w:w="0" w:type="auto"/>
            <w:shd w:val="clear" w:color="auto" w:fill="CFF0FC"/>
            <w:vAlign w:val="center"/>
            <w:hideMark/>
          </w:tcPr>
          <w:p w14:paraId="0B08BEB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center"/>
            <w:hideMark/>
          </w:tcPr>
          <w:p w14:paraId="6989E46C"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i/>
                <w:iCs/>
                <w:color w:val="000000"/>
                <w:kern w:val="0"/>
                <w:sz w:val="18"/>
                <w:szCs w:val="18"/>
              </w:rPr>
              <w:t>11</w:t>
            </w:r>
          </w:p>
        </w:tc>
        <w:tc>
          <w:tcPr>
            <w:tcW w:w="0" w:type="auto"/>
            <w:shd w:val="clear" w:color="auto" w:fill="CFF0FC"/>
            <w:vAlign w:val="center"/>
            <w:hideMark/>
          </w:tcPr>
          <w:p w14:paraId="6A0CF0E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i/>
                <w:iCs/>
                <w:color w:val="000000"/>
                <w:kern w:val="0"/>
                <w:sz w:val="18"/>
                <w:szCs w:val="18"/>
              </w:rPr>
              <w:t>%</w:t>
            </w:r>
          </w:p>
        </w:tc>
        <w:tc>
          <w:tcPr>
            <w:tcW w:w="0" w:type="auto"/>
            <w:shd w:val="clear" w:color="auto" w:fill="CFF0FC"/>
            <w:vAlign w:val="center"/>
            <w:hideMark/>
          </w:tcPr>
          <w:p w14:paraId="0D83B14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center"/>
            <w:hideMark/>
          </w:tcPr>
          <w:p w14:paraId="1035C4D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center"/>
            <w:hideMark/>
          </w:tcPr>
          <w:p w14:paraId="79CC6AB3"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(332</w:t>
            </w:r>
          </w:p>
        </w:tc>
        <w:tc>
          <w:tcPr>
            <w:tcW w:w="0" w:type="auto"/>
            <w:shd w:val="clear" w:color="auto" w:fill="CFF0FC"/>
            <w:vAlign w:val="center"/>
            <w:hideMark/>
          </w:tcPr>
          <w:p w14:paraId="322660F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shd w:val="clear" w:color="auto" w:fill="CFF0FC"/>
            <w:vAlign w:val="center"/>
            <w:hideMark/>
          </w:tcPr>
          <w:p w14:paraId="0563D5C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Times New Roman" w:eastAsia="微软雅黑" w:hAnsi="Times New Roman" w:cs="Times New Roman"/>
                <w:kern w:val="0"/>
                <w:sz w:val="18"/>
                <w:szCs w:val="18"/>
              </w:rPr>
              <w:t> </w:t>
            </w:r>
          </w:p>
        </w:tc>
        <w:tc>
          <w:tcPr>
            <w:tcW w:w="0" w:type="auto"/>
            <w:shd w:val="clear" w:color="auto" w:fill="CFF0FC"/>
            <w:vAlign w:val="center"/>
            <w:hideMark/>
          </w:tcPr>
          <w:p w14:paraId="620DF80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center"/>
            <w:hideMark/>
          </w:tcPr>
          <w:p w14:paraId="4CF12D96"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i/>
                <w:iCs/>
                <w:color w:val="000000"/>
                <w:kern w:val="0"/>
                <w:sz w:val="18"/>
                <w:szCs w:val="18"/>
              </w:rPr>
              <w:t>(4</w:t>
            </w:r>
          </w:p>
        </w:tc>
        <w:tc>
          <w:tcPr>
            <w:tcW w:w="0" w:type="auto"/>
            <w:shd w:val="clear" w:color="auto" w:fill="CFF0FC"/>
            <w:vAlign w:val="center"/>
            <w:hideMark/>
          </w:tcPr>
          <w:p w14:paraId="5B6EB5C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i/>
                <w:iCs/>
                <w:color w:val="000000"/>
                <w:kern w:val="0"/>
                <w:sz w:val="18"/>
                <w:szCs w:val="18"/>
              </w:rPr>
              <w:t>)%</w:t>
            </w:r>
          </w:p>
        </w:tc>
      </w:tr>
      <w:tr w:rsidR="002F3D36" w:rsidRPr="002F3D36" w14:paraId="5477BE75" w14:textId="77777777" w:rsidTr="002F3D36">
        <w:trPr>
          <w:trHeight w:val="180"/>
          <w:tblCellSpacing w:w="15" w:type="dxa"/>
        </w:trPr>
        <w:tc>
          <w:tcPr>
            <w:tcW w:w="0" w:type="auto"/>
            <w:vAlign w:val="center"/>
            <w:hideMark/>
          </w:tcPr>
          <w:p w14:paraId="7E32234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Times New Roman" w:eastAsia="微软雅黑" w:hAnsi="Times New Roman" w:cs="Times New Roman"/>
                <w:kern w:val="0"/>
                <w:sz w:val="18"/>
                <w:szCs w:val="18"/>
              </w:rPr>
              <w:t> </w:t>
            </w:r>
          </w:p>
        </w:tc>
        <w:tc>
          <w:tcPr>
            <w:tcW w:w="0" w:type="auto"/>
            <w:vAlign w:val="center"/>
            <w:hideMark/>
          </w:tcPr>
          <w:p w14:paraId="647F6D2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i/>
                <w:iCs/>
                <w:color w:val="000000"/>
                <w:kern w:val="0"/>
                <w:sz w:val="18"/>
                <w:szCs w:val="18"/>
              </w:rPr>
              <w:t>South Korea</w:t>
            </w:r>
          </w:p>
        </w:tc>
        <w:tc>
          <w:tcPr>
            <w:tcW w:w="0" w:type="auto"/>
            <w:vAlign w:val="center"/>
            <w:hideMark/>
          </w:tcPr>
          <w:p w14:paraId="078C14D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center"/>
            <w:hideMark/>
          </w:tcPr>
          <w:p w14:paraId="240940FF"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i/>
                <w:iCs/>
                <w:color w:val="000000"/>
                <w:kern w:val="0"/>
                <w:sz w:val="18"/>
                <w:szCs w:val="18"/>
              </w:rPr>
              <w:t>3,390</w:t>
            </w:r>
          </w:p>
        </w:tc>
        <w:tc>
          <w:tcPr>
            <w:tcW w:w="0" w:type="auto"/>
            <w:vAlign w:val="center"/>
            <w:hideMark/>
          </w:tcPr>
          <w:p w14:paraId="120F40E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center"/>
            <w:hideMark/>
          </w:tcPr>
          <w:p w14:paraId="6E3944E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Times New Roman" w:eastAsia="微软雅黑" w:hAnsi="Times New Roman" w:cs="Times New Roman"/>
                <w:kern w:val="0"/>
                <w:sz w:val="18"/>
                <w:szCs w:val="18"/>
              </w:rPr>
              <w:t> </w:t>
            </w:r>
          </w:p>
        </w:tc>
        <w:tc>
          <w:tcPr>
            <w:tcW w:w="0" w:type="auto"/>
            <w:vAlign w:val="center"/>
            <w:hideMark/>
          </w:tcPr>
          <w:p w14:paraId="2614C56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center"/>
            <w:hideMark/>
          </w:tcPr>
          <w:p w14:paraId="05E5F3E3"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i/>
                <w:iCs/>
                <w:color w:val="000000"/>
                <w:kern w:val="0"/>
                <w:sz w:val="18"/>
                <w:szCs w:val="18"/>
              </w:rPr>
              <w:t>5</w:t>
            </w:r>
          </w:p>
        </w:tc>
        <w:tc>
          <w:tcPr>
            <w:tcW w:w="0" w:type="auto"/>
            <w:vAlign w:val="center"/>
            <w:hideMark/>
          </w:tcPr>
          <w:p w14:paraId="61C9FB6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i/>
                <w:iCs/>
                <w:color w:val="000000"/>
                <w:kern w:val="0"/>
                <w:sz w:val="18"/>
                <w:szCs w:val="18"/>
              </w:rPr>
              <w:t>%</w:t>
            </w:r>
          </w:p>
        </w:tc>
        <w:tc>
          <w:tcPr>
            <w:tcW w:w="0" w:type="auto"/>
            <w:vAlign w:val="center"/>
            <w:hideMark/>
          </w:tcPr>
          <w:p w14:paraId="1CBF1B4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center"/>
            <w:hideMark/>
          </w:tcPr>
          <w:p w14:paraId="6A87343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center"/>
            <w:hideMark/>
          </w:tcPr>
          <w:p w14:paraId="5FEBC4C7"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i/>
                <w:iCs/>
                <w:color w:val="000000"/>
                <w:kern w:val="0"/>
                <w:sz w:val="18"/>
                <w:szCs w:val="18"/>
              </w:rPr>
              <w:t>3,449</w:t>
            </w:r>
          </w:p>
        </w:tc>
        <w:tc>
          <w:tcPr>
            <w:tcW w:w="0" w:type="auto"/>
            <w:vAlign w:val="center"/>
            <w:hideMark/>
          </w:tcPr>
          <w:p w14:paraId="72E8DE1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center"/>
            <w:hideMark/>
          </w:tcPr>
          <w:p w14:paraId="6A9DAD8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Times New Roman" w:eastAsia="微软雅黑" w:hAnsi="Times New Roman" w:cs="Times New Roman"/>
                <w:kern w:val="0"/>
                <w:sz w:val="18"/>
                <w:szCs w:val="18"/>
              </w:rPr>
              <w:t> </w:t>
            </w:r>
          </w:p>
        </w:tc>
        <w:tc>
          <w:tcPr>
            <w:tcW w:w="0" w:type="auto"/>
            <w:vAlign w:val="center"/>
            <w:hideMark/>
          </w:tcPr>
          <w:p w14:paraId="3E16769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center"/>
            <w:hideMark/>
          </w:tcPr>
          <w:p w14:paraId="7ED096A8"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i/>
                <w:iCs/>
                <w:color w:val="000000"/>
                <w:kern w:val="0"/>
                <w:sz w:val="18"/>
                <w:szCs w:val="18"/>
              </w:rPr>
              <w:t>5</w:t>
            </w:r>
          </w:p>
        </w:tc>
        <w:tc>
          <w:tcPr>
            <w:tcW w:w="0" w:type="auto"/>
            <w:vAlign w:val="center"/>
            <w:hideMark/>
          </w:tcPr>
          <w:p w14:paraId="2330AB6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i/>
                <w:iCs/>
                <w:color w:val="000000"/>
                <w:kern w:val="0"/>
                <w:sz w:val="18"/>
                <w:szCs w:val="18"/>
              </w:rPr>
              <w:t>%</w:t>
            </w:r>
          </w:p>
        </w:tc>
        <w:tc>
          <w:tcPr>
            <w:tcW w:w="0" w:type="auto"/>
            <w:vAlign w:val="center"/>
            <w:hideMark/>
          </w:tcPr>
          <w:p w14:paraId="1D2BAE4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center"/>
            <w:hideMark/>
          </w:tcPr>
          <w:p w14:paraId="2FC9FEA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center"/>
            <w:hideMark/>
          </w:tcPr>
          <w:p w14:paraId="733A7E11"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(59</w:t>
            </w:r>
          </w:p>
        </w:tc>
        <w:tc>
          <w:tcPr>
            <w:tcW w:w="0" w:type="auto"/>
            <w:vAlign w:val="center"/>
            <w:hideMark/>
          </w:tcPr>
          <w:p w14:paraId="26033DA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vAlign w:val="center"/>
            <w:hideMark/>
          </w:tcPr>
          <w:p w14:paraId="655FE8E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Times New Roman" w:eastAsia="微软雅黑" w:hAnsi="Times New Roman" w:cs="Times New Roman"/>
                <w:kern w:val="0"/>
                <w:sz w:val="18"/>
                <w:szCs w:val="18"/>
              </w:rPr>
              <w:t> </w:t>
            </w:r>
          </w:p>
        </w:tc>
        <w:tc>
          <w:tcPr>
            <w:tcW w:w="0" w:type="auto"/>
            <w:vAlign w:val="center"/>
            <w:hideMark/>
          </w:tcPr>
          <w:p w14:paraId="2B76041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center"/>
            <w:hideMark/>
          </w:tcPr>
          <w:p w14:paraId="6986AB1C"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i/>
                <w:iCs/>
                <w:color w:val="000000"/>
                <w:kern w:val="0"/>
                <w:sz w:val="18"/>
                <w:szCs w:val="18"/>
              </w:rPr>
              <w:t>(2</w:t>
            </w:r>
          </w:p>
        </w:tc>
        <w:tc>
          <w:tcPr>
            <w:tcW w:w="0" w:type="auto"/>
            <w:vAlign w:val="center"/>
            <w:hideMark/>
          </w:tcPr>
          <w:p w14:paraId="6E5F2E1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i/>
                <w:iCs/>
                <w:color w:val="000000"/>
                <w:kern w:val="0"/>
                <w:sz w:val="18"/>
                <w:szCs w:val="18"/>
              </w:rPr>
              <w:t>)%</w:t>
            </w:r>
          </w:p>
        </w:tc>
      </w:tr>
      <w:tr w:rsidR="002F3D36" w:rsidRPr="002F3D36" w14:paraId="5872C0CA" w14:textId="77777777" w:rsidTr="002F3D36">
        <w:trPr>
          <w:trHeight w:val="180"/>
          <w:tblCellSpacing w:w="15" w:type="dxa"/>
        </w:trPr>
        <w:tc>
          <w:tcPr>
            <w:tcW w:w="0" w:type="auto"/>
            <w:shd w:val="clear" w:color="auto" w:fill="CFF0FC"/>
            <w:vAlign w:val="center"/>
            <w:hideMark/>
          </w:tcPr>
          <w:p w14:paraId="10D27ED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Times New Roman" w:eastAsia="微软雅黑" w:hAnsi="Times New Roman" w:cs="Times New Roman"/>
                <w:kern w:val="0"/>
                <w:sz w:val="18"/>
                <w:szCs w:val="18"/>
              </w:rPr>
              <w:t> </w:t>
            </w:r>
          </w:p>
        </w:tc>
        <w:tc>
          <w:tcPr>
            <w:tcW w:w="0" w:type="auto"/>
            <w:shd w:val="clear" w:color="auto" w:fill="CFF0FC"/>
            <w:vAlign w:val="center"/>
            <w:hideMark/>
          </w:tcPr>
          <w:p w14:paraId="765822D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i/>
                <w:iCs/>
                <w:color w:val="000000"/>
                <w:kern w:val="0"/>
                <w:sz w:val="18"/>
                <w:szCs w:val="18"/>
              </w:rPr>
              <w:t>India</w:t>
            </w:r>
          </w:p>
        </w:tc>
        <w:tc>
          <w:tcPr>
            <w:tcW w:w="0" w:type="auto"/>
            <w:shd w:val="clear" w:color="auto" w:fill="CFF0FC"/>
            <w:vAlign w:val="center"/>
            <w:hideMark/>
          </w:tcPr>
          <w:p w14:paraId="2E3D892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center"/>
            <w:hideMark/>
          </w:tcPr>
          <w:p w14:paraId="09C4023A"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i/>
                <w:iCs/>
                <w:color w:val="000000"/>
                <w:kern w:val="0"/>
                <w:sz w:val="18"/>
                <w:szCs w:val="18"/>
              </w:rPr>
              <w:t>4,055</w:t>
            </w:r>
          </w:p>
        </w:tc>
        <w:tc>
          <w:tcPr>
            <w:tcW w:w="0" w:type="auto"/>
            <w:shd w:val="clear" w:color="auto" w:fill="CFF0FC"/>
            <w:vAlign w:val="center"/>
            <w:hideMark/>
          </w:tcPr>
          <w:p w14:paraId="3F96291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center"/>
            <w:hideMark/>
          </w:tcPr>
          <w:p w14:paraId="7EB4004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Times New Roman" w:eastAsia="微软雅黑" w:hAnsi="Times New Roman" w:cs="Times New Roman"/>
                <w:kern w:val="0"/>
                <w:sz w:val="18"/>
                <w:szCs w:val="18"/>
              </w:rPr>
              <w:t> </w:t>
            </w:r>
          </w:p>
        </w:tc>
        <w:tc>
          <w:tcPr>
            <w:tcW w:w="0" w:type="auto"/>
            <w:shd w:val="clear" w:color="auto" w:fill="CFF0FC"/>
            <w:vAlign w:val="center"/>
            <w:hideMark/>
          </w:tcPr>
          <w:p w14:paraId="5A7C376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center"/>
            <w:hideMark/>
          </w:tcPr>
          <w:p w14:paraId="6A656112"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i/>
                <w:iCs/>
                <w:color w:val="000000"/>
                <w:kern w:val="0"/>
                <w:sz w:val="18"/>
                <w:szCs w:val="18"/>
              </w:rPr>
              <w:t>6</w:t>
            </w:r>
          </w:p>
        </w:tc>
        <w:tc>
          <w:tcPr>
            <w:tcW w:w="0" w:type="auto"/>
            <w:shd w:val="clear" w:color="auto" w:fill="CFF0FC"/>
            <w:vAlign w:val="center"/>
            <w:hideMark/>
          </w:tcPr>
          <w:p w14:paraId="4E49F1C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i/>
                <w:iCs/>
                <w:color w:val="000000"/>
                <w:kern w:val="0"/>
                <w:sz w:val="18"/>
                <w:szCs w:val="18"/>
              </w:rPr>
              <w:t>%</w:t>
            </w:r>
          </w:p>
        </w:tc>
        <w:tc>
          <w:tcPr>
            <w:tcW w:w="0" w:type="auto"/>
            <w:shd w:val="clear" w:color="auto" w:fill="CFF0FC"/>
            <w:vAlign w:val="center"/>
            <w:hideMark/>
          </w:tcPr>
          <w:p w14:paraId="05CCBA3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center"/>
            <w:hideMark/>
          </w:tcPr>
          <w:p w14:paraId="1A103A1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center"/>
            <w:hideMark/>
          </w:tcPr>
          <w:p w14:paraId="7B91CFC8"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i/>
                <w:iCs/>
                <w:color w:val="000000"/>
                <w:kern w:val="0"/>
                <w:sz w:val="18"/>
                <w:szCs w:val="18"/>
              </w:rPr>
              <w:t>3,234</w:t>
            </w:r>
          </w:p>
        </w:tc>
        <w:tc>
          <w:tcPr>
            <w:tcW w:w="0" w:type="auto"/>
            <w:shd w:val="clear" w:color="auto" w:fill="CFF0FC"/>
            <w:vAlign w:val="center"/>
            <w:hideMark/>
          </w:tcPr>
          <w:p w14:paraId="23DD31C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center"/>
            <w:hideMark/>
          </w:tcPr>
          <w:p w14:paraId="77CB7E8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Times New Roman" w:eastAsia="微软雅黑" w:hAnsi="Times New Roman" w:cs="Times New Roman"/>
                <w:kern w:val="0"/>
                <w:sz w:val="18"/>
                <w:szCs w:val="18"/>
              </w:rPr>
              <w:t> </w:t>
            </w:r>
          </w:p>
        </w:tc>
        <w:tc>
          <w:tcPr>
            <w:tcW w:w="0" w:type="auto"/>
            <w:shd w:val="clear" w:color="auto" w:fill="CFF0FC"/>
            <w:vAlign w:val="center"/>
            <w:hideMark/>
          </w:tcPr>
          <w:p w14:paraId="54C1D5B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center"/>
            <w:hideMark/>
          </w:tcPr>
          <w:p w14:paraId="2B308AD9"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i/>
                <w:iCs/>
                <w:color w:val="000000"/>
                <w:kern w:val="0"/>
                <w:sz w:val="18"/>
                <w:szCs w:val="18"/>
              </w:rPr>
              <w:t>5</w:t>
            </w:r>
          </w:p>
        </w:tc>
        <w:tc>
          <w:tcPr>
            <w:tcW w:w="0" w:type="auto"/>
            <w:shd w:val="clear" w:color="auto" w:fill="CFF0FC"/>
            <w:vAlign w:val="center"/>
            <w:hideMark/>
          </w:tcPr>
          <w:p w14:paraId="004B779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i/>
                <w:iCs/>
                <w:color w:val="000000"/>
                <w:kern w:val="0"/>
                <w:sz w:val="18"/>
                <w:szCs w:val="18"/>
              </w:rPr>
              <w:t>%</w:t>
            </w:r>
          </w:p>
        </w:tc>
        <w:tc>
          <w:tcPr>
            <w:tcW w:w="0" w:type="auto"/>
            <w:shd w:val="clear" w:color="auto" w:fill="CFF0FC"/>
            <w:vAlign w:val="center"/>
            <w:hideMark/>
          </w:tcPr>
          <w:p w14:paraId="6A3847C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center"/>
            <w:hideMark/>
          </w:tcPr>
          <w:p w14:paraId="0C27832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center"/>
            <w:hideMark/>
          </w:tcPr>
          <w:p w14:paraId="62DF44CF"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821</w:t>
            </w:r>
          </w:p>
        </w:tc>
        <w:tc>
          <w:tcPr>
            <w:tcW w:w="0" w:type="auto"/>
            <w:shd w:val="clear" w:color="auto" w:fill="CFF0FC"/>
            <w:vAlign w:val="center"/>
            <w:hideMark/>
          </w:tcPr>
          <w:p w14:paraId="2A5FAAA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center"/>
            <w:hideMark/>
          </w:tcPr>
          <w:p w14:paraId="33222F9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Times New Roman" w:eastAsia="微软雅黑" w:hAnsi="Times New Roman" w:cs="Times New Roman"/>
                <w:kern w:val="0"/>
                <w:sz w:val="18"/>
                <w:szCs w:val="18"/>
              </w:rPr>
              <w:t> </w:t>
            </w:r>
          </w:p>
        </w:tc>
        <w:tc>
          <w:tcPr>
            <w:tcW w:w="0" w:type="auto"/>
            <w:shd w:val="clear" w:color="auto" w:fill="CFF0FC"/>
            <w:vAlign w:val="center"/>
            <w:hideMark/>
          </w:tcPr>
          <w:p w14:paraId="4187AD4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center"/>
            <w:hideMark/>
          </w:tcPr>
          <w:p w14:paraId="0D0F9AAC"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i/>
                <w:iCs/>
                <w:color w:val="000000"/>
                <w:kern w:val="0"/>
                <w:sz w:val="18"/>
                <w:szCs w:val="18"/>
              </w:rPr>
              <w:t>25</w:t>
            </w:r>
          </w:p>
        </w:tc>
        <w:tc>
          <w:tcPr>
            <w:tcW w:w="0" w:type="auto"/>
            <w:shd w:val="clear" w:color="auto" w:fill="CFF0FC"/>
            <w:vAlign w:val="center"/>
            <w:hideMark/>
          </w:tcPr>
          <w:p w14:paraId="2AAD611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i/>
                <w:iCs/>
                <w:color w:val="000000"/>
                <w:kern w:val="0"/>
                <w:sz w:val="18"/>
                <w:szCs w:val="18"/>
              </w:rPr>
              <w:t>%</w:t>
            </w:r>
          </w:p>
        </w:tc>
      </w:tr>
      <w:tr w:rsidR="002F3D36" w:rsidRPr="002F3D36" w14:paraId="7AB5F90F" w14:textId="77777777" w:rsidTr="002F3D36">
        <w:trPr>
          <w:trHeight w:val="180"/>
          <w:tblCellSpacing w:w="15" w:type="dxa"/>
        </w:trPr>
        <w:tc>
          <w:tcPr>
            <w:tcW w:w="0" w:type="auto"/>
            <w:vAlign w:val="center"/>
            <w:hideMark/>
          </w:tcPr>
          <w:p w14:paraId="455AF4E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Times New Roman" w:eastAsia="微软雅黑" w:hAnsi="Times New Roman" w:cs="Times New Roman"/>
                <w:kern w:val="0"/>
                <w:sz w:val="18"/>
                <w:szCs w:val="18"/>
              </w:rPr>
              <w:t> </w:t>
            </w:r>
          </w:p>
        </w:tc>
        <w:tc>
          <w:tcPr>
            <w:tcW w:w="0" w:type="auto"/>
            <w:vAlign w:val="center"/>
            <w:hideMark/>
          </w:tcPr>
          <w:p w14:paraId="4D711A0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i/>
                <w:iCs/>
                <w:color w:val="000000"/>
                <w:kern w:val="0"/>
                <w:sz w:val="18"/>
                <w:szCs w:val="18"/>
              </w:rPr>
              <w:t>Other Asia</w:t>
            </w:r>
          </w:p>
        </w:tc>
        <w:tc>
          <w:tcPr>
            <w:tcW w:w="0" w:type="auto"/>
            <w:vAlign w:val="center"/>
            <w:hideMark/>
          </w:tcPr>
          <w:p w14:paraId="06FF700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center"/>
            <w:hideMark/>
          </w:tcPr>
          <w:p w14:paraId="1079AA51"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i/>
                <w:iCs/>
                <w:color w:val="000000"/>
                <w:kern w:val="0"/>
                <w:sz w:val="18"/>
                <w:szCs w:val="18"/>
              </w:rPr>
              <w:t>3,605</w:t>
            </w:r>
          </w:p>
        </w:tc>
        <w:tc>
          <w:tcPr>
            <w:tcW w:w="0" w:type="auto"/>
            <w:vAlign w:val="center"/>
            <w:hideMark/>
          </w:tcPr>
          <w:p w14:paraId="26879CE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center"/>
            <w:hideMark/>
          </w:tcPr>
          <w:p w14:paraId="3B9A00B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Times New Roman" w:eastAsia="微软雅黑" w:hAnsi="Times New Roman" w:cs="Times New Roman"/>
                <w:kern w:val="0"/>
                <w:sz w:val="18"/>
                <w:szCs w:val="18"/>
              </w:rPr>
              <w:t> </w:t>
            </w:r>
          </w:p>
        </w:tc>
        <w:tc>
          <w:tcPr>
            <w:tcW w:w="0" w:type="auto"/>
            <w:vAlign w:val="center"/>
            <w:hideMark/>
          </w:tcPr>
          <w:p w14:paraId="1E1B117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center"/>
            <w:hideMark/>
          </w:tcPr>
          <w:p w14:paraId="0F794ADD"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i/>
                <w:iCs/>
                <w:color w:val="000000"/>
                <w:kern w:val="0"/>
                <w:sz w:val="18"/>
                <w:szCs w:val="18"/>
              </w:rPr>
              <w:t>5</w:t>
            </w:r>
          </w:p>
        </w:tc>
        <w:tc>
          <w:tcPr>
            <w:tcW w:w="0" w:type="auto"/>
            <w:vAlign w:val="center"/>
            <w:hideMark/>
          </w:tcPr>
          <w:p w14:paraId="3B39AAD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i/>
                <w:iCs/>
                <w:color w:val="000000"/>
                <w:kern w:val="0"/>
                <w:sz w:val="18"/>
                <w:szCs w:val="18"/>
              </w:rPr>
              <w:t>%</w:t>
            </w:r>
          </w:p>
        </w:tc>
        <w:tc>
          <w:tcPr>
            <w:tcW w:w="0" w:type="auto"/>
            <w:vAlign w:val="center"/>
            <w:hideMark/>
          </w:tcPr>
          <w:p w14:paraId="2E5C00E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center"/>
            <w:hideMark/>
          </w:tcPr>
          <w:p w14:paraId="1A9B6EF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center"/>
            <w:hideMark/>
          </w:tcPr>
          <w:p w14:paraId="57FDCE47"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i/>
                <w:iCs/>
                <w:color w:val="000000"/>
                <w:kern w:val="0"/>
                <w:sz w:val="18"/>
                <w:szCs w:val="18"/>
              </w:rPr>
              <w:t>2,913</w:t>
            </w:r>
          </w:p>
        </w:tc>
        <w:tc>
          <w:tcPr>
            <w:tcW w:w="0" w:type="auto"/>
            <w:vAlign w:val="center"/>
            <w:hideMark/>
          </w:tcPr>
          <w:p w14:paraId="3EDF68F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center"/>
            <w:hideMark/>
          </w:tcPr>
          <w:p w14:paraId="1BCB7AA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Times New Roman" w:eastAsia="微软雅黑" w:hAnsi="Times New Roman" w:cs="Times New Roman"/>
                <w:kern w:val="0"/>
                <w:sz w:val="18"/>
                <w:szCs w:val="18"/>
              </w:rPr>
              <w:t> </w:t>
            </w:r>
          </w:p>
        </w:tc>
        <w:tc>
          <w:tcPr>
            <w:tcW w:w="0" w:type="auto"/>
            <w:vAlign w:val="center"/>
            <w:hideMark/>
          </w:tcPr>
          <w:p w14:paraId="682DB3E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center"/>
            <w:hideMark/>
          </w:tcPr>
          <w:p w14:paraId="3C5BB78E"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i/>
                <w:iCs/>
                <w:color w:val="000000"/>
                <w:kern w:val="0"/>
                <w:sz w:val="18"/>
                <w:szCs w:val="18"/>
              </w:rPr>
              <w:t>4</w:t>
            </w:r>
          </w:p>
        </w:tc>
        <w:tc>
          <w:tcPr>
            <w:tcW w:w="0" w:type="auto"/>
            <w:vAlign w:val="center"/>
            <w:hideMark/>
          </w:tcPr>
          <w:p w14:paraId="259D881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i/>
                <w:iCs/>
                <w:color w:val="000000"/>
                <w:kern w:val="0"/>
                <w:sz w:val="18"/>
                <w:szCs w:val="18"/>
              </w:rPr>
              <w:t>%</w:t>
            </w:r>
          </w:p>
        </w:tc>
        <w:tc>
          <w:tcPr>
            <w:tcW w:w="0" w:type="auto"/>
            <w:vAlign w:val="center"/>
            <w:hideMark/>
          </w:tcPr>
          <w:p w14:paraId="277BD65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center"/>
            <w:hideMark/>
          </w:tcPr>
          <w:p w14:paraId="54D9BF1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center"/>
            <w:hideMark/>
          </w:tcPr>
          <w:p w14:paraId="40848AC8"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692</w:t>
            </w:r>
          </w:p>
        </w:tc>
        <w:tc>
          <w:tcPr>
            <w:tcW w:w="0" w:type="auto"/>
            <w:vAlign w:val="center"/>
            <w:hideMark/>
          </w:tcPr>
          <w:p w14:paraId="37CCE1B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center"/>
            <w:hideMark/>
          </w:tcPr>
          <w:p w14:paraId="49FAFE4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Times New Roman" w:eastAsia="微软雅黑" w:hAnsi="Times New Roman" w:cs="Times New Roman"/>
                <w:kern w:val="0"/>
                <w:sz w:val="18"/>
                <w:szCs w:val="18"/>
              </w:rPr>
              <w:t> </w:t>
            </w:r>
          </w:p>
        </w:tc>
        <w:tc>
          <w:tcPr>
            <w:tcW w:w="0" w:type="auto"/>
            <w:vAlign w:val="center"/>
            <w:hideMark/>
          </w:tcPr>
          <w:p w14:paraId="3CF9750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center"/>
            <w:hideMark/>
          </w:tcPr>
          <w:p w14:paraId="490B9730"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i/>
                <w:iCs/>
                <w:color w:val="000000"/>
                <w:kern w:val="0"/>
                <w:sz w:val="18"/>
                <w:szCs w:val="18"/>
              </w:rPr>
              <w:t>24</w:t>
            </w:r>
          </w:p>
        </w:tc>
        <w:tc>
          <w:tcPr>
            <w:tcW w:w="0" w:type="auto"/>
            <w:vAlign w:val="center"/>
            <w:hideMark/>
          </w:tcPr>
          <w:p w14:paraId="5CB3D9C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i/>
                <w:iCs/>
                <w:color w:val="000000"/>
                <w:kern w:val="0"/>
                <w:sz w:val="18"/>
                <w:szCs w:val="18"/>
              </w:rPr>
              <w:t>%</w:t>
            </w:r>
          </w:p>
        </w:tc>
      </w:tr>
      <w:tr w:rsidR="002F3D36" w:rsidRPr="002F3D36" w14:paraId="371AFD48" w14:textId="77777777" w:rsidTr="002F3D36">
        <w:trPr>
          <w:trHeight w:val="180"/>
          <w:tblCellSpacing w:w="15" w:type="dxa"/>
        </w:trPr>
        <w:tc>
          <w:tcPr>
            <w:tcW w:w="0" w:type="auto"/>
            <w:shd w:val="clear" w:color="auto" w:fill="CFF0FC"/>
            <w:vAlign w:val="center"/>
            <w:hideMark/>
          </w:tcPr>
          <w:p w14:paraId="3220B1E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Other</w:t>
            </w:r>
          </w:p>
        </w:tc>
        <w:tc>
          <w:tcPr>
            <w:tcW w:w="0" w:type="auto"/>
            <w:shd w:val="clear" w:color="auto" w:fill="CFF0FC"/>
            <w:vAlign w:val="center"/>
            <w:hideMark/>
          </w:tcPr>
          <w:p w14:paraId="2B54E14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shd w:val="clear" w:color="auto" w:fill="CFF0FC"/>
            <w:vAlign w:val="center"/>
            <w:hideMark/>
          </w:tcPr>
          <w:p w14:paraId="725320C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shd w:val="clear" w:color="auto" w:fill="CFF0FC"/>
            <w:vAlign w:val="center"/>
            <w:hideMark/>
          </w:tcPr>
          <w:p w14:paraId="7A1D7723"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1,925</w:t>
            </w:r>
          </w:p>
        </w:tc>
        <w:tc>
          <w:tcPr>
            <w:tcW w:w="0" w:type="auto"/>
            <w:shd w:val="clear" w:color="auto" w:fill="CFF0FC"/>
            <w:vAlign w:val="center"/>
            <w:hideMark/>
          </w:tcPr>
          <w:p w14:paraId="57707BD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center"/>
            <w:hideMark/>
          </w:tcPr>
          <w:p w14:paraId="114CBAC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Times New Roman" w:eastAsia="微软雅黑" w:hAnsi="Times New Roman" w:cs="Times New Roman"/>
                <w:kern w:val="0"/>
                <w:sz w:val="18"/>
                <w:szCs w:val="18"/>
              </w:rPr>
              <w:t> </w:t>
            </w:r>
          </w:p>
        </w:tc>
        <w:tc>
          <w:tcPr>
            <w:tcW w:w="0" w:type="auto"/>
            <w:shd w:val="clear" w:color="auto" w:fill="CFF0FC"/>
            <w:vAlign w:val="center"/>
            <w:hideMark/>
          </w:tcPr>
          <w:p w14:paraId="47A5666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center"/>
            <w:hideMark/>
          </w:tcPr>
          <w:p w14:paraId="2F56C45B"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3</w:t>
            </w:r>
          </w:p>
        </w:tc>
        <w:tc>
          <w:tcPr>
            <w:tcW w:w="0" w:type="auto"/>
            <w:shd w:val="clear" w:color="auto" w:fill="CFF0FC"/>
            <w:vAlign w:val="center"/>
            <w:hideMark/>
          </w:tcPr>
          <w:p w14:paraId="2EB7945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shd w:val="clear" w:color="auto" w:fill="CFF0FC"/>
            <w:vAlign w:val="center"/>
            <w:hideMark/>
          </w:tcPr>
          <w:p w14:paraId="53C30A8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shd w:val="clear" w:color="auto" w:fill="CFF0FC"/>
            <w:vAlign w:val="center"/>
            <w:hideMark/>
          </w:tcPr>
          <w:p w14:paraId="7C76A71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shd w:val="clear" w:color="auto" w:fill="CFF0FC"/>
            <w:vAlign w:val="center"/>
            <w:hideMark/>
          </w:tcPr>
          <w:p w14:paraId="6EF602D6"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1,727</w:t>
            </w:r>
          </w:p>
        </w:tc>
        <w:tc>
          <w:tcPr>
            <w:tcW w:w="0" w:type="auto"/>
            <w:shd w:val="clear" w:color="auto" w:fill="CFF0FC"/>
            <w:vAlign w:val="center"/>
            <w:hideMark/>
          </w:tcPr>
          <w:p w14:paraId="6ED7BCF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center"/>
            <w:hideMark/>
          </w:tcPr>
          <w:p w14:paraId="6578EE8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Times New Roman" w:eastAsia="微软雅黑" w:hAnsi="Times New Roman" w:cs="Times New Roman"/>
                <w:kern w:val="0"/>
                <w:sz w:val="18"/>
                <w:szCs w:val="18"/>
              </w:rPr>
              <w:t> </w:t>
            </w:r>
          </w:p>
        </w:tc>
        <w:tc>
          <w:tcPr>
            <w:tcW w:w="0" w:type="auto"/>
            <w:shd w:val="clear" w:color="auto" w:fill="CFF0FC"/>
            <w:vAlign w:val="center"/>
            <w:hideMark/>
          </w:tcPr>
          <w:p w14:paraId="6B637DB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center"/>
            <w:hideMark/>
          </w:tcPr>
          <w:p w14:paraId="62D9E888"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2</w:t>
            </w:r>
          </w:p>
        </w:tc>
        <w:tc>
          <w:tcPr>
            <w:tcW w:w="0" w:type="auto"/>
            <w:shd w:val="clear" w:color="auto" w:fill="CFF0FC"/>
            <w:vAlign w:val="center"/>
            <w:hideMark/>
          </w:tcPr>
          <w:p w14:paraId="5CBAA5B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shd w:val="clear" w:color="auto" w:fill="CFF0FC"/>
            <w:vAlign w:val="center"/>
            <w:hideMark/>
          </w:tcPr>
          <w:p w14:paraId="7F741E1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center"/>
            <w:hideMark/>
          </w:tcPr>
          <w:p w14:paraId="24B2620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center"/>
            <w:hideMark/>
          </w:tcPr>
          <w:p w14:paraId="6A68212D"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198</w:t>
            </w:r>
          </w:p>
        </w:tc>
        <w:tc>
          <w:tcPr>
            <w:tcW w:w="0" w:type="auto"/>
            <w:shd w:val="clear" w:color="auto" w:fill="CFF0FC"/>
            <w:vAlign w:val="center"/>
            <w:hideMark/>
          </w:tcPr>
          <w:p w14:paraId="37CDABB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center"/>
            <w:hideMark/>
          </w:tcPr>
          <w:p w14:paraId="68425D2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Times New Roman" w:eastAsia="微软雅黑" w:hAnsi="Times New Roman" w:cs="Times New Roman"/>
                <w:kern w:val="0"/>
                <w:sz w:val="18"/>
                <w:szCs w:val="18"/>
              </w:rPr>
              <w:t> </w:t>
            </w:r>
          </w:p>
        </w:tc>
        <w:tc>
          <w:tcPr>
            <w:tcW w:w="0" w:type="auto"/>
            <w:shd w:val="clear" w:color="auto" w:fill="CFF0FC"/>
            <w:vAlign w:val="center"/>
            <w:hideMark/>
          </w:tcPr>
          <w:p w14:paraId="54FDA0A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center"/>
            <w:hideMark/>
          </w:tcPr>
          <w:p w14:paraId="2108F293"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i/>
                <w:iCs/>
                <w:color w:val="000000"/>
                <w:kern w:val="0"/>
                <w:sz w:val="18"/>
                <w:szCs w:val="18"/>
              </w:rPr>
              <w:t>11</w:t>
            </w:r>
          </w:p>
        </w:tc>
        <w:tc>
          <w:tcPr>
            <w:tcW w:w="0" w:type="auto"/>
            <w:shd w:val="clear" w:color="auto" w:fill="CFF0FC"/>
            <w:vAlign w:val="center"/>
            <w:hideMark/>
          </w:tcPr>
          <w:p w14:paraId="6F4EA4F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i/>
                <w:iCs/>
                <w:color w:val="000000"/>
                <w:kern w:val="0"/>
                <w:sz w:val="18"/>
                <w:szCs w:val="18"/>
              </w:rPr>
              <w:t>%</w:t>
            </w:r>
          </w:p>
        </w:tc>
      </w:tr>
      <w:tr w:rsidR="002F3D36" w:rsidRPr="002F3D36" w14:paraId="0CD472F8" w14:textId="77777777" w:rsidTr="002F3D36">
        <w:trPr>
          <w:trHeight w:val="180"/>
          <w:tblCellSpacing w:w="15" w:type="dxa"/>
        </w:trPr>
        <w:tc>
          <w:tcPr>
            <w:tcW w:w="0" w:type="auto"/>
            <w:gridSpan w:val="2"/>
            <w:vAlign w:val="center"/>
            <w:hideMark/>
          </w:tcPr>
          <w:p w14:paraId="2173888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Global Total</w:t>
            </w:r>
          </w:p>
        </w:tc>
        <w:tc>
          <w:tcPr>
            <w:tcW w:w="0" w:type="auto"/>
            <w:vAlign w:val="center"/>
            <w:hideMark/>
          </w:tcPr>
          <w:p w14:paraId="68486C1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center"/>
            <w:hideMark/>
          </w:tcPr>
          <w:p w14:paraId="3D66B2A6"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73,425</w:t>
            </w:r>
          </w:p>
        </w:tc>
        <w:tc>
          <w:tcPr>
            <w:tcW w:w="0" w:type="auto"/>
            <w:vAlign w:val="center"/>
            <w:hideMark/>
          </w:tcPr>
          <w:p w14:paraId="27E0686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center"/>
            <w:hideMark/>
          </w:tcPr>
          <w:p w14:paraId="671289B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Times New Roman" w:eastAsia="微软雅黑" w:hAnsi="Times New Roman" w:cs="Times New Roman"/>
                <w:kern w:val="0"/>
                <w:sz w:val="18"/>
                <w:szCs w:val="18"/>
              </w:rPr>
              <w:t> </w:t>
            </w:r>
          </w:p>
        </w:tc>
        <w:tc>
          <w:tcPr>
            <w:tcW w:w="0" w:type="auto"/>
            <w:gridSpan w:val="2"/>
            <w:vAlign w:val="center"/>
            <w:hideMark/>
          </w:tcPr>
          <w:p w14:paraId="4D3B12B1"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center"/>
            <w:hideMark/>
          </w:tcPr>
          <w:p w14:paraId="6E48F3E1"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center"/>
            <w:hideMark/>
          </w:tcPr>
          <w:p w14:paraId="7FC0E7E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center"/>
            <w:hideMark/>
          </w:tcPr>
          <w:p w14:paraId="268EBCE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center"/>
            <w:hideMark/>
          </w:tcPr>
          <w:p w14:paraId="4CF2A8BD"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71,538</w:t>
            </w:r>
          </w:p>
        </w:tc>
        <w:tc>
          <w:tcPr>
            <w:tcW w:w="0" w:type="auto"/>
            <w:vAlign w:val="center"/>
            <w:hideMark/>
          </w:tcPr>
          <w:p w14:paraId="14402FE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center"/>
            <w:hideMark/>
          </w:tcPr>
          <w:p w14:paraId="7D7B8C0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Times New Roman" w:eastAsia="微软雅黑" w:hAnsi="Times New Roman" w:cs="Times New Roman"/>
                <w:kern w:val="0"/>
                <w:sz w:val="18"/>
                <w:szCs w:val="18"/>
              </w:rPr>
              <w:t> </w:t>
            </w:r>
          </w:p>
        </w:tc>
        <w:tc>
          <w:tcPr>
            <w:tcW w:w="0" w:type="auto"/>
            <w:gridSpan w:val="2"/>
            <w:vAlign w:val="center"/>
            <w:hideMark/>
          </w:tcPr>
          <w:p w14:paraId="07B90A0C"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center"/>
            <w:hideMark/>
          </w:tcPr>
          <w:p w14:paraId="60C325BB"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center"/>
            <w:hideMark/>
          </w:tcPr>
          <w:p w14:paraId="398B59B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center"/>
            <w:hideMark/>
          </w:tcPr>
          <w:p w14:paraId="31FC9E3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center"/>
            <w:hideMark/>
          </w:tcPr>
          <w:p w14:paraId="434E5F53"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1,887</w:t>
            </w:r>
          </w:p>
        </w:tc>
        <w:tc>
          <w:tcPr>
            <w:tcW w:w="0" w:type="auto"/>
            <w:vAlign w:val="center"/>
            <w:hideMark/>
          </w:tcPr>
          <w:p w14:paraId="30ABC79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center"/>
            <w:hideMark/>
          </w:tcPr>
          <w:p w14:paraId="4915074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Times New Roman" w:eastAsia="微软雅黑" w:hAnsi="Times New Roman" w:cs="Times New Roman"/>
                <w:kern w:val="0"/>
                <w:sz w:val="18"/>
                <w:szCs w:val="18"/>
              </w:rPr>
              <w:t> </w:t>
            </w:r>
          </w:p>
        </w:tc>
        <w:tc>
          <w:tcPr>
            <w:tcW w:w="0" w:type="auto"/>
            <w:vAlign w:val="center"/>
            <w:hideMark/>
          </w:tcPr>
          <w:p w14:paraId="46C43E2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center"/>
            <w:hideMark/>
          </w:tcPr>
          <w:p w14:paraId="71921DF6"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b/>
                <w:bCs/>
                <w:i/>
                <w:iCs/>
                <w:color w:val="000000"/>
                <w:kern w:val="0"/>
                <w:sz w:val="18"/>
                <w:szCs w:val="18"/>
              </w:rPr>
              <w:t>3</w:t>
            </w:r>
          </w:p>
        </w:tc>
        <w:tc>
          <w:tcPr>
            <w:tcW w:w="0" w:type="auto"/>
            <w:vAlign w:val="center"/>
            <w:hideMark/>
          </w:tcPr>
          <w:p w14:paraId="0D94498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i/>
                <w:iCs/>
                <w:color w:val="000000"/>
                <w:kern w:val="0"/>
                <w:sz w:val="18"/>
                <w:szCs w:val="18"/>
              </w:rPr>
              <w:t>%</w:t>
            </w:r>
          </w:p>
        </w:tc>
      </w:tr>
      <w:tr w:rsidR="002F3D36" w:rsidRPr="002F3D36" w14:paraId="2E86AEED" w14:textId="77777777" w:rsidTr="002F3D36">
        <w:trPr>
          <w:trHeight w:val="160"/>
          <w:tblCellSpacing w:w="15" w:type="dxa"/>
        </w:trPr>
        <w:tc>
          <w:tcPr>
            <w:tcW w:w="0" w:type="auto"/>
            <w:gridSpan w:val="24"/>
            <w:vAlign w:val="bottom"/>
            <w:hideMark/>
          </w:tcPr>
          <w:p w14:paraId="4D4B41CD" w14:textId="77777777" w:rsidR="002F3D36" w:rsidRPr="002F3D36" w:rsidRDefault="002F3D36" w:rsidP="002F3D36">
            <w:pPr>
              <w:widowControl/>
              <w:jc w:val="left"/>
              <w:rPr>
                <w:rFonts w:ascii="Times New Roman" w:eastAsia="微软雅黑" w:hAnsi="Times New Roman" w:cs="Times New Roman"/>
                <w:kern w:val="0"/>
                <w:sz w:val="16"/>
                <w:szCs w:val="16"/>
              </w:rPr>
            </w:pPr>
            <w:r w:rsidRPr="002F3D36">
              <w:rPr>
                <w:rFonts w:ascii="Arial" w:eastAsia="微软雅黑" w:hAnsi="Arial" w:cs="Arial"/>
                <w:color w:val="000000"/>
                <w:kern w:val="0"/>
                <w:sz w:val="11"/>
                <w:szCs w:val="11"/>
              </w:rPr>
              <w:t xml:space="preserve"> 1) </w:t>
            </w:r>
            <w:r w:rsidRPr="002F3D36">
              <w:rPr>
                <w:rFonts w:ascii="Arial" w:eastAsia="微软雅黑" w:hAnsi="Arial" w:cs="Arial"/>
                <w:color w:val="000000"/>
                <w:kern w:val="0"/>
                <w:sz w:val="16"/>
                <w:szCs w:val="16"/>
              </w:rPr>
              <w:t>Source: IHS Markit</w:t>
            </w:r>
          </w:p>
        </w:tc>
        <w:tc>
          <w:tcPr>
            <w:tcW w:w="0" w:type="auto"/>
            <w:vAlign w:val="bottom"/>
            <w:hideMark/>
          </w:tcPr>
          <w:p w14:paraId="5B2827AB" w14:textId="77777777" w:rsidR="002F3D36" w:rsidRPr="002F3D36" w:rsidRDefault="002F3D36" w:rsidP="002F3D36">
            <w:pPr>
              <w:widowControl/>
              <w:jc w:val="left"/>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r>
    </w:tbl>
    <w:p w14:paraId="7FF191D6"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20"/>
          <w:szCs w:val="20"/>
        </w:rPr>
        <w:t> </w:t>
      </w:r>
    </w:p>
    <w:p w14:paraId="7174B37A" w14:textId="77777777" w:rsidR="002F3D36" w:rsidRPr="002F3D36" w:rsidRDefault="002F3D36" w:rsidP="002F3D36">
      <w:pPr>
        <w:widowControl/>
        <w:spacing w:before="4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Chinese LVP, the world’s largest automotive market, increase</w:t>
      </w:r>
      <w:r w:rsidRPr="002F3D36">
        <w:rPr>
          <w:rFonts w:ascii="Arial" w:eastAsia="宋体" w:hAnsi="Arial" w:cs="Arial"/>
          <w:color w:val="000000"/>
          <w:kern w:val="0"/>
          <w:sz w:val="18"/>
          <w:szCs w:val="18"/>
          <w:shd w:val="clear" w:color="auto" w:fill="FFFFFF"/>
        </w:rPr>
        <w:t>d by 1.1 million units or by 5% from 2020 to 2021. In Europe, an important market for automotive safety systems, LVP decreased by 5% or by approximately 0.8 million light vehicles during the same period. In North America, LVP was virtually unchanged from 2020.</w:t>
      </w:r>
      <w:r w:rsidRPr="002F3D36">
        <w:rPr>
          <w:rFonts w:ascii="Arial" w:eastAsia="宋体" w:hAnsi="Arial" w:cs="Arial"/>
          <w:color w:val="000000"/>
          <w:kern w:val="0"/>
          <w:sz w:val="18"/>
          <w:szCs w:val="18"/>
        </w:rPr>
        <w:t xml:space="preserve"> </w:t>
      </w:r>
    </w:p>
    <w:p w14:paraId="25164F86"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Europe’s</w:t>
      </w:r>
      <w:r w:rsidRPr="002F3D36">
        <w:rPr>
          <w:rFonts w:ascii="Arial" w:eastAsia="宋体" w:hAnsi="Arial" w:cs="Arial"/>
          <w:color w:val="000000"/>
          <w:kern w:val="0"/>
          <w:sz w:val="18"/>
          <w:szCs w:val="18"/>
          <w:shd w:val="clear" w:color="auto" w:fill="FFFFFF"/>
        </w:rPr>
        <w:t xml:space="preserve"> share of global LVP has declined to 21% from 23% while Americas share was unchanged at 20% and China’s share remained at 31%. Japan’s share declined to 10% from 11% while India's share increased to 6% from 5%.</w:t>
      </w:r>
      <w:r w:rsidRPr="002F3D36">
        <w:rPr>
          <w:rFonts w:ascii="Arial" w:eastAsia="宋体" w:hAnsi="Arial" w:cs="Arial"/>
          <w:color w:val="000000"/>
          <w:kern w:val="0"/>
          <w:sz w:val="18"/>
          <w:szCs w:val="18"/>
        </w:rPr>
        <w:t xml:space="preserve"> </w:t>
      </w:r>
    </w:p>
    <w:p w14:paraId="63F5996D"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shd w:val="clear" w:color="auto" w:fill="FFFFFF"/>
        </w:rPr>
        <w:lastRenderedPageBreak/>
        <w:t>We expect light vehicle markets to grow both in the short and long term, especially in the next few years, driven by pent-up end user</w:t>
      </w:r>
      <w:r w:rsidRPr="002F3D36">
        <w:rPr>
          <w:rFonts w:ascii="Arial" w:eastAsia="宋体" w:hAnsi="Arial" w:cs="Arial"/>
          <w:color w:val="000000"/>
          <w:kern w:val="0"/>
          <w:sz w:val="18"/>
          <w:szCs w:val="18"/>
          <w:shd w:val="clear" w:color="auto" w:fill="FFFFFF"/>
        </w:rPr>
        <w:br/>
        <w:t>demand and a rebuilding of new vehicle inventories. The growth is expected to take place in all regions.</w:t>
      </w:r>
    </w:p>
    <w:p w14:paraId="600BCAF4"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xml:space="preserve">Due to more stringent crash test rating requirements, by institutes such as Euro NCAP; increased government regulations and increasing consumer demand for more safety in emerging markets, the Company sees vehicle manufacturers installing more airbags and more advanced seatbelt systems in vehicles. This generally takes place when new models are introduced. The safety standards of vehicles are increasing in China, India and other growth markets such as Brazil, partially due to new government regulations and crash test rating programs. For example, the Indian government has decided on a new traffic regulation that mandates more rigid crash test standards for light vehicles. This is supporting higher installation rate of airbags and more advanced seatbelts, impacting CPV positively, partly offset by negative effects from continued pricing pressure from vehicle manufacturers. The trend of increasing CPV was negatively impacted in 2021 by the unfavorable regional LVP mix development, as LVP in higher safety content regions such as Western Europe, North America, Japan and South Korea declined, while LVP in lower safety content regions such as South America, China and India increased. This negative regional mix effect was more than offset by the overall increase in global CPV of around 2% and the execution of the Company's strong order book, leading to a record number of product launches which supported an organic growth (see section Non-U.S. GAAP Performance Measures) of 5.2pp above growth in global LVP. The average global safety CPV (airbags, pedestrian safety, seatbelts and steering wheels) amounted to around $250 in 2021. </w:t>
      </w:r>
    </w:p>
    <w:p w14:paraId="3F75E31C"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The more stringent crash rating requirements and consumer demand for more safety should enable the global automotive safety market to grow around 2pp per year faster than the global LVP during the next three years.</w:t>
      </w:r>
    </w:p>
    <w:p w14:paraId="2896754D"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The past years’ high order intake share have resulted in the Company's sales development outperforming the underlying LVP significantly in the past three years. In 2021, the Company's organic sales (see section Non-U.S. GAAP Performance Measures) development outpaced global LVP by around 5 percentage points, due to increased safety content per vehicle and as an effect of recent years high order intake share.</w:t>
      </w:r>
    </w:p>
    <w:p w14:paraId="2F1ED36E"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The Company estimates that the sales to Plug-In Hybrids (PHEV) and Battery Electric Vehicles (BEV) amounted to more than $1.2 billion in 2021, an increase of more than 6</w:t>
      </w:r>
      <w:r w:rsidRPr="002F3D36">
        <w:rPr>
          <w:rFonts w:ascii="Arial" w:eastAsia="宋体" w:hAnsi="Arial" w:cs="Arial"/>
          <w:color w:val="000000"/>
          <w:kern w:val="0"/>
          <w:sz w:val="18"/>
          <w:szCs w:val="18"/>
          <w:shd w:val="clear" w:color="auto" w:fill="FFFFFF"/>
        </w:rPr>
        <w:t>0%</w:t>
      </w:r>
      <w:r w:rsidRPr="002F3D36">
        <w:rPr>
          <w:rFonts w:ascii="Arial" w:eastAsia="宋体" w:hAnsi="Arial" w:cs="Arial"/>
          <w:color w:val="000000"/>
          <w:kern w:val="0"/>
          <w:sz w:val="18"/>
          <w:szCs w:val="18"/>
        </w:rPr>
        <w:t xml:space="preserve"> compared to the previous year.</w:t>
      </w:r>
    </w:p>
    <w:p w14:paraId="4CA1EF3D" w14:textId="77777777" w:rsidR="002F3D36" w:rsidRPr="002F3D36" w:rsidRDefault="002F3D36" w:rsidP="002F3D36">
      <w:pPr>
        <w:widowControl/>
        <w:spacing w:before="240"/>
        <w:jc w:val="center"/>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32</w:t>
      </w:r>
    </w:p>
    <w:p w14:paraId="7B63CD8D" w14:textId="77777777" w:rsidR="002F3D36" w:rsidRPr="002F3D36" w:rsidRDefault="002F3D36" w:rsidP="002F3D36">
      <w:pPr>
        <w:widowControl/>
        <w:jc w:val="left"/>
        <w:rPr>
          <w:rFonts w:ascii="宋体" w:eastAsia="宋体" w:hAnsi="宋体" w:cs="宋体"/>
          <w:kern w:val="0"/>
          <w:sz w:val="24"/>
          <w:szCs w:val="24"/>
        </w:rPr>
      </w:pPr>
      <w:r w:rsidRPr="002F3D36">
        <w:rPr>
          <w:rFonts w:ascii="宋体" w:eastAsia="宋体" w:hAnsi="宋体" w:cs="宋体"/>
          <w:kern w:val="0"/>
          <w:sz w:val="24"/>
          <w:szCs w:val="24"/>
        </w:rPr>
        <w:pict w14:anchorId="47F45E19">
          <v:rect id="_x0000_i1059" style="width:0;height:1.5pt" o:hralign="center" o:hrstd="t" o:hrnoshade="t" o:hr="t" fillcolor="black" stroked="f"/>
        </w:pict>
      </w:r>
    </w:p>
    <w:p w14:paraId="3ED1849F" w14:textId="77777777" w:rsidR="002F3D36" w:rsidRPr="002F3D36" w:rsidRDefault="002F3D36" w:rsidP="002F3D36">
      <w:pPr>
        <w:widowControl/>
        <w:spacing w:line="20" w:lineRule="atLeast"/>
        <w:jc w:val="left"/>
        <w:rPr>
          <w:rFonts w:ascii="Times New Roman" w:eastAsia="宋体" w:hAnsi="Times New Roman" w:cs="Times New Roman"/>
          <w:color w:val="000000"/>
          <w:kern w:val="0"/>
          <w:sz w:val="20"/>
          <w:szCs w:val="20"/>
        </w:rPr>
      </w:pPr>
      <w:r w:rsidRPr="002F3D36">
        <w:rPr>
          <w:rFonts w:ascii="Arial" w:eastAsia="宋体" w:hAnsi="Arial" w:cs="Arial"/>
          <w:color w:val="000000"/>
          <w:kern w:val="0"/>
          <w:sz w:val="2"/>
          <w:szCs w:val="2"/>
        </w:rPr>
        <w:t> </w:t>
      </w:r>
    </w:p>
    <w:p w14:paraId="06D99EE8"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 xml:space="preserve">WELL BALANCED GLOBAL FOOTPRINT </w:t>
      </w:r>
    </w:p>
    <w:p w14:paraId="65B1E745"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xml:space="preserve">The Company's regional sales mix continues to be balanced with 28% of sales in Europe, 31% in the Americas and 41% in Asia in 2021, compared to 28%, 31% and 41%, respectively, in 2020. In Asia, the Company's sales in the important Chinese market remained at 21% of total sales in 2021. The Company's sales in India increased to 3% of total sales in 2021 from 2% in 2020. </w:t>
      </w:r>
    </w:p>
    <w:p w14:paraId="75023CB9"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xml:space="preserve">The balanced regional sales mix has been achieved through timely investments and strengthening of technical and support capabilities in growth markets. </w:t>
      </w:r>
    </w:p>
    <w:p w14:paraId="71E06C4E"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lastRenderedPageBreak/>
        <w:t>CONTINUED STRONG ORDER INTAKE SHARE</w:t>
      </w:r>
    </w:p>
    <w:p w14:paraId="49A7EA24"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Building on a strong base, including supplying products to more than 1,100 vehicle models and around 100 car brands, the Company estimates that it in 2021 for the seventh consecutive year recorded an order intake share of available orders that was above the Company's sales market share, which in 2021 the Company estimates increased to around 43% from 42% the prior year. The lead time from order intake to start of production is typically 18-36 months. During this period the products are engineered into the vehicle to provide the expected protection for occupants in case of a crash and to meet legal and regulatory requirements, as well as other requirements from the vehicle manufacturer. This investment in new products is the main reason for the high level of RD&amp;E expenses, net. Additionally, the Company has to build up production capacity, in the form of new lines, to meet future product launches.</w:t>
      </w:r>
    </w:p>
    <w:p w14:paraId="49CE4005"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The Company's order intake share for 2021 continued on a high level. The Company estimates that it booked around 50% of available order value in 2021. The estimated life-time sales for all orders booked in 2021 is around $11 billion, compared to around $10 billion in 2020. New order intake is defined as the sales value of awards for future business, received within that year. The life time value is calculated using detailed assumptions of price and volumes over the years of production and the exchange rates prevailing at the time of receiving the order.</w:t>
      </w:r>
    </w:p>
    <w:p w14:paraId="087ACA99"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xml:space="preserve">Due to the lead time from order to start of production, 2017 was the first year that the increased level of order intake began to impact the Company's sales. Over the last four years, sales have substantially outperformed the change in global LVP. In both 2021 and 2020 the outperformance was around 5pp. During 2021, growth was positively affected through recent launches of several new models, including Jeep Grand Cherokee, Toyota Sienna, Mitsubishi Outlander, Mercedes S-Class, Dacia Logan and Sandero, Genesis GV70. </w:t>
      </w:r>
    </w:p>
    <w:p w14:paraId="69BB0DB2"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STRATEGIC INITIATIVES AND STRUCTURAL IMPROVEMENTS</w:t>
      </w:r>
    </w:p>
    <w:p w14:paraId="480955C2"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xml:space="preserve">The expected 2021 light vehicle market recovery was hampered by an industry wide shortage of semi-conductors while raw material inflation resulted in significant increases in cost for purchased material. In response, Autoliv management continued to implement strict cost control measures, adapting manning levels to the demand decline. By December 31, 2021, total headcount was reduced by around 8,000 compared to December 31, 2020. In addition to continuously adjusting the labor force to short term demand fluctuations, management actions include footprint and capacity alignment in Europe, as well as moving overhead functions to Best Cost Countries in Americas, and initiating further footprint adjustments in Japan and in the Rest of Asia. </w:t>
      </w:r>
    </w:p>
    <w:p w14:paraId="292BC321"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xml:space="preserve">Additionally, the Company has introduced several initiatives in previous years, such as the Structural Efficiency Program 1 and 2. The first program was fully implemented in 2020 and the second program is expected to be fully implemented in 2022. </w:t>
      </w:r>
    </w:p>
    <w:p w14:paraId="0EE97FB0"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The provision, net of reversals, for restructuring activities in 2021 amounted to $8 million compared to $99 million in 2020. As of December 31, 2021, the Company has $88 million reserved in its balance sheet related to restructuring compared to $126 million last year. For more information, see Note 11 to the Consolidated Financial Statements included herein.</w:t>
      </w:r>
    </w:p>
    <w:p w14:paraId="2ED44D58"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xml:space="preserve">In addition to the structural improvements outlined above, the Company continues to implement the strategic initiatives to improve the efficiency of its value chain from end to end, not least through the Autoliv Production System and increased digitalization and automation. With several hundred projects in </w:t>
      </w:r>
      <w:r w:rsidRPr="002F3D36">
        <w:rPr>
          <w:rFonts w:ascii="Arial" w:eastAsia="宋体" w:hAnsi="Arial" w:cs="Arial"/>
          <w:color w:val="000000"/>
          <w:kern w:val="0"/>
          <w:sz w:val="18"/>
          <w:szCs w:val="18"/>
        </w:rPr>
        <w:lastRenderedPageBreak/>
        <w:t xml:space="preserve">implementation or undergoing development, the Company has a high pace in the planning and implementation of the strategic initiatives and structural improvements. These initiatives are key drivers to the Company's medium-term targets and building the foundation to continue to create shareholder value. </w:t>
      </w:r>
    </w:p>
    <w:p w14:paraId="21A7EA9C" w14:textId="77777777" w:rsidR="002F3D36" w:rsidRPr="002F3D36" w:rsidRDefault="002F3D36" w:rsidP="002F3D36">
      <w:pPr>
        <w:widowControl/>
        <w:jc w:val="left"/>
        <w:rPr>
          <w:rFonts w:ascii="Times New Roman" w:eastAsia="宋体" w:hAnsi="Times New Roman" w:cs="Times New Roman"/>
          <w:color w:val="000000"/>
          <w:kern w:val="0"/>
          <w:sz w:val="20"/>
          <w:szCs w:val="20"/>
        </w:rPr>
      </w:pPr>
      <w:r w:rsidRPr="002F3D36">
        <w:rPr>
          <w:rFonts w:ascii="Times New Roman" w:eastAsia="宋体" w:hAnsi="Times New Roman" w:cs="Times New Roman"/>
          <w:color w:val="000000"/>
          <w:kern w:val="0"/>
          <w:sz w:val="20"/>
          <w:szCs w:val="20"/>
        </w:rPr>
        <w:t> </w:t>
      </w:r>
    </w:p>
    <w:p w14:paraId="41E01AA5" w14:textId="77777777" w:rsidR="002F3D36" w:rsidRPr="002F3D36" w:rsidRDefault="002F3D36" w:rsidP="002F3D36">
      <w:pPr>
        <w:widowControl/>
        <w:spacing w:before="240"/>
        <w:jc w:val="center"/>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33</w:t>
      </w:r>
    </w:p>
    <w:p w14:paraId="4D6AF9B7" w14:textId="77777777" w:rsidR="002F3D36" w:rsidRPr="002F3D36" w:rsidRDefault="002F3D36" w:rsidP="002F3D36">
      <w:pPr>
        <w:widowControl/>
        <w:jc w:val="left"/>
        <w:rPr>
          <w:rFonts w:ascii="宋体" w:eastAsia="宋体" w:hAnsi="宋体" w:cs="宋体"/>
          <w:kern w:val="0"/>
          <w:sz w:val="24"/>
          <w:szCs w:val="24"/>
        </w:rPr>
      </w:pPr>
      <w:r w:rsidRPr="002F3D36">
        <w:rPr>
          <w:rFonts w:ascii="宋体" w:eastAsia="宋体" w:hAnsi="宋体" w:cs="宋体"/>
          <w:kern w:val="0"/>
          <w:sz w:val="24"/>
          <w:szCs w:val="24"/>
        </w:rPr>
        <w:pict w14:anchorId="04CAAFA4">
          <v:rect id="_x0000_i1060" style="width:0;height:1.5pt" o:hralign="center" o:hrstd="t" o:hrnoshade="t" o:hr="t" fillcolor="black" stroked="f"/>
        </w:pict>
      </w:r>
    </w:p>
    <w:p w14:paraId="1BFAD027" w14:textId="77777777" w:rsidR="002F3D36" w:rsidRPr="002F3D36" w:rsidRDefault="002F3D36" w:rsidP="002F3D36">
      <w:pPr>
        <w:widowControl/>
        <w:spacing w:line="20" w:lineRule="atLeast"/>
        <w:jc w:val="left"/>
        <w:rPr>
          <w:rFonts w:ascii="Times New Roman" w:eastAsia="宋体" w:hAnsi="Times New Roman" w:cs="Times New Roman"/>
          <w:color w:val="000000"/>
          <w:kern w:val="0"/>
          <w:sz w:val="20"/>
          <w:szCs w:val="20"/>
        </w:rPr>
      </w:pPr>
      <w:r w:rsidRPr="002F3D36">
        <w:rPr>
          <w:rFonts w:ascii="Arial" w:eastAsia="宋体" w:hAnsi="Arial" w:cs="Arial"/>
          <w:color w:val="000000"/>
          <w:kern w:val="0"/>
          <w:sz w:val="2"/>
          <w:szCs w:val="2"/>
        </w:rPr>
        <w:t> </w:t>
      </w:r>
    </w:p>
    <w:p w14:paraId="00102683"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IMPROVED EFFICIENCIES THROUGH OPERATIONAL EXCELLENCE</w:t>
      </w:r>
    </w:p>
    <w:p w14:paraId="06A227DD"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xml:space="preserve">Pricing pressure is an inherent part of the automotive supplier business. Price reductions are generally higher on newer products with strong volume growth compared to older products, where both the possibilities to re-design the product to reduce costs and market growth are less. Price reductions can also depend on the business cycle and raw material price development. </w:t>
      </w:r>
      <w:r w:rsidRPr="002F3D36">
        <w:rPr>
          <w:rFonts w:ascii="Arial" w:eastAsia="宋体" w:hAnsi="Arial" w:cs="Arial"/>
          <w:color w:val="000000"/>
          <w:kern w:val="0"/>
          <w:sz w:val="18"/>
          <w:szCs w:val="18"/>
          <w:shd w:val="clear" w:color="auto" w:fill="FFFFFF"/>
        </w:rPr>
        <w:t>For th</w:t>
      </w:r>
      <w:r w:rsidRPr="002F3D36">
        <w:rPr>
          <w:rFonts w:ascii="Arial" w:eastAsia="宋体" w:hAnsi="Arial" w:cs="Arial"/>
          <w:color w:val="000000"/>
          <w:kern w:val="0"/>
          <w:sz w:val="18"/>
          <w:szCs w:val="18"/>
        </w:rPr>
        <w:t xml:space="preserve">e five-year period 2017-2021, the Company estimates the average reduction of product prices on existing programs to have been in the range of around 2-4% annually. </w:t>
      </w:r>
    </w:p>
    <w:p w14:paraId="15E00C93"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xml:space="preserve">A key strategy to meet these price reductions is to reduce labor costs, through continuously implementing productivity improvement programs, optimizing the Company's production footprint and instituting restructuring and capacity alignment activities as well as other actions to address the Company's cost structure. </w:t>
      </w:r>
    </w:p>
    <w:p w14:paraId="4F4F28E1"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xml:space="preserve">The Company's productivity improvement target is to achieve at least 5% savings per year. To meet this target, Autoliv has developed a set of strategies to reduce costs in manufacturing: </w:t>
      </w:r>
    </w:p>
    <w:p w14:paraId="2AE02057" w14:textId="77777777" w:rsidR="002F3D36" w:rsidRPr="002F3D36" w:rsidRDefault="002F3D36" w:rsidP="002F3D36">
      <w:pPr>
        <w:widowControl/>
        <w:rPr>
          <w:rFonts w:ascii="微软雅黑" w:eastAsia="微软雅黑" w:hAnsi="微软雅黑" w:cs="宋体"/>
          <w:color w:val="000000"/>
          <w:kern w:val="0"/>
          <w:sz w:val="27"/>
          <w:szCs w:val="27"/>
        </w:rPr>
      </w:pPr>
      <w:r w:rsidRPr="002F3D36">
        <w:rPr>
          <w:rFonts w:ascii="Times New Roman" w:eastAsia="微软雅黑" w:hAnsi="Times New Roman" w:cs="Times New Roman"/>
          <w:color w:val="000000"/>
          <w:kern w:val="0"/>
          <w:sz w:val="18"/>
          <w:szCs w:val="18"/>
        </w:rPr>
        <w:t>•</w:t>
      </w:r>
    </w:p>
    <w:p w14:paraId="734580BF" w14:textId="77777777" w:rsidR="002F3D36" w:rsidRPr="002F3D36" w:rsidRDefault="002F3D36" w:rsidP="002F3D36">
      <w:pPr>
        <w:widowControl/>
        <w:rPr>
          <w:rFonts w:ascii="微软雅黑" w:eastAsia="微软雅黑" w:hAnsi="微软雅黑" w:cs="宋体" w:hint="eastAsia"/>
          <w:color w:val="000000"/>
          <w:kern w:val="0"/>
          <w:sz w:val="27"/>
          <w:szCs w:val="27"/>
        </w:rPr>
      </w:pPr>
      <w:r w:rsidRPr="002F3D36">
        <w:rPr>
          <w:rFonts w:ascii="Arial" w:eastAsia="微软雅黑" w:hAnsi="Arial" w:cs="Arial"/>
          <w:color w:val="000000"/>
          <w:kern w:val="0"/>
          <w:sz w:val="18"/>
          <w:szCs w:val="18"/>
        </w:rPr>
        <w:t>Autoliv production system (APS) is based on lean manufacturing methodology which aims to continuously increase output with less resources. APS provides the target conditions and tools to achieve the delivery of goods and services at the right time, in the right amount, at the required quality and at the lowest cost possible to all the Company's customers.</w:t>
      </w:r>
    </w:p>
    <w:p w14:paraId="4C6902BE" w14:textId="77777777" w:rsidR="002F3D36" w:rsidRPr="002F3D36" w:rsidRDefault="002F3D36" w:rsidP="002F3D36">
      <w:pPr>
        <w:widowControl/>
        <w:rPr>
          <w:rFonts w:ascii="微软雅黑" w:eastAsia="微软雅黑" w:hAnsi="微软雅黑" w:cs="宋体" w:hint="eastAsia"/>
          <w:color w:val="000000"/>
          <w:kern w:val="0"/>
          <w:sz w:val="27"/>
          <w:szCs w:val="27"/>
        </w:rPr>
      </w:pPr>
      <w:r w:rsidRPr="002F3D36">
        <w:rPr>
          <w:rFonts w:ascii="Times New Roman" w:eastAsia="微软雅黑" w:hAnsi="Times New Roman" w:cs="Times New Roman"/>
          <w:color w:val="000000"/>
          <w:kern w:val="0"/>
          <w:sz w:val="18"/>
          <w:szCs w:val="18"/>
        </w:rPr>
        <w:t>•</w:t>
      </w:r>
    </w:p>
    <w:p w14:paraId="739B0777" w14:textId="77777777" w:rsidR="002F3D36" w:rsidRPr="002F3D36" w:rsidRDefault="002F3D36" w:rsidP="002F3D36">
      <w:pPr>
        <w:widowControl/>
        <w:rPr>
          <w:rFonts w:ascii="微软雅黑" w:eastAsia="微软雅黑" w:hAnsi="微软雅黑" w:cs="宋体" w:hint="eastAsia"/>
          <w:color w:val="000000"/>
          <w:kern w:val="0"/>
          <w:sz w:val="27"/>
          <w:szCs w:val="27"/>
        </w:rPr>
      </w:pPr>
      <w:r w:rsidRPr="002F3D36">
        <w:rPr>
          <w:rFonts w:ascii="Arial" w:eastAsia="微软雅黑" w:hAnsi="Arial" w:cs="Arial"/>
          <w:color w:val="000000"/>
          <w:kern w:val="0"/>
          <w:sz w:val="18"/>
          <w:szCs w:val="18"/>
        </w:rPr>
        <w:t>Autoliv One Product One Process (1P1P) strategy focuses on product and process standardization and reducing cost and complexity. The 1P1P strategy, combined with initiatives to reduce costs for components from external suppliers, ensures that the Company continuously optimize its supply base footprint, consolidate purchase volumes to fewer suppliers, improve productivity in the Company's supply chain, standardize components and redesign its products.</w:t>
      </w:r>
    </w:p>
    <w:p w14:paraId="1D7A5545" w14:textId="77777777" w:rsidR="002F3D36" w:rsidRPr="002F3D36" w:rsidRDefault="002F3D36" w:rsidP="002F3D36">
      <w:pPr>
        <w:widowControl/>
        <w:rPr>
          <w:rFonts w:ascii="微软雅黑" w:eastAsia="微软雅黑" w:hAnsi="微软雅黑" w:cs="宋体" w:hint="eastAsia"/>
          <w:color w:val="000000"/>
          <w:kern w:val="0"/>
          <w:sz w:val="27"/>
          <w:szCs w:val="27"/>
        </w:rPr>
      </w:pPr>
      <w:r w:rsidRPr="002F3D36">
        <w:rPr>
          <w:rFonts w:ascii="Times New Roman" w:eastAsia="微软雅黑" w:hAnsi="Times New Roman" w:cs="Times New Roman"/>
          <w:color w:val="000000"/>
          <w:kern w:val="0"/>
          <w:sz w:val="18"/>
          <w:szCs w:val="18"/>
        </w:rPr>
        <w:t>•</w:t>
      </w:r>
    </w:p>
    <w:p w14:paraId="7926076A" w14:textId="77777777" w:rsidR="002F3D36" w:rsidRPr="002F3D36" w:rsidRDefault="002F3D36" w:rsidP="002F3D36">
      <w:pPr>
        <w:widowControl/>
        <w:rPr>
          <w:rFonts w:ascii="微软雅黑" w:eastAsia="微软雅黑" w:hAnsi="微软雅黑" w:cs="宋体" w:hint="eastAsia"/>
          <w:color w:val="000000"/>
          <w:kern w:val="0"/>
          <w:sz w:val="27"/>
          <w:szCs w:val="27"/>
        </w:rPr>
      </w:pPr>
      <w:r w:rsidRPr="002F3D36">
        <w:rPr>
          <w:rFonts w:ascii="Arial" w:eastAsia="微软雅黑" w:hAnsi="Arial" w:cs="Arial"/>
          <w:color w:val="000000"/>
          <w:kern w:val="0"/>
          <w:sz w:val="18"/>
          <w:szCs w:val="18"/>
        </w:rPr>
        <w:t>Strategic Initiatives including Automation, Digitalization, Supply Chain Management Effectiveness and RD&amp;E Effectiveness.</w:t>
      </w:r>
    </w:p>
    <w:p w14:paraId="42F7550F" w14:textId="77777777" w:rsidR="002F3D36" w:rsidRPr="002F3D36" w:rsidRDefault="002F3D36" w:rsidP="002F3D36">
      <w:pPr>
        <w:widowControl/>
        <w:spacing w:before="120"/>
        <w:rPr>
          <w:rFonts w:ascii="Times New Roman" w:eastAsia="宋体" w:hAnsi="Times New Roman" w:cs="Times New Roman" w:hint="eastAsia"/>
          <w:color w:val="000000"/>
          <w:kern w:val="0"/>
          <w:sz w:val="20"/>
          <w:szCs w:val="20"/>
        </w:rPr>
      </w:pPr>
      <w:r w:rsidRPr="002F3D36">
        <w:rPr>
          <w:rFonts w:ascii="Arial" w:eastAsia="宋体" w:hAnsi="Arial" w:cs="Arial"/>
          <w:color w:val="000000"/>
          <w:kern w:val="0"/>
          <w:sz w:val="18"/>
          <w:szCs w:val="18"/>
        </w:rPr>
        <w:t xml:space="preserve">The Company's historic experience is that the continuous improvement strategies have enabled productivity improvement at or above its target of 5%. However, this was not the case in the past two years due to the COVID-19 pandemic related decline in LVP in 2020 and the high volatility in customer call-offs in 2021 driven by the industry wide supply chain instability, especially for semi-conductors. </w:t>
      </w:r>
    </w:p>
    <w:p w14:paraId="2586FB7D"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xml:space="preserve">The Company foresees opportunities for further productivity on gains from LVP recovery and increased call-off stability when supply of semi-conductors eventually improves, but also from increasing use of </w:t>
      </w:r>
      <w:r w:rsidRPr="002F3D36">
        <w:rPr>
          <w:rFonts w:ascii="Arial" w:eastAsia="宋体" w:hAnsi="Arial" w:cs="Arial"/>
          <w:color w:val="000000"/>
          <w:kern w:val="0"/>
          <w:sz w:val="18"/>
          <w:szCs w:val="18"/>
        </w:rPr>
        <w:lastRenderedPageBreak/>
        <w:t>automation in its assembly for lean manufacturing processes. Additionally, automated cells typically perform the manufacturing process with reduced variability. This results in greater control and consistency of product quality.</w:t>
      </w:r>
    </w:p>
    <w:p w14:paraId="466AB87C"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FOCUS ON QUALITY</w:t>
      </w:r>
    </w:p>
    <w:p w14:paraId="0734513B"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The number of vehicle recalls in the automotive industry has risen sharply in recent years. Starting in 2015, Takata’s airbag inflators recall generated a record number of recalls in the automotive industry. The Company</w:t>
      </w:r>
      <w:r w:rsidRPr="002F3D36">
        <w:rPr>
          <w:rFonts w:ascii="Arial" w:eastAsia="宋体" w:hAnsi="Arial" w:cs="Arial"/>
          <w:color w:val="000000"/>
          <w:kern w:val="0"/>
          <w:sz w:val="18"/>
          <w:szCs w:val="18"/>
          <w:shd w:val="clear" w:color="auto" w:fill="FFFFFF"/>
        </w:rPr>
        <w:t xml:space="preserve"> expects overall recall numbers to remain high for years to come </w:t>
      </w:r>
      <w:r w:rsidRPr="002F3D36">
        <w:rPr>
          <w:rFonts w:ascii="Arial" w:eastAsia="宋体" w:hAnsi="Arial" w:cs="Arial"/>
          <w:color w:val="000000"/>
          <w:kern w:val="0"/>
          <w:sz w:val="18"/>
          <w:szCs w:val="18"/>
        </w:rPr>
        <w:t>and, although the Company strives for the highest quality in its processes, it cannot be ruled out that the Company may also be adversely impacted by a future recall.</w:t>
      </w:r>
    </w:p>
    <w:p w14:paraId="7D1CF249"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xml:space="preserve">Quality has been and always will be the Company's number one priority, and the Company continues to sharpen its focus in this area. The Company now holds a global market share in passive safety of around 43%, while the Company has been involved in around </w:t>
      </w:r>
      <w:r w:rsidRPr="002F3D36">
        <w:rPr>
          <w:rFonts w:ascii="Arial" w:eastAsia="宋体" w:hAnsi="Arial" w:cs="Arial"/>
          <w:color w:val="000000"/>
          <w:kern w:val="0"/>
          <w:sz w:val="18"/>
          <w:szCs w:val="18"/>
          <w:shd w:val="clear" w:color="auto" w:fill="FFFFFF"/>
        </w:rPr>
        <w:t>2%</w:t>
      </w:r>
      <w:r w:rsidRPr="002F3D36">
        <w:rPr>
          <w:rFonts w:ascii="Arial" w:eastAsia="宋体" w:hAnsi="Arial" w:cs="Arial"/>
          <w:color w:val="000000"/>
          <w:kern w:val="0"/>
          <w:sz w:val="18"/>
          <w:szCs w:val="18"/>
        </w:rPr>
        <w:t xml:space="preserve"> of recalls in the industry since 2010. This indicates that the Company is delivering on its quality strategy. For more information see product warranty and recalls in Note 12 to the Consolidated Financial Statements in this Annual Report.</w:t>
      </w:r>
    </w:p>
    <w:p w14:paraId="5A87E104"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 xml:space="preserve">CHANGES IN COMPETITIVE LANDSCAPE </w:t>
      </w:r>
    </w:p>
    <w:p w14:paraId="29D03218"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During the past seven years, Autoliv experienced significant changes in its competitive landscape. In 2015, TRW, a key competitor in passive safety, was acquired by German group ZF Friedrichshafen. Combined, the new company is the second largest passive safety supplier globally. In 2016, Key Safety Systems (“KSS”) was acquired by Ningbo Joyson Electronic Corp. Beginning in 2014, Takata, Autoliv's largest competitor at the time, experienced severe issues and recalls related to malfunctioning airbag inflators, leading the company to file for bankruptcy protection in the U.S. and Japan. In 2018, Joyson substantially acquired all of Takata's global assets and operations and combined it with KSS, forming the new company JSS. Combined, the new company is the third largest passive safety supplier globally.</w:t>
      </w:r>
    </w:p>
    <w:p w14:paraId="331E7BD1" w14:textId="77777777" w:rsidR="002F3D36" w:rsidRPr="002F3D36" w:rsidRDefault="002F3D36" w:rsidP="002F3D36">
      <w:pPr>
        <w:widowControl/>
        <w:spacing w:before="240"/>
        <w:jc w:val="center"/>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34</w:t>
      </w:r>
    </w:p>
    <w:p w14:paraId="3380C423" w14:textId="77777777" w:rsidR="002F3D36" w:rsidRPr="002F3D36" w:rsidRDefault="002F3D36" w:rsidP="002F3D36">
      <w:pPr>
        <w:widowControl/>
        <w:jc w:val="left"/>
        <w:rPr>
          <w:rFonts w:ascii="宋体" w:eastAsia="宋体" w:hAnsi="宋体" w:cs="宋体"/>
          <w:kern w:val="0"/>
          <w:sz w:val="24"/>
          <w:szCs w:val="24"/>
        </w:rPr>
      </w:pPr>
      <w:r w:rsidRPr="002F3D36">
        <w:rPr>
          <w:rFonts w:ascii="宋体" w:eastAsia="宋体" w:hAnsi="宋体" w:cs="宋体"/>
          <w:kern w:val="0"/>
          <w:sz w:val="24"/>
          <w:szCs w:val="24"/>
        </w:rPr>
        <w:pict w14:anchorId="6EC0CFC9">
          <v:rect id="_x0000_i1061" style="width:0;height:1.5pt" o:hralign="center" o:hrstd="t" o:hrnoshade="t" o:hr="t" fillcolor="black" stroked="f"/>
        </w:pict>
      </w:r>
    </w:p>
    <w:p w14:paraId="6DF149EE" w14:textId="77777777" w:rsidR="002F3D36" w:rsidRPr="002F3D36" w:rsidRDefault="002F3D36" w:rsidP="002F3D36">
      <w:pPr>
        <w:widowControl/>
        <w:spacing w:line="20" w:lineRule="atLeast"/>
        <w:jc w:val="left"/>
        <w:rPr>
          <w:rFonts w:ascii="Times New Roman" w:eastAsia="宋体" w:hAnsi="Times New Roman" w:cs="Times New Roman"/>
          <w:color w:val="000000"/>
          <w:kern w:val="0"/>
          <w:sz w:val="20"/>
          <w:szCs w:val="20"/>
        </w:rPr>
      </w:pPr>
      <w:r w:rsidRPr="002F3D36">
        <w:rPr>
          <w:rFonts w:ascii="Arial" w:eastAsia="宋体" w:hAnsi="Arial" w:cs="Arial"/>
          <w:color w:val="000000"/>
          <w:kern w:val="0"/>
          <w:sz w:val="2"/>
          <w:szCs w:val="2"/>
        </w:rPr>
        <w:t> </w:t>
      </w:r>
    </w:p>
    <w:p w14:paraId="5CAE19C8"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 xml:space="preserve">CAPITAL STRUCTURE </w:t>
      </w:r>
    </w:p>
    <w:p w14:paraId="1E200445"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The Company’s net debt stood at $1,052 million on December 31, 2021. This was a decrease of $163 million compared to December 31, 2020. Total interest-bearing debt at December 31, 2021 amounted to $2,008 million, a decrease of $403 million compared to December 31, 2020.</w:t>
      </w:r>
    </w:p>
    <w:p w14:paraId="4D509326"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Cash flow from operations was $754 million in 2021 and $849 million in 2020. Capital expenditures, net amounted to $454 million in 2021 and $340 million in 2020. During 2021 and 2020 the Company paid dividends of $165 million and $54 million, respectively. In the second quarter of 2020, the Company suspended the dividends due to the COVID-19 pandemic. The dividends where reinstated in the second quarter of 2021.</w:t>
      </w:r>
    </w:p>
    <w:p w14:paraId="2729E89B"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xml:space="preserve">It is the Company’s policy to maintain a financial leverage commensurate with a “strong investment grade credit rating”. The long-term target is to have a leverage ratio (see section Non-U.S. GAAP Performance Measures) of around 1.0x and to be within the range of 0.5x to 1.5x. At December 31, 2021, the current </w:t>
      </w:r>
      <w:r w:rsidRPr="002F3D36">
        <w:rPr>
          <w:rFonts w:ascii="Arial" w:eastAsia="宋体" w:hAnsi="Arial" w:cs="Arial"/>
          <w:color w:val="000000"/>
          <w:kern w:val="0"/>
          <w:sz w:val="18"/>
          <w:szCs w:val="18"/>
        </w:rPr>
        <w:lastRenderedPageBreak/>
        <w:t>leverage ratio is 1.2x. The Company monitors its capital structure and the financial markets closely and intends to maintain a high level of financial flexibility while being shareholder friendly.</w:t>
      </w:r>
    </w:p>
    <w:p w14:paraId="0DCD46F2"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As part of the adjustment of the capital structure, the Company historically has repurchased shares of its common stock. During 2021 and 2020, the Company did not repurchase any shares. On December 31, 2021, the stock repurchase program authorized by the Board of Directors in 2014 expired with approximately 3 million shares remaining. In November 2021, the Board of Directors approved a new stock repurchase program that authorizes the Company to repurchase up to $1.5 billion or up to 17 million shares (whichever comes first) between January 2022 and the end of 2024.</w:t>
      </w:r>
    </w:p>
    <w:p w14:paraId="17277414"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w:t>
      </w:r>
    </w:p>
    <w:p w14:paraId="5F9CE5A7"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b/>
          <w:bCs/>
          <w:caps/>
          <w:color w:val="000000"/>
          <w:kern w:val="0"/>
          <w:sz w:val="18"/>
          <w:szCs w:val="18"/>
        </w:rPr>
        <w:t xml:space="preserve">OUTLOOK FOR 2022 </w:t>
      </w:r>
    </w:p>
    <w:p w14:paraId="21230EF6"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The Company's outlook indications for 2022 reflect continuing uncertainty in the automotive markets and are mainly based on the Company's customer call-offs and global LVP outlook according to IHS Markit (January 2022), indicating a full year 2022 global LVP growth of around 9%.</w:t>
      </w:r>
    </w:p>
    <w:p w14:paraId="5901BE4B"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w:t>
      </w:r>
    </w:p>
    <w:tbl>
      <w:tblPr>
        <w:tblW w:w="20614" w:type="dxa"/>
        <w:tblCellSpacing w:w="15" w:type="dxa"/>
        <w:tblCellMar>
          <w:top w:w="15" w:type="dxa"/>
          <w:left w:w="15" w:type="dxa"/>
          <w:bottom w:w="15" w:type="dxa"/>
          <w:right w:w="15" w:type="dxa"/>
        </w:tblCellMar>
        <w:tblLook w:val="04A0" w:firstRow="1" w:lastRow="0" w:firstColumn="1" w:lastColumn="0" w:noHBand="0" w:noVBand="1"/>
      </w:tblPr>
      <w:tblGrid>
        <w:gridCol w:w="11137"/>
        <w:gridCol w:w="305"/>
        <w:gridCol w:w="9172"/>
      </w:tblGrid>
      <w:tr w:rsidR="002F3D36" w:rsidRPr="002F3D36" w14:paraId="1675BF9D" w14:textId="77777777" w:rsidTr="002F3D36">
        <w:trPr>
          <w:tblCellSpacing w:w="15" w:type="dxa"/>
        </w:trPr>
        <w:tc>
          <w:tcPr>
            <w:tcW w:w="11108" w:type="dxa"/>
            <w:vAlign w:val="center"/>
            <w:hideMark/>
          </w:tcPr>
          <w:p w14:paraId="32EE35AA" w14:textId="77777777" w:rsidR="002F3D36" w:rsidRPr="002F3D36" w:rsidRDefault="002F3D36" w:rsidP="002F3D36">
            <w:pPr>
              <w:widowControl/>
              <w:jc w:val="left"/>
              <w:rPr>
                <w:rFonts w:ascii="Times New Roman" w:eastAsia="宋体" w:hAnsi="Times New Roman" w:cs="Times New Roman"/>
                <w:color w:val="000000"/>
                <w:kern w:val="0"/>
                <w:sz w:val="20"/>
                <w:szCs w:val="20"/>
              </w:rPr>
            </w:pPr>
          </w:p>
        </w:tc>
        <w:tc>
          <w:tcPr>
            <w:tcW w:w="275" w:type="dxa"/>
            <w:vAlign w:val="center"/>
            <w:hideMark/>
          </w:tcPr>
          <w:p w14:paraId="778D7C3E"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9141" w:type="dxa"/>
            <w:vAlign w:val="center"/>
            <w:hideMark/>
          </w:tcPr>
          <w:p w14:paraId="09E44D4A" w14:textId="77777777" w:rsidR="002F3D36" w:rsidRPr="002F3D36" w:rsidRDefault="002F3D36" w:rsidP="002F3D36">
            <w:pPr>
              <w:widowControl/>
              <w:jc w:val="left"/>
              <w:rPr>
                <w:rFonts w:ascii="Times New Roman" w:eastAsia="Times New Roman" w:hAnsi="Times New Roman" w:cs="Times New Roman"/>
                <w:kern w:val="0"/>
                <w:sz w:val="20"/>
                <w:szCs w:val="20"/>
              </w:rPr>
            </w:pPr>
          </w:p>
        </w:tc>
      </w:tr>
      <w:tr w:rsidR="002F3D36" w:rsidRPr="002F3D36" w14:paraId="4628C082" w14:textId="77777777" w:rsidTr="002F3D36">
        <w:trPr>
          <w:trHeight w:val="160"/>
          <w:tblCellSpacing w:w="15" w:type="dxa"/>
        </w:trPr>
        <w:tc>
          <w:tcPr>
            <w:tcW w:w="0" w:type="auto"/>
            <w:tcBorders>
              <w:bottom w:val="single" w:sz="4" w:space="0" w:color="000000"/>
            </w:tcBorders>
            <w:shd w:val="clear" w:color="auto" w:fill="FFFFFF"/>
            <w:vAlign w:val="bottom"/>
            <w:hideMark/>
          </w:tcPr>
          <w:p w14:paraId="3E44B88F" w14:textId="77777777" w:rsidR="002F3D36" w:rsidRPr="002F3D36" w:rsidRDefault="002F3D36" w:rsidP="002F3D36">
            <w:pPr>
              <w:widowControl/>
              <w:jc w:val="left"/>
              <w:rPr>
                <w:rFonts w:ascii="Times New Roman" w:eastAsia="微软雅黑" w:hAnsi="Times New Roman" w:cs="Times New Roman"/>
                <w:kern w:val="0"/>
                <w:sz w:val="16"/>
                <w:szCs w:val="16"/>
              </w:rPr>
            </w:pPr>
            <w:r w:rsidRPr="002F3D36">
              <w:rPr>
                <w:rFonts w:ascii="Arial" w:eastAsia="微软雅黑" w:hAnsi="Arial" w:cs="Arial"/>
                <w:b/>
                <w:bCs/>
                <w:color w:val="000000"/>
                <w:kern w:val="0"/>
                <w:sz w:val="16"/>
                <w:szCs w:val="16"/>
              </w:rPr>
              <w:t>Financial measure</w:t>
            </w:r>
          </w:p>
        </w:tc>
        <w:tc>
          <w:tcPr>
            <w:tcW w:w="0" w:type="auto"/>
            <w:shd w:val="clear" w:color="auto" w:fill="FFFFFF"/>
            <w:vAlign w:val="center"/>
            <w:hideMark/>
          </w:tcPr>
          <w:p w14:paraId="6D692D93" w14:textId="77777777" w:rsidR="002F3D36" w:rsidRPr="002F3D36" w:rsidRDefault="002F3D36" w:rsidP="002F3D36">
            <w:pPr>
              <w:widowControl/>
              <w:jc w:val="left"/>
              <w:rPr>
                <w:rFonts w:ascii="Times New Roman" w:eastAsia="微软雅黑" w:hAnsi="Times New Roman" w:cs="Times New Roman"/>
                <w:kern w:val="0"/>
                <w:sz w:val="16"/>
                <w:szCs w:val="16"/>
              </w:rPr>
            </w:pPr>
            <w:r w:rsidRPr="002F3D36">
              <w:rPr>
                <w:rFonts w:ascii="Times New Roman" w:eastAsia="微软雅黑" w:hAnsi="Times New Roman" w:cs="Times New Roman"/>
                <w:kern w:val="0"/>
                <w:sz w:val="16"/>
                <w:szCs w:val="16"/>
              </w:rPr>
              <w:t> </w:t>
            </w:r>
          </w:p>
        </w:tc>
        <w:tc>
          <w:tcPr>
            <w:tcW w:w="0" w:type="auto"/>
            <w:tcBorders>
              <w:bottom w:val="single" w:sz="4" w:space="0" w:color="000000"/>
            </w:tcBorders>
            <w:shd w:val="clear" w:color="auto" w:fill="FFFFFF"/>
            <w:vAlign w:val="bottom"/>
            <w:hideMark/>
          </w:tcPr>
          <w:p w14:paraId="77064241" w14:textId="77777777" w:rsidR="002F3D36" w:rsidRPr="002F3D36" w:rsidRDefault="002F3D36" w:rsidP="002F3D36">
            <w:pPr>
              <w:widowControl/>
              <w:jc w:val="left"/>
              <w:rPr>
                <w:rFonts w:ascii="Times New Roman" w:eastAsia="微软雅黑" w:hAnsi="Times New Roman" w:cs="Times New Roman"/>
                <w:kern w:val="0"/>
                <w:sz w:val="16"/>
                <w:szCs w:val="16"/>
              </w:rPr>
            </w:pPr>
            <w:r w:rsidRPr="002F3D36">
              <w:rPr>
                <w:rFonts w:ascii="Arial" w:eastAsia="微软雅黑" w:hAnsi="Arial" w:cs="Arial"/>
                <w:b/>
                <w:bCs/>
                <w:color w:val="000000"/>
                <w:kern w:val="0"/>
                <w:sz w:val="16"/>
                <w:szCs w:val="16"/>
              </w:rPr>
              <w:t>Full year indication</w:t>
            </w:r>
          </w:p>
        </w:tc>
      </w:tr>
      <w:tr w:rsidR="002F3D36" w:rsidRPr="002F3D36" w14:paraId="48555E55" w14:textId="77777777" w:rsidTr="002F3D36">
        <w:trPr>
          <w:trHeight w:val="180"/>
          <w:tblCellSpacing w:w="15" w:type="dxa"/>
        </w:trPr>
        <w:tc>
          <w:tcPr>
            <w:tcW w:w="0" w:type="auto"/>
            <w:shd w:val="clear" w:color="auto" w:fill="CFF0FC"/>
            <w:vAlign w:val="center"/>
            <w:hideMark/>
          </w:tcPr>
          <w:p w14:paraId="246E0FA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LVP growth</w:t>
            </w:r>
          </w:p>
        </w:tc>
        <w:tc>
          <w:tcPr>
            <w:tcW w:w="0" w:type="auto"/>
            <w:shd w:val="clear" w:color="auto" w:fill="CFF0FC"/>
            <w:vAlign w:val="center"/>
            <w:hideMark/>
          </w:tcPr>
          <w:p w14:paraId="2D5C082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Times New Roman" w:eastAsia="微软雅黑" w:hAnsi="Times New Roman" w:cs="Times New Roman"/>
                <w:kern w:val="0"/>
                <w:sz w:val="18"/>
                <w:szCs w:val="18"/>
              </w:rPr>
              <w:t> </w:t>
            </w:r>
          </w:p>
        </w:tc>
        <w:tc>
          <w:tcPr>
            <w:tcW w:w="0" w:type="auto"/>
            <w:shd w:val="clear" w:color="auto" w:fill="CFF0FC"/>
            <w:vAlign w:val="center"/>
            <w:hideMark/>
          </w:tcPr>
          <w:p w14:paraId="3EB1DC1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Around 9%</w:t>
            </w:r>
          </w:p>
        </w:tc>
      </w:tr>
      <w:tr w:rsidR="002F3D36" w:rsidRPr="002F3D36" w14:paraId="748F8456" w14:textId="77777777" w:rsidTr="002F3D36">
        <w:trPr>
          <w:trHeight w:val="180"/>
          <w:tblCellSpacing w:w="15" w:type="dxa"/>
        </w:trPr>
        <w:tc>
          <w:tcPr>
            <w:tcW w:w="0" w:type="auto"/>
            <w:vAlign w:val="center"/>
            <w:hideMark/>
          </w:tcPr>
          <w:p w14:paraId="0E10C60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Organic sales growth</w:t>
            </w:r>
          </w:p>
        </w:tc>
        <w:tc>
          <w:tcPr>
            <w:tcW w:w="0" w:type="auto"/>
            <w:vAlign w:val="center"/>
            <w:hideMark/>
          </w:tcPr>
          <w:p w14:paraId="3489207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Times New Roman" w:eastAsia="微软雅黑" w:hAnsi="Times New Roman" w:cs="Times New Roman"/>
                <w:kern w:val="0"/>
                <w:sz w:val="18"/>
                <w:szCs w:val="18"/>
              </w:rPr>
              <w:t> </w:t>
            </w:r>
          </w:p>
        </w:tc>
        <w:tc>
          <w:tcPr>
            <w:tcW w:w="0" w:type="auto"/>
            <w:vAlign w:val="center"/>
            <w:hideMark/>
          </w:tcPr>
          <w:p w14:paraId="0BAFDBC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Around 20%</w:t>
            </w:r>
          </w:p>
        </w:tc>
      </w:tr>
      <w:tr w:rsidR="002F3D36" w:rsidRPr="002F3D36" w14:paraId="496A9CDB" w14:textId="77777777" w:rsidTr="002F3D36">
        <w:trPr>
          <w:trHeight w:val="180"/>
          <w:tblCellSpacing w:w="15" w:type="dxa"/>
        </w:trPr>
        <w:tc>
          <w:tcPr>
            <w:tcW w:w="0" w:type="auto"/>
            <w:shd w:val="clear" w:color="auto" w:fill="CFF0FC"/>
            <w:vAlign w:val="center"/>
            <w:hideMark/>
          </w:tcPr>
          <w:p w14:paraId="40D4BAA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FX</w:t>
            </w:r>
          </w:p>
        </w:tc>
        <w:tc>
          <w:tcPr>
            <w:tcW w:w="0" w:type="auto"/>
            <w:shd w:val="clear" w:color="auto" w:fill="CFF0FC"/>
            <w:vAlign w:val="center"/>
            <w:hideMark/>
          </w:tcPr>
          <w:p w14:paraId="3C0A33D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Times New Roman" w:eastAsia="微软雅黑" w:hAnsi="Times New Roman" w:cs="Times New Roman"/>
                <w:kern w:val="0"/>
                <w:sz w:val="18"/>
                <w:szCs w:val="18"/>
              </w:rPr>
              <w:t> </w:t>
            </w:r>
          </w:p>
        </w:tc>
        <w:tc>
          <w:tcPr>
            <w:tcW w:w="0" w:type="auto"/>
            <w:shd w:val="clear" w:color="auto" w:fill="CFF0FC"/>
            <w:vAlign w:val="center"/>
            <w:hideMark/>
          </w:tcPr>
          <w:p w14:paraId="6E72E93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Around -3%</w:t>
            </w:r>
          </w:p>
        </w:tc>
      </w:tr>
      <w:tr w:rsidR="002F3D36" w:rsidRPr="002F3D36" w14:paraId="3BBFB5B8" w14:textId="77777777" w:rsidTr="002F3D36">
        <w:trPr>
          <w:trHeight w:val="180"/>
          <w:tblCellSpacing w:w="15" w:type="dxa"/>
        </w:trPr>
        <w:tc>
          <w:tcPr>
            <w:tcW w:w="0" w:type="auto"/>
            <w:shd w:val="clear" w:color="auto" w:fill="FFFFFF"/>
            <w:vAlign w:val="center"/>
            <w:hideMark/>
          </w:tcPr>
          <w:p w14:paraId="1A10535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Adjusted operating margin</w:t>
            </w:r>
            <w:r w:rsidRPr="002F3D36">
              <w:rPr>
                <w:rFonts w:ascii="Arial" w:eastAsia="微软雅黑" w:hAnsi="Arial" w:cs="Arial"/>
                <w:color w:val="000000"/>
                <w:kern w:val="0"/>
                <w:sz w:val="12"/>
                <w:szCs w:val="12"/>
              </w:rPr>
              <w:t>1)</w:t>
            </w:r>
          </w:p>
        </w:tc>
        <w:tc>
          <w:tcPr>
            <w:tcW w:w="0" w:type="auto"/>
            <w:shd w:val="clear" w:color="auto" w:fill="FFFFFF"/>
            <w:vAlign w:val="center"/>
            <w:hideMark/>
          </w:tcPr>
          <w:p w14:paraId="7F5A7CB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Times New Roman" w:eastAsia="微软雅黑" w:hAnsi="Times New Roman" w:cs="Times New Roman"/>
                <w:kern w:val="0"/>
                <w:sz w:val="18"/>
                <w:szCs w:val="18"/>
              </w:rPr>
              <w:t> </w:t>
            </w:r>
          </w:p>
        </w:tc>
        <w:tc>
          <w:tcPr>
            <w:tcW w:w="0" w:type="auto"/>
            <w:shd w:val="clear" w:color="auto" w:fill="FFFFFF"/>
            <w:vAlign w:val="center"/>
            <w:hideMark/>
          </w:tcPr>
          <w:p w14:paraId="4D6F23D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Around 9.5%</w:t>
            </w:r>
          </w:p>
        </w:tc>
      </w:tr>
      <w:tr w:rsidR="002F3D36" w:rsidRPr="002F3D36" w14:paraId="4292304B" w14:textId="77777777" w:rsidTr="002F3D36">
        <w:trPr>
          <w:trHeight w:val="180"/>
          <w:tblCellSpacing w:w="15" w:type="dxa"/>
        </w:trPr>
        <w:tc>
          <w:tcPr>
            <w:tcW w:w="0" w:type="auto"/>
            <w:shd w:val="clear" w:color="auto" w:fill="CFF0FC"/>
            <w:vAlign w:val="center"/>
            <w:hideMark/>
          </w:tcPr>
          <w:p w14:paraId="44AB24E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 xml:space="preserve">Tax rate </w:t>
            </w:r>
            <w:r w:rsidRPr="002F3D36">
              <w:rPr>
                <w:rFonts w:ascii="Arial" w:eastAsia="微软雅黑" w:hAnsi="Arial" w:cs="Arial"/>
                <w:color w:val="000000"/>
                <w:kern w:val="0"/>
                <w:sz w:val="12"/>
                <w:szCs w:val="12"/>
              </w:rPr>
              <w:t>2)</w:t>
            </w:r>
          </w:p>
        </w:tc>
        <w:tc>
          <w:tcPr>
            <w:tcW w:w="0" w:type="auto"/>
            <w:shd w:val="clear" w:color="auto" w:fill="CFF0FC"/>
            <w:vAlign w:val="center"/>
            <w:hideMark/>
          </w:tcPr>
          <w:p w14:paraId="74B4136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Times New Roman" w:eastAsia="微软雅黑" w:hAnsi="Times New Roman" w:cs="Times New Roman"/>
                <w:kern w:val="0"/>
                <w:sz w:val="18"/>
                <w:szCs w:val="18"/>
              </w:rPr>
              <w:t> </w:t>
            </w:r>
          </w:p>
        </w:tc>
        <w:tc>
          <w:tcPr>
            <w:tcW w:w="0" w:type="auto"/>
            <w:shd w:val="clear" w:color="auto" w:fill="CFF0FC"/>
            <w:vAlign w:val="center"/>
            <w:hideMark/>
          </w:tcPr>
          <w:p w14:paraId="3B58391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Around 30%</w:t>
            </w:r>
          </w:p>
        </w:tc>
      </w:tr>
      <w:tr w:rsidR="002F3D36" w:rsidRPr="002F3D36" w14:paraId="5F6CC5A1" w14:textId="77777777" w:rsidTr="002F3D36">
        <w:trPr>
          <w:trHeight w:val="180"/>
          <w:tblCellSpacing w:w="15" w:type="dxa"/>
        </w:trPr>
        <w:tc>
          <w:tcPr>
            <w:tcW w:w="0" w:type="auto"/>
            <w:shd w:val="clear" w:color="auto" w:fill="FFFFFF"/>
            <w:vAlign w:val="center"/>
            <w:hideMark/>
          </w:tcPr>
          <w:p w14:paraId="7D53956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Operating cash flow</w:t>
            </w:r>
            <w:r w:rsidRPr="002F3D36">
              <w:rPr>
                <w:rFonts w:ascii="Arial" w:eastAsia="微软雅黑" w:hAnsi="Arial" w:cs="Arial"/>
                <w:color w:val="000000"/>
                <w:kern w:val="0"/>
                <w:sz w:val="12"/>
                <w:szCs w:val="12"/>
              </w:rPr>
              <w:t>3)</w:t>
            </w:r>
          </w:p>
        </w:tc>
        <w:tc>
          <w:tcPr>
            <w:tcW w:w="0" w:type="auto"/>
            <w:shd w:val="clear" w:color="auto" w:fill="FFFFFF"/>
            <w:vAlign w:val="center"/>
            <w:hideMark/>
          </w:tcPr>
          <w:p w14:paraId="0A972FF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Times New Roman" w:eastAsia="微软雅黑" w:hAnsi="Times New Roman" w:cs="Times New Roman"/>
                <w:kern w:val="0"/>
                <w:sz w:val="18"/>
                <w:szCs w:val="18"/>
              </w:rPr>
              <w:t> </w:t>
            </w:r>
          </w:p>
        </w:tc>
        <w:tc>
          <w:tcPr>
            <w:tcW w:w="0" w:type="auto"/>
            <w:shd w:val="clear" w:color="auto" w:fill="FFFFFF"/>
            <w:vAlign w:val="center"/>
            <w:hideMark/>
          </w:tcPr>
          <w:p w14:paraId="6517DC5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Around $950 million</w:t>
            </w:r>
          </w:p>
        </w:tc>
      </w:tr>
      <w:tr w:rsidR="002F3D36" w:rsidRPr="002F3D36" w14:paraId="4298132C" w14:textId="77777777" w:rsidTr="002F3D36">
        <w:trPr>
          <w:trHeight w:val="180"/>
          <w:tblCellSpacing w:w="15" w:type="dxa"/>
        </w:trPr>
        <w:tc>
          <w:tcPr>
            <w:tcW w:w="0" w:type="auto"/>
            <w:shd w:val="clear" w:color="auto" w:fill="CFF0FC"/>
            <w:vAlign w:val="center"/>
            <w:hideMark/>
          </w:tcPr>
          <w:p w14:paraId="6AE68B0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Capital expenditures, net % of sales</w:t>
            </w:r>
          </w:p>
        </w:tc>
        <w:tc>
          <w:tcPr>
            <w:tcW w:w="0" w:type="auto"/>
            <w:shd w:val="clear" w:color="auto" w:fill="CFF0FC"/>
            <w:vAlign w:val="center"/>
            <w:hideMark/>
          </w:tcPr>
          <w:p w14:paraId="297067B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Times New Roman" w:eastAsia="微软雅黑" w:hAnsi="Times New Roman" w:cs="Times New Roman"/>
                <w:kern w:val="0"/>
                <w:sz w:val="18"/>
                <w:szCs w:val="18"/>
              </w:rPr>
              <w:t> </w:t>
            </w:r>
          </w:p>
        </w:tc>
        <w:tc>
          <w:tcPr>
            <w:tcW w:w="0" w:type="auto"/>
            <w:shd w:val="clear" w:color="auto" w:fill="CFF0FC"/>
            <w:vAlign w:val="center"/>
            <w:hideMark/>
          </w:tcPr>
          <w:p w14:paraId="58474E6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Around 5.5%</w:t>
            </w:r>
          </w:p>
        </w:tc>
      </w:tr>
    </w:tbl>
    <w:p w14:paraId="5F245094"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6"/>
          <w:szCs w:val="16"/>
        </w:rPr>
        <w:t xml:space="preserve">1) Excluding costs for capacity alignments, anti-trust related matters and other discrete items. </w:t>
      </w:r>
    </w:p>
    <w:p w14:paraId="0F34368E"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6"/>
          <w:szCs w:val="16"/>
        </w:rPr>
        <w:t>2) Excluding unusual tax items.</w:t>
      </w:r>
    </w:p>
    <w:p w14:paraId="611D9191"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6"/>
          <w:szCs w:val="16"/>
        </w:rPr>
        <w:t>3) Excluding unusual items.</w:t>
      </w:r>
    </w:p>
    <w:p w14:paraId="4666596B" w14:textId="77777777" w:rsidR="002F3D36" w:rsidRPr="002F3D36" w:rsidRDefault="002F3D36" w:rsidP="002F3D36">
      <w:pPr>
        <w:widowControl/>
        <w:spacing w:before="24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The forward-looking non-U.S. GAAP financial measures above are provided on a non-U.S. GAAP basis. Autoliv has not provided a U.S. GAAP reconciliation of these measures because items that impact these measures, such as costs related to capacity alignments and antitrust matters, cannot be reasonably predicted or determined. As a result, such reconciliation is not available without unreasonable efforts and Autoliv is unable to determine the probable significance of the unavailable information.</w:t>
      </w:r>
    </w:p>
    <w:p w14:paraId="5F812D5E"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aps/>
          <w:color w:val="000000"/>
          <w:kern w:val="0"/>
          <w:sz w:val="18"/>
          <w:szCs w:val="18"/>
        </w:rPr>
        <w:t>SIGNIFICANT LEGAL MATTERS</w:t>
      </w:r>
      <w:r w:rsidRPr="002F3D36">
        <w:rPr>
          <w:rFonts w:ascii="Arial" w:eastAsia="宋体" w:hAnsi="Arial" w:cs="Arial"/>
          <w:b/>
          <w:bCs/>
          <w:color w:val="000000"/>
          <w:kern w:val="0"/>
          <w:sz w:val="18"/>
          <w:szCs w:val="18"/>
        </w:rPr>
        <w:t xml:space="preserve"> </w:t>
      </w:r>
    </w:p>
    <w:p w14:paraId="79B664A2"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See Item 3. Legal Proceedings and Note 17 Contingent Liabilities to the Consolidated Financial Statements in this Annual Report.</w:t>
      </w:r>
    </w:p>
    <w:p w14:paraId="653F93DC" w14:textId="77777777" w:rsidR="002F3D36" w:rsidRPr="002F3D36" w:rsidRDefault="002F3D36" w:rsidP="002F3D36">
      <w:pPr>
        <w:widowControl/>
        <w:jc w:val="left"/>
        <w:rPr>
          <w:rFonts w:ascii="Times New Roman" w:eastAsia="宋体" w:hAnsi="Times New Roman" w:cs="Times New Roman"/>
          <w:color w:val="000000"/>
          <w:kern w:val="0"/>
          <w:sz w:val="20"/>
          <w:szCs w:val="20"/>
        </w:rPr>
      </w:pPr>
      <w:r w:rsidRPr="002F3D36">
        <w:rPr>
          <w:rFonts w:ascii="Times New Roman" w:eastAsia="宋体" w:hAnsi="Times New Roman" w:cs="Times New Roman"/>
          <w:color w:val="000000"/>
          <w:kern w:val="0"/>
          <w:sz w:val="20"/>
          <w:szCs w:val="20"/>
        </w:rPr>
        <w:t> </w:t>
      </w:r>
    </w:p>
    <w:p w14:paraId="5318463F" w14:textId="77777777" w:rsidR="002F3D36" w:rsidRPr="002F3D36" w:rsidRDefault="002F3D36" w:rsidP="002F3D36">
      <w:pPr>
        <w:widowControl/>
        <w:spacing w:before="240"/>
        <w:jc w:val="center"/>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35</w:t>
      </w:r>
    </w:p>
    <w:p w14:paraId="654BCB3B" w14:textId="77777777" w:rsidR="002F3D36" w:rsidRPr="002F3D36" w:rsidRDefault="002F3D36" w:rsidP="002F3D36">
      <w:pPr>
        <w:widowControl/>
        <w:jc w:val="left"/>
        <w:rPr>
          <w:rFonts w:ascii="宋体" w:eastAsia="宋体" w:hAnsi="宋体" w:cs="宋体"/>
          <w:kern w:val="0"/>
          <w:sz w:val="24"/>
          <w:szCs w:val="24"/>
        </w:rPr>
      </w:pPr>
      <w:r w:rsidRPr="002F3D36">
        <w:rPr>
          <w:rFonts w:ascii="宋体" w:eastAsia="宋体" w:hAnsi="宋体" w:cs="宋体"/>
          <w:kern w:val="0"/>
          <w:sz w:val="24"/>
          <w:szCs w:val="24"/>
        </w:rPr>
        <w:pict w14:anchorId="75F04E79">
          <v:rect id="_x0000_i1062" style="width:0;height:1.5pt" o:hralign="center" o:hrstd="t" o:hrnoshade="t" o:hr="t" fillcolor="black" stroked="f"/>
        </w:pict>
      </w:r>
    </w:p>
    <w:p w14:paraId="27C0894D" w14:textId="77777777" w:rsidR="002F3D36" w:rsidRPr="002F3D36" w:rsidRDefault="002F3D36" w:rsidP="002F3D36">
      <w:pPr>
        <w:widowControl/>
        <w:spacing w:line="20" w:lineRule="atLeast"/>
        <w:jc w:val="left"/>
        <w:rPr>
          <w:rFonts w:ascii="Times New Roman" w:eastAsia="宋体" w:hAnsi="Times New Roman" w:cs="Times New Roman"/>
          <w:color w:val="000000"/>
          <w:kern w:val="0"/>
          <w:sz w:val="20"/>
          <w:szCs w:val="20"/>
        </w:rPr>
      </w:pPr>
      <w:r w:rsidRPr="002F3D36">
        <w:rPr>
          <w:rFonts w:ascii="Arial" w:eastAsia="宋体" w:hAnsi="Arial" w:cs="Arial"/>
          <w:color w:val="000000"/>
          <w:kern w:val="0"/>
          <w:sz w:val="2"/>
          <w:szCs w:val="2"/>
        </w:rPr>
        <w:t> </w:t>
      </w:r>
    </w:p>
    <w:p w14:paraId="206013E9"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aps/>
          <w:color w:val="000000"/>
          <w:kern w:val="0"/>
          <w:sz w:val="20"/>
          <w:szCs w:val="20"/>
        </w:rPr>
        <w:lastRenderedPageBreak/>
        <w:t>RESULTS OF OPERATIONS</w:t>
      </w:r>
    </w:p>
    <w:p w14:paraId="20E88952"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shd w:val="clear" w:color="auto" w:fill="FFFFFF"/>
        </w:rPr>
        <w:t>Consolidated net sal</w:t>
      </w:r>
      <w:r w:rsidRPr="002F3D36">
        <w:rPr>
          <w:rFonts w:ascii="Arial" w:eastAsia="宋体" w:hAnsi="Arial" w:cs="Arial"/>
          <w:color w:val="000000"/>
          <w:kern w:val="0"/>
          <w:sz w:val="18"/>
          <w:szCs w:val="18"/>
        </w:rPr>
        <w:t xml:space="preserve">es in 2021 increased by 10.5 % compared to 2020. Excluding positive currency translation effects of 2.6 %, the organic sales increased (see section Non-U.S. GAAP Performance Measures) by 7.9 %. </w:t>
      </w:r>
    </w:p>
    <w:p w14:paraId="13E8C0B2"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Sales by Product</w:t>
      </w:r>
    </w:p>
    <w:p w14:paraId="63351F17"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w:t>
      </w:r>
    </w:p>
    <w:tbl>
      <w:tblPr>
        <w:tblW w:w="20614" w:type="dxa"/>
        <w:tblCellSpacing w:w="15" w:type="dxa"/>
        <w:tblCellMar>
          <w:top w:w="15" w:type="dxa"/>
          <w:left w:w="15" w:type="dxa"/>
          <w:bottom w:w="15" w:type="dxa"/>
          <w:right w:w="15" w:type="dxa"/>
        </w:tblCellMar>
        <w:tblLook w:val="04A0" w:firstRow="1" w:lastRow="0" w:firstColumn="1" w:lastColumn="0" w:noHBand="0" w:noVBand="1"/>
      </w:tblPr>
      <w:tblGrid>
        <w:gridCol w:w="7583"/>
        <w:gridCol w:w="306"/>
        <w:gridCol w:w="268"/>
        <w:gridCol w:w="1384"/>
        <w:gridCol w:w="148"/>
        <w:gridCol w:w="307"/>
        <w:gridCol w:w="268"/>
        <w:gridCol w:w="1430"/>
        <w:gridCol w:w="148"/>
        <w:gridCol w:w="307"/>
        <w:gridCol w:w="150"/>
        <w:gridCol w:w="1399"/>
        <w:gridCol w:w="494"/>
        <w:gridCol w:w="307"/>
        <w:gridCol w:w="148"/>
        <w:gridCol w:w="2270"/>
        <w:gridCol w:w="411"/>
        <w:gridCol w:w="307"/>
        <w:gridCol w:w="148"/>
        <w:gridCol w:w="2403"/>
        <w:gridCol w:w="428"/>
      </w:tblGrid>
      <w:tr w:rsidR="002F3D36" w:rsidRPr="002F3D36" w14:paraId="4B76BB37" w14:textId="77777777" w:rsidTr="002F3D36">
        <w:trPr>
          <w:tblCellSpacing w:w="15" w:type="dxa"/>
        </w:trPr>
        <w:tc>
          <w:tcPr>
            <w:tcW w:w="7552" w:type="dxa"/>
            <w:vAlign w:val="center"/>
            <w:hideMark/>
          </w:tcPr>
          <w:p w14:paraId="07F69890" w14:textId="77777777" w:rsidR="002F3D36" w:rsidRPr="002F3D36" w:rsidRDefault="002F3D36" w:rsidP="002F3D36">
            <w:pPr>
              <w:widowControl/>
              <w:jc w:val="left"/>
              <w:rPr>
                <w:rFonts w:ascii="Times New Roman" w:eastAsia="宋体" w:hAnsi="Times New Roman" w:cs="Times New Roman"/>
                <w:color w:val="000000"/>
                <w:kern w:val="0"/>
                <w:sz w:val="20"/>
                <w:szCs w:val="20"/>
              </w:rPr>
            </w:pPr>
          </w:p>
        </w:tc>
        <w:tc>
          <w:tcPr>
            <w:tcW w:w="277" w:type="dxa"/>
            <w:vAlign w:val="center"/>
            <w:hideMark/>
          </w:tcPr>
          <w:p w14:paraId="1A4792AC"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38" w:type="dxa"/>
            <w:vAlign w:val="center"/>
            <w:hideMark/>
          </w:tcPr>
          <w:p w14:paraId="46D29977"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356" w:type="dxa"/>
            <w:vAlign w:val="center"/>
            <w:hideMark/>
          </w:tcPr>
          <w:p w14:paraId="185640ED"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18" w:type="dxa"/>
            <w:vAlign w:val="center"/>
            <w:hideMark/>
          </w:tcPr>
          <w:p w14:paraId="40057DA5"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77" w:type="dxa"/>
            <w:vAlign w:val="center"/>
            <w:hideMark/>
          </w:tcPr>
          <w:p w14:paraId="2DB1E99A"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38" w:type="dxa"/>
            <w:vAlign w:val="center"/>
            <w:hideMark/>
          </w:tcPr>
          <w:p w14:paraId="1D5B7770"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402" w:type="dxa"/>
            <w:vAlign w:val="center"/>
            <w:hideMark/>
          </w:tcPr>
          <w:p w14:paraId="5901C9E5"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18" w:type="dxa"/>
            <w:vAlign w:val="center"/>
            <w:hideMark/>
          </w:tcPr>
          <w:p w14:paraId="34AB3799"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77" w:type="dxa"/>
            <w:vAlign w:val="center"/>
            <w:hideMark/>
          </w:tcPr>
          <w:p w14:paraId="2780C785"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20" w:type="dxa"/>
            <w:vAlign w:val="center"/>
            <w:hideMark/>
          </w:tcPr>
          <w:p w14:paraId="1272F21D"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371" w:type="dxa"/>
            <w:vAlign w:val="center"/>
            <w:hideMark/>
          </w:tcPr>
          <w:p w14:paraId="5EBF103C"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465" w:type="dxa"/>
            <w:vAlign w:val="center"/>
            <w:hideMark/>
          </w:tcPr>
          <w:p w14:paraId="62DEB57F"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77" w:type="dxa"/>
            <w:vAlign w:val="center"/>
            <w:hideMark/>
          </w:tcPr>
          <w:p w14:paraId="14E5B1F7"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18" w:type="dxa"/>
            <w:vAlign w:val="center"/>
            <w:hideMark/>
          </w:tcPr>
          <w:p w14:paraId="4AE908A0"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243" w:type="dxa"/>
            <w:vAlign w:val="center"/>
            <w:hideMark/>
          </w:tcPr>
          <w:p w14:paraId="68FCCF4B"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381" w:type="dxa"/>
            <w:vAlign w:val="center"/>
            <w:hideMark/>
          </w:tcPr>
          <w:p w14:paraId="45A96309"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77" w:type="dxa"/>
            <w:vAlign w:val="center"/>
            <w:hideMark/>
          </w:tcPr>
          <w:p w14:paraId="0E49349A"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18" w:type="dxa"/>
            <w:vAlign w:val="center"/>
            <w:hideMark/>
          </w:tcPr>
          <w:p w14:paraId="2973B3BD"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377" w:type="dxa"/>
            <w:vAlign w:val="center"/>
            <w:hideMark/>
          </w:tcPr>
          <w:p w14:paraId="56C3318D"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383" w:type="dxa"/>
            <w:vAlign w:val="center"/>
            <w:hideMark/>
          </w:tcPr>
          <w:p w14:paraId="1950CA89" w14:textId="77777777" w:rsidR="002F3D36" w:rsidRPr="002F3D36" w:rsidRDefault="002F3D36" w:rsidP="002F3D36">
            <w:pPr>
              <w:widowControl/>
              <w:jc w:val="left"/>
              <w:rPr>
                <w:rFonts w:ascii="Times New Roman" w:eastAsia="Times New Roman" w:hAnsi="Times New Roman" w:cs="Times New Roman"/>
                <w:kern w:val="0"/>
                <w:sz w:val="20"/>
                <w:szCs w:val="20"/>
              </w:rPr>
            </w:pPr>
          </w:p>
        </w:tc>
      </w:tr>
      <w:tr w:rsidR="002F3D36" w:rsidRPr="002F3D36" w14:paraId="5B05349F" w14:textId="77777777" w:rsidTr="002F3D36">
        <w:trPr>
          <w:trHeight w:val="160"/>
          <w:tblCellSpacing w:w="15" w:type="dxa"/>
        </w:trPr>
        <w:tc>
          <w:tcPr>
            <w:tcW w:w="0" w:type="auto"/>
            <w:vAlign w:val="bottom"/>
            <w:hideMark/>
          </w:tcPr>
          <w:p w14:paraId="24F917D5"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vAlign w:val="bottom"/>
            <w:hideMark/>
          </w:tcPr>
          <w:p w14:paraId="0313FA9C"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gridSpan w:val="2"/>
            <w:vAlign w:val="bottom"/>
            <w:hideMark/>
          </w:tcPr>
          <w:p w14:paraId="3081D6F0"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vAlign w:val="bottom"/>
            <w:hideMark/>
          </w:tcPr>
          <w:p w14:paraId="001F8BBC"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vAlign w:val="bottom"/>
            <w:hideMark/>
          </w:tcPr>
          <w:p w14:paraId="55406DE8"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gridSpan w:val="2"/>
            <w:vAlign w:val="bottom"/>
            <w:hideMark/>
          </w:tcPr>
          <w:p w14:paraId="23C5497B"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vAlign w:val="bottom"/>
            <w:hideMark/>
          </w:tcPr>
          <w:p w14:paraId="62A0C0A2"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vAlign w:val="bottom"/>
            <w:hideMark/>
          </w:tcPr>
          <w:p w14:paraId="4C0AF598"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gridSpan w:val="2"/>
            <w:vAlign w:val="bottom"/>
            <w:hideMark/>
          </w:tcPr>
          <w:p w14:paraId="5B7CB3E4"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vAlign w:val="bottom"/>
            <w:hideMark/>
          </w:tcPr>
          <w:p w14:paraId="5A0E0C57"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vAlign w:val="bottom"/>
            <w:hideMark/>
          </w:tcPr>
          <w:p w14:paraId="67FC4FA0" w14:textId="77777777" w:rsidR="002F3D36" w:rsidRPr="002F3D36" w:rsidRDefault="002F3D36" w:rsidP="002F3D36">
            <w:pPr>
              <w:widowControl/>
              <w:jc w:val="left"/>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gridSpan w:val="6"/>
            <w:tcBorders>
              <w:bottom w:val="single" w:sz="4" w:space="0" w:color="000000"/>
            </w:tcBorders>
            <w:vAlign w:val="bottom"/>
            <w:hideMark/>
          </w:tcPr>
          <w:p w14:paraId="5587AE27"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b/>
                <w:bCs/>
                <w:color w:val="000000"/>
                <w:kern w:val="0"/>
                <w:sz w:val="16"/>
                <w:szCs w:val="16"/>
              </w:rPr>
              <w:t>Components of Change in Net Sales</w:t>
            </w:r>
          </w:p>
        </w:tc>
        <w:tc>
          <w:tcPr>
            <w:tcW w:w="0" w:type="auto"/>
            <w:vAlign w:val="bottom"/>
            <w:hideMark/>
          </w:tcPr>
          <w:p w14:paraId="5130DFC4"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r>
      <w:tr w:rsidR="002F3D36" w:rsidRPr="002F3D36" w14:paraId="53A58127" w14:textId="77777777" w:rsidTr="002F3D36">
        <w:trPr>
          <w:trHeight w:val="160"/>
          <w:tblCellSpacing w:w="15" w:type="dxa"/>
        </w:trPr>
        <w:tc>
          <w:tcPr>
            <w:tcW w:w="0" w:type="auto"/>
            <w:vAlign w:val="bottom"/>
            <w:hideMark/>
          </w:tcPr>
          <w:p w14:paraId="71C0B078"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vAlign w:val="bottom"/>
            <w:hideMark/>
          </w:tcPr>
          <w:p w14:paraId="083EDD57"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gridSpan w:val="2"/>
            <w:tcBorders>
              <w:bottom w:val="single" w:sz="4" w:space="0" w:color="000000"/>
            </w:tcBorders>
            <w:vAlign w:val="bottom"/>
            <w:hideMark/>
          </w:tcPr>
          <w:p w14:paraId="6EBDFBE3"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b/>
                <w:bCs/>
                <w:color w:val="000000"/>
                <w:kern w:val="0"/>
                <w:sz w:val="16"/>
                <w:szCs w:val="16"/>
              </w:rPr>
              <w:t>2021</w:t>
            </w:r>
          </w:p>
        </w:tc>
        <w:tc>
          <w:tcPr>
            <w:tcW w:w="0" w:type="auto"/>
            <w:vAlign w:val="bottom"/>
            <w:hideMark/>
          </w:tcPr>
          <w:p w14:paraId="097536E5"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vAlign w:val="bottom"/>
            <w:hideMark/>
          </w:tcPr>
          <w:p w14:paraId="70C79361"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gridSpan w:val="2"/>
            <w:tcBorders>
              <w:bottom w:val="single" w:sz="4" w:space="0" w:color="000000"/>
            </w:tcBorders>
            <w:vAlign w:val="bottom"/>
            <w:hideMark/>
          </w:tcPr>
          <w:p w14:paraId="336DE62D"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b/>
                <w:bCs/>
                <w:color w:val="000000"/>
                <w:kern w:val="0"/>
                <w:sz w:val="16"/>
                <w:szCs w:val="16"/>
              </w:rPr>
              <w:t>2020</w:t>
            </w:r>
          </w:p>
        </w:tc>
        <w:tc>
          <w:tcPr>
            <w:tcW w:w="0" w:type="auto"/>
            <w:vAlign w:val="bottom"/>
            <w:hideMark/>
          </w:tcPr>
          <w:p w14:paraId="1A242298"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vAlign w:val="bottom"/>
            <w:hideMark/>
          </w:tcPr>
          <w:p w14:paraId="774FD750"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gridSpan w:val="2"/>
            <w:tcBorders>
              <w:bottom w:val="single" w:sz="4" w:space="0" w:color="000000"/>
            </w:tcBorders>
            <w:vAlign w:val="bottom"/>
            <w:hideMark/>
          </w:tcPr>
          <w:p w14:paraId="4D041DCF"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b/>
                <w:bCs/>
                <w:color w:val="000000"/>
                <w:kern w:val="0"/>
                <w:sz w:val="16"/>
                <w:szCs w:val="16"/>
              </w:rPr>
              <w:t>Reported</w:t>
            </w:r>
            <w:r w:rsidRPr="002F3D36">
              <w:rPr>
                <w:rFonts w:ascii="Arial" w:eastAsia="微软雅黑" w:hAnsi="Arial" w:cs="Arial"/>
                <w:b/>
                <w:bCs/>
                <w:color w:val="000000"/>
                <w:kern w:val="0"/>
                <w:sz w:val="16"/>
                <w:szCs w:val="16"/>
              </w:rPr>
              <w:br/>
              <w:t>change</w:t>
            </w:r>
          </w:p>
        </w:tc>
        <w:tc>
          <w:tcPr>
            <w:tcW w:w="0" w:type="auto"/>
            <w:vAlign w:val="bottom"/>
            <w:hideMark/>
          </w:tcPr>
          <w:p w14:paraId="31F870E2"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vAlign w:val="bottom"/>
            <w:hideMark/>
          </w:tcPr>
          <w:p w14:paraId="230F4A0C" w14:textId="77777777" w:rsidR="002F3D36" w:rsidRPr="002F3D36" w:rsidRDefault="002F3D36" w:rsidP="002F3D36">
            <w:pPr>
              <w:widowControl/>
              <w:jc w:val="left"/>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gridSpan w:val="2"/>
            <w:tcBorders>
              <w:bottom w:val="single" w:sz="4" w:space="0" w:color="000000"/>
            </w:tcBorders>
            <w:vAlign w:val="bottom"/>
            <w:hideMark/>
          </w:tcPr>
          <w:p w14:paraId="1C986DD3"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b/>
                <w:bCs/>
                <w:color w:val="000000"/>
                <w:kern w:val="0"/>
                <w:sz w:val="16"/>
                <w:szCs w:val="16"/>
              </w:rPr>
              <w:t>Currency effects</w:t>
            </w:r>
            <w:r w:rsidRPr="002F3D36">
              <w:rPr>
                <w:rFonts w:ascii="Arial" w:eastAsia="微软雅黑" w:hAnsi="Arial" w:cs="Arial"/>
                <w:b/>
                <w:bCs/>
                <w:color w:val="000000"/>
                <w:kern w:val="0"/>
                <w:sz w:val="11"/>
                <w:szCs w:val="11"/>
              </w:rPr>
              <w:t>1)</w:t>
            </w:r>
          </w:p>
        </w:tc>
        <w:tc>
          <w:tcPr>
            <w:tcW w:w="0" w:type="auto"/>
            <w:vAlign w:val="bottom"/>
            <w:hideMark/>
          </w:tcPr>
          <w:p w14:paraId="1EBA0BB9"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vAlign w:val="bottom"/>
            <w:hideMark/>
          </w:tcPr>
          <w:p w14:paraId="62608A67" w14:textId="77777777" w:rsidR="002F3D36" w:rsidRPr="002F3D36" w:rsidRDefault="002F3D36" w:rsidP="002F3D36">
            <w:pPr>
              <w:widowControl/>
              <w:jc w:val="left"/>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gridSpan w:val="2"/>
            <w:tcBorders>
              <w:bottom w:val="single" w:sz="4" w:space="0" w:color="000000"/>
            </w:tcBorders>
            <w:vAlign w:val="bottom"/>
            <w:hideMark/>
          </w:tcPr>
          <w:p w14:paraId="2CAA7539"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b/>
                <w:bCs/>
                <w:color w:val="000000"/>
                <w:kern w:val="0"/>
                <w:sz w:val="16"/>
                <w:szCs w:val="16"/>
              </w:rPr>
              <w:t>Organic</w:t>
            </w:r>
          </w:p>
        </w:tc>
        <w:tc>
          <w:tcPr>
            <w:tcW w:w="0" w:type="auto"/>
            <w:vAlign w:val="bottom"/>
            <w:hideMark/>
          </w:tcPr>
          <w:p w14:paraId="225FE373"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r>
      <w:tr w:rsidR="002F3D36" w:rsidRPr="002F3D36" w14:paraId="0A70090B" w14:textId="77777777" w:rsidTr="002F3D36">
        <w:trPr>
          <w:trHeight w:val="180"/>
          <w:tblCellSpacing w:w="15" w:type="dxa"/>
        </w:trPr>
        <w:tc>
          <w:tcPr>
            <w:tcW w:w="0" w:type="auto"/>
            <w:shd w:val="clear" w:color="auto" w:fill="CFF0FC"/>
            <w:vAlign w:val="center"/>
            <w:hideMark/>
          </w:tcPr>
          <w:p w14:paraId="0F588ED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Airbags products and Other</w:t>
            </w:r>
            <w:r w:rsidRPr="002F3D36">
              <w:rPr>
                <w:rFonts w:ascii="Arial" w:eastAsia="微软雅黑" w:hAnsi="Arial" w:cs="Arial"/>
                <w:color w:val="000000"/>
                <w:kern w:val="0"/>
                <w:sz w:val="12"/>
                <w:szCs w:val="12"/>
              </w:rPr>
              <w:t>2)</w:t>
            </w:r>
          </w:p>
        </w:tc>
        <w:tc>
          <w:tcPr>
            <w:tcW w:w="0" w:type="auto"/>
            <w:shd w:val="clear" w:color="auto" w:fill="CFF0FC"/>
            <w:vAlign w:val="bottom"/>
            <w:hideMark/>
          </w:tcPr>
          <w:p w14:paraId="536D51A8"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23E27BA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shd w:val="clear" w:color="auto" w:fill="CFF0FC"/>
            <w:vAlign w:val="bottom"/>
            <w:hideMark/>
          </w:tcPr>
          <w:p w14:paraId="42AEF63C"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5,380</w:t>
            </w:r>
          </w:p>
        </w:tc>
        <w:tc>
          <w:tcPr>
            <w:tcW w:w="0" w:type="auto"/>
            <w:shd w:val="clear" w:color="auto" w:fill="CFF0FC"/>
            <w:vAlign w:val="bottom"/>
            <w:hideMark/>
          </w:tcPr>
          <w:p w14:paraId="4D292E9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3FED4C0B"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0D8B1F2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shd w:val="clear" w:color="auto" w:fill="CFF0FC"/>
            <w:vAlign w:val="bottom"/>
            <w:hideMark/>
          </w:tcPr>
          <w:p w14:paraId="2D362CBA"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4,824</w:t>
            </w:r>
          </w:p>
        </w:tc>
        <w:tc>
          <w:tcPr>
            <w:tcW w:w="0" w:type="auto"/>
            <w:shd w:val="clear" w:color="auto" w:fill="CFF0FC"/>
            <w:vAlign w:val="bottom"/>
            <w:hideMark/>
          </w:tcPr>
          <w:p w14:paraId="125E991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5223BFB3"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407E26A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429D6201"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11.5</w:t>
            </w:r>
          </w:p>
        </w:tc>
        <w:tc>
          <w:tcPr>
            <w:tcW w:w="0" w:type="auto"/>
            <w:shd w:val="clear" w:color="auto" w:fill="CFF0FC"/>
            <w:vAlign w:val="bottom"/>
            <w:hideMark/>
          </w:tcPr>
          <w:p w14:paraId="2AC5A6F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shd w:val="clear" w:color="auto" w:fill="CFF0FC"/>
            <w:vAlign w:val="bottom"/>
            <w:hideMark/>
          </w:tcPr>
          <w:p w14:paraId="7BA2389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1961551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460B2129"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2.2</w:t>
            </w:r>
          </w:p>
        </w:tc>
        <w:tc>
          <w:tcPr>
            <w:tcW w:w="0" w:type="auto"/>
            <w:shd w:val="clear" w:color="auto" w:fill="CFF0FC"/>
            <w:vAlign w:val="bottom"/>
            <w:hideMark/>
          </w:tcPr>
          <w:p w14:paraId="340403C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shd w:val="clear" w:color="auto" w:fill="CFF0FC"/>
            <w:vAlign w:val="bottom"/>
            <w:hideMark/>
          </w:tcPr>
          <w:p w14:paraId="1910BF2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328141C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23C58BF8"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9.3</w:t>
            </w:r>
          </w:p>
        </w:tc>
        <w:tc>
          <w:tcPr>
            <w:tcW w:w="0" w:type="auto"/>
            <w:shd w:val="clear" w:color="auto" w:fill="CFF0FC"/>
            <w:vAlign w:val="bottom"/>
            <w:hideMark/>
          </w:tcPr>
          <w:p w14:paraId="6C977BA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r>
      <w:tr w:rsidR="002F3D36" w:rsidRPr="002F3D36" w14:paraId="3CE004A0" w14:textId="77777777" w:rsidTr="002F3D36">
        <w:trPr>
          <w:trHeight w:val="180"/>
          <w:tblCellSpacing w:w="15" w:type="dxa"/>
        </w:trPr>
        <w:tc>
          <w:tcPr>
            <w:tcW w:w="0" w:type="auto"/>
            <w:hideMark/>
          </w:tcPr>
          <w:p w14:paraId="0717AE3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Seatbelt products</w:t>
            </w:r>
            <w:r w:rsidRPr="002F3D36">
              <w:rPr>
                <w:rFonts w:ascii="Arial" w:eastAsia="微软雅黑" w:hAnsi="Arial" w:cs="Arial"/>
                <w:color w:val="000000"/>
                <w:kern w:val="0"/>
                <w:sz w:val="12"/>
                <w:szCs w:val="12"/>
              </w:rPr>
              <w:t>2)</w:t>
            </w:r>
          </w:p>
        </w:tc>
        <w:tc>
          <w:tcPr>
            <w:tcW w:w="0" w:type="auto"/>
            <w:vAlign w:val="bottom"/>
            <w:hideMark/>
          </w:tcPr>
          <w:p w14:paraId="3282FE79"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vAlign w:val="bottom"/>
            <w:hideMark/>
          </w:tcPr>
          <w:p w14:paraId="66692BE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vAlign w:val="bottom"/>
            <w:hideMark/>
          </w:tcPr>
          <w:p w14:paraId="6BC6A68B"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2,850</w:t>
            </w:r>
          </w:p>
        </w:tc>
        <w:tc>
          <w:tcPr>
            <w:tcW w:w="0" w:type="auto"/>
            <w:vAlign w:val="bottom"/>
            <w:hideMark/>
          </w:tcPr>
          <w:p w14:paraId="3EF009F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19BB6974"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vAlign w:val="bottom"/>
            <w:hideMark/>
          </w:tcPr>
          <w:p w14:paraId="45C9525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vAlign w:val="bottom"/>
            <w:hideMark/>
          </w:tcPr>
          <w:p w14:paraId="5769C813"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2,623</w:t>
            </w:r>
          </w:p>
        </w:tc>
        <w:tc>
          <w:tcPr>
            <w:tcW w:w="0" w:type="auto"/>
            <w:vAlign w:val="bottom"/>
            <w:hideMark/>
          </w:tcPr>
          <w:p w14:paraId="102D584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36A020F7"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381D6BA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5BB81A9E"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8.6</w:t>
            </w:r>
          </w:p>
        </w:tc>
        <w:tc>
          <w:tcPr>
            <w:tcW w:w="0" w:type="auto"/>
            <w:vAlign w:val="bottom"/>
            <w:hideMark/>
          </w:tcPr>
          <w:p w14:paraId="40E212A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vAlign w:val="bottom"/>
            <w:hideMark/>
          </w:tcPr>
          <w:p w14:paraId="3BF1DEF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49047FB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4CA3F687"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3.4</w:t>
            </w:r>
          </w:p>
        </w:tc>
        <w:tc>
          <w:tcPr>
            <w:tcW w:w="0" w:type="auto"/>
            <w:vAlign w:val="bottom"/>
            <w:hideMark/>
          </w:tcPr>
          <w:p w14:paraId="4935869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vAlign w:val="bottom"/>
            <w:hideMark/>
          </w:tcPr>
          <w:p w14:paraId="257917C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3191639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31A56F58"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5.2</w:t>
            </w:r>
          </w:p>
        </w:tc>
        <w:tc>
          <w:tcPr>
            <w:tcW w:w="0" w:type="auto"/>
            <w:vAlign w:val="bottom"/>
            <w:hideMark/>
          </w:tcPr>
          <w:p w14:paraId="32AD494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r>
      <w:tr w:rsidR="002F3D36" w:rsidRPr="002F3D36" w14:paraId="4BECC5CE" w14:textId="77777777" w:rsidTr="002F3D36">
        <w:trPr>
          <w:trHeight w:val="180"/>
          <w:tblCellSpacing w:w="15" w:type="dxa"/>
        </w:trPr>
        <w:tc>
          <w:tcPr>
            <w:tcW w:w="0" w:type="auto"/>
            <w:shd w:val="clear" w:color="auto" w:fill="CFF0FC"/>
            <w:hideMark/>
          </w:tcPr>
          <w:p w14:paraId="791E48E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Total</w:t>
            </w:r>
          </w:p>
        </w:tc>
        <w:tc>
          <w:tcPr>
            <w:tcW w:w="0" w:type="auto"/>
            <w:shd w:val="clear" w:color="auto" w:fill="CFF0FC"/>
            <w:vAlign w:val="bottom"/>
            <w:hideMark/>
          </w:tcPr>
          <w:p w14:paraId="19E0FEB9"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6798C97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w:t>
            </w:r>
          </w:p>
        </w:tc>
        <w:tc>
          <w:tcPr>
            <w:tcW w:w="0" w:type="auto"/>
            <w:shd w:val="clear" w:color="auto" w:fill="CFF0FC"/>
            <w:vAlign w:val="bottom"/>
            <w:hideMark/>
          </w:tcPr>
          <w:p w14:paraId="6B758DEE"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8,230</w:t>
            </w:r>
          </w:p>
        </w:tc>
        <w:tc>
          <w:tcPr>
            <w:tcW w:w="0" w:type="auto"/>
            <w:shd w:val="clear" w:color="auto" w:fill="CFF0FC"/>
            <w:vAlign w:val="bottom"/>
            <w:hideMark/>
          </w:tcPr>
          <w:p w14:paraId="17D2CA0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0C9DAEBD"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1845389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w:t>
            </w:r>
          </w:p>
        </w:tc>
        <w:tc>
          <w:tcPr>
            <w:tcW w:w="0" w:type="auto"/>
            <w:shd w:val="clear" w:color="auto" w:fill="CFF0FC"/>
            <w:vAlign w:val="bottom"/>
            <w:hideMark/>
          </w:tcPr>
          <w:p w14:paraId="3299C277"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7,447</w:t>
            </w:r>
          </w:p>
        </w:tc>
        <w:tc>
          <w:tcPr>
            <w:tcW w:w="0" w:type="auto"/>
            <w:shd w:val="clear" w:color="auto" w:fill="CFF0FC"/>
            <w:vAlign w:val="bottom"/>
            <w:hideMark/>
          </w:tcPr>
          <w:p w14:paraId="4FC62A7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005906C2"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7264F1E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25A20CCF"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10.5</w:t>
            </w:r>
          </w:p>
        </w:tc>
        <w:tc>
          <w:tcPr>
            <w:tcW w:w="0" w:type="auto"/>
            <w:shd w:val="clear" w:color="auto" w:fill="CFF0FC"/>
            <w:vAlign w:val="bottom"/>
            <w:hideMark/>
          </w:tcPr>
          <w:p w14:paraId="54D21ED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w:t>
            </w:r>
          </w:p>
        </w:tc>
        <w:tc>
          <w:tcPr>
            <w:tcW w:w="0" w:type="auto"/>
            <w:shd w:val="clear" w:color="auto" w:fill="CFF0FC"/>
            <w:vAlign w:val="bottom"/>
            <w:hideMark/>
          </w:tcPr>
          <w:p w14:paraId="1BF6F0E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6B85C2D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0590668F"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2.6</w:t>
            </w:r>
          </w:p>
        </w:tc>
        <w:tc>
          <w:tcPr>
            <w:tcW w:w="0" w:type="auto"/>
            <w:shd w:val="clear" w:color="auto" w:fill="CFF0FC"/>
            <w:vAlign w:val="bottom"/>
            <w:hideMark/>
          </w:tcPr>
          <w:p w14:paraId="0FBB351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w:t>
            </w:r>
          </w:p>
        </w:tc>
        <w:tc>
          <w:tcPr>
            <w:tcW w:w="0" w:type="auto"/>
            <w:shd w:val="clear" w:color="auto" w:fill="CFF0FC"/>
            <w:vAlign w:val="bottom"/>
            <w:hideMark/>
          </w:tcPr>
          <w:p w14:paraId="1BF1B07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220AB22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0F612025"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7.9</w:t>
            </w:r>
          </w:p>
        </w:tc>
        <w:tc>
          <w:tcPr>
            <w:tcW w:w="0" w:type="auto"/>
            <w:shd w:val="clear" w:color="auto" w:fill="CFF0FC"/>
            <w:vAlign w:val="bottom"/>
            <w:hideMark/>
          </w:tcPr>
          <w:p w14:paraId="1C1AD1B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w:t>
            </w:r>
          </w:p>
        </w:tc>
      </w:tr>
    </w:tbl>
    <w:p w14:paraId="556D45A1"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6"/>
          <w:szCs w:val="16"/>
        </w:rPr>
        <w:t>1) Effects from currency translations.</w:t>
      </w:r>
    </w:p>
    <w:p w14:paraId="5C150A80"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6"/>
          <w:szCs w:val="16"/>
        </w:rPr>
        <w:t>2) Including Corporate and Other sales.</w:t>
      </w:r>
    </w:p>
    <w:p w14:paraId="2E40C89D"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shd w:val="clear" w:color="auto" w:fill="FFFFFF"/>
        </w:rPr>
        <w:t>Sales of all airbag product categories except inflators increased organically (Non-U.S. GAAP measure, see reconciliation table above) in the full year 2021. The largest contributor to growth was steering wheels and inflatable curtains, followed by passenger airbags, driver airbags and knee airbags.</w:t>
      </w:r>
    </w:p>
    <w:p w14:paraId="065CE909" w14:textId="77777777" w:rsidR="002F3D36" w:rsidRPr="002F3D36" w:rsidRDefault="002F3D36" w:rsidP="002F3D36">
      <w:pPr>
        <w:widowControl/>
        <w:spacing w:before="120"/>
        <w:jc w:val="left"/>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shd w:val="clear" w:color="auto" w:fill="FFFFFF"/>
        </w:rPr>
        <w:t>Seatbelt products showed strong organic sales growth (Non-U.S. GAAP measure, see reconciliation table above) with largest contributing markets being China, South America and India, partly offset by declines in South Korea and Japan.</w:t>
      </w:r>
    </w:p>
    <w:p w14:paraId="3564A203"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Sales by Region</w:t>
      </w:r>
    </w:p>
    <w:p w14:paraId="70A81937"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w:t>
      </w:r>
    </w:p>
    <w:tbl>
      <w:tblPr>
        <w:tblW w:w="20614" w:type="dxa"/>
        <w:tblCellSpacing w:w="15" w:type="dxa"/>
        <w:tblCellMar>
          <w:top w:w="15" w:type="dxa"/>
          <w:left w:w="15" w:type="dxa"/>
          <w:bottom w:w="15" w:type="dxa"/>
          <w:right w:w="15" w:type="dxa"/>
        </w:tblCellMar>
        <w:tblLook w:val="04A0" w:firstRow="1" w:lastRow="0" w:firstColumn="1" w:lastColumn="0" w:noHBand="0" w:noVBand="1"/>
      </w:tblPr>
      <w:tblGrid>
        <w:gridCol w:w="7235"/>
        <w:gridCol w:w="310"/>
        <w:gridCol w:w="267"/>
        <w:gridCol w:w="1580"/>
        <w:gridCol w:w="146"/>
        <w:gridCol w:w="311"/>
        <w:gridCol w:w="268"/>
        <w:gridCol w:w="1512"/>
        <w:gridCol w:w="146"/>
        <w:gridCol w:w="311"/>
        <w:gridCol w:w="150"/>
        <w:gridCol w:w="1445"/>
        <w:gridCol w:w="551"/>
        <w:gridCol w:w="311"/>
        <w:gridCol w:w="148"/>
        <w:gridCol w:w="2318"/>
        <w:gridCol w:w="551"/>
        <w:gridCol w:w="311"/>
        <w:gridCol w:w="148"/>
        <w:gridCol w:w="2169"/>
        <w:gridCol w:w="426"/>
      </w:tblGrid>
      <w:tr w:rsidR="002F3D36" w:rsidRPr="002F3D36" w14:paraId="35E2A8F2" w14:textId="77777777" w:rsidTr="002F3D36">
        <w:trPr>
          <w:tblCellSpacing w:w="15" w:type="dxa"/>
        </w:trPr>
        <w:tc>
          <w:tcPr>
            <w:tcW w:w="7203" w:type="dxa"/>
            <w:vAlign w:val="center"/>
            <w:hideMark/>
          </w:tcPr>
          <w:p w14:paraId="7BDC41CC" w14:textId="77777777" w:rsidR="002F3D36" w:rsidRPr="002F3D36" w:rsidRDefault="002F3D36" w:rsidP="002F3D36">
            <w:pPr>
              <w:widowControl/>
              <w:jc w:val="left"/>
              <w:rPr>
                <w:rFonts w:ascii="Times New Roman" w:eastAsia="宋体" w:hAnsi="Times New Roman" w:cs="Times New Roman"/>
                <w:color w:val="000000"/>
                <w:kern w:val="0"/>
                <w:sz w:val="20"/>
                <w:szCs w:val="20"/>
              </w:rPr>
            </w:pPr>
          </w:p>
        </w:tc>
        <w:tc>
          <w:tcPr>
            <w:tcW w:w="281" w:type="dxa"/>
            <w:vAlign w:val="center"/>
            <w:hideMark/>
          </w:tcPr>
          <w:p w14:paraId="4BD521D3"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38" w:type="dxa"/>
            <w:vAlign w:val="center"/>
            <w:hideMark/>
          </w:tcPr>
          <w:p w14:paraId="4A7F7916"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552" w:type="dxa"/>
            <w:vAlign w:val="center"/>
            <w:hideMark/>
          </w:tcPr>
          <w:p w14:paraId="17552E3E"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16" w:type="dxa"/>
            <w:vAlign w:val="center"/>
            <w:hideMark/>
          </w:tcPr>
          <w:p w14:paraId="39DBAD8E"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81" w:type="dxa"/>
            <w:vAlign w:val="center"/>
            <w:hideMark/>
          </w:tcPr>
          <w:p w14:paraId="3B9E00CB"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38" w:type="dxa"/>
            <w:vAlign w:val="center"/>
            <w:hideMark/>
          </w:tcPr>
          <w:p w14:paraId="37914E47"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484" w:type="dxa"/>
            <w:vAlign w:val="center"/>
            <w:hideMark/>
          </w:tcPr>
          <w:p w14:paraId="5C74CE29"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16" w:type="dxa"/>
            <w:vAlign w:val="center"/>
            <w:hideMark/>
          </w:tcPr>
          <w:p w14:paraId="0815E8F8"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81" w:type="dxa"/>
            <w:vAlign w:val="center"/>
            <w:hideMark/>
          </w:tcPr>
          <w:p w14:paraId="4B971F0D"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20" w:type="dxa"/>
            <w:vAlign w:val="center"/>
            <w:hideMark/>
          </w:tcPr>
          <w:p w14:paraId="7F8F0EF5"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417" w:type="dxa"/>
            <w:vAlign w:val="center"/>
            <w:hideMark/>
          </w:tcPr>
          <w:p w14:paraId="2E3DDA05"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522" w:type="dxa"/>
            <w:vAlign w:val="center"/>
            <w:hideMark/>
          </w:tcPr>
          <w:p w14:paraId="15E1C5F7"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81" w:type="dxa"/>
            <w:vAlign w:val="center"/>
            <w:hideMark/>
          </w:tcPr>
          <w:p w14:paraId="11744789"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18" w:type="dxa"/>
            <w:vAlign w:val="center"/>
            <w:hideMark/>
          </w:tcPr>
          <w:p w14:paraId="34E90C17"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291" w:type="dxa"/>
            <w:vAlign w:val="center"/>
            <w:hideMark/>
          </w:tcPr>
          <w:p w14:paraId="6B81A678"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522" w:type="dxa"/>
            <w:vAlign w:val="center"/>
            <w:hideMark/>
          </w:tcPr>
          <w:p w14:paraId="67DC3ACF"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81" w:type="dxa"/>
            <w:vAlign w:val="center"/>
            <w:hideMark/>
          </w:tcPr>
          <w:p w14:paraId="06C902BA"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18" w:type="dxa"/>
            <w:vAlign w:val="center"/>
            <w:hideMark/>
          </w:tcPr>
          <w:p w14:paraId="687A3FC8"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142" w:type="dxa"/>
            <w:vAlign w:val="center"/>
            <w:hideMark/>
          </w:tcPr>
          <w:p w14:paraId="34EDCDEC"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381" w:type="dxa"/>
            <w:vAlign w:val="center"/>
            <w:hideMark/>
          </w:tcPr>
          <w:p w14:paraId="2201B0A7" w14:textId="77777777" w:rsidR="002F3D36" w:rsidRPr="002F3D36" w:rsidRDefault="002F3D36" w:rsidP="002F3D36">
            <w:pPr>
              <w:widowControl/>
              <w:jc w:val="left"/>
              <w:rPr>
                <w:rFonts w:ascii="Times New Roman" w:eastAsia="Times New Roman" w:hAnsi="Times New Roman" w:cs="Times New Roman"/>
                <w:kern w:val="0"/>
                <w:sz w:val="20"/>
                <w:szCs w:val="20"/>
              </w:rPr>
            </w:pPr>
          </w:p>
        </w:tc>
      </w:tr>
      <w:tr w:rsidR="002F3D36" w:rsidRPr="002F3D36" w14:paraId="1FC8FB83" w14:textId="77777777" w:rsidTr="002F3D36">
        <w:trPr>
          <w:trHeight w:val="160"/>
          <w:tblCellSpacing w:w="15" w:type="dxa"/>
        </w:trPr>
        <w:tc>
          <w:tcPr>
            <w:tcW w:w="0" w:type="auto"/>
            <w:vAlign w:val="bottom"/>
            <w:hideMark/>
          </w:tcPr>
          <w:p w14:paraId="5378212E"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vAlign w:val="bottom"/>
            <w:hideMark/>
          </w:tcPr>
          <w:p w14:paraId="429DD6AD"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gridSpan w:val="2"/>
            <w:vAlign w:val="bottom"/>
            <w:hideMark/>
          </w:tcPr>
          <w:p w14:paraId="3C417314"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vAlign w:val="bottom"/>
            <w:hideMark/>
          </w:tcPr>
          <w:p w14:paraId="35E8A400"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vAlign w:val="bottom"/>
            <w:hideMark/>
          </w:tcPr>
          <w:p w14:paraId="38E876C2"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gridSpan w:val="2"/>
            <w:vAlign w:val="bottom"/>
            <w:hideMark/>
          </w:tcPr>
          <w:p w14:paraId="4920B363"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vAlign w:val="bottom"/>
            <w:hideMark/>
          </w:tcPr>
          <w:p w14:paraId="068EBEAD"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vAlign w:val="bottom"/>
            <w:hideMark/>
          </w:tcPr>
          <w:p w14:paraId="2D35A0EE"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gridSpan w:val="2"/>
            <w:vAlign w:val="bottom"/>
            <w:hideMark/>
          </w:tcPr>
          <w:p w14:paraId="7D6B9922"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vAlign w:val="bottom"/>
            <w:hideMark/>
          </w:tcPr>
          <w:p w14:paraId="23DEA2EB"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vAlign w:val="bottom"/>
            <w:hideMark/>
          </w:tcPr>
          <w:p w14:paraId="2F1CC4B3" w14:textId="77777777" w:rsidR="002F3D36" w:rsidRPr="002F3D36" w:rsidRDefault="002F3D36" w:rsidP="002F3D36">
            <w:pPr>
              <w:widowControl/>
              <w:jc w:val="left"/>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gridSpan w:val="6"/>
            <w:tcBorders>
              <w:bottom w:val="single" w:sz="4" w:space="0" w:color="000000"/>
            </w:tcBorders>
            <w:vAlign w:val="bottom"/>
            <w:hideMark/>
          </w:tcPr>
          <w:p w14:paraId="7DB2CAC2"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b/>
                <w:bCs/>
                <w:color w:val="000000"/>
                <w:kern w:val="0"/>
                <w:sz w:val="16"/>
                <w:szCs w:val="16"/>
              </w:rPr>
              <w:t>Components of Change in Net Sales</w:t>
            </w:r>
          </w:p>
        </w:tc>
        <w:tc>
          <w:tcPr>
            <w:tcW w:w="0" w:type="auto"/>
            <w:vAlign w:val="bottom"/>
            <w:hideMark/>
          </w:tcPr>
          <w:p w14:paraId="4F197C79"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r>
      <w:tr w:rsidR="002F3D36" w:rsidRPr="002F3D36" w14:paraId="2266520D" w14:textId="77777777" w:rsidTr="002F3D36">
        <w:trPr>
          <w:trHeight w:val="160"/>
          <w:tblCellSpacing w:w="15" w:type="dxa"/>
        </w:trPr>
        <w:tc>
          <w:tcPr>
            <w:tcW w:w="0" w:type="auto"/>
            <w:vAlign w:val="bottom"/>
            <w:hideMark/>
          </w:tcPr>
          <w:p w14:paraId="7C6583FD"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vAlign w:val="bottom"/>
            <w:hideMark/>
          </w:tcPr>
          <w:p w14:paraId="5D8571FA"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gridSpan w:val="2"/>
            <w:tcBorders>
              <w:bottom w:val="single" w:sz="4" w:space="0" w:color="000000"/>
            </w:tcBorders>
            <w:vAlign w:val="bottom"/>
            <w:hideMark/>
          </w:tcPr>
          <w:p w14:paraId="63726167"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b/>
                <w:bCs/>
                <w:color w:val="000000"/>
                <w:kern w:val="0"/>
                <w:sz w:val="16"/>
                <w:szCs w:val="16"/>
              </w:rPr>
              <w:t>2021</w:t>
            </w:r>
          </w:p>
        </w:tc>
        <w:tc>
          <w:tcPr>
            <w:tcW w:w="0" w:type="auto"/>
            <w:vAlign w:val="bottom"/>
            <w:hideMark/>
          </w:tcPr>
          <w:p w14:paraId="360FA79A"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vAlign w:val="bottom"/>
            <w:hideMark/>
          </w:tcPr>
          <w:p w14:paraId="119D8A1A"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gridSpan w:val="2"/>
            <w:tcBorders>
              <w:bottom w:val="single" w:sz="4" w:space="0" w:color="000000"/>
            </w:tcBorders>
            <w:vAlign w:val="bottom"/>
            <w:hideMark/>
          </w:tcPr>
          <w:p w14:paraId="63C7C20A"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b/>
                <w:bCs/>
                <w:color w:val="000000"/>
                <w:kern w:val="0"/>
                <w:sz w:val="16"/>
                <w:szCs w:val="16"/>
              </w:rPr>
              <w:t>2020</w:t>
            </w:r>
          </w:p>
        </w:tc>
        <w:tc>
          <w:tcPr>
            <w:tcW w:w="0" w:type="auto"/>
            <w:vAlign w:val="bottom"/>
            <w:hideMark/>
          </w:tcPr>
          <w:p w14:paraId="016BD520"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vAlign w:val="bottom"/>
            <w:hideMark/>
          </w:tcPr>
          <w:p w14:paraId="20DBD7C9"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gridSpan w:val="2"/>
            <w:tcBorders>
              <w:bottom w:val="single" w:sz="4" w:space="0" w:color="000000"/>
            </w:tcBorders>
            <w:vAlign w:val="bottom"/>
            <w:hideMark/>
          </w:tcPr>
          <w:p w14:paraId="2CF2057A"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b/>
                <w:bCs/>
                <w:color w:val="000000"/>
                <w:kern w:val="0"/>
                <w:sz w:val="16"/>
                <w:szCs w:val="16"/>
              </w:rPr>
              <w:t>Reported</w:t>
            </w:r>
            <w:r w:rsidRPr="002F3D36">
              <w:rPr>
                <w:rFonts w:ascii="Arial" w:eastAsia="微软雅黑" w:hAnsi="Arial" w:cs="Arial"/>
                <w:b/>
                <w:bCs/>
                <w:color w:val="000000"/>
                <w:kern w:val="0"/>
                <w:sz w:val="16"/>
                <w:szCs w:val="16"/>
              </w:rPr>
              <w:br/>
              <w:t>change</w:t>
            </w:r>
          </w:p>
        </w:tc>
        <w:tc>
          <w:tcPr>
            <w:tcW w:w="0" w:type="auto"/>
            <w:vAlign w:val="bottom"/>
            <w:hideMark/>
          </w:tcPr>
          <w:p w14:paraId="5BC8D4ED"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vAlign w:val="bottom"/>
            <w:hideMark/>
          </w:tcPr>
          <w:p w14:paraId="429D61C0" w14:textId="77777777" w:rsidR="002F3D36" w:rsidRPr="002F3D36" w:rsidRDefault="002F3D36" w:rsidP="002F3D36">
            <w:pPr>
              <w:widowControl/>
              <w:jc w:val="left"/>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gridSpan w:val="2"/>
            <w:tcBorders>
              <w:bottom w:val="single" w:sz="4" w:space="0" w:color="000000"/>
            </w:tcBorders>
            <w:vAlign w:val="bottom"/>
            <w:hideMark/>
          </w:tcPr>
          <w:p w14:paraId="2ABBD639"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b/>
                <w:bCs/>
                <w:color w:val="000000"/>
                <w:kern w:val="0"/>
                <w:sz w:val="16"/>
                <w:szCs w:val="16"/>
              </w:rPr>
              <w:t>Currency effects</w:t>
            </w:r>
            <w:r w:rsidRPr="002F3D36">
              <w:rPr>
                <w:rFonts w:ascii="Arial" w:eastAsia="微软雅黑" w:hAnsi="Arial" w:cs="Arial"/>
                <w:b/>
                <w:bCs/>
                <w:color w:val="000000"/>
                <w:kern w:val="0"/>
                <w:sz w:val="11"/>
                <w:szCs w:val="11"/>
              </w:rPr>
              <w:t>1)</w:t>
            </w:r>
          </w:p>
        </w:tc>
        <w:tc>
          <w:tcPr>
            <w:tcW w:w="0" w:type="auto"/>
            <w:vAlign w:val="bottom"/>
            <w:hideMark/>
          </w:tcPr>
          <w:p w14:paraId="03160986"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vAlign w:val="bottom"/>
            <w:hideMark/>
          </w:tcPr>
          <w:p w14:paraId="7F7811B9" w14:textId="77777777" w:rsidR="002F3D36" w:rsidRPr="002F3D36" w:rsidRDefault="002F3D36" w:rsidP="002F3D36">
            <w:pPr>
              <w:widowControl/>
              <w:jc w:val="left"/>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gridSpan w:val="2"/>
            <w:tcBorders>
              <w:bottom w:val="single" w:sz="4" w:space="0" w:color="000000"/>
            </w:tcBorders>
            <w:vAlign w:val="bottom"/>
            <w:hideMark/>
          </w:tcPr>
          <w:p w14:paraId="3C4CE151"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b/>
                <w:bCs/>
                <w:color w:val="000000"/>
                <w:kern w:val="0"/>
                <w:sz w:val="16"/>
                <w:szCs w:val="16"/>
              </w:rPr>
              <w:t>Organic</w:t>
            </w:r>
          </w:p>
        </w:tc>
        <w:tc>
          <w:tcPr>
            <w:tcW w:w="0" w:type="auto"/>
            <w:vAlign w:val="bottom"/>
            <w:hideMark/>
          </w:tcPr>
          <w:p w14:paraId="6C6CBB9C"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r>
      <w:tr w:rsidR="002F3D36" w:rsidRPr="002F3D36" w14:paraId="718E1D8B" w14:textId="77777777" w:rsidTr="002F3D36">
        <w:trPr>
          <w:trHeight w:val="180"/>
          <w:tblCellSpacing w:w="15" w:type="dxa"/>
        </w:trPr>
        <w:tc>
          <w:tcPr>
            <w:tcW w:w="0" w:type="auto"/>
            <w:shd w:val="clear" w:color="auto" w:fill="CFF0FC"/>
            <w:hideMark/>
          </w:tcPr>
          <w:p w14:paraId="4A66724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Asia</w:t>
            </w:r>
          </w:p>
        </w:tc>
        <w:tc>
          <w:tcPr>
            <w:tcW w:w="0" w:type="auto"/>
            <w:shd w:val="clear" w:color="auto" w:fill="CFF0FC"/>
            <w:vAlign w:val="bottom"/>
            <w:hideMark/>
          </w:tcPr>
          <w:p w14:paraId="573BA294"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25D8E0D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shd w:val="clear" w:color="auto" w:fill="CFF0FC"/>
            <w:vAlign w:val="bottom"/>
            <w:hideMark/>
          </w:tcPr>
          <w:p w14:paraId="0C370A47"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3,407</w:t>
            </w:r>
          </w:p>
        </w:tc>
        <w:tc>
          <w:tcPr>
            <w:tcW w:w="0" w:type="auto"/>
            <w:shd w:val="clear" w:color="auto" w:fill="CFF0FC"/>
            <w:vAlign w:val="bottom"/>
            <w:hideMark/>
          </w:tcPr>
          <w:p w14:paraId="3691FBA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1970999A"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0FC1718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shd w:val="clear" w:color="auto" w:fill="CFF0FC"/>
            <w:vAlign w:val="bottom"/>
            <w:hideMark/>
          </w:tcPr>
          <w:p w14:paraId="0B2E0871"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3,043</w:t>
            </w:r>
          </w:p>
        </w:tc>
        <w:tc>
          <w:tcPr>
            <w:tcW w:w="0" w:type="auto"/>
            <w:shd w:val="clear" w:color="auto" w:fill="CFF0FC"/>
            <w:vAlign w:val="bottom"/>
            <w:hideMark/>
          </w:tcPr>
          <w:p w14:paraId="00067ED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143CC2E5"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7A0D74E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714B9642"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12.0</w:t>
            </w:r>
          </w:p>
        </w:tc>
        <w:tc>
          <w:tcPr>
            <w:tcW w:w="0" w:type="auto"/>
            <w:shd w:val="clear" w:color="auto" w:fill="CFF0FC"/>
            <w:vAlign w:val="bottom"/>
            <w:hideMark/>
          </w:tcPr>
          <w:p w14:paraId="7BD05AD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shd w:val="clear" w:color="auto" w:fill="CFF0FC"/>
            <w:vAlign w:val="bottom"/>
            <w:hideMark/>
          </w:tcPr>
          <w:p w14:paraId="03399D2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544DEFA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4CEFAC64"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3.2</w:t>
            </w:r>
          </w:p>
        </w:tc>
        <w:tc>
          <w:tcPr>
            <w:tcW w:w="0" w:type="auto"/>
            <w:shd w:val="clear" w:color="auto" w:fill="CFF0FC"/>
            <w:vAlign w:val="bottom"/>
            <w:hideMark/>
          </w:tcPr>
          <w:p w14:paraId="21B5573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shd w:val="clear" w:color="auto" w:fill="CFF0FC"/>
            <w:vAlign w:val="bottom"/>
            <w:hideMark/>
          </w:tcPr>
          <w:p w14:paraId="44DEA4A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2C5E865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41536C07"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8.7</w:t>
            </w:r>
          </w:p>
        </w:tc>
        <w:tc>
          <w:tcPr>
            <w:tcW w:w="0" w:type="auto"/>
            <w:shd w:val="clear" w:color="auto" w:fill="CFF0FC"/>
            <w:vAlign w:val="bottom"/>
            <w:hideMark/>
          </w:tcPr>
          <w:p w14:paraId="38640E8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r>
      <w:tr w:rsidR="002F3D36" w:rsidRPr="002F3D36" w14:paraId="795A0472" w14:textId="77777777" w:rsidTr="002F3D36">
        <w:trPr>
          <w:trHeight w:val="180"/>
          <w:tblCellSpacing w:w="15" w:type="dxa"/>
        </w:trPr>
        <w:tc>
          <w:tcPr>
            <w:tcW w:w="0" w:type="auto"/>
            <w:hideMark/>
          </w:tcPr>
          <w:p w14:paraId="741048C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i/>
                <w:iCs/>
                <w:color w:val="000000"/>
                <w:kern w:val="0"/>
                <w:sz w:val="18"/>
                <w:szCs w:val="18"/>
              </w:rPr>
              <w:t>Whereof: China</w:t>
            </w:r>
          </w:p>
        </w:tc>
        <w:tc>
          <w:tcPr>
            <w:tcW w:w="0" w:type="auto"/>
            <w:vAlign w:val="bottom"/>
            <w:hideMark/>
          </w:tcPr>
          <w:p w14:paraId="2FC571C8"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44AADDF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6A135F65"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i/>
                <w:iCs/>
                <w:color w:val="000000"/>
                <w:kern w:val="0"/>
                <w:sz w:val="18"/>
                <w:szCs w:val="18"/>
              </w:rPr>
              <w:t>1,766</w:t>
            </w:r>
          </w:p>
        </w:tc>
        <w:tc>
          <w:tcPr>
            <w:tcW w:w="0" w:type="auto"/>
            <w:vAlign w:val="bottom"/>
            <w:hideMark/>
          </w:tcPr>
          <w:p w14:paraId="043F84C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13D58D07"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02900B0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6B02E773"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i/>
                <w:iCs/>
                <w:color w:val="000000"/>
                <w:kern w:val="0"/>
                <w:sz w:val="18"/>
                <w:szCs w:val="18"/>
              </w:rPr>
              <w:t>1,541</w:t>
            </w:r>
          </w:p>
        </w:tc>
        <w:tc>
          <w:tcPr>
            <w:tcW w:w="0" w:type="auto"/>
            <w:vAlign w:val="bottom"/>
            <w:hideMark/>
          </w:tcPr>
          <w:p w14:paraId="6976088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7033485D"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7A6BFFA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1C3AE0C4"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14.6</w:t>
            </w:r>
          </w:p>
        </w:tc>
        <w:tc>
          <w:tcPr>
            <w:tcW w:w="0" w:type="auto"/>
            <w:vAlign w:val="bottom"/>
            <w:hideMark/>
          </w:tcPr>
          <w:p w14:paraId="19CD7CD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vAlign w:val="bottom"/>
            <w:hideMark/>
          </w:tcPr>
          <w:p w14:paraId="7B3C3D4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51084E9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46BD04A6"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i/>
                <w:iCs/>
                <w:color w:val="000000"/>
                <w:kern w:val="0"/>
                <w:sz w:val="18"/>
                <w:szCs w:val="18"/>
              </w:rPr>
              <w:t>7.1</w:t>
            </w:r>
          </w:p>
        </w:tc>
        <w:tc>
          <w:tcPr>
            <w:tcW w:w="0" w:type="auto"/>
            <w:vAlign w:val="bottom"/>
            <w:hideMark/>
          </w:tcPr>
          <w:p w14:paraId="5C683AC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i/>
                <w:iCs/>
                <w:color w:val="000000"/>
                <w:kern w:val="0"/>
                <w:sz w:val="18"/>
                <w:szCs w:val="18"/>
              </w:rPr>
              <w:t>%</w:t>
            </w:r>
          </w:p>
        </w:tc>
        <w:tc>
          <w:tcPr>
            <w:tcW w:w="0" w:type="auto"/>
            <w:vAlign w:val="bottom"/>
            <w:hideMark/>
          </w:tcPr>
          <w:p w14:paraId="25A4DD4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40C9007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7A22FC96"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i/>
                <w:iCs/>
                <w:color w:val="000000"/>
                <w:kern w:val="0"/>
                <w:sz w:val="18"/>
                <w:szCs w:val="18"/>
              </w:rPr>
              <w:t>7.5</w:t>
            </w:r>
          </w:p>
        </w:tc>
        <w:tc>
          <w:tcPr>
            <w:tcW w:w="0" w:type="auto"/>
            <w:vAlign w:val="bottom"/>
            <w:hideMark/>
          </w:tcPr>
          <w:p w14:paraId="2B410B4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i/>
                <w:iCs/>
                <w:color w:val="000000"/>
                <w:kern w:val="0"/>
                <w:sz w:val="18"/>
                <w:szCs w:val="18"/>
              </w:rPr>
              <w:t>%</w:t>
            </w:r>
          </w:p>
        </w:tc>
      </w:tr>
      <w:tr w:rsidR="002F3D36" w:rsidRPr="002F3D36" w14:paraId="11AB7C6D" w14:textId="77777777" w:rsidTr="002F3D36">
        <w:trPr>
          <w:trHeight w:val="180"/>
          <w:tblCellSpacing w:w="15" w:type="dxa"/>
        </w:trPr>
        <w:tc>
          <w:tcPr>
            <w:tcW w:w="0" w:type="auto"/>
            <w:shd w:val="clear" w:color="auto" w:fill="CFF0FC"/>
            <w:hideMark/>
          </w:tcPr>
          <w:p w14:paraId="0D6973F7" w14:textId="77777777" w:rsidR="002F3D36" w:rsidRPr="002F3D36" w:rsidRDefault="002F3D36" w:rsidP="002F3D36">
            <w:pPr>
              <w:widowControl/>
              <w:ind w:left="600"/>
              <w:jc w:val="left"/>
              <w:rPr>
                <w:rFonts w:ascii="Times New Roman" w:eastAsia="微软雅黑" w:hAnsi="Times New Roman" w:cs="Times New Roman"/>
                <w:kern w:val="0"/>
                <w:sz w:val="18"/>
                <w:szCs w:val="18"/>
              </w:rPr>
            </w:pPr>
            <w:r w:rsidRPr="002F3D36">
              <w:rPr>
                <w:rFonts w:ascii="Arial" w:eastAsia="微软雅黑" w:hAnsi="Arial" w:cs="Arial"/>
                <w:i/>
                <w:iCs/>
                <w:color w:val="000000"/>
                <w:kern w:val="0"/>
                <w:sz w:val="18"/>
                <w:szCs w:val="18"/>
              </w:rPr>
              <w:t>   Japan</w:t>
            </w:r>
          </w:p>
        </w:tc>
        <w:tc>
          <w:tcPr>
            <w:tcW w:w="0" w:type="auto"/>
            <w:shd w:val="clear" w:color="auto" w:fill="CFF0FC"/>
            <w:vAlign w:val="bottom"/>
            <w:hideMark/>
          </w:tcPr>
          <w:p w14:paraId="21928999"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0DB5754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0560A4DF"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i/>
                <w:iCs/>
                <w:color w:val="000000"/>
                <w:kern w:val="0"/>
                <w:sz w:val="18"/>
                <w:szCs w:val="18"/>
              </w:rPr>
              <w:t>733</w:t>
            </w:r>
          </w:p>
        </w:tc>
        <w:tc>
          <w:tcPr>
            <w:tcW w:w="0" w:type="auto"/>
            <w:shd w:val="clear" w:color="auto" w:fill="CFF0FC"/>
            <w:vAlign w:val="bottom"/>
            <w:hideMark/>
          </w:tcPr>
          <w:p w14:paraId="67A1B97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42548B0E"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406771D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5B8782E6"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i/>
                <w:iCs/>
                <w:color w:val="000000"/>
                <w:kern w:val="0"/>
                <w:sz w:val="18"/>
                <w:szCs w:val="18"/>
              </w:rPr>
              <w:t>733</w:t>
            </w:r>
          </w:p>
        </w:tc>
        <w:tc>
          <w:tcPr>
            <w:tcW w:w="0" w:type="auto"/>
            <w:shd w:val="clear" w:color="auto" w:fill="CFF0FC"/>
            <w:vAlign w:val="bottom"/>
            <w:hideMark/>
          </w:tcPr>
          <w:p w14:paraId="78B58F1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683E4D06"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391DD4E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487D1661"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(0.0</w:t>
            </w:r>
          </w:p>
        </w:tc>
        <w:tc>
          <w:tcPr>
            <w:tcW w:w="0" w:type="auto"/>
            <w:shd w:val="clear" w:color="auto" w:fill="CFF0FC"/>
            <w:vAlign w:val="bottom"/>
            <w:hideMark/>
          </w:tcPr>
          <w:p w14:paraId="01D0622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shd w:val="clear" w:color="auto" w:fill="CFF0FC"/>
            <w:vAlign w:val="bottom"/>
            <w:hideMark/>
          </w:tcPr>
          <w:p w14:paraId="32514C2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73E2540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4CBF3AD5"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i/>
                <w:iCs/>
                <w:color w:val="000000"/>
                <w:kern w:val="0"/>
                <w:sz w:val="18"/>
                <w:szCs w:val="18"/>
              </w:rPr>
              <w:t>(2.7</w:t>
            </w:r>
          </w:p>
        </w:tc>
        <w:tc>
          <w:tcPr>
            <w:tcW w:w="0" w:type="auto"/>
            <w:shd w:val="clear" w:color="auto" w:fill="CFF0FC"/>
            <w:vAlign w:val="bottom"/>
            <w:hideMark/>
          </w:tcPr>
          <w:p w14:paraId="5F40DB9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i/>
                <w:iCs/>
                <w:color w:val="000000"/>
                <w:kern w:val="0"/>
                <w:sz w:val="18"/>
                <w:szCs w:val="18"/>
              </w:rPr>
              <w:t>)%</w:t>
            </w:r>
          </w:p>
        </w:tc>
        <w:tc>
          <w:tcPr>
            <w:tcW w:w="0" w:type="auto"/>
            <w:shd w:val="clear" w:color="auto" w:fill="CFF0FC"/>
            <w:vAlign w:val="bottom"/>
            <w:hideMark/>
          </w:tcPr>
          <w:p w14:paraId="5634098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255DDD8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1D075B75"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i/>
                <w:iCs/>
                <w:color w:val="000000"/>
                <w:kern w:val="0"/>
                <w:sz w:val="18"/>
                <w:szCs w:val="18"/>
              </w:rPr>
              <w:t>2.7</w:t>
            </w:r>
          </w:p>
        </w:tc>
        <w:tc>
          <w:tcPr>
            <w:tcW w:w="0" w:type="auto"/>
            <w:shd w:val="clear" w:color="auto" w:fill="CFF0FC"/>
            <w:vAlign w:val="bottom"/>
            <w:hideMark/>
          </w:tcPr>
          <w:p w14:paraId="3E4C56D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i/>
                <w:iCs/>
                <w:color w:val="000000"/>
                <w:kern w:val="0"/>
                <w:sz w:val="18"/>
                <w:szCs w:val="18"/>
              </w:rPr>
              <w:t>%</w:t>
            </w:r>
          </w:p>
        </w:tc>
      </w:tr>
      <w:tr w:rsidR="002F3D36" w:rsidRPr="002F3D36" w14:paraId="1DE7BA1E" w14:textId="77777777" w:rsidTr="002F3D36">
        <w:trPr>
          <w:trHeight w:val="180"/>
          <w:tblCellSpacing w:w="15" w:type="dxa"/>
        </w:trPr>
        <w:tc>
          <w:tcPr>
            <w:tcW w:w="0" w:type="auto"/>
            <w:hideMark/>
          </w:tcPr>
          <w:p w14:paraId="7AD115AB" w14:textId="77777777" w:rsidR="002F3D36" w:rsidRPr="002F3D36" w:rsidRDefault="002F3D36" w:rsidP="002F3D36">
            <w:pPr>
              <w:widowControl/>
              <w:ind w:left="600"/>
              <w:jc w:val="left"/>
              <w:rPr>
                <w:rFonts w:ascii="Times New Roman" w:eastAsia="微软雅黑" w:hAnsi="Times New Roman" w:cs="Times New Roman"/>
                <w:kern w:val="0"/>
                <w:sz w:val="18"/>
                <w:szCs w:val="18"/>
              </w:rPr>
            </w:pPr>
            <w:r w:rsidRPr="002F3D36">
              <w:rPr>
                <w:rFonts w:ascii="Arial" w:eastAsia="微软雅黑" w:hAnsi="Arial" w:cs="Arial"/>
                <w:i/>
                <w:iCs/>
                <w:color w:val="000000"/>
                <w:kern w:val="0"/>
                <w:sz w:val="18"/>
                <w:szCs w:val="18"/>
              </w:rPr>
              <w:t>   Rest of Asia</w:t>
            </w:r>
          </w:p>
        </w:tc>
        <w:tc>
          <w:tcPr>
            <w:tcW w:w="0" w:type="auto"/>
            <w:vAlign w:val="bottom"/>
            <w:hideMark/>
          </w:tcPr>
          <w:p w14:paraId="42394A8A"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2AED6F1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71CABE55"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i/>
                <w:iCs/>
                <w:color w:val="000000"/>
                <w:kern w:val="0"/>
                <w:sz w:val="18"/>
                <w:szCs w:val="18"/>
              </w:rPr>
              <w:t>908</w:t>
            </w:r>
          </w:p>
        </w:tc>
        <w:tc>
          <w:tcPr>
            <w:tcW w:w="0" w:type="auto"/>
            <w:vAlign w:val="bottom"/>
            <w:hideMark/>
          </w:tcPr>
          <w:p w14:paraId="09F4B6F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0C1B2354"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082716F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5EA81C0D"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i/>
                <w:iCs/>
                <w:color w:val="000000"/>
                <w:kern w:val="0"/>
                <w:sz w:val="18"/>
                <w:szCs w:val="18"/>
              </w:rPr>
              <w:t>769</w:t>
            </w:r>
          </w:p>
        </w:tc>
        <w:tc>
          <w:tcPr>
            <w:tcW w:w="0" w:type="auto"/>
            <w:vAlign w:val="bottom"/>
            <w:hideMark/>
          </w:tcPr>
          <w:p w14:paraId="72490C4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77687BF8"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7E68CF4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15E3DBB0"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18.0</w:t>
            </w:r>
          </w:p>
        </w:tc>
        <w:tc>
          <w:tcPr>
            <w:tcW w:w="0" w:type="auto"/>
            <w:vAlign w:val="bottom"/>
            <w:hideMark/>
          </w:tcPr>
          <w:p w14:paraId="616FB82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vAlign w:val="bottom"/>
            <w:hideMark/>
          </w:tcPr>
          <w:p w14:paraId="15F828A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6C3D486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060F127A"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i/>
                <w:iCs/>
                <w:color w:val="000000"/>
                <w:kern w:val="0"/>
                <w:sz w:val="18"/>
                <w:szCs w:val="18"/>
              </w:rPr>
              <w:t>1.0</w:t>
            </w:r>
          </w:p>
        </w:tc>
        <w:tc>
          <w:tcPr>
            <w:tcW w:w="0" w:type="auto"/>
            <w:vAlign w:val="bottom"/>
            <w:hideMark/>
          </w:tcPr>
          <w:p w14:paraId="0B44866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i/>
                <w:iCs/>
                <w:color w:val="000000"/>
                <w:kern w:val="0"/>
                <w:sz w:val="18"/>
                <w:szCs w:val="18"/>
              </w:rPr>
              <w:t>%</w:t>
            </w:r>
          </w:p>
        </w:tc>
        <w:tc>
          <w:tcPr>
            <w:tcW w:w="0" w:type="auto"/>
            <w:vAlign w:val="bottom"/>
            <w:hideMark/>
          </w:tcPr>
          <w:p w14:paraId="5EE4B3B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06D0852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0891BA36"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i/>
                <w:iCs/>
                <w:color w:val="000000"/>
                <w:kern w:val="0"/>
                <w:sz w:val="18"/>
                <w:szCs w:val="18"/>
              </w:rPr>
              <w:t>17.0</w:t>
            </w:r>
          </w:p>
        </w:tc>
        <w:tc>
          <w:tcPr>
            <w:tcW w:w="0" w:type="auto"/>
            <w:vAlign w:val="bottom"/>
            <w:hideMark/>
          </w:tcPr>
          <w:p w14:paraId="59A1593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i/>
                <w:iCs/>
                <w:color w:val="000000"/>
                <w:kern w:val="0"/>
                <w:sz w:val="18"/>
                <w:szCs w:val="18"/>
              </w:rPr>
              <w:t>%</w:t>
            </w:r>
          </w:p>
        </w:tc>
      </w:tr>
      <w:tr w:rsidR="002F3D36" w:rsidRPr="002F3D36" w14:paraId="3F55B6D2" w14:textId="77777777" w:rsidTr="002F3D36">
        <w:trPr>
          <w:trHeight w:val="180"/>
          <w:tblCellSpacing w:w="15" w:type="dxa"/>
        </w:trPr>
        <w:tc>
          <w:tcPr>
            <w:tcW w:w="0" w:type="auto"/>
            <w:shd w:val="clear" w:color="auto" w:fill="CFF0FC"/>
            <w:hideMark/>
          </w:tcPr>
          <w:p w14:paraId="5DDBDA6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Americas</w:t>
            </w:r>
          </w:p>
        </w:tc>
        <w:tc>
          <w:tcPr>
            <w:tcW w:w="0" w:type="auto"/>
            <w:shd w:val="clear" w:color="auto" w:fill="CFF0FC"/>
            <w:vAlign w:val="bottom"/>
            <w:hideMark/>
          </w:tcPr>
          <w:p w14:paraId="56568286"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4FDA381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01A72D18"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2,535</w:t>
            </w:r>
          </w:p>
        </w:tc>
        <w:tc>
          <w:tcPr>
            <w:tcW w:w="0" w:type="auto"/>
            <w:shd w:val="clear" w:color="auto" w:fill="CFF0FC"/>
            <w:vAlign w:val="bottom"/>
            <w:hideMark/>
          </w:tcPr>
          <w:p w14:paraId="0579979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24B81860"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458BEE8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244A8ED1"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2,337</w:t>
            </w:r>
          </w:p>
        </w:tc>
        <w:tc>
          <w:tcPr>
            <w:tcW w:w="0" w:type="auto"/>
            <w:shd w:val="clear" w:color="auto" w:fill="CFF0FC"/>
            <w:vAlign w:val="bottom"/>
            <w:hideMark/>
          </w:tcPr>
          <w:p w14:paraId="5B55BAF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02F1B9A6"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0E6BBFB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56A6A1FA"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8.5</w:t>
            </w:r>
          </w:p>
        </w:tc>
        <w:tc>
          <w:tcPr>
            <w:tcW w:w="0" w:type="auto"/>
            <w:shd w:val="clear" w:color="auto" w:fill="CFF0FC"/>
            <w:vAlign w:val="bottom"/>
            <w:hideMark/>
          </w:tcPr>
          <w:p w14:paraId="51A0E42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shd w:val="clear" w:color="auto" w:fill="CFF0FC"/>
            <w:vAlign w:val="bottom"/>
            <w:hideMark/>
          </w:tcPr>
          <w:p w14:paraId="245CF74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1D86E2C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5AB644BB"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1.1</w:t>
            </w:r>
          </w:p>
        </w:tc>
        <w:tc>
          <w:tcPr>
            <w:tcW w:w="0" w:type="auto"/>
            <w:shd w:val="clear" w:color="auto" w:fill="CFF0FC"/>
            <w:vAlign w:val="bottom"/>
            <w:hideMark/>
          </w:tcPr>
          <w:p w14:paraId="1D77975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shd w:val="clear" w:color="auto" w:fill="CFF0FC"/>
            <w:vAlign w:val="bottom"/>
            <w:hideMark/>
          </w:tcPr>
          <w:p w14:paraId="0FF6DE6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0CBE9C1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0776D834"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7.3</w:t>
            </w:r>
          </w:p>
        </w:tc>
        <w:tc>
          <w:tcPr>
            <w:tcW w:w="0" w:type="auto"/>
            <w:shd w:val="clear" w:color="auto" w:fill="CFF0FC"/>
            <w:vAlign w:val="bottom"/>
            <w:hideMark/>
          </w:tcPr>
          <w:p w14:paraId="7550FF0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r>
      <w:tr w:rsidR="002F3D36" w:rsidRPr="002F3D36" w14:paraId="0BE699B4" w14:textId="77777777" w:rsidTr="002F3D36">
        <w:trPr>
          <w:trHeight w:val="180"/>
          <w:tblCellSpacing w:w="15" w:type="dxa"/>
        </w:trPr>
        <w:tc>
          <w:tcPr>
            <w:tcW w:w="0" w:type="auto"/>
            <w:hideMark/>
          </w:tcPr>
          <w:p w14:paraId="56535E2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Europe</w:t>
            </w:r>
          </w:p>
        </w:tc>
        <w:tc>
          <w:tcPr>
            <w:tcW w:w="0" w:type="auto"/>
            <w:vAlign w:val="bottom"/>
            <w:hideMark/>
          </w:tcPr>
          <w:p w14:paraId="574F92B2"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vAlign w:val="bottom"/>
            <w:hideMark/>
          </w:tcPr>
          <w:p w14:paraId="22BBAE0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vAlign w:val="bottom"/>
            <w:hideMark/>
          </w:tcPr>
          <w:p w14:paraId="15100395"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2,289</w:t>
            </w:r>
          </w:p>
        </w:tc>
        <w:tc>
          <w:tcPr>
            <w:tcW w:w="0" w:type="auto"/>
            <w:vAlign w:val="bottom"/>
            <w:hideMark/>
          </w:tcPr>
          <w:p w14:paraId="2266381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46824602"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vAlign w:val="bottom"/>
            <w:hideMark/>
          </w:tcPr>
          <w:p w14:paraId="0EC4A66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vAlign w:val="bottom"/>
            <w:hideMark/>
          </w:tcPr>
          <w:p w14:paraId="29307192"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2,067</w:t>
            </w:r>
          </w:p>
        </w:tc>
        <w:tc>
          <w:tcPr>
            <w:tcW w:w="0" w:type="auto"/>
            <w:vAlign w:val="bottom"/>
            <w:hideMark/>
          </w:tcPr>
          <w:p w14:paraId="4281B1B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048AFAB2"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62C029E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01142EFB"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10.7</w:t>
            </w:r>
          </w:p>
        </w:tc>
        <w:tc>
          <w:tcPr>
            <w:tcW w:w="0" w:type="auto"/>
            <w:vAlign w:val="bottom"/>
            <w:hideMark/>
          </w:tcPr>
          <w:p w14:paraId="7E5AFF2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vAlign w:val="bottom"/>
            <w:hideMark/>
          </w:tcPr>
          <w:p w14:paraId="03FBE00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70CD3B0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0C5EBCB6"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3.5</w:t>
            </w:r>
          </w:p>
        </w:tc>
        <w:tc>
          <w:tcPr>
            <w:tcW w:w="0" w:type="auto"/>
            <w:vAlign w:val="bottom"/>
            <w:hideMark/>
          </w:tcPr>
          <w:p w14:paraId="297A501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vAlign w:val="bottom"/>
            <w:hideMark/>
          </w:tcPr>
          <w:p w14:paraId="545F17C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5F2051E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75F333F4"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7.2</w:t>
            </w:r>
          </w:p>
        </w:tc>
        <w:tc>
          <w:tcPr>
            <w:tcW w:w="0" w:type="auto"/>
            <w:vAlign w:val="bottom"/>
            <w:hideMark/>
          </w:tcPr>
          <w:p w14:paraId="0E1D0F7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r>
      <w:tr w:rsidR="002F3D36" w:rsidRPr="002F3D36" w14:paraId="7842D50A" w14:textId="77777777" w:rsidTr="002F3D36">
        <w:trPr>
          <w:trHeight w:val="180"/>
          <w:tblCellSpacing w:w="15" w:type="dxa"/>
        </w:trPr>
        <w:tc>
          <w:tcPr>
            <w:tcW w:w="0" w:type="auto"/>
            <w:shd w:val="clear" w:color="auto" w:fill="CFF0FC"/>
            <w:hideMark/>
          </w:tcPr>
          <w:p w14:paraId="28A3499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Global</w:t>
            </w:r>
          </w:p>
        </w:tc>
        <w:tc>
          <w:tcPr>
            <w:tcW w:w="0" w:type="auto"/>
            <w:shd w:val="clear" w:color="auto" w:fill="CFF0FC"/>
            <w:vAlign w:val="bottom"/>
            <w:hideMark/>
          </w:tcPr>
          <w:p w14:paraId="1B4AC601"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1E9AC4E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w:t>
            </w:r>
          </w:p>
        </w:tc>
        <w:tc>
          <w:tcPr>
            <w:tcW w:w="0" w:type="auto"/>
            <w:shd w:val="clear" w:color="auto" w:fill="CFF0FC"/>
            <w:vAlign w:val="bottom"/>
            <w:hideMark/>
          </w:tcPr>
          <w:p w14:paraId="328139D2"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8,230</w:t>
            </w:r>
          </w:p>
        </w:tc>
        <w:tc>
          <w:tcPr>
            <w:tcW w:w="0" w:type="auto"/>
            <w:shd w:val="clear" w:color="auto" w:fill="CFF0FC"/>
            <w:vAlign w:val="bottom"/>
            <w:hideMark/>
          </w:tcPr>
          <w:p w14:paraId="22940DF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24E7E2E5"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6EF826D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w:t>
            </w:r>
          </w:p>
        </w:tc>
        <w:tc>
          <w:tcPr>
            <w:tcW w:w="0" w:type="auto"/>
            <w:shd w:val="clear" w:color="auto" w:fill="CFF0FC"/>
            <w:vAlign w:val="bottom"/>
            <w:hideMark/>
          </w:tcPr>
          <w:p w14:paraId="40F6A9B2"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7,447</w:t>
            </w:r>
          </w:p>
        </w:tc>
        <w:tc>
          <w:tcPr>
            <w:tcW w:w="0" w:type="auto"/>
            <w:shd w:val="clear" w:color="auto" w:fill="CFF0FC"/>
            <w:vAlign w:val="bottom"/>
            <w:hideMark/>
          </w:tcPr>
          <w:p w14:paraId="51D8F64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0B6D72EA"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00DE426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69A6BA51"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10.5</w:t>
            </w:r>
          </w:p>
        </w:tc>
        <w:tc>
          <w:tcPr>
            <w:tcW w:w="0" w:type="auto"/>
            <w:shd w:val="clear" w:color="auto" w:fill="CFF0FC"/>
            <w:vAlign w:val="bottom"/>
            <w:hideMark/>
          </w:tcPr>
          <w:p w14:paraId="3C469F2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w:t>
            </w:r>
          </w:p>
        </w:tc>
        <w:tc>
          <w:tcPr>
            <w:tcW w:w="0" w:type="auto"/>
            <w:shd w:val="clear" w:color="auto" w:fill="CFF0FC"/>
            <w:vAlign w:val="bottom"/>
            <w:hideMark/>
          </w:tcPr>
          <w:p w14:paraId="7C54656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4CC3BA4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0BCEDC57"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2.6</w:t>
            </w:r>
          </w:p>
        </w:tc>
        <w:tc>
          <w:tcPr>
            <w:tcW w:w="0" w:type="auto"/>
            <w:shd w:val="clear" w:color="auto" w:fill="CFF0FC"/>
            <w:vAlign w:val="bottom"/>
            <w:hideMark/>
          </w:tcPr>
          <w:p w14:paraId="19E7AA3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w:t>
            </w:r>
          </w:p>
        </w:tc>
        <w:tc>
          <w:tcPr>
            <w:tcW w:w="0" w:type="auto"/>
            <w:shd w:val="clear" w:color="auto" w:fill="CFF0FC"/>
            <w:vAlign w:val="bottom"/>
            <w:hideMark/>
          </w:tcPr>
          <w:p w14:paraId="67797A5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3A5803B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5D93A40D"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7.9</w:t>
            </w:r>
          </w:p>
        </w:tc>
        <w:tc>
          <w:tcPr>
            <w:tcW w:w="0" w:type="auto"/>
            <w:shd w:val="clear" w:color="auto" w:fill="CFF0FC"/>
            <w:vAlign w:val="bottom"/>
            <w:hideMark/>
          </w:tcPr>
          <w:p w14:paraId="04096A6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w:t>
            </w:r>
          </w:p>
        </w:tc>
      </w:tr>
    </w:tbl>
    <w:p w14:paraId="36F3DD9D"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6"/>
          <w:szCs w:val="16"/>
        </w:rPr>
        <w:t xml:space="preserve">1) Effects from currency translations. </w:t>
      </w:r>
    </w:p>
    <w:p w14:paraId="4489A8FA"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xml:space="preserve">For 2021, Autoliv’s sales increased organically (Non-U.S. GAAP measure, see reconciliation table above) by 7.9 % compared to 2020, which was 5.2 percentage points better than LVP (according to IHS Markit, January 2022). Sales increased organically in all regions. The largest organic sales increase drivers were Americas and Europe, followed by Rest of Asia, China and Japan. The Company's organic sales development outperformed LVP in all regions - by 12 percentage points in Europe, by 7 percentage points </w:t>
      </w:r>
      <w:r w:rsidRPr="002F3D36">
        <w:rPr>
          <w:rFonts w:ascii="Arial" w:eastAsia="宋体" w:hAnsi="Arial" w:cs="Arial"/>
          <w:color w:val="000000"/>
          <w:kern w:val="0"/>
          <w:sz w:val="18"/>
          <w:szCs w:val="18"/>
        </w:rPr>
        <w:lastRenderedPageBreak/>
        <w:t xml:space="preserve">in Japan, by 5 percentage points in Americas, by 3 percentage points in China and by 2 percentage points in Rest of Asia. </w:t>
      </w:r>
    </w:p>
    <w:p w14:paraId="70244999"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w:t>
      </w:r>
    </w:p>
    <w:tbl>
      <w:tblPr>
        <w:tblW w:w="20614" w:type="dxa"/>
        <w:tblCellSpacing w:w="15" w:type="dxa"/>
        <w:tblCellMar>
          <w:top w:w="15" w:type="dxa"/>
          <w:left w:w="15" w:type="dxa"/>
          <w:bottom w:w="15" w:type="dxa"/>
          <w:right w:w="15" w:type="dxa"/>
        </w:tblCellMar>
        <w:tblLook w:val="04A0" w:firstRow="1" w:lastRow="0" w:firstColumn="1" w:lastColumn="0" w:noHBand="0" w:noVBand="1"/>
      </w:tblPr>
      <w:tblGrid>
        <w:gridCol w:w="4559"/>
        <w:gridCol w:w="239"/>
        <w:gridCol w:w="2325"/>
        <w:gridCol w:w="239"/>
        <w:gridCol w:w="2325"/>
        <w:gridCol w:w="239"/>
        <w:gridCol w:w="2761"/>
        <w:gridCol w:w="239"/>
        <w:gridCol w:w="2182"/>
        <w:gridCol w:w="239"/>
        <w:gridCol w:w="2935"/>
        <w:gridCol w:w="239"/>
        <w:gridCol w:w="2093"/>
      </w:tblGrid>
      <w:tr w:rsidR="002F3D36" w:rsidRPr="002F3D36" w14:paraId="293A1DCF" w14:textId="77777777" w:rsidTr="002F3D36">
        <w:trPr>
          <w:tblCellSpacing w:w="15" w:type="dxa"/>
        </w:trPr>
        <w:tc>
          <w:tcPr>
            <w:tcW w:w="4523" w:type="dxa"/>
            <w:vAlign w:val="center"/>
            <w:hideMark/>
          </w:tcPr>
          <w:p w14:paraId="3B285710" w14:textId="77777777" w:rsidR="002F3D36" w:rsidRPr="002F3D36" w:rsidRDefault="002F3D36" w:rsidP="002F3D36">
            <w:pPr>
              <w:widowControl/>
              <w:jc w:val="left"/>
              <w:rPr>
                <w:rFonts w:ascii="Times New Roman" w:eastAsia="宋体" w:hAnsi="Times New Roman" w:cs="Times New Roman"/>
                <w:color w:val="000000"/>
                <w:kern w:val="0"/>
                <w:sz w:val="20"/>
                <w:szCs w:val="20"/>
              </w:rPr>
            </w:pPr>
          </w:p>
        </w:tc>
        <w:tc>
          <w:tcPr>
            <w:tcW w:w="209" w:type="dxa"/>
            <w:vAlign w:val="center"/>
            <w:hideMark/>
          </w:tcPr>
          <w:p w14:paraId="15A0CA9F"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298" w:type="dxa"/>
            <w:vAlign w:val="center"/>
            <w:hideMark/>
          </w:tcPr>
          <w:p w14:paraId="5489E604"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09" w:type="dxa"/>
            <w:vAlign w:val="center"/>
            <w:hideMark/>
          </w:tcPr>
          <w:p w14:paraId="494A0065"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298" w:type="dxa"/>
            <w:vAlign w:val="center"/>
            <w:hideMark/>
          </w:tcPr>
          <w:p w14:paraId="36FDED79"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09" w:type="dxa"/>
            <w:vAlign w:val="center"/>
            <w:hideMark/>
          </w:tcPr>
          <w:p w14:paraId="468BF913"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735" w:type="dxa"/>
            <w:vAlign w:val="center"/>
            <w:hideMark/>
          </w:tcPr>
          <w:p w14:paraId="02DF17A3"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09" w:type="dxa"/>
            <w:vAlign w:val="center"/>
            <w:hideMark/>
          </w:tcPr>
          <w:p w14:paraId="439A7180"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155" w:type="dxa"/>
            <w:vAlign w:val="center"/>
            <w:hideMark/>
          </w:tcPr>
          <w:p w14:paraId="17011891"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09" w:type="dxa"/>
            <w:vAlign w:val="center"/>
            <w:hideMark/>
          </w:tcPr>
          <w:p w14:paraId="20182DB9"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909" w:type="dxa"/>
            <w:vAlign w:val="center"/>
            <w:hideMark/>
          </w:tcPr>
          <w:p w14:paraId="5A9ECAC7"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09" w:type="dxa"/>
            <w:vAlign w:val="center"/>
            <w:hideMark/>
          </w:tcPr>
          <w:p w14:paraId="18D61374"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051" w:type="dxa"/>
            <w:vAlign w:val="center"/>
            <w:hideMark/>
          </w:tcPr>
          <w:p w14:paraId="67B516D7" w14:textId="77777777" w:rsidR="002F3D36" w:rsidRPr="002F3D36" w:rsidRDefault="002F3D36" w:rsidP="002F3D36">
            <w:pPr>
              <w:widowControl/>
              <w:jc w:val="left"/>
              <w:rPr>
                <w:rFonts w:ascii="Times New Roman" w:eastAsia="Times New Roman" w:hAnsi="Times New Roman" w:cs="Times New Roman"/>
                <w:kern w:val="0"/>
                <w:sz w:val="20"/>
                <w:szCs w:val="20"/>
              </w:rPr>
            </w:pPr>
          </w:p>
        </w:tc>
      </w:tr>
      <w:tr w:rsidR="002F3D36" w:rsidRPr="002F3D36" w14:paraId="0CAAB127" w14:textId="77777777" w:rsidTr="002F3D36">
        <w:trPr>
          <w:trHeight w:val="160"/>
          <w:tblCellSpacing w:w="15" w:type="dxa"/>
        </w:trPr>
        <w:tc>
          <w:tcPr>
            <w:tcW w:w="0" w:type="auto"/>
            <w:shd w:val="clear" w:color="auto" w:fill="FFFFFF"/>
            <w:vAlign w:val="bottom"/>
            <w:hideMark/>
          </w:tcPr>
          <w:p w14:paraId="359650A9" w14:textId="77777777" w:rsidR="002F3D36" w:rsidRPr="002F3D36" w:rsidRDefault="002F3D36" w:rsidP="002F3D36">
            <w:pPr>
              <w:widowControl/>
              <w:jc w:val="left"/>
              <w:rPr>
                <w:rFonts w:ascii="Times New Roman" w:eastAsia="微软雅黑" w:hAnsi="Times New Roman" w:cs="Times New Roman"/>
                <w:kern w:val="0"/>
                <w:sz w:val="16"/>
                <w:szCs w:val="16"/>
              </w:rPr>
            </w:pPr>
            <w:r w:rsidRPr="002F3D36">
              <w:rPr>
                <w:rFonts w:ascii="Arial" w:eastAsia="微软雅黑" w:hAnsi="Arial" w:cs="Arial"/>
                <w:b/>
                <w:bCs/>
                <w:color w:val="000000"/>
                <w:kern w:val="0"/>
                <w:sz w:val="16"/>
                <w:szCs w:val="16"/>
                <w:u w:val="single"/>
              </w:rPr>
              <w:t>2021 Organic growth1)</w:t>
            </w:r>
          </w:p>
        </w:tc>
        <w:tc>
          <w:tcPr>
            <w:tcW w:w="0" w:type="auto"/>
            <w:shd w:val="clear" w:color="auto" w:fill="FFFFFF"/>
            <w:vAlign w:val="bottom"/>
            <w:hideMark/>
          </w:tcPr>
          <w:p w14:paraId="62A141A7"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tcBorders>
              <w:bottom w:val="single" w:sz="4" w:space="0" w:color="000000"/>
            </w:tcBorders>
            <w:shd w:val="clear" w:color="auto" w:fill="FFFFFF"/>
            <w:vAlign w:val="bottom"/>
            <w:hideMark/>
          </w:tcPr>
          <w:p w14:paraId="5F6090D6"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b/>
                <w:bCs/>
                <w:color w:val="000000"/>
                <w:kern w:val="0"/>
                <w:sz w:val="16"/>
                <w:szCs w:val="16"/>
              </w:rPr>
              <w:t>Americas</w:t>
            </w:r>
          </w:p>
        </w:tc>
        <w:tc>
          <w:tcPr>
            <w:tcW w:w="0" w:type="auto"/>
            <w:shd w:val="clear" w:color="auto" w:fill="FFFFFF"/>
            <w:vAlign w:val="bottom"/>
            <w:hideMark/>
          </w:tcPr>
          <w:p w14:paraId="16A15489"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Times New Roman" w:eastAsia="微软雅黑" w:hAnsi="Times New Roman" w:cs="Times New Roman"/>
                <w:kern w:val="0"/>
                <w:sz w:val="16"/>
                <w:szCs w:val="16"/>
              </w:rPr>
              <w:t> </w:t>
            </w:r>
          </w:p>
        </w:tc>
        <w:tc>
          <w:tcPr>
            <w:tcW w:w="0" w:type="auto"/>
            <w:tcBorders>
              <w:bottom w:val="single" w:sz="4" w:space="0" w:color="000000"/>
            </w:tcBorders>
            <w:shd w:val="clear" w:color="auto" w:fill="FFFFFF"/>
            <w:vAlign w:val="bottom"/>
            <w:hideMark/>
          </w:tcPr>
          <w:p w14:paraId="4634C9BC"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b/>
                <w:bCs/>
                <w:color w:val="000000"/>
                <w:kern w:val="0"/>
                <w:sz w:val="16"/>
                <w:szCs w:val="16"/>
              </w:rPr>
              <w:t>Europe</w:t>
            </w:r>
          </w:p>
        </w:tc>
        <w:tc>
          <w:tcPr>
            <w:tcW w:w="0" w:type="auto"/>
            <w:shd w:val="clear" w:color="auto" w:fill="FFFFFF"/>
            <w:vAlign w:val="bottom"/>
            <w:hideMark/>
          </w:tcPr>
          <w:p w14:paraId="722C1373"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Times New Roman" w:eastAsia="微软雅黑" w:hAnsi="Times New Roman" w:cs="Times New Roman"/>
                <w:kern w:val="0"/>
                <w:sz w:val="16"/>
                <w:szCs w:val="16"/>
              </w:rPr>
              <w:t> </w:t>
            </w:r>
          </w:p>
        </w:tc>
        <w:tc>
          <w:tcPr>
            <w:tcW w:w="0" w:type="auto"/>
            <w:tcBorders>
              <w:bottom w:val="single" w:sz="4" w:space="0" w:color="000000"/>
            </w:tcBorders>
            <w:shd w:val="clear" w:color="auto" w:fill="FFFFFF"/>
            <w:vAlign w:val="bottom"/>
            <w:hideMark/>
          </w:tcPr>
          <w:p w14:paraId="1FF32109"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b/>
                <w:bCs/>
                <w:color w:val="000000"/>
                <w:kern w:val="0"/>
                <w:sz w:val="16"/>
                <w:szCs w:val="16"/>
              </w:rPr>
              <w:t>China</w:t>
            </w:r>
          </w:p>
        </w:tc>
        <w:tc>
          <w:tcPr>
            <w:tcW w:w="0" w:type="auto"/>
            <w:shd w:val="clear" w:color="auto" w:fill="FFFFFF"/>
            <w:vAlign w:val="bottom"/>
            <w:hideMark/>
          </w:tcPr>
          <w:p w14:paraId="4D470C4B"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Times New Roman" w:eastAsia="微软雅黑" w:hAnsi="Times New Roman" w:cs="Times New Roman"/>
                <w:kern w:val="0"/>
                <w:sz w:val="16"/>
                <w:szCs w:val="16"/>
              </w:rPr>
              <w:t> </w:t>
            </w:r>
          </w:p>
        </w:tc>
        <w:tc>
          <w:tcPr>
            <w:tcW w:w="0" w:type="auto"/>
            <w:tcBorders>
              <w:bottom w:val="single" w:sz="4" w:space="0" w:color="000000"/>
            </w:tcBorders>
            <w:shd w:val="clear" w:color="auto" w:fill="FFFFFF"/>
            <w:vAlign w:val="bottom"/>
            <w:hideMark/>
          </w:tcPr>
          <w:p w14:paraId="39AF71AA"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b/>
                <w:bCs/>
                <w:color w:val="000000"/>
                <w:kern w:val="0"/>
                <w:sz w:val="16"/>
                <w:szCs w:val="16"/>
              </w:rPr>
              <w:t>Japan</w:t>
            </w:r>
          </w:p>
        </w:tc>
        <w:tc>
          <w:tcPr>
            <w:tcW w:w="0" w:type="auto"/>
            <w:shd w:val="clear" w:color="auto" w:fill="FFFFFF"/>
            <w:vAlign w:val="bottom"/>
            <w:hideMark/>
          </w:tcPr>
          <w:p w14:paraId="1AA84720"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Times New Roman" w:eastAsia="微软雅黑" w:hAnsi="Times New Roman" w:cs="Times New Roman"/>
                <w:kern w:val="0"/>
                <w:sz w:val="16"/>
                <w:szCs w:val="16"/>
              </w:rPr>
              <w:t> </w:t>
            </w:r>
          </w:p>
        </w:tc>
        <w:tc>
          <w:tcPr>
            <w:tcW w:w="0" w:type="auto"/>
            <w:tcBorders>
              <w:bottom w:val="single" w:sz="4" w:space="0" w:color="000000"/>
            </w:tcBorders>
            <w:shd w:val="clear" w:color="auto" w:fill="FFFFFF"/>
            <w:vAlign w:val="bottom"/>
            <w:hideMark/>
          </w:tcPr>
          <w:p w14:paraId="44BD4B3A"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b/>
                <w:bCs/>
                <w:color w:val="000000"/>
                <w:kern w:val="0"/>
                <w:sz w:val="16"/>
                <w:szCs w:val="16"/>
              </w:rPr>
              <w:t>Rest of Asia</w:t>
            </w:r>
          </w:p>
        </w:tc>
        <w:tc>
          <w:tcPr>
            <w:tcW w:w="0" w:type="auto"/>
            <w:shd w:val="clear" w:color="auto" w:fill="FFFFFF"/>
            <w:vAlign w:val="bottom"/>
            <w:hideMark/>
          </w:tcPr>
          <w:p w14:paraId="2CFBB72E"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Times New Roman" w:eastAsia="微软雅黑" w:hAnsi="Times New Roman" w:cs="Times New Roman"/>
                <w:kern w:val="0"/>
                <w:sz w:val="16"/>
                <w:szCs w:val="16"/>
              </w:rPr>
              <w:t> </w:t>
            </w:r>
          </w:p>
        </w:tc>
        <w:tc>
          <w:tcPr>
            <w:tcW w:w="0" w:type="auto"/>
            <w:tcBorders>
              <w:bottom w:val="single" w:sz="4" w:space="0" w:color="000000"/>
            </w:tcBorders>
            <w:shd w:val="clear" w:color="auto" w:fill="FFFFFF"/>
            <w:vAlign w:val="bottom"/>
            <w:hideMark/>
          </w:tcPr>
          <w:p w14:paraId="4FAF21A6"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b/>
                <w:bCs/>
                <w:color w:val="000000"/>
                <w:kern w:val="0"/>
                <w:sz w:val="16"/>
                <w:szCs w:val="16"/>
              </w:rPr>
              <w:t>Global</w:t>
            </w:r>
          </w:p>
        </w:tc>
      </w:tr>
      <w:tr w:rsidR="002F3D36" w:rsidRPr="002F3D36" w14:paraId="447000B8" w14:textId="77777777" w:rsidTr="002F3D36">
        <w:trPr>
          <w:trHeight w:val="180"/>
          <w:tblCellSpacing w:w="15" w:type="dxa"/>
        </w:trPr>
        <w:tc>
          <w:tcPr>
            <w:tcW w:w="0" w:type="auto"/>
            <w:shd w:val="clear" w:color="auto" w:fill="CFF0FC"/>
            <w:vAlign w:val="center"/>
            <w:hideMark/>
          </w:tcPr>
          <w:p w14:paraId="0B5AE27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Autoliv</w:t>
            </w:r>
          </w:p>
        </w:tc>
        <w:tc>
          <w:tcPr>
            <w:tcW w:w="0" w:type="auto"/>
            <w:shd w:val="clear" w:color="auto" w:fill="CFF0FC"/>
            <w:vAlign w:val="center"/>
            <w:hideMark/>
          </w:tcPr>
          <w:p w14:paraId="38AE92A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center"/>
            <w:hideMark/>
          </w:tcPr>
          <w:p w14:paraId="1C3DA71B" w14:textId="77777777" w:rsidR="002F3D36" w:rsidRPr="002F3D36" w:rsidRDefault="002F3D36" w:rsidP="002F3D36">
            <w:pPr>
              <w:widowControl/>
              <w:jc w:val="center"/>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7.3%</w:t>
            </w:r>
          </w:p>
        </w:tc>
        <w:tc>
          <w:tcPr>
            <w:tcW w:w="0" w:type="auto"/>
            <w:shd w:val="clear" w:color="auto" w:fill="CFF0FC"/>
            <w:vAlign w:val="center"/>
            <w:hideMark/>
          </w:tcPr>
          <w:p w14:paraId="04406964" w14:textId="77777777" w:rsidR="002F3D36" w:rsidRPr="002F3D36" w:rsidRDefault="002F3D36" w:rsidP="002F3D36">
            <w:pPr>
              <w:widowControl/>
              <w:jc w:val="center"/>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center"/>
            <w:hideMark/>
          </w:tcPr>
          <w:p w14:paraId="3617C5BF" w14:textId="77777777" w:rsidR="002F3D36" w:rsidRPr="002F3D36" w:rsidRDefault="002F3D36" w:rsidP="002F3D36">
            <w:pPr>
              <w:widowControl/>
              <w:jc w:val="center"/>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7.2%</w:t>
            </w:r>
          </w:p>
        </w:tc>
        <w:tc>
          <w:tcPr>
            <w:tcW w:w="0" w:type="auto"/>
            <w:shd w:val="clear" w:color="auto" w:fill="CFF0FC"/>
            <w:vAlign w:val="center"/>
            <w:hideMark/>
          </w:tcPr>
          <w:p w14:paraId="4909EE81" w14:textId="77777777" w:rsidR="002F3D36" w:rsidRPr="002F3D36" w:rsidRDefault="002F3D36" w:rsidP="002F3D36">
            <w:pPr>
              <w:widowControl/>
              <w:jc w:val="center"/>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center"/>
            <w:hideMark/>
          </w:tcPr>
          <w:p w14:paraId="1D0F9498" w14:textId="77777777" w:rsidR="002F3D36" w:rsidRPr="002F3D36" w:rsidRDefault="002F3D36" w:rsidP="002F3D36">
            <w:pPr>
              <w:widowControl/>
              <w:jc w:val="center"/>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7.5%</w:t>
            </w:r>
          </w:p>
        </w:tc>
        <w:tc>
          <w:tcPr>
            <w:tcW w:w="0" w:type="auto"/>
            <w:shd w:val="clear" w:color="auto" w:fill="CFF0FC"/>
            <w:vAlign w:val="center"/>
            <w:hideMark/>
          </w:tcPr>
          <w:p w14:paraId="79C45ADD" w14:textId="77777777" w:rsidR="002F3D36" w:rsidRPr="002F3D36" w:rsidRDefault="002F3D36" w:rsidP="002F3D36">
            <w:pPr>
              <w:widowControl/>
              <w:jc w:val="center"/>
              <w:rPr>
                <w:rFonts w:ascii="Times New Roman" w:eastAsia="微软雅黑" w:hAnsi="Times New Roman" w:cs="Times New Roman"/>
                <w:kern w:val="0"/>
                <w:sz w:val="18"/>
                <w:szCs w:val="18"/>
              </w:rPr>
            </w:pPr>
            <w:r w:rsidRPr="002F3D36">
              <w:rPr>
                <w:rFonts w:ascii="Times New Roman" w:eastAsia="微软雅黑" w:hAnsi="Times New Roman" w:cs="Times New Roman"/>
                <w:kern w:val="0"/>
                <w:sz w:val="18"/>
                <w:szCs w:val="18"/>
              </w:rPr>
              <w:t> </w:t>
            </w:r>
          </w:p>
        </w:tc>
        <w:tc>
          <w:tcPr>
            <w:tcW w:w="0" w:type="auto"/>
            <w:shd w:val="clear" w:color="auto" w:fill="CFF0FC"/>
            <w:vAlign w:val="center"/>
            <w:hideMark/>
          </w:tcPr>
          <w:p w14:paraId="7CDED3B5" w14:textId="77777777" w:rsidR="002F3D36" w:rsidRPr="002F3D36" w:rsidRDefault="002F3D36" w:rsidP="002F3D36">
            <w:pPr>
              <w:widowControl/>
              <w:jc w:val="center"/>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2.7%</w:t>
            </w:r>
          </w:p>
        </w:tc>
        <w:tc>
          <w:tcPr>
            <w:tcW w:w="0" w:type="auto"/>
            <w:shd w:val="clear" w:color="auto" w:fill="CFF0FC"/>
            <w:vAlign w:val="center"/>
            <w:hideMark/>
          </w:tcPr>
          <w:p w14:paraId="0B6CB7AD" w14:textId="77777777" w:rsidR="002F3D36" w:rsidRPr="002F3D36" w:rsidRDefault="002F3D36" w:rsidP="002F3D36">
            <w:pPr>
              <w:widowControl/>
              <w:jc w:val="center"/>
              <w:rPr>
                <w:rFonts w:ascii="Times New Roman" w:eastAsia="微软雅黑" w:hAnsi="Times New Roman" w:cs="Times New Roman"/>
                <w:kern w:val="0"/>
                <w:sz w:val="18"/>
                <w:szCs w:val="18"/>
              </w:rPr>
            </w:pPr>
            <w:r w:rsidRPr="002F3D36">
              <w:rPr>
                <w:rFonts w:ascii="Times New Roman" w:eastAsia="微软雅黑" w:hAnsi="Times New Roman" w:cs="Times New Roman"/>
                <w:kern w:val="0"/>
                <w:sz w:val="18"/>
                <w:szCs w:val="18"/>
              </w:rPr>
              <w:t> </w:t>
            </w:r>
          </w:p>
        </w:tc>
        <w:tc>
          <w:tcPr>
            <w:tcW w:w="0" w:type="auto"/>
            <w:shd w:val="clear" w:color="auto" w:fill="CFF0FC"/>
            <w:vAlign w:val="center"/>
            <w:hideMark/>
          </w:tcPr>
          <w:p w14:paraId="64CF1122" w14:textId="77777777" w:rsidR="002F3D36" w:rsidRPr="002F3D36" w:rsidRDefault="002F3D36" w:rsidP="002F3D36">
            <w:pPr>
              <w:widowControl/>
              <w:jc w:val="center"/>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17.0%</w:t>
            </w:r>
          </w:p>
        </w:tc>
        <w:tc>
          <w:tcPr>
            <w:tcW w:w="0" w:type="auto"/>
            <w:shd w:val="clear" w:color="auto" w:fill="CFF0FC"/>
            <w:vAlign w:val="center"/>
            <w:hideMark/>
          </w:tcPr>
          <w:p w14:paraId="76D12269" w14:textId="77777777" w:rsidR="002F3D36" w:rsidRPr="002F3D36" w:rsidRDefault="002F3D36" w:rsidP="002F3D36">
            <w:pPr>
              <w:widowControl/>
              <w:jc w:val="center"/>
              <w:rPr>
                <w:rFonts w:ascii="Times New Roman" w:eastAsia="微软雅黑" w:hAnsi="Times New Roman" w:cs="Times New Roman"/>
                <w:kern w:val="0"/>
                <w:sz w:val="18"/>
                <w:szCs w:val="18"/>
              </w:rPr>
            </w:pPr>
            <w:r w:rsidRPr="002F3D36">
              <w:rPr>
                <w:rFonts w:ascii="Times New Roman" w:eastAsia="微软雅黑" w:hAnsi="Times New Roman" w:cs="Times New Roman"/>
                <w:kern w:val="0"/>
                <w:sz w:val="18"/>
                <w:szCs w:val="18"/>
              </w:rPr>
              <w:t> </w:t>
            </w:r>
          </w:p>
        </w:tc>
        <w:tc>
          <w:tcPr>
            <w:tcW w:w="0" w:type="auto"/>
            <w:shd w:val="clear" w:color="auto" w:fill="CFF0FC"/>
            <w:vAlign w:val="center"/>
            <w:hideMark/>
          </w:tcPr>
          <w:p w14:paraId="502206E9" w14:textId="77777777" w:rsidR="002F3D36" w:rsidRPr="002F3D36" w:rsidRDefault="002F3D36" w:rsidP="002F3D36">
            <w:pPr>
              <w:widowControl/>
              <w:jc w:val="center"/>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7.9%</w:t>
            </w:r>
          </w:p>
        </w:tc>
      </w:tr>
      <w:tr w:rsidR="002F3D36" w:rsidRPr="002F3D36" w14:paraId="2D93D035" w14:textId="77777777" w:rsidTr="002F3D36">
        <w:trPr>
          <w:trHeight w:val="180"/>
          <w:tblCellSpacing w:w="15" w:type="dxa"/>
        </w:trPr>
        <w:tc>
          <w:tcPr>
            <w:tcW w:w="0" w:type="auto"/>
            <w:shd w:val="clear" w:color="auto" w:fill="FFFFFF"/>
            <w:vAlign w:val="center"/>
            <w:hideMark/>
          </w:tcPr>
          <w:p w14:paraId="17D8782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Main growth drivers</w:t>
            </w:r>
          </w:p>
        </w:tc>
        <w:tc>
          <w:tcPr>
            <w:tcW w:w="0" w:type="auto"/>
            <w:shd w:val="clear" w:color="auto" w:fill="FFFFFF"/>
            <w:vAlign w:val="center"/>
            <w:hideMark/>
          </w:tcPr>
          <w:p w14:paraId="6686137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center"/>
            <w:hideMark/>
          </w:tcPr>
          <w:p w14:paraId="40A55E8C" w14:textId="77777777" w:rsidR="002F3D36" w:rsidRPr="002F3D36" w:rsidRDefault="002F3D36" w:rsidP="002F3D36">
            <w:pPr>
              <w:widowControl/>
              <w:jc w:val="center"/>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Toyota, Stellantis, Ford</w:t>
            </w:r>
          </w:p>
        </w:tc>
        <w:tc>
          <w:tcPr>
            <w:tcW w:w="0" w:type="auto"/>
            <w:shd w:val="clear" w:color="auto" w:fill="FFFFFF"/>
            <w:vAlign w:val="center"/>
            <w:hideMark/>
          </w:tcPr>
          <w:p w14:paraId="2329020B" w14:textId="77777777" w:rsidR="002F3D36" w:rsidRPr="002F3D36" w:rsidRDefault="002F3D36" w:rsidP="002F3D36">
            <w:pPr>
              <w:widowControl/>
              <w:jc w:val="center"/>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center"/>
            <w:hideMark/>
          </w:tcPr>
          <w:p w14:paraId="77402A06" w14:textId="77777777" w:rsidR="002F3D36" w:rsidRPr="002F3D36" w:rsidRDefault="002F3D36" w:rsidP="002F3D36">
            <w:pPr>
              <w:widowControl/>
              <w:jc w:val="center"/>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Daimler, VW, BMW</w:t>
            </w:r>
          </w:p>
        </w:tc>
        <w:tc>
          <w:tcPr>
            <w:tcW w:w="0" w:type="auto"/>
            <w:shd w:val="clear" w:color="auto" w:fill="FFFFFF"/>
            <w:vAlign w:val="center"/>
            <w:hideMark/>
          </w:tcPr>
          <w:p w14:paraId="739913B3" w14:textId="77777777" w:rsidR="002F3D36" w:rsidRPr="002F3D36" w:rsidRDefault="002F3D36" w:rsidP="002F3D36">
            <w:pPr>
              <w:widowControl/>
              <w:jc w:val="center"/>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center"/>
            <w:hideMark/>
          </w:tcPr>
          <w:p w14:paraId="5295AD0B" w14:textId="77777777" w:rsidR="002F3D36" w:rsidRPr="002F3D36" w:rsidRDefault="002F3D36" w:rsidP="002F3D36">
            <w:pPr>
              <w:widowControl/>
              <w:jc w:val="center"/>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Geely, GM,</w:t>
            </w:r>
            <w:r w:rsidRPr="002F3D36">
              <w:rPr>
                <w:rFonts w:ascii="Arial" w:eastAsia="微软雅黑" w:hAnsi="Arial" w:cs="Arial"/>
                <w:color w:val="000000"/>
                <w:kern w:val="0"/>
                <w:sz w:val="18"/>
                <w:szCs w:val="18"/>
              </w:rPr>
              <w:br/>
              <w:t>Wuling</w:t>
            </w:r>
          </w:p>
        </w:tc>
        <w:tc>
          <w:tcPr>
            <w:tcW w:w="0" w:type="auto"/>
            <w:shd w:val="clear" w:color="auto" w:fill="FFFFFF"/>
            <w:vAlign w:val="center"/>
            <w:hideMark/>
          </w:tcPr>
          <w:p w14:paraId="531C51F1" w14:textId="77777777" w:rsidR="002F3D36" w:rsidRPr="002F3D36" w:rsidRDefault="002F3D36" w:rsidP="002F3D36">
            <w:pPr>
              <w:widowControl/>
              <w:jc w:val="center"/>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center"/>
            <w:hideMark/>
          </w:tcPr>
          <w:p w14:paraId="00806751" w14:textId="77777777" w:rsidR="002F3D36" w:rsidRPr="002F3D36" w:rsidRDefault="002F3D36" w:rsidP="002F3D36">
            <w:pPr>
              <w:widowControl/>
              <w:jc w:val="center"/>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Mitsubishi,</w:t>
            </w:r>
            <w:r w:rsidRPr="002F3D36">
              <w:rPr>
                <w:rFonts w:ascii="Arial" w:eastAsia="微软雅黑" w:hAnsi="Arial" w:cs="Arial"/>
                <w:color w:val="000000"/>
                <w:kern w:val="0"/>
                <w:sz w:val="18"/>
                <w:szCs w:val="18"/>
              </w:rPr>
              <w:br/>
              <w:t>Toyota,</w:t>
            </w:r>
            <w:r w:rsidRPr="002F3D36">
              <w:rPr>
                <w:rFonts w:ascii="Arial" w:eastAsia="微软雅黑" w:hAnsi="Arial" w:cs="Arial"/>
                <w:color w:val="000000"/>
                <w:kern w:val="0"/>
                <w:sz w:val="18"/>
                <w:szCs w:val="18"/>
              </w:rPr>
              <w:br/>
              <w:t>Nissan</w:t>
            </w:r>
          </w:p>
        </w:tc>
        <w:tc>
          <w:tcPr>
            <w:tcW w:w="0" w:type="auto"/>
            <w:shd w:val="clear" w:color="auto" w:fill="FFFFFF"/>
            <w:vAlign w:val="center"/>
            <w:hideMark/>
          </w:tcPr>
          <w:p w14:paraId="59083CF4" w14:textId="77777777" w:rsidR="002F3D36" w:rsidRPr="002F3D36" w:rsidRDefault="002F3D36" w:rsidP="002F3D36">
            <w:pPr>
              <w:widowControl/>
              <w:jc w:val="center"/>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center"/>
            <w:hideMark/>
          </w:tcPr>
          <w:p w14:paraId="2C175521" w14:textId="77777777" w:rsidR="002F3D36" w:rsidRPr="002F3D36" w:rsidRDefault="002F3D36" w:rsidP="002F3D36">
            <w:pPr>
              <w:widowControl/>
              <w:jc w:val="center"/>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Mitsubishi,</w:t>
            </w:r>
            <w:r w:rsidRPr="002F3D36">
              <w:rPr>
                <w:rFonts w:ascii="Arial" w:eastAsia="微软雅黑" w:hAnsi="Arial" w:cs="Arial"/>
                <w:color w:val="000000"/>
                <w:kern w:val="0"/>
                <w:sz w:val="18"/>
                <w:szCs w:val="18"/>
              </w:rPr>
              <w:br/>
              <w:t>Toyota, Tata</w:t>
            </w:r>
          </w:p>
        </w:tc>
        <w:tc>
          <w:tcPr>
            <w:tcW w:w="0" w:type="auto"/>
            <w:shd w:val="clear" w:color="auto" w:fill="FFFFFF"/>
            <w:vAlign w:val="center"/>
            <w:hideMark/>
          </w:tcPr>
          <w:p w14:paraId="162994EE" w14:textId="77777777" w:rsidR="002F3D36" w:rsidRPr="002F3D36" w:rsidRDefault="002F3D36" w:rsidP="002F3D36">
            <w:pPr>
              <w:widowControl/>
              <w:jc w:val="center"/>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center"/>
            <w:hideMark/>
          </w:tcPr>
          <w:p w14:paraId="54431BF1" w14:textId="77777777" w:rsidR="002F3D36" w:rsidRPr="002F3D36" w:rsidRDefault="002F3D36" w:rsidP="002F3D36">
            <w:pPr>
              <w:widowControl/>
              <w:jc w:val="center"/>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Toyota,</w:t>
            </w:r>
            <w:r w:rsidRPr="002F3D36">
              <w:rPr>
                <w:rFonts w:ascii="Arial" w:eastAsia="微软雅黑" w:hAnsi="Arial" w:cs="Arial"/>
                <w:color w:val="000000"/>
                <w:kern w:val="0"/>
                <w:sz w:val="18"/>
                <w:szCs w:val="18"/>
              </w:rPr>
              <w:br/>
              <w:t>Stellantis,</w:t>
            </w:r>
            <w:r w:rsidRPr="002F3D36">
              <w:rPr>
                <w:rFonts w:ascii="Arial" w:eastAsia="微软雅黑" w:hAnsi="Arial" w:cs="Arial"/>
                <w:color w:val="000000"/>
                <w:kern w:val="0"/>
                <w:sz w:val="18"/>
                <w:szCs w:val="18"/>
              </w:rPr>
              <w:br/>
              <w:t>Mitsubishi</w:t>
            </w:r>
          </w:p>
        </w:tc>
      </w:tr>
      <w:tr w:rsidR="002F3D36" w:rsidRPr="002F3D36" w14:paraId="37571347" w14:textId="77777777" w:rsidTr="002F3D36">
        <w:trPr>
          <w:trHeight w:val="180"/>
          <w:tblCellSpacing w:w="15" w:type="dxa"/>
        </w:trPr>
        <w:tc>
          <w:tcPr>
            <w:tcW w:w="0" w:type="auto"/>
            <w:shd w:val="clear" w:color="auto" w:fill="CFF0FC"/>
            <w:vAlign w:val="center"/>
            <w:hideMark/>
          </w:tcPr>
          <w:p w14:paraId="1AA74B1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Main decline drivers</w:t>
            </w:r>
          </w:p>
        </w:tc>
        <w:tc>
          <w:tcPr>
            <w:tcW w:w="0" w:type="auto"/>
            <w:shd w:val="clear" w:color="auto" w:fill="CFF0FC"/>
            <w:vAlign w:val="center"/>
            <w:hideMark/>
          </w:tcPr>
          <w:p w14:paraId="1EF7551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center"/>
            <w:hideMark/>
          </w:tcPr>
          <w:p w14:paraId="1187461E" w14:textId="77777777" w:rsidR="002F3D36" w:rsidRPr="002F3D36" w:rsidRDefault="002F3D36" w:rsidP="002F3D36">
            <w:pPr>
              <w:widowControl/>
              <w:jc w:val="center"/>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Honda, Subaru,</w:t>
            </w:r>
            <w:r w:rsidRPr="002F3D36">
              <w:rPr>
                <w:rFonts w:ascii="Arial" w:eastAsia="微软雅黑" w:hAnsi="Arial" w:cs="Arial"/>
                <w:color w:val="000000"/>
                <w:kern w:val="0"/>
                <w:sz w:val="18"/>
                <w:szCs w:val="18"/>
              </w:rPr>
              <w:br/>
              <w:t>Mazda</w:t>
            </w:r>
          </w:p>
        </w:tc>
        <w:tc>
          <w:tcPr>
            <w:tcW w:w="0" w:type="auto"/>
            <w:shd w:val="clear" w:color="auto" w:fill="CFF0FC"/>
            <w:vAlign w:val="center"/>
            <w:hideMark/>
          </w:tcPr>
          <w:p w14:paraId="0D99B7AE" w14:textId="77777777" w:rsidR="002F3D36" w:rsidRPr="002F3D36" w:rsidRDefault="002F3D36" w:rsidP="002F3D36">
            <w:pPr>
              <w:widowControl/>
              <w:jc w:val="center"/>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center"/>
            <w:hideMark/>
          </w:tcPr>
          <w:p w14:paraId="5D284C53" w14:textId="77777777" w:rsidR="002F3D36" w:rsidRPr="002F3D36" w:rsidRDefault="002F3D36" w:rsidP="002F3D36">
            <w:pPr>
              <w:widowControl/>
              <w:jc w:val="center"/>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Renault, Ford,</w:t>
            </w:r>
            <w:r w:rsidRPr="002F3D36">
              <w:rPr>
                <w:rFonts w:ascii="Arial" w:eastAsia="微软雅黑" w:hAnsi="Arial" w:cs="Arial"/>
                <w:color w:val="000000"/>
                <w:kern w:val="0"/>
                <w:sz w:val="18"/>
                <w:szCs w:val="18"/>
              </w:rPr>
              <w:br/>
              <w:t>Nissan</w:t>
            </w:r>
          </w:p>
        </w:tc>
        <w:tc>
          <w:tcPr>
            <w:tcW w:w="0" w:type="auto"/>
            <w:shd w:val="clear" w:color="auto" w:fill="CFF0FC"/>
            <w:vAlign w:val="center"/>
            <w:hideMark/>
          </w:tcPr>
          <w:p w14:paraId="6E04FC3E" w14:textId="77777777" w:rsidR="002F3D36" w:rsidRPr="002F3D36" w:rsidRDefault="002F3D36" w:rsidP="002F3D36">
            <w:pPr>
              <w:widowControl/>
              <w:jc w:val="center"/>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center"/>
            <w:hideMark/>
          </w:tcPr>
          <w:p w14:paraId="504DCC89" w14:textId="77777777" w:rsidR="002F3D36" w:rsidRPr="002F3D36" w:rsidRDefault="002F3D36" w:rsidP="002F3D36">
            <w:pPr>
              <w:widowControl/>
              <w:jc w:val="center"/>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VW,</w:t>
            </w:r>
            <w:r w:rsidRPr="002F3D36">
              <w:rPr>
                <w:rFonts w:ascii="Arial" w:eastAsia="微软雅黑" w:hAnsi="Arial" w:cs="Arial"/>
                <w:color w:val="000000"/>
                <w:kern w:val="0"/>
                <w:sz w:val="18"/>
                <w:szCs w:val="18"/>
              </w:rPr>
              <w:br/>
              <w:t>Hyundai/Kia,</w:t>
            </w:r>
            <w:r w:rsidRPr="002F3D36">
              <w:rPr>
                <w:rFonts w:ascii="Arial" w:eastAsia="微软雅黑" w:hAnsi="Arial" w:cs="Arial"/>
                <w:color w:val="000000"/>
                <w:kern w:val="0"/>
                <w:sz w:val="18"/>
                <w:szCs w:val="18"/>
              </w:rPr>
              <w:br/>
              <w:t>Great Wall</w:t>
            </w:r>
          </w:p>
        </w:tc>
        <w:tc>
          <w:tcPr>
            <w:tcW w:w="0" w:type="auto"/>
            <w:shd w:val="clear" w:color="auto" w:fill="CFF0FC"/>
            <w:vAlign w:val="center"/>
            <w:hideMark/>
          </w:tcPr>
          <w:p w14:paraId="53AC80E8" w14:textId="77777777" w:rsidR="002F3D36" w:rsidRPr="002F3D36" w:rsidRDefault="002F3D36" w:rsidP="002F3D36">
            <w:pPr>
              <w:widowControl/>
              <w:jc w:val="center"/>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center"/>
            <w:hideMark/>
          </w:tcPr>
          <w:p w14:paraId="1BDA15A8" w14:textId="77777777" w:rsidR="002F3D36" w:rsidRPr="002F3D36" w:rsidRDefault="002F3D36" w:rsidP="002F3D36">
            <w:pPr>
              <w:widowControl/>
              <w:jc w:val="center"/>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Honda,</w:t>
            </w:r>
            <w:r w:rsidRPr="002F3D36">
              <w:rPr>
                <w:rFonts w:ascii="Arial" w:eastAsia="微软雅黑" w:hAnsi="Arial" w:cs="Arial"/>
                <w:color w:val="000000"/>
                <w:kern w:val="0"/>
                <w:sz w:val="18"/>
                <w:szCs w:val="18"/>
              </w:rPr>
              <w:br/>
              <w:t>Mazda</w:t>
            </w:r>
          </w:p>
        </w:tc>
        <w:tc>
          <w:tcPr>
            <w:tcW w:w="0" w:type="auto"/>
            <w:shd w:val="clear" w:color="auto" w:fill="CFF0FC"/>
            <w:vAlign w:val="center"/>
            <w:hideMark/>
          </w:tcPr>
          <w:p w14:paraId="187D8B8D" w14:textId="77777777" w:rsidR="002F3D36" w:rsidRPr="002F3D36" w:rsidRDefault="002F3D36" w:rsidP="002F3D36">
            <w:pPr>
              <w:widowControl/>
              <w:jc w:val="center"/>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center"/>
            <w:hideMark/>
          </w:tcPr>
          <w:p w14:paraId="235F5892" w14:textId="77777777" w:rsidR="002F3D36" w:rsidRPr="002F3D36" w:rsidRDefault="002F3D36" w:rsidP="002F3D36">
            <w:pPr>
              <w:widowControl/>
              <w:jc w:val="center"/>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Hyundai/Kia,</w:t>
            </w:r>
            <w:r w:rsidRPr="002F3D36">
              <w:rPr>
                <w:rFonts w:ascii="Arial" w:eastAsia="微软雅黑" w:hAnsi="Arial" w:cs="Arial"/>
                <w:color w:val="000000"/>
                <w:kern w:val="0"/>
                <w:sz w:val="18"/>
                <w:szCs w:val="18"/>
              </w:rPr>
              <w:br/>
              <w:t>SsangYong</w:t>
            </w:r>
          </w:p>
        </w:tc>
        <w:tc>
          <w:tcPr>
            <w:tcW w:w="0" w:type="auto"/>
            <w:shd w:val="clear" w:color="auto" w:fill="CFF0FC"/>
            <w:vAlign w:val="center"/>
            <w:hideMark/>
          </w:tcPr>
          <w:p w14:paraId="1BD5A34C" w14:textId="77777777" w:rsidR="002F3D36" w:rsidRPr="002F3D36" w:rsidRDefault="002F3D36" w:rsidP="002F3D36">
            <w:pPr>
              <w:widowControl/>
              <w:jc w:val="center"/>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center"/>
            <w:hideMark/>
          </w:tcPr>
          <w:p w14:paraId="6DE64E4F" w14:textId="77777777" w:rsidR="002F3D36" w:rsidRPr="002F3D36" w:rsidRDefault="002F3D36" w:rsidP="002F3D36">
            <w:pPr>
              <w:widowControl/>
              <w:jc w:val="center"/>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Honda,</w:t>
            </w:r>
            <w:r w:rsidRPr="002F3D36">
              <w:rPr>
                <w:rFonts w:ascii="Arial" w:eastAsia="微软雅黑" w:hAnsi="Arial" w:cs="Arial"/>
                <w:color w:val="000000"/>
                <w:kern w:val="0"/>
                <w:sz w:val="18"/>
                <w:szCs w:val="18"/>
              </w:rPr>
              <w:br/>
              <w:t>Great Wall,</w:t>
            </w:r>
            <w:r w:rsidRPr="002F3D36">
              <w:rPr>
                <w:rFonts w:ascii="Arial" w:eastAsia="微软雅黑" w:hAnsi="Arial" w:cs="Arial"/>
                <w:color w:val="000000"/>
                <w:kern w:val="0"/>
                <w:sz w:val="18"/>
                <w:szCs w:val="18"/>
              </w:rPr>
              <w:br/>
              <w:t>BYD</w:t>
            </w:r>
          </w:p>
        </w:tc>
      </w:tr>
      <w:tr w:rsidR="002F3D36" w:rsidRPr="002F3D36" w14:paraId="0B6E224F" w14:textId="77777777" w:rsidTr="002F3D36">
        <w:trPr>
          <w:trHeight w:val="160"/>
          <w:tblCellSpacing w:w="15" w:type="dxa"/>
        </w:trPr>
        <w:tc>
          <w:tcPr>
            <w:tcW w:w="0" w:type="auto"/>
            <w:vAlign w:val="bottom"/>
            <w:hideMark/>
          </w:tcPr>
          <w:p w14:paraId="228B57E5" w14:textId="77777777" w:rsidR="002F3D36" w:rsidRPr="002F3D36" w:rsidRDefault="002F3D36" w:rsidP="002F3D36">
            <w:pPr>
              <w:widowControl/>
              <w:jc w:val="left"/>
              <w:rPr>
                <w:rFonts w:ascii="Times New Roman" w:eastAsia="微软雅黑" w:hAnsi="Times New Roman" w:cs="Times New Roman"/>
                <w:kern w:val="0"/>
                <w:sz w:val="16"/>
                <w:szCs w:val="16"/>
              </w:rPr>
            </w:pPr>
            <w:r w:rsidRPr="002F3D36">
              <w:rPr>
                <w:rFonts w:ascii="Arial" w:eastAsia="微软雅黑" w:hAnsi="Arial" w:cs="Arial"/>
                <w:color w:val="000000"/>
                <w:kern w:val="0"/>
                <w:sz w:val="11"/>
                <w:szCs w:val="11"/>
              </w:rPr>
              <w:t>1)</w:t>
            </w:r>
            <w:r w:rsidRPr="002F3D36">
              <w:rPr>
                <w:rFonts w:ascii="Arial" w:eastAsia="微软雅黑" w:hAnsi="Arial" w:cs="Arial"/>
                <w:color w:val="000000"/>
                <w:kern w:val="0"/>
                <w:sz w:val="16"/>
                <w:szCs w:val="16"/>
              </w:rPr>
              <w:t> Non-U.S. GAAP Measure</w:t>
            </w:r>
          </w:p>
        </w:tc>
        <w:tc>
          <w:tcPr>
            <w:tcW w:w="0" w:type="auto"/>
            <w:vAlign w:val="bottom"/>
            <w:hideMark/>
          </w:tcPr>
          <w:p w14:paraId="56B7C28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62ADD8A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425D804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180FA03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2A82A8E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7195E1C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1E0497C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313F24D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5E749EB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3AF9100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7FE8653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11808B5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bl>
    <w:p w14:paraId="1B26EFCB"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Times New Roman" w:eastAsia="宋体" w:hAnsi="Times New Roman" w:cs="Times New Roman"/>
          <w:color w:val="000000"/>
          <w:kern w:val="0"/>
          <w:sz w:val="20"/>
          <w:szCs w:val="20"/>
        </w:rPr>
        <w:t> </w:t>
      </w:r>
    </w:p>
    <w:p w14:paraId="3FC9EFF9" w14:textId="77777777" w:rsidR="002F3D36" w:rsidRPr="002F3D36" w:rsidRDefault="002F3D36" w:rsidP="002F3D36">
      <w:pPr>
        <w:widowControl/>
        <w:spacing w:before="240"/>
        <w:jc w:val="center"/>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36</w:t>
      </w:r>
    </w:p>
    <w:p w14:paraId="41080A42" w14:textId="77777777" w:rsidR="002F3D36" w:rsidRPr="002F3D36" w:rsidRDefault="002F3D36" w:rsidP="002F3D36">
      <w:pPr>
        <w:widowControl/>
        <w:jc w:val="left"/>
        <w:rPr>
          <w:rFonts w:ascii="宋体" w:eastAsia="宋体" w:hAnsi="宋体" w:cs="宋体"/>
          <w:kern w:val="0"/>
          <w:sz w:val="24"/>
          <w:szCs w:val="24"/>
        </w:rPr>
      </w:pPr>
      <w:r w:rsidRPr="002F3D36">
        <w:rPr>
          <w:rFonts w:ascii="宋体" w:eastAsia="宋体" w:hAnsi="宋体" w:cs="宋体"/>
          <w:kern w:val="0"/>
          <w:sz w:val="24"/>
          <w:szCs w:val="24"/>
        </w:rPr>
        <w:pict w14:anchorId="1EFF6CEC">
          <v:rect id="_x0000_i1063" style="width:0;height:1.5pt" o:hralign="center" o:hrstd="t" o:hrnoshade="t" o:hr="t" fillcolor="black" stroked="f"/>
        </w:pict>
      </w:r>
    </w:p>
    <w:p w14:paraId="6C7E67E8" w14:textId="77777777" w:rsidR="002F3D36" w:rsidRPr="002F3D36" w:rsidRDefault="002F3D36" w:rsidP="002F3D36">
      <w:pPr>
        <w:widowControl/>
        <w:spacing w:line="20" w:lineRule="atLeast"/>
        <w:jc w:val="left"/>
        <w:rPr>
          <w:rFonts w:ascii="Times New Roman" w:eastAsia="宋体" w:hAnsi="Times New Roman" w:cs="Times New Roman"/>
          <w:color w:val="000000"/>
          <w:kern w:val="0"/>
          <w:sz w:val="20"/>
          <w:szCs w:val="20"/>
        </w:rPr>
      </w:pPr>
      <w:r w:rsidRPr="002F3D36">
        <w:rPr>
          <w:rFonts w:ascii="Arial" w:eastAsia="宋体" w:hAnsi="Arial" w:cs="Arial"/>
          <w:color w:val="000000"/>
          <w:kern w:val="0"/>
          <w:sz w:val="2"/>
          <w:szCs w:val="2"/>
        </w:rPr>
        <w:t> </w:t>
      </w:r>
    </w:p>
    <w:p w14:paraId="486518A1" w14:textId="77777777" w:rsidR="002F3D36" w:rsidRPr="002F3D36" w:rsidRDefault="002F3D36" w:rsidP="002F3D36">
      <w:pPr>
        <w:widowControl/>
        <w:spacing w:before="16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Condensed Statement of Income</w:t>
      </w:r>
    </w:p>
    <w:p w14:paraId="696EC150"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w:t>
      </w:r>
    </w:p>
    <w:tbl>
      <w:tblPr>
        <w:tblW w:w="20614" w:type="dxa"/>
        <w:tblCellSpacing w:w="15" w:type="dxa"/>
        <w:tblCellMar>
          <w:top w:w="15" w:type="dxa"/>
          <w:left w:w="15" w:type="dxa"/>
          <w:bottom w:w="15" w:type="dxa"/>
          <w:right w:w="15" w:type="dxa"/>
        </w:tblCellMar>
        <w:tblLook w:val="04A0" w:firstRow="1" w:lastRow="0" w:firstColumn="1" w:lastColumn="0" w:noHBand="0" w:noVBand="1"/>
      </w:tblPr>
      <w:tblGrid>
        <w:gridCol w:w="11694"/>
        <w:gridCol w:w="272"/>
        <w:gridCol w:w="1933"/>
        <w:gridCol w:w="562"/>
        <w:gridCol w:w="308"/>
        <w:gridCol w:w="272"/>
        <w:gridCol w:w="1933"/>
        <w:gridCol w:w="562"/>
        <w:gridCol w:w="308"/>
        <w:gridCol w:w="150"/>
        <w:gridCol w:w="2042"/>
        <w:gridCol w:w="578"/>
      </w:tblGrid>
      <w:tr w:rsidR="002F3D36" w:rsidRPr="002F3D36" w14:paraId="471E9FD8" w14:textId="77777777" w:rsidTr="002F3D36">
        <w:trPr>
          <w:tblCellSpacing w:w="15" w:type="dxa"/>
        </w:trPr>
        <w:tc>
          <w:tcPr>
            <w:tcW w:w="11670" w:type="dxa"/>
            <w:vAlign w:val="center"/>
            <w:hideMark/>
          </w:tcPr>
          <w:p w14:paraId="58FAF852" w14:textId="77777777" w:rsidR="002F3D36" w:rsidRPr="002F3D36" w:rsidRDefault="002F3D36" w:rsidP="002F3D36">
            <w:pPr>
              <w:widowControl/>
              <w:jc w:val="left"/>
              <w:rPr>
                <w:rFonts w:ascii="Times New Roman" w:eastAsia="宋体" w:hAnsi="Times New Roman" w:cs="Times New Roman"/>
                <w:color w:val="000000"/>
                <w:kern w:val="0"/>
                <w:sz w:val="20"/>
                <w:szCs w:val="20"/>
              </w:rPr>
            </w:pPr>
          </w:p>
        </w:tc>
        <w:tc>
          <w:tcPr>
            <w:tcW w:w="242" w:type="dxa"/>
            <w:vAlign w:val="center"/>
            <w:hideMark/>
          </w:tcPr>
          <w:p w14:paraId="2F154EF6"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906" w:type="dxa"/>
            <w:vAlign w:val="center"/>
            <w:hideMark/>
          </w:tcPr>
          <w:p w14:paraId="5F82FFCB"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533" w:type="dxa"/>
            <w:vAlign w:val="center"/>
            <w:hideMark/>
          </w:tcPr>
          <w:p w14:paraId="3F9BF313"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78" w:type="dxa"/>
            <w:vAlign w:val="center"/>
            <w:hideMark/>
          </w:tcPr>
          <w:p w14:paraId="5CC9020F"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42" w:type="dxa"/>
            <w:vAlign w:val="center"/>
            <w:hideMark/>
          </w:tcPr>
          <w:p w14:paraId="2660D158"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906" w:type="dxa"/>
            <w:vAlign w:val="center"/>
            <w:hideMark/>
          </w:tcPr>
          <w:p w14:paraId="6B4BD2EA"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533" w:type="dxa"/>
            <w:vAlign w:val="center"/>
            <w:hideMark/>
          </w:tcPr>
          <w:p w14:paraId="56E752D1"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78" w:type="dxa"/>
            <w:vAlign w:val="center"/>
            <w:hideMark/>
          </w:tcPr>
          <w:p w14:paraId="036106DA"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20" w:type="dxa"/>
            <w:vAlign w:val="center"/>
            <w:hideMark/>
          </w:tcPr>
          <w:p w14:paraId="3C509464"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015" w:type="dxa"/>
            <w:vAlign w:val="center"/>
            <w:hideMark/>
          </w:tcPr>
          <w:p w14:paraId="7A5986D5"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534" w:type="dxa"/>
            <w:vAlign w:val="center"/>
            <w:hideMark/>
          </w:tcPr>
          <w:p w14:paraId="579696A8" w14:textId="77777777" w:rsidR="002F3D36" w:rsidRPr="002F3D36" w:rsidRDefault="002F3D36" w:rsidP="002F3D36">
            <w:pPr>
              <w:widowControl/>
              <w:jc w:val="left"/>
              <w:rPr>
                <w:rFonts w:ascii="Times New Roman" w:eastAsia="Times New Roman" w:hAnsi="Times New Roman" w:cs="Times New Roman"/>
                <w:kern w:val="0"/>
                <w:sz w:val="20"/>
                <w:szCs w:val="20"/>
              </w:rPr>
            </w:pPr>
          </w:p>
        </w:tc>
      </w:tr>
      <w:tr w:rsidR="002F3D36" w:rsidRPr="002F3D36" w14:paraId="559DE862" w14:textId="77777777" w:rsidTr="002F3D36">
        <w:trPr>
          <w:trHeight w:val="160"/>
          <w:tblCellSpacing w:w="15" w:type="dxa"/>
        </w:trPr>
        <w:tc>
          <w:tcPr>
            <w:tcW w:w="0" w:type="auto"/>
            <w:shd w:val="clear" w:color="auto" w:fill="FFFFFF"/>
            <w:vAlign w:val="bottom"/>
            <w:hideMark/>
          </w:tcPr>
          <w:p w14:paraId="7CE7021F" w14:textId="77777777" w:rsidR="002F3D36" w:rsidRPr="002F3D36" w:rsidRDefault="002F3D36" w:rsidP="002F3D36">
            <w:pPr>
              <w:widowControl/>
              <w:jc w:val="left"/>
              <w:rPr>
                <w:rFonts w:ascii="Times New Roman" w:eastAsia="微软雅黑" w:hAnsi="Times New Roman" w:cs="Times New Roman"/>
                <w:kern w:val="0"/>
                <w:sz w:val="16"/>
                <w:szCs w:val="16"/>
              </w:rPr>
            </w:pPr>
            <w:r w:rsidRPr="002F3D36">
              <w:rPr>
                <w:rFonts w:ascii="Times New Roman" w:eastAsia="微软雅黑" w:hAnsi="Times New Roman" w:cs="Times New Roman"/>
                <w:kern w:val="0"/>
                <w:sz w:val="16"/>
                <w:szCs w:val="16"/>
              </w:rPr>
              <w:t> </w:t>
            </w:r>
          </w:p>
        </w:tc>
        <w:tc>
          <w:tcPr>
            <w:tcW w:w="0" w:type="auto"/>
            <w:gridSpan w:val="6"/>
            <w:tcBorders>
              <w:bottom w:val="single" w:sz="4" w:space="0" w:color="000000"/>
            </w:tcBorders>
            <w:shd w:val="clear" w:color="auto" w:fill="FFFFFF"/>
            <w:vAlign w:val="bottom"/>
            <w:hideMark/>
          </w:tcPr>
          <w:p w14:paraId="45496B9A"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b/>
                <w:bCs/>
                <w:color w:val="000000"/>
                <w:kern w:val="0"/>
                <w:sz w:val="16"/>
                <w:szCs w:val="16"/>
              </w:rPr>
              <w:t>Years ended December 31</w:t>
            </w:r>
          </w:p>
        </w:tc>
        <w:tc>
          <w:tcPr>
            <w:tcW w:w="0" w:type="auto"/>
            <w:shd w:val="clear" w:color="auto" w:fill="FFFFFF"/>
            <w:vAlign w:val="bottom"/>
            <w:hideMark/>
          </w:tcPr>
          <w:p w14:paraId="2CB1D507"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shd w:val="clear" w:color="auto" w:fill="FFFFFF"/>
            <w:vAlign w:val="center"/>
            <w:hideMark/>
          </w:tcPr>
          <w:p w14:paraId="3D463E77"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Times New Roman" w:eastAsia="微软雅黑" w:hAnsi="Times New Roman" w:cs="Times New Roman"/>
                <w:kern w:val="0"/>
                <w:sz w:val="16"/>
                <w:szCs w:val="16"/>
              </w:rPr>
              <w:t> </w:t>
            </w:r>
          </w:p>
        </w:tc>
        <w:tc>
          <w:tcPr>
            <w:tcW w:w="0" w:type="auto"/>
            <w:gridSpan w:val="2"/>
            <w:shd w:val="clear" w:color="auto" w:fill="FFFFFF"/>
            <w:vAlign w:val="center"/>
            <w:hideMark/>
          </w:tcPr>
          <w:p w14:paraId="4AD73BAA" w14:textId="77777777" w:rsidR="002F3D36" w:rsidRPr="002F3D36" w:rsidRDefault="002F3D36" w:rsidP="002F3D36">
            <w:pPr>
              <w:widowControl/>
              <w:jc w:val="left"/>
              <w:rPr>
                <w:rFonts w:ascii="Times New Roman" w:eastAsia="微软雅黑" w:hAnsi="Times New Roman" w:cs="Times New Roman"/>
                <w:kern w:val="0"/>
                <w:sz w:val="16"/>
                <w:szCs w:val="16"/>
              </w:rPr>
            </w:pPr>
            <w:r w:rsidRPr="002F3D36">
              <w:rPr>
                <w:rFonts w:ascii="Times New Roman" w:eastAsia="微软雅黑" w:hAnsi="Times New Roman" w:cs="Times New Roman"/>
                <w:kern w:val="0"/>
                <w:sz w:val="16"/>
                <w:szCs w:val="16"/>
              </w:rPr>
              <w:t> </w:t>
            </w:r>
          </w:p>
        </w:tc>
        <w:tc>
          <w:tcPr>
            <w:tcW w:w="0" w:type="auto"/>
            <w:shd w:val="clear" w:color="auto" w:fill="FFFFFF"/>
            <w:vAlign w:val="center"/>
            <w:hideMark/>
          </w:tcPr>
          <w:p w14:paraId="3E18B9D5" w14:textId="77777777" w:rsidR="002F3D36" w:rsidRPr="002F3D36" w:rsidRDefault="002F3D36" w:rsidP="002F3D36">
            <w:pPr>
              <w:widowControl/>
              <w:jc w:val="left"/>
              <w:rPr>
                <w:rFonts w:ascii="Times New Roman" w:eastAsia="微软雅黑" w:hAnsi="Times New Roman" w:cs="Times New Roman"/>
                <w:kern w:val="0"/>
                <w:sz w:val="16"/>
                <w:szCs w:val="16"/>
              </w:rPr>
            </w:pPr>
            <w:r w:rsidRPr="002F3D36">
              <w:rPr>
                <w:rFonts w:ascii="Times New Roman" w:eastAsia="微软雅黑" w:hAnsi="Times New Roman" w:cs="Times New Roman"/>
                <w:kern w:val="0"/>
                <w:sz w:val="16"/>
                <w:szCs w:val="16"/>
              </w:rPr>
              <w:t> </w:t>
            </w:r>
          </w:p>
        </w:tc>
      </w:tr>
      <w:tr w:rsidR="002F3D36" w:rsidRPr="002F3D36" w14:paraId="0CA1B487" w14:textId="77777777" w:rsidTr="002F3D36">
        <w:trPr>
          <w:trHeight w:val="160"/>
          <w:tblCellSpacing w:w="15" w:type="dxa"/>
        </w:trPr>
        <w:tc>
          <w:tcPr>
            <w:tcW w:w="0" w:type="auto"/>
            <w:shd w:val="clear" w:color="auto" w:fill="FFFFFF"/>
            <w:vAlign w:val="bottom"/>
            <w:hideMark/>
          </w:tcPr>
          <w:p w14:paraId="25E8E6CC" w14:textId="77777777" w:rsidR="002F3D36" w:rsidRPr="002F3D36" w:rsidRDefault="002F3D36" w:rsidP="002F3D36">
            <w:pPr>
              <w:widowControl/>
              <w:jc w:val="left"/>
              <w:rPr>
                <w:rFonts w:ascii="Times New Roman" w:eastAsia="微软雅黑" w:hAnsi="Times New Roman" w:cs="Times New Roman"/>
                <w:kern w:val="0"/>
                <w:sz w:val="16"/>
                <w:szCs w:val="16"/>
              </w:rPr>
            </w:pPr>
            <w:r w:rsidRPr="002F3D36">
              <w:rPr>
                <w:rFonts w:ascii="Arial" w:eastAsia="微软雅黑" w:hAnsi="Arial" w:cs="Arial"/>
                <w:b/>
                <w:bCs/>
                <w:color w:val="000000"/>
                <w:kern w:val="0"/>
                <w:sz w:val="16"/>
                <w:szCs w:val="16"/>
                <w:u w:val="single"/>
              </w:rPr>
              <w:t>(Dollars in millions, except per share data)</w:t>
            </w:r>
          </w:p>
        </w:tc>
        <w:tc>
          <w:tcPr>
            <w:tcW w:w="0" w:type="auto"/>
            <w:gridSpan w:val="2"/>
            <w:tcBorders>
              <w:bottom w:val="single" w:sz="4" w:space="0" w:color="000000"/>
            </w:tcBorders>
            <w:shd w:val="clear" w:color="auto" w:fill="FFFFFF"/>
            <w:vAlign w:val="bottom"/>
            <w:hideMark/>
          </w:tcPr>
          <w:p w14:paraId="72EAE8DD"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b/>
                <w:bCs/>
                <w:color w:val="000000"/>
                <w:kern w:val="0"/>
                <w:sz w:val="16"/>
                <w:szCs w:val="16"/>
              </w:rPr>
              <w:t>2021</w:t>
            </w:r>
          </w:p>
        </w:tc>
        <w:tc>
          <w:tcPr>
            <w:tcW w:w="0" w:type="auto"/>
            <w:shd w:val="clear" w:color="auto" w:fill="FFFFFF"/>
            <w:vAlign w:val="bottom"/>
            <w:hideMark/>
          </w:tcPr>
          <w:p w14:paraId="38F44E70"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shd w:val="clear" w:color="auto" w:fill="FFFFFF"/>
            <w:vAlign w:val="center"/>
            <w:hideMark/>
          </w:tcPr>
          <w:p w14:paraId="0F71E4C0" w14:textId="77777777" w:rsidR="002F3D36" w:rsidRPr="002F3D36" w:rsidRDefault="002F3D36" w:rsidP="002F3D36">
            <w:pPr>
              <w:widowControl/>
              <w:jc w:val="left"/>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gridSpan w:val="2"/>
            <w:tcBorders>
              <w:bottom w:val="single" w:sz="4" w:space="0" w:color="000000"/>
            </w:tcBorders>
            <w:shd w:val="clear" w:color="auto" w:fill="FFFFFF"/>
            <w:vAlign w:val="bottom"/>
            <w:hideMark/>
          </w:tcPr>
          <w:p w14:paraId="1F6146DC"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b/>
                <w:bCs/>
                <w:color w:val="000000"/>
                <w:kern w:val="0"/>
                <w:sz w:val="16"/>
                <w:szCs w:val="16"/>
              </w:rPr>
              <w:t>2020</w:t>
            </w:r>
          </w:p>
        </w:tc>
        <w:tc>
          <w:tcPr>
            <w:tcW w:w="0" w:type="auto"/>
            <w:shd w:val="clear" w:color="auto" w:fill="FFFFFF"/>
            <w:vAlign w:val="bottom"/>
            <w:hideMark/>
          </w:tcPr>
          <w:p w14:paraId="71E826BB"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shd w:val="clear" w:color="auto" w:fill="FFFFFF"/>
            <w:vAlign w:val="center"/>
            <w:hideMark/>
          </w:tcPr>
          <w:p w14:paraId="7222D8B4"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gridSpan w:val="2"/>
            <w:tcBorders>
              <w:bottom w:val="single" w:sz="4" w:space="0" w:color="000000"/>
            </w:tcBorders>
            <w:shd w:val="clear" w:color="auto" w:fill="FFFFFF"/>
            <w:vAlign w:val="bottom"/>
            <w:hideMark/>
          </w:tcPr>
          <w:p w14:paraId="3DE06C80"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b/>
                <w:bCs/>
                <w:color w:val="000000"/>
                <w:kern w:val="0"/>
                <w:sz w:val="16"/>
                <w:szCs w:val="16"/>
              </w:rPr>
              <w:t>Change</w:t>
            </w:r>
          </w:p>
        </w:tc>
        <w:tc>
          <w:tcPr>
            <w:tcW w:w="0" w:type="auto"/>
            <w:shd w:val="clear" w:color="auto" w:fill="FFFFFF"/>
            <w:vAlign w:val="bottom"/>
            <w:hideMark/>
          </w:tcPr>
          <w:p w14:paraId="65AF2EC2"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r>
      <w:tr w:rsidR="002F3D36" w:rsidRPr="002F3D36" w14:paraId="3B3A261B" w14:textId="77777777" w:rsidTr="002F3D36">
        <w:trPr>
          <w:trHeight w:val="180"/>
          <w:tblCellSpacing w:w="15" w:type="dxa"/>
        </w:trPr>
        <w:tc>
          <w:tcPr>
            <w:tcW w:w="0" w:type="auto"/>
            <w:shd w:val="clear" w:color="auto" w:fill="CFF0FC"/>
            <w:vAlign w:val="center"/>
            <w:hideMark/>
          </w:tcPr>
          <w:p w14:paraId="32974FA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Net Sales</w:t>
            </w:r>
          </w:p>
        </w:tc>
        <w:tc>
          <w:tcPr>
            <w:tcW w:w="0" w:type="auto"/>
            <w:shd w:val="clear" w:color="auto" w:fill="CFF0FC"/>
            <w:vAlign w:val="center"/>
            <w:hideMark/>
          </w:tcPr>
          <w:p w14:paraId="71D84EE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shd w:val="clear" w:color="auto" w:fill="CFF0FC"/>
            <w:vAlign w:val="center"/>
            <w:hideMark/>
          </w:tcPr>
          <w:p w14:paraId="1257D075"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8,230</w:t>
            </w:r>
          </w:p>
        </w:tc>
        <w:tc>
          <w:tcPr>
            <w:tcW w:w="0" w:type="auto"/>
            <w:shd w:val="clear" w:color="auto" w:fill="CFF0FC"/>
            <w:vAlign w:val="center"/>
            <w:hideMark/>
          </w:tcPr>
          <w:p w14:paraId="4DE4D89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center"/>
            <w:hideMark/>
          </w:tcPr>
          <w:p w14:paraId="5F55182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center"/>
            <w:hideMark/>
          </w:tcPr>
          <w:p w14:paraId="5E8B819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shd w:val="clear" w:color="auto" w:fill="CFF0FC"/>
            <w:vAlign w:val="center"/>
            <w:hideMark/>
          </w:tcPr>
          <w:p w14:paraId="28F6F192"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7,447</w:t>
            </w:r>
          </w:p>
        </w:tc>
        <w:tc>
          <w:tcPr>
            <w:tcW w:w="0" w:type="auto"/>
            <w:shd w:val="clear" w:color="auto" w:fill="CFF0FC"/>
            <w:vAlign w:val="center"/>
            <w:hideMark/>
          </w:tcPr>
          <w:p w14:paraId="249E299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center"/>
            <w:hideMark/>
          </w:tcPr>
          <w:p w14:paraId="62AF08A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center"/>
            <w:hideMark/>
          </w:tcPr>
          <w:p w14:paraId="6FEBFDB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center"/>
            <w:hideMark/>
          </w:tcPr>
          <w:p w14:paraId="4B70D914"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10.5</w:t>
            </w:r>
          </w:p>
        </w:tc>
        <w:tc>
          <w:tcPr>
            <w:tcW w:w="0" w:type="auto"/>
            <w:shd w:val="clear" w:color="auto" w:fill="CFF0FC"/>
            <w:vAlign w:val="center"/>
            <w:hideMark/>
          </w:tcPr>
          <w:p w14:paraId="4344A35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r>
      <w:tr w:rsidR="002F3D36" w:rsidRPr="002F3D36" w14:paraId="2A73C4F4" w14:textId="77777777" w:rsidTr="002F3D36">
        <w:trPr>
          <w:trHeight w:val="180"/>
          <w:tblCellSpacing w:w="15" w:type="dxa"/>
        </w:trPr>
        <w:tc>
          <w:tcPr>
            <w:tcW w:w="0" w:type="auto"/>
            <w:shd w:val="clear" w:color="auto" w:fill="FFFFFF"/>
            <w:vAlign w:val="center"/>
            <w:hideMark/>
          </w:tcPr>
          <w:p w14:paraId="40D49ED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Gross profit</w:t>
            </w:r>
          </w:p>
        </w:tc>
        <w:tc>
          <w:tcPr>
            <w:tcW w:w="0" w:type="auto"/>
            <w:shd w:val="clear" w:color="auto" w:fill="FFFFFF"/>
            <w:vAlign w:val="center"/>
            <w:hideMark/>
          </w:tcPr>
          <w:p w14:paraId="37DD9CE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center"/>
            <w:hideMark/>
          </w:tcPr>
          <w:p w14:paraId="4BDA2A9B"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1,511</w:t>
            </w:r>
          </w:p>
        </w:tc>
        <w:tc>
          <w:tcPr>
            <w:tcW w:w="0" w:type="auto"/>
            <w:shd w:val="clear" w:color="auto" w:fill="FFFFFF"/>
            <w:vAlign w:val="center"/>
            <w:hideMark/>
          </w:tcPr>
          <w:p w14:paraId="0BA1557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center"/>
            <w:hideMark/>
          </w:tcPr>
          <w:p w14:paraId="4758E2A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center"/>
            <w:hideMark/>
          </w:tcPr>
          <w:p w14:paraId="37FB85B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center"/>
            <w:hideMark/>
          </w:tcPr>
          <w:p w14:paraId="4744C884"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1,247</w:t>
            </w:r>
          </w:p>
        </w:tc>
        <w:tc>
          <w:tcPr>
            <w:tcW w:w="0" w:type="auto"/>
            <w:shd w:val="clear" w:color="auto" w:fill="FFFFFF"/>
            <w:vAlign w:val="center"/>
            <w:hideMark/>
          </w:tcPr>
          <w:p w14:paraId="34CD5B6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center"/>
            <w:hideMark/>
          </w:tcPr>
          <w:p w14:paraId="4538440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center"/>
            <w:hideMark/>
          </w:tcPr>
          <w:p w14:paraId="1A96909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center"/>
            <w:hideMark/>
          </w:tcPr>
          <w:p w14:paraId="1D34E438"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21.2</w:t>
            </w:r>
          </w:p>
        </w:tc>
        <w:tc>
          <w:tcPr>
            <w:tcW w:w="0" w:type="auto"/>
            <w:shd w:val="clear" w:color="auto" w:fill="FFFFFF"/>
            <w:vAlign w:val="center"/>
            <w:hideMark/>
          </w:tcPr>
          <w:p w14:paraId="1123EE2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r>
      <w:tr w:rsidR="002F3D36" w:rsidRPr="002F3D36" w14:paraId="7987AE0A" w14:textId="77777777" w:rsidTr="002F3D36">
        <w:trPr>
          <w:trHeight w:val="180"/>
          <w:tblCellSpacing w:w="15" w:type="dxa"/>
        </w:trPr>
        <w:tc>
          <w:tcPr>
            <w:tcW w:w="0" w:type="auto"/>
            <w:shd w:val="clear" w:color="auto" w:fill="CFF0FC"/>
            <w:vAlign w:val="center"/>
            <w:hideMark/>
          </w:tcPr>
          <w:p w14:paraId="3657915E" w14:textId="77777777" w:rsidR="002F3D36" w:rsidRPr="002F3D36" w:rsidRDefault="002F3D36" w:rsidP="002F3D36">
            <w:pPr>
              <w:widowControl/>
              <w:ind w:left="100"/>
              <w:jc w:val="left"/>
              <w:rPr>
                <w:rFonts w:ascii="Times New Roman" w:eastAsia="微软雅黑" w:hAnsi="Times New Roman" w:cs="Times New Roman"/>
                <w:kern w:val="0"/>
                <w:sz w:val="18"/>
                <w:szCs w:val="18"/>
              </w:rPr>
            </w:pPr>
            <w:r w:rsidRPr="002F3D36">
              <w:rPr>
                <w:rFonts w:ascii="Arial" w:eastAsia="微软雅黑" w:hAnsi="Arial" w:cs="Arial"/>
                <w:i/>
                <w:iCs/>
                <w:color w:val="000000"/>
                <w:kern w:val="0"/>
                <w:sz w:val="18"/>
                <w:szCs w:val="18"/>
              </w:rPr>
              <w:t>% of sales</w:t>
            </w:r>
          </w:p>
        </w:tc>
        <w:tc>
          <w:tcPr>
            <w:tcW w:w="0" w:type="auto"/>
            <w:shd w:val="clear" w:color="auto" w:fill="CFF0FC"/>
            <w:vAlign w:val="center"/>
            <w:hideMark/>
          </w:tcPr>
          <w:p w14:paraId="58709CF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center"/>
            <w:hideMark/>
          </w:tcPr>
          <w:p w14:paraId="73436794"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i/>
                <w:iCs/>
                <w:color w:val="000000"/>
                <w:kern w:val="0"/>
                <w:sz w:val="18"/>
                <w:szCs w:val="18"/>
              </w:rPr>
              <w:t>18.4</w:t>
            </w:r>
          </w:p>
        </w:tc>
        <w:tc>
          <w:tcPr>
            <w:tcW w:w="0" w:type="auto"/>
            <w:shd w:val="clear" w:color="auto" w:fill="CFF0FC"/>
            <w:vAlign w:val="center"/>
            <w:hideMark/>
          </w:tcPr>
          <w:p w14:paraId="7BE9988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i/>
                <w:iCs/>
                <w:color w:val="000000"/>
                <w:kern w:val="0"/>
                <w:sz w:val="18"/>
                <w:szCs w:val="18"/>
              </w:rPr>
              <w:t>%</w:t>
            </w:r>
          </w:p>
        </w:tc>
        <w:tc>
          <w:tcPr>
            <w:tcW w:w="0" w:type="auto"/>
            <w:shd w:val="clear" w:color="auto" w:fill="CFF0FC"/>
            <w:vAlign w:val="center"/>
            <w:hideMark/>
          </w:tcPr>
          <w:p w14:paraId="4B8CF49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center"/>
            <w:hideMark/>
          </w:tcPr>
          <w:p w14:paraId="7991243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center"/>
            <w:hideMark/>
          </w:tcPr>
          <w:p w14:paraId="502660FD"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i/>
                <w:iCs/>
                <w:color w:val="000000"/>
                <w:kern w:val="0"/>
                <w:sz w:val="18"/>
                <w:szCs w:val="18"/>
              </w:rPr>
              <w:t>16.7</w:t>
            </w:r>
          </w:p>
        </w:tc>
        <w:tc>
          <w:tcPr>
            <w:tcW w:w="0" w:type="auto"/>
            <w:shd w:val="clear" w:color="auto" w:fill="CFF0FC"/>
            <w:vAlign w:val="center"/>
            <w:hideMark/>
          </w:tcPr>
          <w:p w14:paraId="6B63A70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i/>
                <w:iCs/>
                <w:color w:val="000000"/>
                <w:kern w:val="0"/>
                <w:sz w:val="18"/>
                <w:szCs w:val="18"/>
              </w:rPr>
              <w:t>%</w:t>
            </w:r>
          </w:p>
        </w:tc>
        <w:tc>
          <w:tcPr>
            <w:tcW w:w="0" w:type="auto"/>
            <w:shd w:val="clear" w:color="auto" w:fill="CFF0FC"/>
            <w:vAlign w:val="center"/>
            <w:hideMark/>
          </w:tcPr>
          <w:p w14:paraId="690C48BB"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CECFF"/>
            <w:vAlign w:val="center"/>
            <w:hideMark/>
          </w:tcPr>
          <w:p w14:paraId="174F11F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CECFF"/>
            <w:vAlign w:val="center"/>
            <w:hideMark/>
          </w:tcPr>
          <w:p w14:paraId="4F70F703"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i/>
                <w:iCs/>
                <w:color w:val="000000"/>
                <w:kern w:val="0"/>
                <w:sz w:val="18"/>
                <w:szCs w:val="18"/>
              </w:rPr>
              <w:t>1.6</w:t>
            </w:r>
          </w:p>
        </w:tc>
        <w:tc>
          <w:tcPr>
            <w:tcW w:w="0" w:type="auto"/>
            <w:shd w:val="clear" w:color="auto" w:fill="CCECFF"/>
            <w:vAlign w:val="center"/>
            <w:hideMark/>
          </w:tcPr>
          <w:p w14:paraId="3BC1167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i/>
                <w:iCs/>
                <w:color w:val="000000"/>
                <w:kern w:val="0"/>
                <w:sz w:val="18"/>
                <w:szCs w:val="18"/>
              </w:rPr>
              <w:t>pp</w:t>
            </w:r>
          </w:p>
        </w:tc>
      </w:tr>
      <w:tr w:rsidR="002F3D36" w:rsidRPr="002F3D36" w14:paraId="398309A7" w14:textId="77777777" w:rsidTr="002F3D36">
        <w:trPr>
          <w:trHeight w:val="180"/>
          <w:tblCellSpacing w:w="15" w:type="dxa"/>
        </w:trPr>
        <w:tc>
          <w:tcPr>
            <w:tcW w:w="0" w:type="auto"/>
            <w:shd w:val="clear" w:color="auto" w:fill="FFFFFF"/>
            <w:vAlign w:val="center"/>
            <w:hideMark/>
          </w:tcPr>
          <w:p w14:paraId="652CBB8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S,G&amp;A</w:t>
            </w:r>
          </w:p>
        </w:tc>
        <w:tc>
          <w:tcPr>
            <w:tcW w:w="0" w:type="auto"/>
            <w:shd w:val="clear" w:color="auto" w:fill="FFFFFF"/>
            <w:vAlign w:val="center"/>
            <w:hideMark/>
          </w:tcPr>
          <w:p w14:paraId="00231AA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center"/>
            <w:hideMark/>
          </w:tcPr>
          <w:p w14:paraId="5DC29F75"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(432</w:t>
            </w:r>
          </w:p>
        </w:tc>
        <w:tc>
          <w:tcPr>
            <w:tcW w:w="0" w:type="auto"/>
            <w:shd w:val="clear" w:color="auto" w:fill="FFFFFF"/>
            <w:vAlign w:val="center"/>
            <w:hideMark/>
          </w:tcPr>
          <w:p w14:paraId="0E6C321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shd w:val="clear" w:color="auto" w:fill="FFFFFF"/>
            <w:vAlign w:val="center"/>
            <w:hideMark/>
          </w:tcPr>
          <w:p w14:paraId="67CA2B0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center"/>
            <w:hideMark/>
          </w:tcPr>
          <w:p w14:paraId="51E20F8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center"/>
            <w:hideMark/>
          </w:tcPr>
          <w:p w14:paraId="687B63CB"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(389</w:t>
            </w:r>
          </w:p>
        </w:tc>
        <w:tc>
          <w:tcPr>
            <w:tcW w:w="0" w:type="auto"/>
            <w:shd w:val="clear" w:color="auto" w:fill="FFFFFF"/>
            <w:vAlign w:val="center"/>
            <w:hideMark/>
          </w:tcPr>
          <w:p w14:paraId="60B05F3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shd w:val="clear" w:color="auto" w:fill="FFFFFF"/>
            <w:vAlign w:val="center"/>
            <w:hideMark/>
          </w:tcPr>
          <w:p w14:paraId="69411C6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center"/>
            <w:hideMark/>
          </w:tcPr>
          <w:p w14:paraId="01EBF62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center"/>
            <w:hideMark/>
          </w:tcPr>
          <w:p w14:paraId="544E5835"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11.1</w:t>
            </w:r>
          </w:p>
        </w:tc>
        <w:tc>
          <w:tcPr>
            <w:tcW w:w="0" w:type="auto"/>
            <w:shd w:val="clear" w:color="auto" w:fill="FFFFFF"/>
            <w:vAlign w:val="center"/>
            <w:hideMark/>
          </w:tcPr>
          <w:p w14:paraId="5C9ACBA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r>
      <w:tr w:rsidR="002F3D36" w:rsidRPr="002F3D36" w14:paraId="455C78D7" w14:textId="77777777" w:rsidTr="002F3D36">
        <w:trPr>
          <w:trHeight w:val="180"/>
          <w:tblCellSpacing w:w="15" w:type="dxa"/>
        </w:trPr>
        <w:tc>
          <w:tcPr>
            <w:tcW w:w="0" w:type="auto"/>
            <w:shd w:val="clear" w:color="auto" w:fill="CFF0FC"/>
            <w:vAlign w:val="center"/>
            <w:hideMark/>
          </w:tcPr>
          <w:p w14:paraId="7316128C" w14:textId="77777777" w:rsidR="002F3D36" w:rsidRPr="002F3D36" w:rsidRDefault="002F3D36" w:rsidP="002F3D36">
            <w:pPr>
              <w:widowControl/>
              <w:ind w:left="100"/>
              <w:jc w:val="left"/>
              <w:rPr>
                <w:rFonts w:ascii="Times New Roman" w:eastAsia="微软雅黑" w:hAnsi="Times New Roman" w:cs="Times New Roman"/>
                <w:kern w:val="0"/>
                <w:sz w:val="18"/>
                <w:szCs w:val="18"/>
              </w:rPr>
            </w:pPr>
            <w:r w:rsidRPr="002F3D36">
              <w:rPr>
                <w:rFonts w:ascii="Arial" w:eastAsia="微软雅黑" w:hAnsi="Arial" w:cs="Arial"/>
                <w:i/>
                <w:iCs/>
                <w:color w:val="000000"/>
                <w:kern w:val="0"/>
                <w:sz w:val="18"/>
                <w:szCs w:val="18"/>
              </w:rPr>
              <w:t>% of sales</w:t>
            </w:r>
          </w:p>
        </w:tc>
        <w:tc>
          <w:tcPr>
            <w:tcW w:w="0" w:type="auto"/>
            <w:shd w:val="clear" w:color="auto" w:fill="CFF0FC"/>
            <w:vAlign w:val="center"/>
            <w:hideMark/>
          </w:tcPr>
          <w:p w14:paraId="30D27E9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center"/>
            <w:hideMark/>
          </w:tcPr>
          <w:p w14:paraId="165053AF"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i/>
                <w:iCs/>
                <w:color w:val="000000"/>
                <w:kern w:val="0"/>
                <w:sz w:val="18"/>
                <w:szCs w:val="18"/>
              </w:rPr>
              <w:t>(5.3</w:t>
            </w:r>
          </w:p>
        </w:tc>
        <w:tc>
          <w:tcPr>
            <w:tcW w:w="0" w:type="auto"/>
            <w:shd w:val="clear" w:color="auto" w:fill="CFF0FC"/>
            <w:vAlign w:val="center"/>
            <w:hideMark/>
          </w:tcPr>
          <w:p w14:paraId="22A723B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i/>
                <w:iCs/>
                <w:color w:val="000000"/>
                <w:kern w:val="0"/>
                <w:sz w:val="18"/>
                <w:szCs w:val="18"/>
              </w:rPr>
              <w:t>)%</w:t>
            </w:r>
          </w:p>
        </w:tc>
        <w:tc>
          <w:tcPr>
            <w:tcW w:w="0" w:type="auto"/>
            <w:shd w:val="clear" w:color="auto" w:fill="CFF0FC"/>
            <w:vAlign w:val="center"/>
            <w:hideMark/>
          </w:tcPr>
          <w:p w14:paraId="0111CD5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center"/>
            <w:hideMark/>
          </w:tcPr>
          <w:p w14:paraId="2300573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center"/>
            <w:hideMark/>
          </w:tcPr>
          <w:p w14:paraId="5F1F423B"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i/>
                <w:iCs/>
                <w:color w:val="000000"/>
                <w:kern w:val="0"/>
                <w:sz w:val="18"/>
                <w:szCs w:val="18"/>
              </w:rPr>
              <w:t>(5.2</w:t>
            </w:r>
          </w:p>
        </w:tc>
        <w:tc>
          <w:tcPr>
            <w:tcW w:w="0" w:type="auto"/>
            <w:shd w:val="clear" w:color="auto" w:fill="CFF0FC"/>
            <w:vAlign w:val="center"/>
            <w:hideMark/>
          </w:tcPr>
          <w:p w14:paraId="4D3CC7E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i/>
                <w:iCs/>
                <w:color w:val="000000"/>
                <w:kern w:val="0"/>
                <w:sz w:val="18"/>
                <w:szCs w:val="18"/>
              </w:rPr>
              <w:t>)%</w:t>
            </w:r>
          </w:p>
        </w:tc>
        <w:tc>
          <w:tcPr>
            <w:tcW w:w="0" w:type="auto"/>
            <w:shd w:val="clear" w:color="auto" w:fill="CFF0FC"/>
            <w:vAlign w:val="center"/>
            <w:hideMark/>
          </w:tcPr>
          <w:p w14:paraId="2FCEEC99"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CECFF"/>
            <w:vAlign w:val="center"/>
            <w:hideMark/>
          </w:tcPr>
          <w:p w14:paraId="30577C1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CECFF"/>
            <w:vAlign w:val="center"/>
            <w:hideMark/>
          </w:tcPr>
          <w:p w14:paraId="273FE495"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i/>
                <w:iCs/>
                <w:color w:val="000000"/>
                <w:kern w:val="0"/>
                <w:sz w:val="18"/>
                <w:szCs w:val="18"/>
              </w:rPr>
              <w:t>(0.0)pp</w:t>
            </w:r>
          </w:p>
        </w:tc>
        <w:tc>
          <w:tcPr>
            <w:tcW w:w="0" w:type="auto"/>
            <w:shd w:val="clear" w:color="auto" w:fill="CCECFF"/>
            <w:vAlign w:val="center"/>
            <w:hideMark/>
          </w:tcPr>
          <w:p w14:paraId="5930EF6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1AB2F470" w14:textId="77777777" w:rsidTr="002F3D36">
        <w:trPr>
          <w:trHeight w:val="180"/>
          <w:tblCellSpacing w:w="15" w:type="dxa"/>
        </w:trPr>
        <w:tc>
          <w:tcPr>
            <w:tcW w:w="0" w:type="auto"/>
            <w:shd w:val="clear" w:color="auto" w:fill="FFFFFF"/>
            <w:vAlign w:val="center"/>
            <w:hideMark/>
          </w:tcPr>
          <w:p w14:paraId="07949BB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R,D&amp;E net</w:t>
            </w:r>
          </w:p>
        </w:tc>
        <w:tc>
          <w:tcPr>
            <w:tcW w:w="0" w:type="auto"/>
            <w:shd w:val="clear" w:color="auto" w:fill="FFFFFF"/>
            <w:vAlign w:val="center"/>
            <w:hideMark/>
          </w:tcPr>
          <w:p w14:paraId="6B26532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center"/>
            <w:hideMark/>
          </w:tcPr>
          <w:p w14:paraId="38510EA8"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(391</w:t>
            </w:r>
          </w:p>
        </w:tc>
        <w:tc>
          <w:tcPr>
            <w:tcW w:w="0" w:type="auto"/>
            <w:shd w:val="clear" w:color="auto" w:fill="FFFFFF"/>
            <w:vAlign w:val="center"/>
            <w:hideMark/>
          </w:tcPr>
          <w:p w14:paraId="18AC16E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shd w:val="clear" w:color="auto" w:fill="FFFFFF"/>
            <w:vAlign w:val="center"/>
            <w:hideMark/>
          </w:tcPr>
          <w:p w14:paraId="1CF6730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center"/>
            <w:hideMark/>
          </w:tcPr>
          <w:p w14:paraId="35A7C3B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center"/>
            <w:hideMark/>
          </w:tcPr>
          <w:p w14:paraId="000BF3BD"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(376</w:t>
            </w:r>
          </w:p>
        </w:tc>
        <w:tc>
          <w:tcPr>
            <w:tcW w:w="0" w:type="auto"/>
            <w:shd w:val="clear" w:color="auto" w:fill="FFFFFF"/>
            <w:vAlign w:val="center"/>
            <w:hideMark/>
          </w:tcPr>
          <w:p w14:paraId="65924C3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shd w:val="clear" w:color="auto" w:fill="FFFFFF"/>
            <w:vAlign w:val="center"/>
            <w:hideMark/>
          </w:tcPr>
          <w:p w14:paraId="38838AF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center"/>
            <w:hideMark/>
          </w:tcPr>
          <w:p w14:paraId="29760B4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center"/>
            <w:hideMark/>
          </w:tcPr>
          <w:p w14:paraId="309C7B51"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4.0</w:t>
            </w:r>
          </w:p>
        </w:tc>
        <w:tc>
          <w:tcPr>
            <w:tcW w:w="0" w:type="auto"/>
            <w:shd w:val="clear" w:color="auto" w:fill="FFFFFF"/>
            <w:vAlign w:val="center"/>
            <w:hideMark/>
          </w:tcPr>
          <w:p w14:paraId="7E338CF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r>
      <w:tr w:rsidR="002F3D36" w:rsidRPr="002F3D36" w14:paraId="234415DF" w14:textId="77777777" w:rsidTr="002F3D36">
        <w:trPr>
          <w:trHeight w:val="180"/>
          <w:tblCellSpacing w:w="15" w:type="dxa"/>
        </w:trPr>
        <w:tc>
          <w:tcPr>
            <w:tcW w:w="0" w:type="auto"/>
            <w:shd w:val="clear" w:color="auto" w:fill="CFF0FC"/>
            <w:vAlign w:val="center"/>
            <w:hideMark/>
          </w:tcPr>
          <w:p w14:paraId="5E581BF7" w14:textId="77777777" w:rsidR="002F3D36" w:rsidRPr="002F3D36" w:rsidRDefault="002F3D36" w:rsidP="002F3D36">
            <w:pPr>
              <w:widowControl/>
              <w:ind w:left="100"/>
              <w:jc w:val="left"/>
              <w:rPr>
                <w:rFonts w:ascii="Times New Roman" w:eastAsia="微软雅黑" w:hAnsi="Times New Roman" w:cs="Times New Roman"/>
                <w:kern w:val="0"/>
                <w:sz w:val="18"/>
                <w:szCs w:val="18"/>
              </w:rPr>
            </w:pPr>
            <w:r w:rsidRPr="002F3D36">
              <w:rPr>
                <w:rFonts w:ascii="Arial" w:eastAsia="微软雅黑" w:hAnsi="Arial" w:cs="Arial"/>
                <w:i/>
                <w:iCs/>
                <w:color w:val="000000"/>
                <w:kern w:val="0"/>
                <w:sz w:val="18"/>
                <w:szCs w:val="18"/>
              </w:rPr>
              <w:t>% of sales</w:t>
            </w:r>
          </w:p>
        </w:tc>
        <w:tc>
          <w:tcPr>
            <w:tcW w:w="0" w:type="auto"/>
            <w:shd w:val="clear" w:color="auto" w:fill="CFF0FC"/>
            <w:vAlign w:val="center"/>
            <w:hideMark/>
          </w:tcPr>
          <w:p w14:paraId="7535C42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center"/>
            <w:hideMark/>
          </w:tcPr>
          <w:p w14:paraId="2AB3A5FA"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i/>
                <w:iCs/>
                <w:color w:val="000000"/>
                <w:kern w:val="0"/>
                <w:sz w:val="18"/>
                <w:szCs w:val="18"/>
              </w:rPr>
              <w:t>(4.7</w:t>
            </w:r>
          </w:p>
        </w:tc>
        <w:tc>
          <w:tcPr>
            <w:tcW w:w="0" w:type="auto"/>
            <w:shd w:val="clear" w:color="auto" w:fill="CFF0FC"/>
            <w:vAlign w:val="center"/>
            <w:hideMark/>
          </w:tcPr>
          <w:p w14:paraId="48F3212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i/>
                <w:iCs/>
                <w:color w:val="000000"/>
                <w:kern w:val="0"/>
                <w:sz w:val="18"/>
                <w:szCs w:val="18"/>
              </w:rPr>
              <w:t>)%</w:t>
            </w:r>
          </w:p>
        </w:tc>
        <w:tc>
          <w:tcPr>
            <w:tcW w:w="0" w:type="auto"/>
            <w:shd w:val="clear" w:color="auto" w:fill="CFF0FC"/>
            <w:vAlign w:val="center"/>
            <w:hideMark/>
          </w:tcPr>
          <w:p w14:paraId="324B3A3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center"/>
            <w:hideMark/>
          </w:tcPr>
          <w:p w14:paraId="0B045B0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center"/>
            <w:hideMark/>
          </w:tcPr>
          <w:p w14:paraId="412493E7"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i/>
                <w:iCs/>
                <w:color w:val="000000"/>
                <w:kern w:val="0"/>
                <w:sz w:val="18"/>
                <w:szCs w:val="18"/>
              </w:rPr>
              <w:t>(5.0</w:t>
            </w:r>
          </w:p>
        </w:tc>
        <w:tc>
          <w:tcPr>
            <w:tcW w:w="0" w:type="auto"/>
            <w:shd w:val="clear" w:color="auto" w:fill="CFF0FC"/>
            <w:vAlign w:val="center"/>
            <w:hideMark/>
          </w:tcPr>
          <w:p w14:paraId="334ACA8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i/>
                <w:iCs/>
                <w:color w:val="000000"/>
                <w:kern w:val="0"/>
                <w:sz w:val="18"/>
                <w:szCs w:val="18"/>
              </w:rPr>
              <w:t>)%</w:t>
            </w:r>
          </w:p>
        </w:tc>
        <w:tc>
          <w:tcPr>
            <w:tcW w:w="0" w:type="auto"/>
            <w:shd w:val="clear" w:color="auto" w:fill="CFF0FC"/>
            <w:vAlign w:val="center"/>
            <w:hideMark/>
          </w:tcPr>
          <w:p w14:paraId="57486D11"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CECFF"/>
            <w:vAlign w:val="center"/>
            <w:hideMark/>
          </w:tcPr>
          <w:p w14:paraId="108CFEB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CECFF"/>
            <w:vAlign w:val="center"/>
            <w:hideMark/>
          </w:tcPr>
          <w:p w14:paraId="0C148EA5"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i/>
                <w:iCs/>
                <w:color w:val="000000"/>
                <w:kern w:val="0"/>
                <w:sz w:val="18"/>
                <w:szCs w:val="18"/>
              </w:rPr>
              <w:t>0.3</w:t>
            </w:r>
          </w:p>
        </w:tc>
        <w:tc>
          <w:tcPr>
            <w:tcW w:w="0" w:type="auto"/>
            <w:shd w:val="clear" w:color="auto" w:fill="CCECFF"/>
            <w:vAlign w:val="center"/>
            <w:hideMark/>
          </w:tcPr>
          <w:p w14:paraId="0BB1137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i/>
                <w:iCs/>
                <w:color w:val="000000"/>
                <w:kern w:val="0"/>
                <w:sz w:val="18"/>
                <w:szCs w:val="18"/>
              </w:rPr>
              <w:t>pp</w:t>
            </w:r>
          </w:p>
        </w:tc>
      </w:tr>
      <w:tr w:rsidR="002F3D36" w:rsidRPr="002F3D36" w14:paraId="28E5E74F" w14:textId="77777777" w:rsidTr="002F3D36">
        <w:trPr>
          <w:trHeight w:val="180"/>
          <w:tblCellSpacing w:w="15" w:type="dxa"/>
        </w:trPr>
        <w:tc>
          <w:tcPr>
            <w:tcW w:w="0" w:type="auto"/>
            <w:shd w:val="clear" w:color="auto" w:fill="FFFFFF"/>
            <w:vAlign w:val="center"/>
            <w:hideMark/>
          </w:tcPr>
          <w:p w14:paraId="0607BF7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Other income (expense), net</w:t>
            </w:r>
          </w:p>
        </w:tc>
        <w:tc>
          <w:tcPr>
            <w:tcW w:w="0" w:type="auto"/>
            <w:shd w:val="clear" w:color="auto" w:fill="FFFFFF"/>
            <w:vAlign w:val="center"/>
            <w:hideMark/>
          </w:tcPr>
          <w:p w14:paraId="7249F01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center"/>
            <w:hideMark/>
          </w:tcPr>
          <w:p w14:paraId="198C2F05"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(3</w:t>
            </w:r>
          </w:p>
        </w:tc>
        <w:tc>
          <w:tcPr>
            <w:tcW w:w="0" w:type="auto"/>
            <w:shd w:val="clear" w:color="auto" w:fill="FFFFFF"/>
            <w:vAlign w:val="center"/>
            <w:hideMark/>
          </w:tcPr>
          <w:p w14:paraId="31F4A11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shd w:val="clear" w:color="auto" w:fill="FFFFFF"/>
            <w:vAlign w:val="center"/>
            <w:hideMark/>
          </w:tcPr>
          <w:p w14:paraId="10D5CE9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center"/>
            <w:hideMark/>
          </w:tcPr>
          <w:p w14:paraId="7564719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center"/>
            <w:hideMark/>
          </w:tcPr>
          <w:p w14:paraId="29679BA8"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(90</w:t>
            </w:r>
          </w:p>
        </w:tc>
        <w:tc>
          <w:tcPr>
            <w:tcW w:w="0" w:type="auto"/>
            <w:shd w:val="clear" w:color="auto" w:fill="FFFFFF"/>
            <w:vAlign w:val="center"/>
            <w:hideMark/>
          </w:tcPr>
          <w:p w14:paraId="06CB4D2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shd w:val="clear" w:color="auto" w:fill="FFFFFF"/>
            <w:vAlign w:val="center"/>
            <w:hideMark/>
          </w:tcPr>
          <w:p w14:paraId="405CACB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center"/>
            <w:hideMark/>
          </w:tcPr>
          <w:p w14:paraId="3E59A0A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center"/>
            <w:hideMark/>
          </w:tcPr>
          <w:p w14:paraId="0F74C970"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(96.3</w:t>
            </w:r>
          </w:p>
        </w:tc>
        <w:tc>
          <w:tcPr>
            <w:tcW w:w="0" w:type="auto"/>
            <w:shd w:val="clear" w:color="auto" w:fill="FFFFFF"/>
            <w:vAlign w:val="center"/>
            <w:hideMark/>
          </w:tcPr>
          <w:p w14:paraId="0E608BF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r>
      <w:tr w:rsidR="002F3D36" w:rsidRPr="002F3D36" w14:paraId="7D19D56F" w14:textId="77777777" w:rsidTr="002F3D36">
        <w:trPr>
          <w:trHeight w:val="180"/>
          <w:tblCellSpacing w:w="15" w:type="dxa"/>
        </w:trPr>
        <w:tc>
          <w:tcPr>
            <w:tcW w:w="0" w:type="auto"/>
            <w:shd w:val="clear" w:color="auto" w:fill="CFF0FC"/>
            <w:vAlign w:val="center"/>
            <w:hideMark/>
          </w:tcPr>
          <w:p w14:paraId="16E7891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Operating income</w:t>
            </w:r>
          </w:p>
        </w:tc>
        <w:tc>
          <w:tcPr>
            <w:tcW w:w="0" w:type="auto"/>
            <w:shd w:val="clear" w:color="auto" w:fill="CFF0FC"/>
            <w:vAlign w:val="center"/>
            <w:hideMark/>
          </w:tcPr>
          <w:p w14:paraId="4B83AE9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center"/>
            <w:hideMark/>
          </w:tcPr>
          <w:p w14:paraId="15CECD20"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675</w:t>
            </w:r>
          </w:p>
        </w:tc>
        <w:tc>
          <w:tcPr>
            <w:tcW w:w="0" w:type="auto"/>
            <w:shd w:val="clear" w:color="auto" w:fill="CFF0FC"/>
            <w:vAlign w:val="center"/>
            <w:hideMark/>
          </w:tcPr>
          <w:p w14:paraId="39A0036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center"/>
            <w:hideMark/>
          </w:tcPr>
          <w:p w14:paraId="4AAFDB9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center"/>
            <w:hideMark/>
          </w:tcPr>
          <w:p w14:paraId="578800C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center"/>
            <w:hideMark/>
          </w:tcPr>
          <w:p w14:paraId="1792B2BA"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382</w:t>
            </w:r>
          </w:p>
        </w:tc>
        <w:tc>
          <w:tcPr>
            <w:tcW w:w="0" w:type="auto"/>
            <w:shd w:val="clear" w:color="auto" w:fill="CFF0FC"/>
            <w:vAlign w:val="center"/>
            <w:hideMark/>
          </w:tcPr>
          <w:p w14:paraId="71DF5AA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center"/>
            <w:hideMark/>
          </w:tcPr>
          <w:p w14:paraId="20A533F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center"/>
            <w:hideMark/>
          </w:tcPr>
          <w:p w14:paraId="7CC6BA2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center"/>
            <w:hideMark/>
          </w:tcPr>
          <w:p w14:paraId="6EE16CCC"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76.6</w:t>
            </w:r>
          </w:p>
        </w:tc>
        <w:tc>
          <w:tcPr>
            <w:tcW w:w="0" w:type="auto"/>
            <w:shd w:val="clear" w:color="auto" w:fill="CFF0FC"/>
            <w:vAlign w:val="center"/>
            <w:hideMark/>
          </w:tcPr>
          <w:p w14:paraId="5917B22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r>
      <w:tr w:rsidR="002F3D36" w:rsidRPr="002F3D36" w14:paraId="05473309" w14:textId="77777777" w:rsidTr="002F3D36">
        <w:trPr>
          <w:trHeight w:val="180"/>
          <w:tblCellSpacing w:w="15" w:type="dxa"/>
        </w:trPr>
        <w:tc>
          <w:tcPr>
            <w:tcW w:w="0" w:type="auto"/>
            <w:shd w:val="clear" w:color="auto" w:fill="FFFFFF"/>
            <w:vAlign w:val="center"/>
            <w:hideMark/>
          </w:tcPr>
          <w:p w14:paraId="631DF2AA" w14:textId="77777777" w:rsidR="002F3D36" w:rsidRPr="002F3D36" w:rsidRDefault="002F3D36" w:rsidP="002F3D36">
            <w:pPr>
              <w:widowControl/>
              <w:ind w:left="100"/>
              <w:jc w:val="left"/>
              <w:rPr>
                <w:rFonts w:ascii="Times New Roman" w:eastAsia="微软雅黑" w:hAnsi="Times New Roman" w:cs="Times New Roman"/>
                <w:kern w:val="0"/>
                <w:sz w:val="18"/>
                <w:szCs w:val="18"/>
              </w:rPr>
            </w:pPr>
            <w:r w:rsidRPr="002F3D36">
              <w:rPr>
                <w:rFonts w:ascii="Arial" w:eastAsia="微软雅黑" w:hAnsi="Arial" w:cs="Arial"/>
                <w:i/>
                <w:iCs/>
                <w:color w:val="000000"/>
                <w:kern w:val="0"/>
                <w:sz w:val="18"/>
                <w:szCs w:val="18"/>
              </w:rPr>
              <w:t>% of sales</w:t>
            </w:r>
          </w:p>
        </w:tc>
        <w:tc>
          <w:tcPr>
            <w:tcW w:w="0" w:type="auto"/>
            <w:shd w:val="clear" w:color="auto" w:fill="FFFFFF"/>
            <w:vAlign w:val="center"/>
            <w:hideMark/>
          </w:tcPr>
          <w:p w14:paraId="0EF360F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center"/>
            <w:hideMark/>
          </w:tcPr>
          <w:p w14:paraId="29DBAB37"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i/>
                <w:iCs/>
                <w:color w:val="000000"/>
                <w:kern w:val="0"/>
                <w:sz w:val="18"/>
                <w:szCs w:val="18"/>
              </w:rPr>
              <w:t>8.2</w:t>
            </w:r>
          </w:p>
        </w:tc>
        <w:tc>
          <w:tcPr>
            <w:tcW w:w="0" w:type="auto"/>
            <w:shd w:val="clear" w:color="auto" w:fill="FFFFFF"/>
            <w:vAlign w:val="center"/>
            <w:hideMark/>
          </w:tcPr>
          <w:p w14:paraId="6B441B6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i/>
                <w:iCs/>
                <w:color w:val="000000"/>
                <w:kern w:val="0"/>
                <w:sz w:val="18"/>
                <w:szCs w:val="18"/>
              </w:rPr>
              <w:t>%</w:t>
            </w:r>
          </w:p>
        </w:tc>
        <w:tc>
          <w:tcPr>
            <w:tcW w:w="0" w:type="auto"/>
            <w:shd w:val="clear" w:color="auto" w:fill="FFFFFF"/>
            <w:vAlign w:val="center"/>
            <w:hideMark/>
          </w:tcPr>
          <w:p w14:paraId="2EDBD74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center"/>
            <w:hideMark/>
          </w:tcPr>
          <w:p w14:paraId="42DF3DC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center"/>
            <w:hideMark/>
          </w:tcPr>
          <w:p w14:paraId="0951B37E"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i/>
                <w:iCs/>
                <w:color w:val="000000"/>
                <w:kern w:val="0"/>
                <w:sz w:val="18"/>
                <w:szCs w:val="18"/>
              </w:rPr>
              <w:t>5.1</w:t>
            </w:r>
          </w:p>
        </w:tc>
        <w:tc>
          <w:tcPr>
            <w:tcW w:w="0" w:type="auto"/>
            <w:shd w:val="clear" w:color="auto" w:fill="FFFFFF"/>
            <w:vAlign w:val="center"/>
            <w:hideMark/>
          </w:tcPr>
          <w:p w14:paraId="1E5FA51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i/>
                <w:iCs/>
                <w:color w:val="000000"/>
                <w:kern w:val="0"/>
                <w:sz w:val="18"/>
                <w:szCs w:val="18"/>
              </w:rPr>
              <w:t>%</w:t>
            </w:r>
          </w:p>
        </w:tc>
        <w:tc>
          <w:tcPr>
            <w:tcW w:w="0" w:type="auto"/>
            <w:shd w:val="clear" w:color="auto" w:fill="FFFFFF"/>
            <w:vAlign w:val="center"/>
            <w:hideMark/>
          </w:tcPr>
          <w:p w14:paraId="564D45A9"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center"/>
            <w:hideMark/>
          </w:tcPr>
          <w:p w14:paraId="6D764A3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center"/>
            <w:hideMark/>
          </w:tcPr>
          <w:p w14:paraId="6E0A40C6"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i/>
                <w:iCs/>
                <w:color w:val="000000"/>
                <w:kern w:val="0"/>
                <w:sz w:val="18"/>
                <w:szCs w:val="18"/>
              </w:rPr>
              <w:t>3.1</w:t>
            </w:r>
          </w:p>
        </w:tc>
        <w:tc>
          <w:tcPr>
            <w:tcW w:w="0" w:type="auto"/>
            <w:vAlign w:val="center"/>
            <w:hideMark/>
          </w:tcPr>
          <w:p w14:paraId="1A63E4A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i/>
                <w:iCs/>
                <w:color w:val="000000"/>
                <w:kern w:val="0"/>
                <w:sz w:val="18"/>
                <w:szCs w:val="18"/>
              </w:rPr>
              <w:t>pp</w:t>
            </w:r>
          </w:p>
        </w:tc>
      </w:tr>
      <w:tr w:rsidR="002F3D36" w:rsidRPr="002F3D36" w14:paraId="7D8CE9FA" w14:textId="77777777" w:rsidTr="002F3D36">
        <w:trPr>
          <w:trHeight w:val="180"/>
          <w:tblCellSpacing w:w="15" w:type="dxa"/>
        </w:trPr>
        <w:tc>
          <w:tcPr>
            <w:tcW w:w="0" w:type="auto"/>
            <w:shd w:val="clear" w:color="auto" w:fill="CFF0FC"/>
            <w:vAlign w:val="center"/>
            <w:hideMark/>
          </w:tcPr>
          <w:p w14:paraId="177D906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Adjusted operating income</w:t>
            </w:r>
            <w:r w:rsidRPr="002F3D36">
              <w:rPr>
                <w:rFonts w:ascii="Arial" w:eastAsia="微软雅黑" w:hAnsi="Arial" w:cs="Arial"/>
                <w:color w:val="000000"/>
                <w:kern w:val="0"/>
                <w:sz w:val="12"/>
                <w:szCs w:val="12"/>
              </w:rPr>
              <w:t>3)</w:t>
            </w:r>
          </w:p>
        </w:tc>
        <w:tc>
          <w:tcPr>
            <w:tcW w:w="0" w:type="auto"/>
            <w:shd w:val="clear" w:color="auto" w:fill="CCECFF"/>
            <w:vAlign w:val="center"/>
            <w:hideMark/>
          </w:tcPr>
          <w:p w14:paraId="47187DE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CECFF"/>
            <w:vAlign w:val="center"/>
            <w:hideMark/>
          </w:tcPr>
          <w:p w14:paraId="11A1F3C3"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683</w:t>
            </w:r>
          </w:p>
        </w:tc>
        <w:tc>
          <w:tcPr>
            <w:tcW w:w="0" w:type="auto"/>
            <w:shd w:val="clear" w:color="auto" w:fill="CCECFF"/>
            <w:vAlign w:val="center"/>
            <w:hideMark/>
          </w:tcPr>
          <w:p w14:paraId="0D113D3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center"/>
            <w:hideMark/>
          </w:tcPr>
          <w:p w14:paraId="6965EB0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CECFF"/>
            <w:vAlign w:val="center"/>
            <w:hideMark/>
          </w:tcPr>
          <w:p w14:paraId="05F63E0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CECFF"/>
            <w:vAlign w:val="center"/>
            <w:hideMark/>
          </w:tcPr>
          <w:p w14:paraId="52B6DEF2"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482</w:t>
            </w:r>
          </w:p>
        </w:tc>
        <w:tc>
          <w:tcPr>
            <w:tcW w:w="0" w:type="auto"/>
            <w:shd w:val="clear" w:color="auto" w:fill="CCECFF"/>
            <w:vAlign w:val="center"/>
            <w:hideMark/>
          </w:tcPr>
          <w:p w14:paraId="4C93D78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center"/>
            <w:hideMark/>
          </w:tcPr>
          <w:p w14:paraId="5EC072A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center"/>
            <w:hideMark/>
          </w:tcPr>
          <w:p w14:paraId="17FAEF8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center"/>
            <w:hideMark/>
          </w:tcPr>
          <w:p w14:paraId="10C48BE7"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41.8</w:t>
            </w:r>
          </w:p>
        </w:tc>
        <w:tc>
          <w:tcPr>
            <w:tcW w:w="0" w:type="auto"/>
            <w:shd w:val="clear" w:color="auto" w:fill="CFF0FC"/>
            <w:vAlign w:val="center"/>
            <w:hideMark/>
          </w:tcPr>
          <w:p w14:paraId="5F37DFA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r>
      <w:tr w:rsidR="002F3D36" w:rsidRPr="002F3D36" w14:paraId="02BFE2BC" w14:textId="77777777" w:rsidTr="002F3D36">
        <w:trPr>
          <w:trHeight w:val="180"/>
          <w:tblCellSpacing w:w="15" w:type="dxa"/>
        </w:trPr>
        <w:tc>
          <w:tcPr>
            <w:tcW w:w="0" w:type="auto"/>
            <w:shd w:val="clear" w:color="auto" w:fill="FFFFFF"/>
            <w:vAlign w:val="center"/>
            <w:hideMark/>
          </w:tcPr>
          <w:p w14:paraId="21F91EDF" w14:textId="77777777" w:rsidR="002F3D36" w:rsidRPr="002F3D36" w:rsidRDefault="002F3D36" w:rsidP="002F3D36">
            <w:pPr>
              <w:widowControl/>
              <w:ind w:left="100"/>
              <w:jc w:val="left"/>
              <w:rPr>
                <w:rFonts w:ascii="Times New Roman" w:eastAsia="微软雅黑" w:hAnsi="Times New Roman" w:cs="Times New Roman"/>
                <w:kern w:val="0"/>
                <w:sz w:val="18"/>
                <w:szCs w:val="18"/>
              </w:rPr>
            </w:pPr>
            <w:r w:rsidRPr="002F3D36">
              <w:rPr>
                <w:rFonts w:ascii="Arial" w:eastAsia="微软雅黑" w:hAnsi="Arial" w:cs="Arial"/>
                <w:i/>
                <w:iCs/>
                <w:color w:val="000000"/>
                <w:kern w:val="0"/>
                <w:sz w:val="18"/>
                <w:szCs w:val="18"/>
              </w:rPr>
              <w:t>% of sales</w:t>
            </w:r>
          </w:p>
        </w:tc>
        <w:tc>
          <w:tcPr>
            <w:tcW w:w="0" w:type="auto"/>
            <w:shd w:val="clear" w:color="auto" w:fill="FFFFFF"/>
            <w:vAlign w:val="center"/>
            <w:hideMark/>
          </w:tcPr>
          <w:p w14:paraId="6D221F0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center"/>
            <w:hideMark/>
          </w:tcPr>
          <w:p w14:paraId="510C934D"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i/>
                <w:iCs/>
                <w:color w:val="000000"/>
                <w:kern w:val="0"/>
                <w:sz w:val="18"/>
                <w:szCs w:val="18"/>
              </w:rPr>
              <w:t>8.3</w:t>
            </w:r>
          </w:p>
        </w:tc>
        <w:tc>
          <w:tcPr>
            <w:tcW w:w="0" w:type="auto"/>
            <w:shd w:val="clear" w:color="auto" w:fill="FFFFFF"/>
            <w:vAlign w:val="center"/>
            <w:hideMark/>
          </w:tcPr>
          <w:p w14:paraId="6A7BC95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i/>
                <w:iCs/>
                <w:color w:val="000000"/>
                <w:kern w:val="0"/>
                <w:sz w:val="18"/>
                <w:szCs w:val="18"/>
              </w:rPr>
              <w:t>%</w:t>
            </w:r>
          </w:p>
        </w:tc>
        <w:tc>
          <w:tcPr>
            <w:tcW w:w="0" w:type="auto"/>
            <w:shd w:val="clear" w:color="auto" w:fill="FFFFFF"/>
            <w:vAlign w:val="center"/>
            <w:hideMark/>
          </w:tcPr>
          <w:p w14:paraId="29E6E1D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center"/>
            <w:hideMark/>
          </w:tcPr>
          <w:p w14:paraId="1972146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center"/>
            <w:hideMark/>
          </w:tcPr>
          <w:p w14:paraId="48846D9B"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i/>
                <w:iCs/>
                <w:color w:val="000000"/>
                <w:kern w:val="0"/>
                <w:sz w:val="18"/>
                <w:szCs w:val="18"/>
              </w:rPr>
              <w:t>6.5</w:t>
            </w:r>
          </w:p>
        </w:tc>
        <w:tc>
          <w:tcPr>
            <w:tcW w:w="0" w:type="auto"/>
            <w:shd w:val="clear" w:color="auto" w:fill="FFFFFF"/>
            <w:vAlign w:val="center"/>
            <w:hideMark/>
          </w:tcPr>
          <w:p w14:paraId="1B6DBF2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i/>
                <w:iCs/>
                <w:color w:val="000000"/>
                <w:kern w:val="0"/>
                <w:sz w:val="18"/>
                <w:szCs w:val="18"/>
              </w:rPr>
              <w:t>%</w:t>
            </w:r>
          </w:p>
        </w:tc>
        <w:tc>
          <w:tcPr>
            <w:tcW w:w="0" w:type="auto"/>
            <w:shd w:val="clear" w:color="auto" w:fill="FFFFFF"/>
            <w:vAlign w:val="center"/>
            <w:hideMark/>
          </w:tcPr>
          <w:p w14:paraId="5C4A3D70"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center"/>
            <w:hideMark/>
          </w:tcPr>
          <w:p w14:paraId="2723D37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center"/>
            <w:hideMark/>
          </w:tcPr>
          <w:p w14:paraId="24747E02"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i/>
                <w:iCs/>
                <w:color w:val="000000"/>
                <w:kern w:val="0"/>
                <w:sz w:val="18"/>
                <w:szCs w:val="18"/>
              </w:rPr>
              <w:t>1.8</w:t>
            </w:r>
          </w:p>
        </w:tc>
        <w:tc>
          <w:tcPr>
            <w:tcW w:w="0" w:type="auto"/>
            <w:vAlign w:val="center"/>
            <w:hideMark/>
          </w:tcPr>
          <w:p w14:paraId="2412DD4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i/>
                <w:iCs/>
                <w:color w:val="000000"/>
                <w:kern w:val="0"/>
                <w:sz w:val="18"/>
                <w:szCs w:val="18"/>
              </w:rPr>
              <w:t>pp</w:t>
            </w:r>
          </w:p>
        </w:tc>
      </w:tr>
      <w:tr w:rsidR="002F3D36" w:rsidRPr="002F3D36" w14:paraId="770151CF" w14:textId="77777777" w:rsidTr="002F3D36">
        <w:trPr>
          <w:trHeight w:val="180"/>
          <w:tblCellSpacing w:w="15" w:type="dxa"/>
        </w:trPr>
        <w:tc>
          <w:tcPr>
            <w:tcW w:w="0" w:type="auto"/>
            <w:shd w:val="clear" w:color="auto" w:fill="CFF0FC"/>
            <w:vAlign w:val="center"/>
            <w:hideMark/>
          </w:tcPr>
          <w:p w14:paraId="1669F60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Financial and non-operating items, net</w:t>
            </w:r>
          </w:p>
        </w:tc>
        <w:tc>
          <w:tcPr>
            <w:tcW w:w="0" w:type="auto"/>
            <w:shd w:val="clear" w:color="auto" w:fill="CFF0FC"/>
            <w:vAlign w:val="bottom"/>
            <w:hideMark/>
          </w:tcPr>
          <w:p w14:paraId="7A10391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5B6A3FCE"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(61</w:t>
            </w:r>
          </w:p>
        </w:tc>
        <w:tc>
          <w:tcPr>
            <w:tcW w:w="0" w:type="auto"/>
            <w:shd w:val="clear" w:color="auto" w:fill="CFF0FC"/>
            <w:vAlign w:val="bottom"/>
            <w:hideMark/>
          </w:tcPr>
          <w:p w14:paraId="161E9AC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shd w:val="clear" w:color="auto" w:fill="CFF0FC"/>
            <w:vAlign w:val="center"/>
            <w:hideMark/>
          </w:tcPr>
          <w:p w14:paraId="2F248F1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28918A0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7268AB8B"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(91</w:t>
            </w:r>
          </w:p>
        </w:tc>
        <w:tc>
          <w:tcPr>
            <w:tcW w:w="0" w:type="auto"/>
            <w:shd w:val="clear" w:color="auto" w:fill="CFF0FC"/>
            <w:vAlign w:val="bottom"/>
            <w:hideMark/>
          </w:tcPr>
          <w:p w14:paraId="3489E98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shd w:val="clear" w:color="auto" w:fill="CFF0FC"/>
            <w:vAlign w:val="center"/>
            <w:hideMark/>
          </w:tcPr>
          <w:p w14:paraId="29CFFD5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center"/>
            <w:hideMark/>
          </w:tcPr>
          <w:p w14:paraId="2B37AA2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center"/>
            <w:hideMark/>
          </w:tcPr>
          <w:p w14:paraId="1187A46A"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(33.3</w:t>
            </w:r>
          </w:p>
        </w:tc>
        <w:tc>
          <w:tcPr>
            <w:tcW w:w="0" w:type="auto"/>
            <w:shd w:val="clear" w:color="auto" w:fill="CFF0FC"/>
            <w:vAlign w:val="center"/>
            <w:hideMark/>
          </w:tcPr>
          <w:p w14:paraId="1BBB2ED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r>
      <w:tr w:rsidR="002F3D36" w:rsidRPr="002F3D36" w14:paraId="24E08BCF" w14:textId="77777777" w:rsidTr="002F3D36">
        <w:trPr>
          <w:trHeight w:val="180"/>
          <w:tblCellSpacing w:w="15" w:type="dxa"/>
        </w:trPr>
        <w:tc>
          <w:tcPr>
            <w:tcW w:w="0" w:type="auto"/>
            <w:shd w:val="clear" w:color="auto" w:fill="FFFFFF"/>
            <w:vAlign w:val="center"/>
            <w:hideMark/>
          </w:tcPr>
          <w:p w14:paraId="08AC72A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Income before taxes</w:t>
            </w:r>
          </w:p>
        </w:tc>
        <w:tc>
          <w:tcPr>
            <w:tcW w:w="0" w:type="auto"/>
            <w:shd w:val="clear" w:color="auto" w:fill="FFFFFF"/>
            <w:vAlign w:val="center"/>
            <w:hideMark/>
          </w:tcPr>
          <w:p w14:paraId="5AB64AD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center"/>
            <w:hideMark/>
          </w:tcPr>
          <w:p w14:paraId="1E626829"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614</w:t>
            </w:r>
          </w:p>
        </w:tc>
        <w:tc>
          <w:tcPr>
            <w:tcW w:w="0" w:type="auto"/>
            <w:shd w:val="clear" w:color="auto" w:fill="FFFFFF"/>
            <w:vAlign w:val="center"/>
            <w:hideMark/>
          </w:tcPr>
          <w:p w14:paraId="4042B40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center"/>
            <w:hideMark/>
          </w:tcPr>
          <w:p w14:paraId="5A004C4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center"/>
            <w:hideMark/>
          </w:tcPr>
          <w:p w14:paraId="587BF9D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center"/>
            <w:hideMark/>
          </w:tcPr>
          <w:p w14:paraId="272BAA95"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291</w:t>
            </w:r>
          </w:p>
        </w:tc>
        <w:tc>
          <w:tcPr>
            <w:tcW w:w="0" w:type="auto"/>
            <w:shd w:val="clear" w:color="auto" w:fill="FFFFFF"/>
            <w:vAlign w:val="center"/>
            <w:hideMark/>
          </w:tcPr>
          <w:p w14:paraId="513BDFE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center"/>
            <w:hideMark/>
          </w:tcPr>
          <w:p w14:paraId="010AAA7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center"/>
            <w:hideMark/>
          </w:tcPr>
          <w:p w14:paraId="113989F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center"/>
            <w:hideMark/>
          </w:tcPr>
          <w:p w14:paraId="676FA00D"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111</w:t>
            </w:r>
          </w:p>
        </w:tc>
        <w:tc>
          <w:tcPr>
            <w:tcW w:w="0" w:type="auto"/>
            <w:shd w:val="clear" w:color="auto" w:fill="FFFFFF"/>
            <w:vAlign w:val="center"/>
            <w:hideMark/>
          </w:tcPr>
          <w:p w14:paraId="405C02B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r>
      <w:tr w:rsidR="002F3D36" w:rsidRPr="002F3D36" w14:paraId="48476D61" w14:textId="77777777" w:rsidTr="002F3D36">
        <w:trPr>
          <w:trHeight w:val="180"/>
          <w:tblCellSpacing w:w="15" w:type="dxa"/>
        </w:trPr>
        <w:tc>
          <w:tcPr>
            <w:tcW w:w="0" w:type="auto"/>
            <w:shd w:val="clear" w:color="auto" w:fill="CFF0FC"/>
            <w:vAlign w:val="center"/>
            <w:hideMark/>
          </w:tcPr>
          <w:p w14:paraId="5560449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Tax rate</w:t>
            </w:r>
          </w:p>
        </w:tc>
        <w:tc>
          <w:tcPr>
            <w:tcW w:w="0" w:type="auto"/>
            <w:shd w:val="clear" w:color="auto" w:fill="CCECFF"/>
            <w:vAlign w:val="center"/>
            <w:hideMark/>
          </w:tcPr>
          <w:p w14:paraId="6933234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CECFF"/>
            <w:vAlign w:val="center"/>
            <w:hideMark/>
          </w:tcPr>
          <w:p w14:paraId="69DD21E6"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28.9</w:t>
            </w:r>
          </w:p>
        </w:tc>
        <w:tc>
          <w:tcPr>
            <w:tcW w:w="0" w:type="auto"/>
            <w:shd w:val="clear" w:color="auto" w:fill="CCECFF"/>
            <w:vAlign w:val="center"/>
            <w:hideMark/>
          </w:tcPr>
          <w:p w14:paraId="636A5CD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shd w:val="clear" w:color="auto" w:fill="CFF0FC"/>
            <w:vAlign w:val="center"/>
            <w:hideMark/>
          </w:tcPr>
          <w:p w14:paraId="0279116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CECFF"/>
            <w:vAlign w:val="center"/>
            <w:hideMark/>
          </w:tcPr>
          <w:p w14:paraId="799D801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CECFF"/>
            <w:vAlign w:val="center"/>
            <w:hideMark/>
          </w:tcPr>
          <w:p w14:paraId="2A4722B6"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35.3</w:t>
            </w:r>
          </w:p>
        </w:tc>
        <w:tc>
          <w:tcPr>
            <w:tcW w:w="0" w:type="auto"/>
            <w:shd w:val="clear" w:color="auto" w:fill="CCECFF"/>
            <w:vAlign w:val="center"/>
            <w:hideMark/>
          </w:tcPr>
          <w:p w14:paraId="060B676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shd w:val="clear" w:color="auto" w:fill="CFF0FC"/>
            <w:vAlign w:val="center"/>
            <w:hideMark/>
          </w:tcPr>
          <w:p w14:paraId="7E899DBF"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CECFF"/>
            <w:vAlign w:val="center"/>
            <w:hideMark/>
          </w:tcPr>
          <w:p w14:paraId="00759A5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CECFF"/>
            <w:vAlign w:val="center"/>
            <w:hideMark/>
          </w:tcPr>
          <w:p w14:paraId="3AAF532D"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(6.4)pp</w:t>
            </w:r>
          </w:p>
        </w:tc>
        <w:tc>
          <w:tcPr>
            <w:tcW w:w="0" w:type="auto"/>
            <w:shd w:val="clear" w:color="auto" w:fill="CCECFF"/>
            <w:vAlign w:val="center"/>
            <w:hideMark/>
          </w:tcPr>
          <w:p w14:paraId="7316AF1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1E253A6D" w14:textId="77777777" w:rsidTr="002F3D36">
        <w:trPr>
          <w:trHeight w:val="180"/>
          <w:tblCellSpacing w:w="15" w:type="dxa"/>
        </w:trPr>
        <w:tc>
          <w:tcPr>
            <w:tcW w:w="0" w:type="auto"/>
            <w:shd w:val="clear" w:color="auto" w:fill="FFFFFF"/>
            <w:vAlign w:val="center"/>
            <w:hideMark/>
          </w:tcPr>
          <w:p w14:paraId="773BF74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Net income</w:t>
            </w:r>
          </w:p>
        </w:tc>
        <w:tc>
          <w:tcPr>
            <w:tcW w:w="0" w:type="auto"/>
            <w:shd w:val="clear" w:color="auto" w:fill="FFFFFF"/>
            <w:vAlign w:val="bottom"/>
            <w:hideMark/>
          </w:tcPr>
          <w:p w14:paraId="528A653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bottom"/>
            <w:hideMark/>
          </w:tcPr>
          <w:p w14:paraId="2259C3BA"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437</w:t>
            </w:r>
          </w:p>
        </w:tc>
        <w:tc>
          <w:tcPr>
            <w:tcW w:w="0" w:type="auto"/>
            <w:shd w:val="clear" w:color="auto" w:fill="FFFFFF"/>
            <w:vAlign w:val="bottom"/>
            <w:hideMark/>
          </w:tcPr>
          <w:p w14:paraId="68B67AC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bottom"/>
            <w:hideMark/>
          </w:tcPr>
          <w:p w14:paraId="3B90233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bottom"/>
            <w:hideMark/>
          </w:tcPr>
          <w:p w14:paraId="23A2E9E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bottom"/>
            <w:hideMark/>
          </w:tcPr>
          <w:p w14:paraId="3BF48B0D"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188</w:t>
            </w:r>
          </w:p>
        </w:tc>
        <w:tc>
          <w:tcPr>
            <w:tcW w:w="0" w:type="auto"/>
            <w:shd w:val="clear" w:color="auto" w:fill="FFFFFF"/>
            <w:vAlign w:val="bottom"/>
            <w:hideMark/>
          </w:tcPr>
          <w:p w14:paraId="2F8751C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bottom"/>
            <w:hideMark/>
          </w:tcPr>
          <w:p w14:paraId="75593A3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center"/>
            <w:hideMark/>
          </w:tcPr>
          <w:p w14:paraId="7B1C85D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center"/>
            <w:hideMark/>
          </w:tcPr>
          <w:p w14:paraId="1048363F"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132</w:t>
            </w:r>
          </w:p>
        </w:tc>
        <w:tc>
          <w:tcPr>
            <w:tcW w:w="0" w:type="auto"/>
            <w:shd w:val="clear" w:color="auto" w:fill="FFFFFF"/>
            <w:vAlign w:val="center"/>
            <w:hideMark/>
          </w:tcPr>
          <w:p w14:paraId="3D55C2F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r>
      <w:tr w:rsidR="002F3D36" w:rsidRPr="002F3D36" w14:paraId="487029D6" w14:textId="77777777" w:rsidTr="002F3D36">
        <w:trPr>
          <w:trHeight w:val="180"/>
          <w:tblCellSpacing w:w="15" w:type="dxa"/>
        </w:trPr>
        <w:tc>
          <w:tcPr>
            <w:tcW w:w="0" w:type="auto"/>
            <w:shd w:val="clear" w:color="auto" w:fill="CFF0FC"/>
            <w:vAlign w:val="center"/>
            <w:hideMark/>
          </w:tcPr>
          <w:p w14:paraId="153F200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Earnings per share, diluted</w:t>
            </w:r>
            <w:r w:rsidRPr="002F3D36">
              <w:rPr>
                <w:rFonts w:ascii="Arial" w:eastAsia="微软雅黑" w:hAnsi="Arial" w:cs="Arial"/>
                <w:color w:val="000000"/>
                <w:kern w:val="0"/>
                <w:sz w:val="12"/>
                <w:szCs w:val="12"/>
              </w:rPr>
              <w:t>1, 2)</w:t>
            </w:r>
          </w:p>
        </w:tc>
        <w:tc>
          <w:tcPr>
            <w:tcW w:w="0" w:type="auto"/>
            <w:shd w:val="clear" w:color="auto" w:fill="CFF0FC"/>
            <w:vAlign w:val="bottom"/>
            <w:hideMark/>
          </w:tcPr>
          <w:p w14:paraId="31BC310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1BB22294"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4.96</w:t>
            </w:r>
          </w:p>
        </w:tc>
        <w:tc>
          <w:tcPr>
            <w:tcW w:w="0" w:type="auto"/>
            <w:shd w:val="clear" w:color="auto" w:fill="CFF0FC"/>
            <w:vAlign w:val="bottom"/>
            <w:hideMark/>
          </w:tcPr>
          <w:p w14:paraId="1BE5485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center"/>
            <w:hideMark/>
          </w:tcPr>
          <w:p w14:paraId="4615949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center"/>
            <w:hideMark/>
          </w:tcPr>
          <w:p w14:paraId="44F1396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center"/>
            <w:hideMark/>
          </w:tcPr>
          <w:p w14:paraId="7534A74B"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2.14</w:t>
            </w:r>
          </w:p>
        </w:tc>
        <w:tc>
          <w:tcPr>
            <w:tcW w:w="0" w:type="auto"/>
            <w:shd w:val="clear" w:color="auto" w:fill="CFF0FC"/>
            <w:vAlign w:val="center"/>
            <w:hideMark/>
          </w:tcPr>
          <w:p w14:paraId="0002D7E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center"/>
            <w:hideMark/>
          </w:tcPr>
          <w:p w14:paraId="0821122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center"/>
            <w:hideMark/>
          </w:tcPr>
          <w:p w14:paraId="77C34C1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center"/>
            <w:hideMark/>
          </w:tcPr>
          <w:p w14:paraId="1A4A42A7"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132</w:t>
            </w:r>
          </w:p>
        </w:tc>
        <w:tc>
          <w:tcPr>
            <w:tcW w:w="0" w:type="auto"/>
            <w:shd w:val="clear" w:color="auto" w:fill="CFF0FC"/>
            <w:vAlign w:val="center"/>
            <w:hideMark/>
          </w:tcPr>
          <w:p w14:paraId="2DEBC1A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r>
      <w:tr w:rsidR="002F3D36" w:rsidRPr="002F3D36" w14:paraId="0BDD3075" w14:textId="77777777" w:rsidTr="002F3D36">
        <w:trPr>
          <w:trHeight w:val="180"/>
          <w:tblCellSpacing w:w="15" w:type="dxa"/>
        </w:trPr>
        <w:tc>
          <w:tcPr>
            <w:tcW w:w="0" w:type="auto"/>
            <w:shd w:val="clear" w:color="auto" w:fill="FFFFFF"/>
            <w:vAlign w:val="center"/>
            <w:hideMark/>
          </w:tcPr>
          <w:p w14:paraId="1201C33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lastRenderedPageBreak/>
              <w:t>Adjusted earnings per share, diluted</w:t>
            </w:r>
            <w:r w:rsidRPr="002F3D36">
              <w:rPr>
                <w:rFonts w:ascii="Arial" w:eastAsia="微软雅黑" w:hAnsi="Arial" w:cs="Arial"/>
                <w:color w:val="000000"/>
                <w:kern w:val="0"/>
                <w:sz w:val="12"/>
                <w:szCs w:val="12"/>
              </w:rPr>
              <w:t>1, 2), 3)</w:t>
            </w:r>
          </w:p>
        </w:tc>
        <w:tc>
          <w:tcPr>
            <w:tcW w:w="0" w:type="auto"/>
            <w:vAlign w:val="center"/>
            <w:hideMark/>
          </w:tcPr>
          <w:p w14:paraId="68AC0CD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center"/>
            <w:hideMark/>
          </w:tcPr>
          <w:p w14:paraId="2B74B253"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5.02</w:t>
            </w:r>
          </w:p>
        </w:tc>
        <w:tc>
          <w:tcPr>
            <w:tcW w:w="0" w:type="auto"/>
            <w:vAlign w:val="center"/>
            <w:hideMark/>
          </w:tcPr>
          <w:p w14:paraId="36E9F26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center"/>
            <w:hideMark/>
          </w:tcPr>
          <w:p w14:paraId="4805CBA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center"/>
            <w:hideMark/>
          </w:tcPr>
          <w:p w14:paraId="2162F59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center"/>
            <w:hideMark/>
          </w:tcPr>
          <w:p w14:paraId="6C74DB4D"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3.15</w:t>
            </w:r>
          </w:p>
        </w:tc>
        <w:tc>
          <w:tcPr>
            <w:tcW w:w="0" w:type="auto"/>
            <w:vAlign w:val="center"/>
            <w:hideMark/>
          </w:tcPr>
          <w:p w14:paraId="5A0E085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center"/>
            <w:hideMark/>
          </w:tcPr>
          <w:p w14:paraId="6761E24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center"/>
            <w:hideMark/>
          </w:tcPr>
          <w:p w14:paraId="3132388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center"/>
            <w:hideMark/>
          </w:tcPr>
          <w:p w14:paraId="6EB037A3"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59.4</w:t>
            </w:r>
          </w:p>
        </w:tc>
        <w:tc>
          <w:tcPr>
            <w:tcW w:w="0" w:type="auto"/>
            <w:shd w:val="clear" w:color="auto" w:fill="FFFFFF"/>
            <w:vAlign w:val="center"/>
            <w:hideMark/>
          </w:tcPr>
          <w:p w14:paraId="79534DD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r>
    </w:tbl>
    <w:p w14:paraId="3F98B0C7"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1"/>
          <w:szCs w:val="11"/>
        </w:rPr>
        <w:t xml:space="preserve">1) </w:t>
      </w:r>
      <w:r w:rsidRPr="002F3D36">
        <w:rPr>
          <w:rFonts w:ascii="Arial" w:eastAsia="宋体" w:hAnsi="Arial" w:cs="Arial"/>
          <w:color w:val="000000"/>
          <w:kern w:val="0"/>
          <w:sz w:val="16"/>
          <w:szCs w:val="16"/>
        </w:rPr>
        <w:t>Assuming dilution and net of treasury shares.</w:t>
      </w:r>
    </w:p>
    <w:p w14:paraId="5FC28594"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1"/>
          <w:szCs w:val="11"/>
        </w:rPr>
        <w:t xml:space="preserve">2) </w:t>
      </w:r>
      <w:r w:rsidRPr="002F3D36">
        <w:rPr>
          <w:rFonts w:ascii="Arial" w:eastAsia="宋体" w:hAnsi="Arial" w:cs="Arial"/>
          <w:color w:val="000000"/>
          <w:kern w:val="0"/>
          <w:sz w:val="16"/>
          <w:szCs w:val="16"/>
        </w:rPr>
        <w:t>Participating share awards with right to receive dividend equivalents are (under the two-class method) excluded from the EPS calculation.</w:t>
      </w:r>
    </w:p>
    <w:p w14:paraId="448B5CF3"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1"/>
          <w:szCs w:val="11"/>
        </w:rPr>
        <w:t>3)</w:t>
      </w:r>
      <w:r w:rsidRPr="002F3D36">
        <w:rPr>
          <w:rFonts w:ascii="Arial" w:eastAsia="宋体" w:hAnsi="Arial" w:cs="Arial"/>
          <w:color w:val="000000"/>
          <w:kern w:val="0"/>
          <w:sz w:val="16"/>
          <w:szCs w:val="16"/>
        </w:rPr>
        <w:t xml:space="preserve"> Non-U.S. GAAP Measure.</w:t>
      </w:r>
    </w:p>
    <w:p w14:paraId="3179BC7B"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Gross Profit</w:t>
      </w:r>
    </w:p>
    <w:p w14:paraId="26408B3C"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In 2021, Gross profit increased by $264 million and the gross margin increased by 1.6 pp compared to 2020. The gross profit increase was primarily driven by higher sales from growing LVP and execution of the Company's strong order book.</w:t>
      </w:r>
    </w:p>
    <w:p w14:paraId="152A3A64"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Operating Income</w:t>
      </w:r>
    </w:p>
    <w:p w14:paraId="100ECDA5"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xml:space="preserve">Operating income increased in 2021 by $293 million, mainly as a consequence of improvement of gross profit and other income (expense), net, partly offset by higher costs for S,G&amp;A and R,D&amp;E, net. </w:t>
      </w:r>
    </w:p>
    <w:p w14:paraId="22F3F914"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xml:space="preserve">Selling, General and Administrative (S,G&amp;A) expenses increased in 2021 by $43 million, or by 11.1 %, mainly relating to higher personnel costs due to extensive furloughing the prior year, increased IT and project costs and adverse FX effects. </w:t>
      </w:r>
    </w:p>
    <w:p w14:paraId="04A72858"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xml:space="preserve">Research, Development &amp; Engineering (R,D&amp;E) expenses, net increased in 2021 by $15 million, or by 4.0 %, mainly due to higher personnel costs due to extensive furloughing the prior year and adverse FX effects partly offset by higher engineering income. In relation to sales, R,D&amp;E costs declined from 5.1% to 4.7%. </w:t>
      </w:r>
    </w:p>
    <w:p w14:paraId="1BC374AA"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Other income (expense), net decreased by $87 million in 2021 compared to the previous year, mainly due to</w:t>
      </w:r>
      <w:r w:rsidRPr="002F3D36">
        <w:rPr>
          <w:rFonts w:ascii="Arial" w:eastAsia="宋体" w:hAnsi="Arial" w:cs="Arial"/>
          <w:color w:val="FF0000"/>
          <w:kern w:val="0"/>
          <w:sz w:val="18"/>
          <w:szCs w:val="18"/>
        </w:rPr>
        <w:t xml:space="preserve"> </w:t>
      </w:r>
      <w:r w:rsidRPr="002F3D36">
        <w:rPr>
          <w:rFonts w:ascii="Arial" w:eastAsia="宋体" w:hAnsi="Arial" w:cs="Arial"/>
          <w:color w:val="000000"/>
          <w:kern w:val="0"/>
          <w:sz w:val="18"/>
          <w:szCs w:val="18"/>
        </w:rPr>
        <w:t>$90 million in lower capacity alignment costs, partly offset by adverse effects from FX effects and lower government income.</w:t>
      </w:r>
    </w:p>
    <w:p w14:paraId="345F562E"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smallCaps/>
          <w:color w:val="000000"/>
          <w:kern w:val="0"/>
          <w:sz w:val="18"/>
          <w:szCs w:val="18"/>
        </w:rPr>
        <w:t>F</w:t>
      </w:r>
      <w:r w:rsidRPr="002F3D36">
        <w:rPr>
          <w:rFonts w:ascii="Arial" w:eastAsia="宋体" w:hAnsi="Arial" w:cs="Arial"/>
          <w:b/>
          <w:bCs/>
          <w:color w:val="000000"/>
          <w:kern w:val="0"/>
          <w:sz w:val="18"/>
          <w:szCs w:val="18"/>
        </w:rPr>
        <w:t>inancial and Non-operating Items, net</w:t>
      </w:r>
    </w:p>
    <w:p w14:paraId="4879F3EF"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Financial and non-operating items, net, costs increased by $30 million in 2021 compared to previous year, mainly due to lower interest expense, net, but also due to positive effects from currency translations and other financial items.</w:t>
      </w:r>
    </w:p>
    <w:p w14:paraId="098FEDC5"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Income Taxes</w:t>
      </w:r>
    </w:p>
    <w:p w14:paraId="71A15F27"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The tax rate for 2021 was 28.9 %, compared to 35.3 % in 2020, mainly due to an unfavorable country mix in 2020.</w:t>
      </w:r>
    </w:p>
    <w:p w14:paraId="56CC4B09"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Net Income and Earnings Per Share</w:t>
      </w:r>
    </w:p>
    <w:p w14:paraId="76677973"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xml:space="preserve">Net income in 2021 increased by $249 million compared to 2020 primarily driven by the higher gross profit, lower capacity alignment costs and lower interest expense, net, as noted above. </w:t>
      </w:r>
    </w:p>
    <w:p w14:paraId="7AAB212B"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Earnings per share, diluted, increased by $2.83 where the main drivers were $1.29 from higher adjusted operating income (Non-U.S. GAAP measure, see reconciliation table below) , $0.95 from lower costs for capacity alignment and antitrust related matters, $0.40 from lower tax and $0.19 from financial items.</w:t>
      </w:r>
    </w:p>
    <w:p w14:paraId="12245A25"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lastRenderedPageBreak/>
        <w:t>The weighted average number of shares outstanding assuming dilution in 2021 was 87.7 million compared to 87.5 million in 2020.</w:t>
      </w:r>
    </w:p>
    <w:p w14:paraId="17A30A19" w14:textId="77777777" w:rsidR="002F3D36" w:rsidRPr="002F3D36" w:rsidRDefault="002F3D36" w:rsidP="002F3D36">
      <w:pPr>
        <w:widowControl/>
        <w:spacing w:before="240"/>
        <w:jc w:val="center"/>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37</w:t>
      </w:r>
    </w:p>
    <w:p w14:paraId="64C70D96" w14:textId="77777777" w:rsidR="002F3D36" w:rsidRPr="002F3D36" w:rsidRDefault="002F3D36" w:rsidP="002F3D36">
      <w:pPr>
        <w:widowControl/>
        <w:jc w:val="left"/>
        <w:rPr>
          <w:rFonts w:ascii="宋体" w:eastAsia="宋体" w:hAnsi="宋体" w:cs="宋体"/>
          <w:kern w:val="0"/>
          <w:sz w:val="24"/>
          <w:szCs w:val="24"/>
        </w:rPr>
      </w:pPr>
      <w:r w:rsidRPr="002F3D36">
        <w:rPr>
          <w:rFonts w:ascii="宋体" w:eastAsia="宋体" w:hAnsi="宋体" w:cs="宋体"/>
          <w:kern w:val="0"/>
          <w:sz w:val="24"/>
          <w:szCs w:val="24"/>
        </w:rPr>
        <w:pict w14:anchorId="4802620A">
          <v:rect id="_x0000_i1064" style="width:0;height:1.5pt" o:hralign="center" o:hrstd="t" o:hrnoshade="t" o:hr="t" fillcolor="black" stroked="f"/>
        </w:pict>
      </w:r>
    </w:p>
    <w:p w14:paraId="43612FA6" w14:textId="77777777" w:rsidR="002F3D36" w:rsidRPr="002F3D36" w:rsidRDefault="002F3D36" w:rsidP="002F3D36">
      <w:pPr>
        <w:widowControl/>
        <w:spacing w:line="20" w:lineRule="atLeast"/>
        <w:jc w:val="left"/>
        <w:rPr>
          <w:rFonts w:ascii="Times New Roman" w:eastAsia="宋体" w:hAnsi="Times New Roman" w:cs="Times New Roman"/>
          <w:color w:val="000000"/>
          <w:kern w:val="0"/>
          <w:sz w:val="20"/>
          <w:szCs w:val="20"/>
        </w:rPr>
      </w:pPr>
      <w:r w:rsidRPr="002F3D36">
        <w:rPr>
          <w:rFonts w:ascii="Arial" w:eastAsia="宋体" w:hAnsi="Arial" w:cs="Arial"/>
          <w:color w:val="000000"/>
          <w:kern w:val="0"/>
          <w:sz w:val="2"/>
          <w:szCs w:val="2"/>
        </w:rPr>
        <w:t> </w:t>
      </w:r>
    </w:p>
    <w:p w14:paraId="026DCC53"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aps/>
          <w:color w:val="000000"/>
          <w:kern w:val="0"/>
          <w:sz w:val="18"/>
          <w:szCs w:val="18"/>
        </w:rPr>
        <w:t xml:space="preserve">NON-U.S. GAAP PERFORMANCE MEASURES </w:t>
      </w:r>
    </w:p>
    <w:p w14:paraId="49443789"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In this annual report the Company sometimes refers to non-U.S. GAAP measures that the Company and securities analysts use in measuring Autoliv’s performance.</w:t>
      </w:r>
    </w:p>
    <w:p w14:paraId="59136321"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The Company believes that these measures assist management and investors in analyzing trends in the Company’s business for the reasons given below. Investors should not consider these non-U.S. GAAP measures as substitutes for, but rather as additions to, financial reporting measures prepared in accordance with U.S. GAAP.</w:t>
      </w:r>
    </w:p>
    <w:p w14:paraId="57CECA18"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These non-U.S. GAAP measures have been identified, as applicable, in each section of this annual report with tabular presentations provided below, reconciling them to U.S. GAAP.</w:t>
      </w:r>
    </w:p>
    <w:p w14:paraId="332BE425"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It should be noted that these measures, as defined, may not be comparable to similarly titled measures used by other companies.</w:t>
      </w:r>
    </w:p>
    <w:p w14:paraId="35DC28B9"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Organic Sales</w:t>
      </w:r>
    </w:p>
    <w:p w14:paraId="5A130D68"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The Company analyzes its sales trends and performance as changes in “organic sales growth” or “organic sales decline”, because the Company currently generates approximately three quarters of net sales in currencies other than the reporting currency (i.e. U.S. dollars) and currency rates have proven to be rather volatile. Organic sales present the increase or decrease in the overall U.S. dollar net sales on a comparable basis, allowing separate discussions of the impact of acquisitions/divestitures and exchange rates.</w:t>
      </w:r>
    </w:p>
    <w:p w14:paraId="27F64492"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See tabular reconciliations above, that present changes in “organic sales growth” as reconciled to the change in total U.S. GAAP net sales.</w:t>
      </w:r>
    </w:p>
    <w:p w14:paraId="2DB15D32"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Trade working capital</w:t>
      </w:r>
    </w:p>
    <w:p w14:paraId="08511DEF"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Due to the need to optimize cash generation to create value for the Company's shareholders, management focuses on operationally derived trade working capital as defined in the table below.</w:t>
      </w:r>
    </w:p>
    <w:p w14:paraId="2AF61A57"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The reconciling items used to derive this measure are, by contrast, managed as part of the Company's overall management of cash and debt, but they are not part of the responsibilities of day-to-day operations management.</w:t>
      </w:r>
    </w:p>
    <w:p w14:paraId="3E5D3E24"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Reconciliation of U.S. GAAP measure to “Trade working capital” (dollars in millions)</w:t>
      </w:r>
    </w:p>
    <w:p w14:paraId="1A25D04F"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w:t>
      </w:r>
    </w:p>
    <w:tbl>
      <w:tblPr>
        <w:tblW w:w="20614" w:type="dxa"/>
        <w:tblCellSpacing w:w="15" w:type="dxa"/>
        <w:tblCellMar>
          <w:top w:w="15" w:type="dxa"/>
          <w:left w:w="15" w:type="dxa"/>
          <w:bottom w:w="15" w:type="dxa"/>
          <w:right w:w="15" w:type="dxa"/>
        </w:tblCellMar>
        <w:tblLook w:val="04A0" w:firstRow="1" w:lastRow="0" w:firstColumn="1" w:lastColumn="0" w:noHBand="0" w:noVBand="1"/>
      </w:tblPr>
      <w:tblGrid>
        <w:gridCol w:w="15055"/>
        <w:gridCol w:w="393"/>
        <w:gridCol w:w="278"/>
        <w:gridCol w:w="1936"/>
        <w:gridCol w:w="177"/>
        <w:gridCol w:w="394"/>
        <w:gridCol w:w="278"/>
        <w:gridCol w:w="1907"/>
        <w:gridCol w:w="196"/>
      </w:tblGrid>
      <w:tr w:rsidR="002F3D36" w:rsidRPr="002F3D36" w14:paraId="1F10F929" w14:textId="77777777" w:rsidTr="002F3D36">
        <w:trPr>
          <w:tblCellSpacing w:w="15" w:type="dxa"/>
        </w:trPr>
        <w:tc>
          <w:tcPr>
            <w:tcW w:w="15035" w:type="dxa"/>
            <w:vAlign w:val="center"/>
            <w:hideMark/>
          </w:tcPr>
          <w:p w14:paraId="37B52963" w14:textId="77777777" w:rsidR="002F3D36" w:rsidRPr="002F3D36" w:rsidRDefault="002F3D36" w:rsidP="002F3D36">
            <w:pPr>
              <w:widowControl/>
              <w:jc w:val="left"/>
              <w:rPr>
                <w:rFonts w:ascii="Times New Roman" w:eastAsia="宋体" w:hAnsi="Times New Roman" w:cs="Times New Roman"/>
                <w:color w:val="000000"/>
                <w:kern w:val="0"/>
                <w:sz w:val="20"/>
                <w:szCs w:val="20"/>
              </w:rPr>
            </w:pPr>
          </w:p>
        </w:tc>
        <w:tc>
          <w:tcPr>
            <w:tcW w:w="364" w:type="dxa"/>
            <w:vAlign w:val="center"/>
            <w:hideMark/>
          </w:tcPr>
          <w:p w14:paraId="3C0187C4"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48" w:type="dxa"/>
            <w:vAlign w:val="center"/>
            <w:hideMark/>
          </w:tcPr>
          <w:p w14:paraId="21C24B03"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908" w:type="dxa"/>
            <w:vAlign w:val="center"/>
            <w:hideMark/>
          </w:tcPr>
          <w:p w14:paraId="35C47FA4"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47" w:type="dxa"/>
            <w:vAlign w:val="center"/>
            <w:hideMark/>
          </w:tcPr>
          <w:p w14:paraId="4E619057"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364" w:type="dxa"/>
            <w:vAlign w:val="center"/>
            <w:hideMark/>
          </w:tcPr>
          <w:p w14:paraId="0FEB4AAD"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48" w:type="dxa"/>
            <w:vAlign w:val="center"/>
            <w:hideMark/>
          </w:tcPr>
          <w:p w14:paraId="509C85FF"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879" w:type="dxa"/>
            <w:vAlign w:val="center"/>
            <w:hideMark/>
          </w:tcPr>
          <w:p w14:paraId="1FCD557D"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51" w:type="dxa"/>
            <w:vAlign w:val="center"/>
            <w:hideMark/>
          </w:tcPr>
          <w:p w14:paraId="23556BB0" w14:textId="77777777" w:rsidR="002F3D36" w:rsidRPr="002F3D36" w:rsidRDefault="002F3D36" w:rsidP="002F3D36">
            <w:pPr>
              <w:widowControl/>
              <w:jc w:val="left"/>
              <w:rPr>
                <w:rFonts w:ascii="Times New Roman" w:eastAsia="Times New Roman" w:hAnsi="Times New Roman" w:cs="Times New Roman"/>
                <w:kern w:val="0"/>
                <w:sz w:val="20"/>
                <w:szCs w:val="20"/>
              </w:rPr>
            </w:pPr>
          </w:p>
        </w:tc>
      </w:tr>
      <w:tr w:rsidR="002F3D36" w:rsidRPr="002F3D36" w14:paraId="7F0121A1" w14:textId="77777777" w:rsidTr="002F3D36">
        <w:trPr>
          <w:trHeight w:val="160"/>
          <w:tblCellSpacing w:w="15" w:type="dxa"/>
        </w:trPr>
        <w:tc>
          <w:tcPr>
            <w:tcW w:w="0" w:type="auto"/>
            <w:vAlign w:val="bottom"/>
            <w:hideMark/>
          </w:tcPr>
          <w:p w14:paraId="6933528A" w14:textId="77777777" w:rsidR="002F3D36" w:rsidRPr="002F3D36" w:rsidRDefault="002F3D36" w:rsidP="002F3D36">
            <w:pPr>
              <w:widowControl/>
              <w:jc w:val="left"/>
              <w:rPr>
                <w:rFonts w:ascii="Times New Roman" w:eastAsia="微软雅黑" w:hAnsi="Times New Roman" w:cs="Times New Roman"/>
                <w:kern w:val="0"/>
                <w:sz w:val="16"/>
                <w:szCs w:val="16"/>
              </w:rPr>
            </w:pPr>
            <w:r w:rsidRPr="002F3D36">
              <w:rPr>
                <w:rFonts w:ascii="Arial" w:eastAsia="微软雅黑" w:hAnsi="Arial" w:cs="Arial"/>
                <w:b/>
                <w:bCs/>
                <w:color w:val="000000"/>
                <w:kern w:val="0"/>
                <w:sz w:val="16"/>
                <w:szCs w:val="16"/>
                <w:u w:val="single"/>
              </w:rPr>
              <w:t>DECEMBER 31</w:t>
            </w:r>
          </w:p>
        </w:tc>
        <w:tc>
          <w:tcPr>
            <w:tcW w:w="0" w:type="auto"/>
            <w:vAlign w:val="bottom"/>
            <w:hideMark/>
          </w:tcPr>
          <w:p w14:paraId="70F25E42" w14:textId="77777777" w:rsidR="002F3D36" w:rsidRPr="002F3D36" w:rsidRDefault="002F3D36" w:rsidP="002F3D36">
            <w:pPr>
              <w:widowControl/>
              <w:jc w:val="left"/>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gridSpan w:val="2"/>
            <w:tcBorders>
              <w:bottom w:val="single" w:sz="4" w:space="0" w:color="000000"/>
            </w:tcBorders>
            <w:vAlign w:val="bottom"/>
            <w:hideMark/>
          </w:tcPr>
          <w:p w14:paraId="1D16F9EC"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b/>
                <w:bCs/>
                <w:color w:val="000000"/>
                <w:kern w:val="0"/>
                <w:sz w:val="16"/>
                <w:szCs w:val="16"/>
              </w:rPr>
              <w:t>2021</w:t>
            </w:r>
          </w:p>
        </w:tc>
        <w:tc>
          <w:tcPr>
            <w:tcW w:w="0" w:type="auto"/>
            <w:vAlign w:val="bottom"/>
            <w:hideMark/>
          </w:tcPr>
          <w:p w14:paraId="157E9499"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vAlign w:val="bottom"/>
            <w:hideMark/>
          </w:tcPr>
          <w:p w14:paraId="34177E76" w14:textId="77777777" w:rsidR="002F3D36" w:rsidRPr="002F3D36" w:rsidRDefault="002F3D36" w:rsidP="002F3D36">
            <w:pPr>
              <w:widowControl/>
              <w:jc w:val="left"/>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gridSpan w:val="2"/>
            <w:tcBorders>
              <w:bottom w:val="single" w:sz="4" w:space="0" w:color="000000"/>
            </w:tcBorders>
            <w:vAlign w:val="bottom"/>
            <w:hideMark/>
          </w:tcPr>
          <w:p w14:paraId="045B3649"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b/>
                <w:bCs/>
                <w:color w:val="000000"/>
                <w:kern w:val="0"/>
                <w:sz w:val="16"/>
                <w:szCs w:val="16"/>
              </w:rPr>
              <w:t>2020</w:t>
            </w:r>
          </w:p>
        </w:tc>
        <w:tc>
          <w:tcPr>
            <w:tcW w:w="0" w:type="auto"/>
            <w:vAlign w:val="bottom"/>
            <w:hideMark/>
          </w:tcPr>
          <w:p w14:paraId="3A3E3196"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r>
      <w:tr w:rsidR="002F3D36" w:rsidRPr="002F3D36" w14:paraId="61BCD551" w14:textId="77777777" w:rsidTr="002F3D36">
        <w:trPr>
          <w:trHeight w:val="180"/>
          <w:tblCellSpacing w:w="15" w:type="dxa"/>
        </w:trPr>
        <w:tc>
          <w:tcPr>
            <w:tcW w:w="0" w:type="auto"/>
            <w:shd w:val="clear" w:color="auto" w:fill="CFF0FC"/>
            <w:hideMark/>
          </w:tcPr>
          <w:p w14:paraId="69740B0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Receivables, net</w:t>
            </w:r>
          </w:p>
        </w:tc>
        <w:tc>
          <w:tcPr>
            <w:tcW w:w="0" w:type="auto"/>
            <w:shd w:val="clear" w:color="auto" w:fill="CFF0FC"/>
            <w:vAlign w:val="bottom"/>
            <w:hideMark/>
          </w:tcPr>
          <w:p w14:paraId="23D8215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35834AD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shd w:val="clear" w:color="auto" w:fill="CFF0FC"/>
            <w:vAlign w:val="bottom"/>
            <w:hideMark/>
          </w:tcPr>
          <w:p w14:paraId="08D9E95A"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1,699</w:t>
            </w:r>
          </w:p>
        </w:tc>
        <w:tc>
          <w:tcPr>
            <w:tcW w:w="0" w:type="auto"/>
            <w:shd w:val="clear" w:color="auto" w:fill="CFF0FC"/>
            <w:vAlign w:val="bottom"/>
            <w:hideMark/>
          </w:tcPr>
          <w:p w14:paraId="2AD9E8B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04C208E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22DC5DE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shd w:val="clear" w:color="auto" w:fill="CFF0FC"/>
            <w:vAlign w:val="bottom"/>
            <w:hideMark/>
          </w:tcPr>
          <w:p w14:paraId="7B0A8A61"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1,822</w:t>
            </w:r>
          </w:p>
        </w:tc>
        <w:tc>
          <w:tcPr>
            <w:tcW w:w="0" w:type="auto"/>
            <w:shd w:val="clear" w:color="auto" w:fill="CFF0FC"/>
            <w:vAlign w:val="bottom"/>
            <w:hideMark/>
          </w:tcPr>
          <w:p w14:paraId="5E6B9EE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567B64AE" w14:textId="77777777" w:rsidTr="002F3D36">
        <w:trPr>
          <w:trHeight w:val="180"/>
          <w:tblCellSpacing w:w="15" w:type="dxa"/>
        </w:trPr>
        <w:tc>
          <w:tcPr>
            <w:tcW w:w="0" w:type="auto"/>
            <w:hideMark/>
          </w:tcPr>
          <w:p w14:paraId="245081D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lastRenderedPageBreak/>
              <w:t>Inventories, net</w:t>
            </w:r>
          </w:p>
        </w:tc>
        <w:tc>
          <w:tcPr>
            <w:tcW w:w="0" w:type="auto"/>
            <w:vAlign w:val="bottom"/>
            <w:hideMark/>
          </w:tcPr>
          <w:p w14:paraId="3F928AF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73E93E5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5609033E"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777</w:t>
            </w:r>
          </w:p>
        </w:tc>
        <w:tc>
          <w:tcPr>
            <w:tcW w:w="0" w:type="auto"/>
            <w:vAlign w:val="bottom"/>
            <w:hideMark/>
          </w:tcPr>
          <w:p w14:paraId="32CE3C9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2CF62E6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7B5E702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71010FA8"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798</w:t>
            </w:r>
          </w:p>
        </w:tc>
        <w:tc>
          <w:tcPr>
            <w:tcW w:w="0" w:type="auto"/>
            <w:vAlign w:val="bottom"/>
            <w:hideMark/>
          </w:tcPr>
          <w:p w14:paraId="50C2A68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75A9B69E" w14:textId="77777777" w:rsidTr="002F3D36">
        <w:trPr>
          <w:trHeight w:val="180"/>
          <w:tblCellSpacing w:w="15" w:type="dxa"/>
        </w:trPr>
        <w:tc>
          <w:tcPr>
            <w:tcW w:w="0" w:type="auto"/>
            <w:shd w:val="clear" w:color="auto" w:fill="CFF0FC"/>
            <w:hideMark/>
          </w:tcPr>
          <w:p w14:paraId="56D246A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Accounts payable</w:t>
            </w:r>
          </w:p>
        </w:tc>
        <w:tc>
          <w:tcPr>
            <w:tcW w:w="0" w:type="auto"/>
            <w:shd w:val="clear" w:color="auto" w:fill="CFF0FC"/>
            <w:vAlign w:val="bottom"/>
            <w:hideMark/>
          </w:tcPr>
          <w:p w14:paraId="5BEDF7B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shd w:val="clear" w:color="auto" w:fill="CFF0FC"/>
            <w:vAlign w:val="bottom"/>
            <w:hideMark/>
          </w:tcPr>
          <w:p w14:paraId="53443EE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shd w:val="clear" w:color="auto" w:fill="CFF0FC"/>
            <w:vAlign w:val="bottom"/>
            <w:hideMark/>
          </w:tcPr>
          <w:p w14:paraId="7C2D280F"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(1,144</w:t>
            </w:r>
          </w:p>
        </w:tc>
        <w:tc>
          <w:tcPr>
            <w:tcW w:w="0" w:type="auto"/>
            <w:shd w:val="clear" w:color="auto" w:fill="CFF0FC"/>
            <w:vAlign w:val="bottom"/>
            <w:hideMark/>
          </w:tcPr>
          <w:p w14:paraId="6B66BDF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shd w:val="clear" w:color="auto" w:fill="CFF0FC"/>
            <w:vAlign w:val="bottom"/>
            <w:hideMark/>
          </w:tcPr>
          <w:p w14:paraId="5F93542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shd w:val="clear" w:color="auto" w:fill="CFF0FC"/>
            <w:vAlign w:val="bottom"/>
            <w:hideMark/>
          </w:tcPr>
          <w:p w14:paraId="3210FDE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shd w:val="clear" w:color="auto" w:fill="CFF0FC"/>
            <w:vAlign w:val="bottom"/>
            <w:hideMark/>
          </w:tcPr>
          <w:p w14:paraId="50E9E35B"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(1,254</w:t>
            </w:r>
          </w:p>
        </w:tc>
        <w:tc>
          <w:tcPr>
            <w:tcW w:w="0" w:type="auto"/>
            <w:shd w:val="clear" w:color="auto" w:fill="CFF0FC"/>
            <w:vAlign w:val="bottom"/>
            <w:hideMark/>
          </w:tcPr>
          <w:p w14:paraId="37C402B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r>
      <w:tr w:rsidR="002F3D36" w:rsidRPr="002F3D36" w14:paraId="00501037" w14:textId="77777777" w:rsidTr="002F3D36">
        <w:trPr>
          <w:trHeight w:val="180"/>
          <w:tblCellSpacing w:w="15" w:type="dxa"/>
        </w:trPr>
        <w:tc>
          <w:tcPr>
            <w:tcW w:w="0" w:type="auto"/>
            <w:hideMark/>
          </w:tcPr>
          <w:p w14:paraId="0ACFC0D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Trade working capital</w:t>
            </w:r>
          </w:p>
        </w:tc>
        <w:tc>
          <w:tcPr>
            <w:tcW w:w="0" w:type="auto"/>
            <w:vAlign w:val="bottom"/>
            <w:hideMark/>
          </w:tcPr>
          <w:p w14:paraId="5F24B75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1E996A6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w:t>
            </w:r>
          </w:p>
        </w:tc>
        <w:tc>
          <w:tcPr>
            <w:tcW w:w="0" w:type="auto"/>
            <w:vAlign w:val="bottom"/>
            <w:hideMark/>
          </w:tcPr>
          <w:p w14:paraId="7E93D24C"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1,332</w:t>
            </w:r>
          </w:p>
        </w:tc>
        <w:tc>
          <w:tcPr>
            <w:tcW w:w="0" w:type="auto"/>
            <w:vAlign w:val="bottom"/>
            <w:hideMark/>
          </w:tcPr>
          <w:p w14:paraId="07F7A87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4307BF6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1B4736F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w:t>
            </w:r>
          </w:p>
        </w:tc>
        <w:tc>
          <w:tcPr>
            <w:tcW w:w="0" w:type="auto"/>
            <w:vAlign w:val="bottom"/>
            <w:hideMark/>
          </w:tcPr>
          <w:p w14:paraId="1613E245"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1,366</w:t>
            </w:r>
          </w:p>
        </w:tc>
        <w:tc>
          <w:tcPr>
            <w:tcW w:w="0" w:type="auto"/>
            <w:vAlign w:val="bottom"/>
            <w:hideMark/>
          </w:tcPr>
          <w:p w14:paraId="13DC2A5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bl>
    <w:p w14:paraId="1A8AB698"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Net debt</w:t>
      </w:r>
    </w:p>
    <w:p w14:paraId="568BA9EE"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As part of efficiently managing the Company’s overall cost of funds, the Company routinely enter into “debt-related derivatives” (DRD) as part of its debt management.</w:t>
      </w:r>
    </w:p>
    <w:p w14:paraId="4702E6F5"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Creditors and credit rating agencies use net debt adjusted for DRD in their analyses of the Company’s debt and therefore the Company provides this non-U.S. GAAP measure. See reconciliation table below. DRD are fair value adjustments to the carrying value of the underlying debt. Also included in the DRD is the unamortized fair value adjustment related to discontinued fair value hedges, which will be amortized over the remaining life of the debt. By adjusting for DRD, the total financial liability of net debt is disclosed without grossing debt up with currency or interest fair values.</w:t>
      </w:r>
    </w:p>
    <w:p w14:paraId="55632CB4"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Reconciliation of U.S. GAAP measure to “Net debt” (dollars in millions)</w:t>
      </w:r>
    </w:p>
    <w:p w14:paraId="58B6DE37"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w:t>
      </w:r>
    </w:p>
    <w:tbl>
      <w:tblPr>
        <w:tblW w:w="20614" w:type="dxa"/>
        <w:tblCellSpacing w:w="15" w:type="dxa"/>
        <w:tblCellMar>
          <w:top w:w="15" w:type="dxa"/>
          <w:left w:w="15" w:type="dxa"/>
          <w:bottom w:w="15" w:type="dxa"/>
          <w:right w:w="15" w:type="dxa"/>
        </w:tblCellMar>
        <w:tblLook w:val="04A0" w:firstRow="1" w:lastRow="0" w:firstColumn="1" w:lastColumn="0" w:noHBand="0" w:noVBand="1"/>
      </w:tblPr>
      <w:tblGrid>
        <w:gridCol w:w="13407"/>
        <w:gridCol w:w="508"/>
        <w:gridCol w:w="278"/>
        <w:gridCol w:w="2644"/>
        <w:gridCol w:w="177"/>
        <w:gridCol w:w="508"/>
        <w:gridCol w:w="278"/>
        <w:gridCol w:w="2618"/>
        <w:gridCol w:w="196"/>
      </w:tblGrid>
      <w:tr w:rsidR="002F3D36" w:rsidRPr="002F3D36" w14:paraId="69888143" w14:textId="77777777" w:rsidTr="002F3D36">
        <w:trPr>
          <w:tblCellSpacing w:w="15" w:type="dxa"/>
        </w:trPr>
        <w:tc>
          <w:tcPr>
            <w:tcW w:w="13383" w:type="dxa"/>
            <w:vAlign w:val="center"/>
            <w:hideMark/>
          </w:tcPr>
          <w:p w14:paraId="7A77C23D" w14:textId="77777777" w:rsidR="002F3D36" w:rsidRPr="002F3D36" w:rsidRDefault="002F3D36" w:rsidP="002F3D36">
            <w:pPr>
              <w:widowControl/>
              <w:jc w:val="left"/>
              <w:rPr>
                <w:rFonts w:ascii="Times New Roman" w:eastAsia="宋体" w:hAnsi="Times New Roman" w:cs="Times New Roman"/>
                <w:color w:val="000000"/>
                <w:kern w:val="0"/>
                <w:sz w:val="20"/>
                <w:szCs w:val="20"/>
              </w:rPr>
            </w:pPr>
          </w:p>
        </w:tc>
        <w:tc>
          <w:tcPr>
            <w:tcW w:w="479" w:type="dxa"/>
            <w:vAlign w:val="center"/>
            <w:hideMark/>
          </w:tcPr>
          <w:p w14:paraId="5F638B54"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48" w:type="dxa"/>
            <w:vAlign w:val="center"/>
            <w:hideMark/>
          </w:tcPr>
          <w:p w14:paraId="08E50862"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618" w:type="dxa"/>
            <w:vAlign w:val="center"/>
            <w:hideMark/>
          </w:tcPr>
          <w:p w14:paraId="557F5C89"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47" w:type="dxa"/>
            <w:vAlign w:val="center"/>
            <w:hideMark/>
          </w:tcPr>
          <w:p w14:paraId="120DD1CF"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479" w:type="dxa"/>
            <w:vAlign w:val="center"/>
            <w:hideMark/>
          </w:tcPr>
          <w:p w14:paraId="3736A41A"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48" w:type="dxa"/>
            <w:vAlign w:val="center"/>
            <w:hideMark/>
          </w:tcPr>
          <w:p w14:paraId="4642523C"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591" w:type="dxa"/>
            <w:vAlign w:val="center"/>
            <w:hideMark/>
          </w:tcPr>
          <w:p w14:paraId="7959AB00"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51" w:type="dxa"/>
            <w:vAlign w:val="center"/>
            <w:hideMark/>
          </w:tcPr>
          <w:p w14:paraId="00020BBA" w14:textId="77777777" w:rsidR="002F3D36" w:rsidRPr="002F3D36" w:rsidRDefault="002F3D36" w:rsidP="002F3D36">
            <w:pPr>
              <w:widowControl/>
              <w:jc w:val="left"/>
              <w:rPr>
                <w:rFonts w:ascii="Times New Roman" w:eastAsia="Times New Roman" w:hAnsi="Times New Roman" w:cs="Times New Roman"/>
                <w:kern w:val="0"/>
                <w:sz w:val="20"/>
                <w:szCs w:val="20"/>
              </w:rPr>
            </w:pPr>
          </w:p>
        </w:tc>
      </w:tr>
      <w:tr w:rsidR="002F3D36" w:rsidRPr="002F3D36" w14:paraId="630A87E8" w14:textId="77777777" w:rsidTr="002F3D36">
        <w:trPr>
          <w:trHeight w:val="160"/>
          <w:tblCellSpacing w:w="15" w:type="dxa"/>
        </w:trPr>
        <w:tc>
          <w:tcPr>
            <w:tcW w:w="0" w:type="auto"/>
            <w:vAlign w:val="bottom"/>
            <w:hideMark/>
          </w:tcPr>
          <w:p w14:paraId="34D3C501" w14:textId="77777777" w:rsidR="002F3D36" w:rsidRPr="002F3D36" w:rsidRDefault="002F3D36" w:rsidP="002F3D36">
            <w:pPr>
              <w:widowControl/>
              <w:jc w:val="left"/>
              <w:rPr>
                <w:rFonts w:ascii="Times New Roman" w:eastAsia="微软雅黑" w:hAnsi="Times New Roman" w:cs="Times New Roman"/>
                <w:kern w:val="0"/>
                <w:sz w:val="16"/>
                <w:szCs w:val="16"/>
              </w:rPr>
            </w:pPr>
            <w:r w:rsidRPr="002F3D36">
              <w:rPr>
                <w:rFonts w:ascii="Arial" w:eastAsia="微软雅黑" w:hAnsi="Arial" w:cs="Arial"/>
                <w:b/>
                <w:bCs/>
                <w:color w:val="000000"/>
                <w:kern w:val="0"/>
                <w:sz w:val="16"/>
                <w:szCs w:val="16"/>
                <w:u w:val="single"/>
              </w:rPr>
              <w:t>DECEMBER 31</w:t>
            </w:r>
          </w:p>
        </w:tc>
        <w:tc>
          <w:tcPr>
            <w:tcW w:w="0" w:type="auto"/>
            <w:vAlign w:val="bottom"/>
            <w:hideMark/>
          </w:tcPr>
          <w:p w14:paraId="3B397AA6" w14:textId="77777777" w:rsidR="002F3D36" w:rsidRPr="002F3D36" w:rsidRDefault="002F3D36" w:rsidP="002F3D36">
            <w:pPr>
              <w:widowControl/>
              <w:jc w:val="left"/>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gridSpan w:val="2"/>
            <w:tcBorders>
              <w:bottom w:val="single" w:sz="4" w:space="0" w:color="000000"/>
            </w:tcBorders>
            <w:vAlign w:val="bottom"/>
            <w:hideMark/>
          </w:tcPr>
          <w:p w14:paraId="2723107E"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b/>
                <w:bCs/>
                <w:color w:val="000000"/>
                <w:kern w:val="0"/>
                <w:sz w:val="16"/>
                <w:szCs w:val="16"/>
              </w:rPr>
              <w:t>2021</w:t>
            </w:r>
          </w:p>
        </w:tc>
        <w:tc>
          <w:tcPr>
            <w:tcW w:w="0" w:type="auto"/>
            <w:vAlign w:val="bottom"/>
            <w:hideMark/>
          </w:tcPr>
          <w:p w14:paraId="073C719E"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vAlign w:val="bottom"/>
            <w:hideMark/>
          </w:tcPr>
          <w:p w14:paraId="34DF6496" w14:textId="77777777" w:rsidR="002F3D36" w:rsidRPr="002F3D36" w:rsidRDefault="002F3D36" w:rsidP="002F3D36">
            <w:pPr>
              <w:widowControl/>
              <w:jc w:val="left"/>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gridSpan w:val="2"/>
            <w:tcBorders>
              <w:bottom w:val="single" w:sz="4" w:space="0" w:color="000000"/>
            </w:tcBorders>
            <w:vAlign w:val="bottom"/>
            <w:hideMark/>
          </w:tcPr>
          <w:p w14:paraId="79228C15"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b/>
                <w:bCs/>
                <w:color w:val="000000"/>
                <w:kern w:val="0"/>
                <w:sz w:val="16"/>
                <w:szCs w:val="16"/>
              </w:rPr>
              <w:t>2020</w:t>
            </w:r>
          </w:p>
        </w:tc>
        <w:tc>
          <w:tcPr>
            <w:tcW w:w="0" w:type="auto"/>
            <w:vAlign w:val="bottom"/>
            <w:hideMark/>
          </w:tcPr>
          <w:p w14:paraId="3D64E74F"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r>
      <w:tr w:rsidR="002F3D36" w:rsidRPr="002F3D36" w14:paraId="57194619" w14:textId="77777777" w:rsidTr="002F3D36">
        <w:trPr>
          <w:trHeight w:val="180"/>
          <w:tblCellSpacing w:w="15" w:type="dxa"/>
        </w:trPr>
        <w:tc>
          <w:tcPr>
            <w:tcW w:w="0" w:type="auto"/>
            <w:shd w:val="clear" w:color="auto" w:fill="CFF0FC"/>
            <w:hideMark/>
          </w:tcPr>
          <w:p w14:paraId="260CB0B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Short-term debt</w:t>
            </w:r>
          </w:p>
        </w:tc>
        <w:tc>
          <w:tcPr>
            <w:tcW w:w="0" w:type="auto"/>
            <w:shd w:val="clear" w:color="auto" w:fill="CFF0FC"/>
            <w:vAlign w:val="bottom"/>
            <w:hideMark/>
          </w:tcPr>
          <w:p w14:paraId="4FE32ED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598A002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shd w:val="clear" w:color="auto" w:fill="CFF0FC"/>
            <w:vAlign w:val="bottom"/>
            <w:hideMark/>
          </w:tcPr>
          <w:p w14:paraId="1E3565B0"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346</w:t>
            </w:r>
          </w:p>
        </w:tc>
        <w:tc>
          <w:tcPr>
            <w:tcW w:w="0" w:type="auto"/>
            <w:shd w:val="clear" w:color="auto" w:fill="CFF0FC"/>
            <w:vAlign w:val="bottom"/>
            <w:hideMark/>
          </w:tcPr>
          <w:p w14:paraId="018AD24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45B1B04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4CC38BE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shd w:val="clear" w:color="auto" w:fill="CFF0FC"/>
            <w:vAlign w:val="bottom"/>
            <w:hideMark/>
          </w:tcPr>
          <w:p w14:paraId="04D9E2A6"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302</w:t>
            </w:r>
          </w:p>
        </w:tc>
        <w:tc>
          <w:tcPr>
            <w:tcW w:w="0" w:type="auto"/>
            <w:shd w:val="clear" w:color="auto" w:fill="CFF0FC"/>
            <w:vAlign w:val="bottom"/>
            <w:hideMark/>
          </w:tcPr>
          <w:p w14:paraId="35D8BEB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796B729E" w14:textId="77777777" w:rsidTr="002F3D36">
        <w:trPr>
          <w:trHeight w:val="180"/>
          <w:tblCellSpacing w:w="15" w:type="dxa"/>
        </w:trPr>
        <w:tc>
          <w:tcPr>
            <w:tcW w:w="0" w:type="auto"/>
            <w:hideMark/>
          </w:tcPr>
          <w:p w14:paraId="7FA3223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Long-term debt</w:t>
            </w:r>
          </w:p>
        </w:tc>
        <w:tc>
          <w:tcPr>
            <w:tcW w:w="0" w:type="auto"/>
            <w:vAlign w:val="bottom"/>
            <w:hideMark/>
          </w:tcPr>
          <w:p w14:paraId="3063AE5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vAlign w:val="bottom"/>
            <w:hideMark/>
          </w:tcPr>
          <w:p w14:paraId="7B23C88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vAlign w:val="bottom"/>
            <w:hideMark/>
          </w:tcPr>
          <w:p w14:paraId="26D087C2"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1,662</w:t>
            </w:r>
          </w:p>
        </w:tc>
        <w:tc>
          <w:tcPr>
            <w:tcW w:w="0" w:type="auto"/>
            <w:vAlign w:val="bottom"/>
            <w:hideMark/>
          </w:tcPr>
          <w:p w14:paraId="28F4F79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58CC2F9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vAlign w:val="bottom"/>
            <w:hideMark/>
          </w:tcPr>
          <w:p w14:paraId="2C4A300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vAlign w:val="bottom"/>
            <w:hideMark/>
          </w:tcPr>
          <w:p w14:paraId="352198FF"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2,110</w:t>
            </w:r>
          </w:p>
        </w:tc>
        <w:tc>
          <w:tcPr>
            <w:tcW w:w="0" w:type="auto"/>
            <w:vAlign w:val="bottom"/>
            <w:hideMark/>
          </w:tcPr>
          <w:p w14:paraId="64F72C4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32FCBCA6" w14:textId="77777777" w:rsidTr="002F3D36">
        <w:trPr>
          <w:trHeight w:val="180"/>
          <w:tblCellSpacing w:w="15" w:type="dxa"/>
        </w:trPr>
        <w:tc>
          <w:tcPr>
            <w:tcW w:w="0" w:type="auto"/>
            <w:shd w:val="clear" w:color="auto" w:fill="CFF0FC"/>
            <w:hideMark/>
          </w:tcPr>
          <w:p w14:paraId="2A18FFC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Total debt</w:t>
            </w:r>
          </w:p>
        </w:tc>
        <w:tc>
          <w:tcPr>
            <w:tcW w:w="0" w:type="auto"/>
            <w:shd w:val="clear" w:color="auto" w:fill="CFF0FC"/>
            <w:vAlign w:val="bottom"/>
            <w:hideMark/>
          </w:tcPr>
          <w:p w14:paraId="1C1929D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0C661D6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4483CB05"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2,008</w:t>
            </w:r>
          </w:p>
        </w:tc>
        <w:tc>
          <w:tcPr>
            <w:tcW w:w="0" w:type="auto"/>
            <w:shd w:val="clear" w:color="auto" w:fill="CFF0FC"/>
            <w:vAlign w:val="bottom"/>
            <w:hideMark/>
          </w:tcPr>
          <w:p w14:paraId="0F10524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0031A1B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0B15081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40E395A6"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2,411</w:t>
            </w:r>
          </w:p>
        </w:tc>
        <w:tc>
          <w:tcPr>
            <w:tcW w:w="0" w:type="auto"/>
            <w:shd w:val="clear" w:color="auto" w:fill="CFF0FC"/>
            <w:vAlign w:val="bottom"/>
            <w:hideMark/>
          </w:tcPr>
          <w:p w14:paraId="75F0D3D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60437802" w14:textId="77777777" w:rsidTr="002F3D36">
        <w:trPr>
          <w:trHeight w:val="180"/>
          <w:tblCellSpacing w:w="15" w:type="dxa"/>
        </w:trPr>
        <w:tc>
          <w:tcPr>
            <w:tcW w:w="0" w:type="auto"/>
            <w:hideMark/>
          </w:tcPr>
          <w:p w14:paraId="24DDED6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Cash and cash equivalents</w:t>
            </w:r>
          </w:p>
        </w:tc>
        <w:tc>
          <w:tcPr>
            <w:tcW w:w="0" w:type="auto"/>
            <w:vAlign w:val="bottom"/>
            <w:hideMark/>
          </w:tcPr>
          <w:p w14:paraId="70E9F5C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5A87310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0F6FDF7D"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(969</w:t>
            </w:r>
          </w:p>
        </w:tc>
        <w:tc>
          <w:tcPr>
            <w:tcW w:w="0" w:type="auto"/>
            <w:vAlign w:val="bottom"/>
            <w:hideMark/>
          </w:tcPr>
          <w:p w14:paraId="51DD760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vAlign w:val="bottom"/>
            <w:hideMark/>
          </w:tcPr>
          <w:p w14:paraId="3804FC0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32454F1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27F80830"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(1,178</w:t>
            </w:r>
          </w:p>
        </w:tc>
        <w:tc>
          <w:tcPr>
            <w:tcW w:w="0" w:type="auto"/>
            <w:vAlign w:val="bottom"/>
            <w:hideMark/>
          </w:tcPr>
          <w:p w14:paraId="715EE35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r>
      <w:tr w:rsidR="002F3D36" w:rsidRPr="002F3D36" w14:paraId="0B0500C1" w14:textId="77777777" w:rsidTr="002F3D36">
        <w:trPr>
          <w:trHeight w:val="180"/>
          <w:tblCellSpacing w:w="15" w:type="dxa"/>
        </w:trPr>
        <w:tc>
          <w:tcPr>
            <w:tcW w:w="0" w:type="auto"/>
            <w:shd w:val="clear" w:color="auto" w:fill="CFF0FC"/>
            <w:hideMark/>
          </w:tcPr>
          <w:p w14:paraId="175FDFF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Debt issuance cost/Debt-related derivatives, net</w:t>
            </w:r>
          </w:p>
        </w:tc>
        <w:tc>
          <w:tcPr>
            <w:tcW w:w="0" w:type="auto"/>
            <w:shd w:val="clear" w:color="auto" w:fill="CFF0FC"/>
            <w:vAlign w:val="bottom"/>
            <w:hideMark/>
          </w:tcPr>
          <w:p w14:paraId="542098A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shd w:val="clear" w:color="auto" w:fill="CFF0FC"/>
            <w:vAlign w:val="bottom"/>
            <w:hideMark/>
          </w:tcPr>
          <w:p w14:paraId="018DB4F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shd w:val="clear" w:color="auto" w:fill="CFF0FC"/>
            <w:vAlign w:val="bottom"/>
            <w:hideMark/>
          </w:tcPr>
          <w:p w14:paraId="3463F6DE"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13</w:t>
            </w:r>
          </w:p>
        </w:tc>
        <w:tc>
          <w:tcPr>
            <w:tcW w:w="0" w:type="auto"/>
            <w:shd w:val="clear" w:color="auto" w:fill="CFF0FC"/>
            <w:vAlign w:val="bottom"/>
            <w:hideMark/>
          </w:tcPr>
          <w:p w14:paraId="7A0270A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4AA8790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shd w:val="clear" w:color="auto" w:fill="CFF0FC"/>
            <w:vAlign w:val="bottom"/>
            <w:hideMark/>
          </w:tcPr>
          <w:p w14:paraId="3C37757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shd w:val="clear" w:color="auto" w:fill="CFF0FC"/>
            <w:vAlign w:val="bottom"/>
            <w:hideMark/>
          </w:tcPr>
          <w:p w14:paraId="36A2C028"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(19</w:t>
            </w:r>
          </w:p>
        </w:tc>
        <w:tc>
          <w:tcPr>
            <w:tcW w:w="0" w:type="auto"/>
            <w:shd w:val="clear" w:color="auto" w:fill="CFF0FC"/>
            <w:vAlign w:val="bottom"/>
            <w:hideMark/>
          </w:tcPr>
          <w:p w14:paraId="1CB29B8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r>
      <w:tr w:rsidR="002F3D36" w:rsidRPr="002F3D36" w14:paraId="2ECB7B9C" w14:textId="77777777" w:rsidTr="002F3D36">
        <w:trPr>
          <w:trHeight w:val="180"/>
          <w:tblCellSpacing w:w="15" w:type="dxa"/>
        </w:trPr>
        <w:tc>
          <w:tcPr>
            <w:tcW w:w="0" w:type="auto"/>
            <w:hideMark/>
          </w:tcPr>
          <w:p w14:paraId="59FAB1D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Net debt</w:t>
            </w:r>
          </w:p>
        </w:tc>
        <w:tc>
          <w:tcPr>
            <w:tcW w:w="0" w:type="auto"/>
            <w:vAlign w:val="bottom"/>
            <w:hideMark/>
          </w:tcPr>
          <w:p w14:paraId="018695F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233442C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w:t>
            </w:r>
          </w:p>
        </w:tc>
        <w:tc>
          <w:tcPr>
            <w:tcW w:w="0" w:type="auto"/>
            <w:vAlign w:val="bottom"/>
            <w:hideMark/>
          </w:tcPr>
          <w:p w14:paraId="26F1C307"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1,052</w:t>
            </w:r>
          </w:p>
        </w:tc>
        <w:tc>
          <w:tcPr>
            <w:tcW w:w="0" w:type="auto"/>
            <w:vAlign w:val="bottom"/>
            <w:hideMark/>
          </w:tcPr>
          <w:p w14:paraId="23D3AB8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0A67991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4369F1E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w:t>
            </w:r>
          </w:p>
        </w:tc>
        <w:tc>
          <w:tcPr>
            <w:tcW w:w="0" w:type="auto"/>
            <w:vAlign w:val="bottom"/>
            <w:hideMark/>
          </w:tcPr>
          <w:p w14:paraId="5271C627"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1,214</w:t>
            </w:r>
          </w:p>
        </w:tc>
        <w:tc>
          <w:tcPr>
            <w:tcW w:w="0" w:type="auto"/>
            <w:vAlign w:val="bottom"/>
            <w:hideMark/>
          </w:tcPr>
          <w:p w14:paraId="71CBB42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bl>
    <w:p w14:paraId="4F51ED1B" w14:textId="77777777" w:rsidR="002F3D36" w:rsidRPr="002F3D36" w:rsidRDefault="002F3D36" w:rsidP="002F3D36">
      <w:pPr>
        <w:widowControl/>
        <w:jc w:val="left"/>
        <w:rPr>
          <w:rFonts w:ascii="Times New Roman" w:eastAsia="宋体" w:hAnsi="Times New Roman" w:cs="Times New Roman"/>
          <w:color w:val="000000"/>
          <w:kern w:val="0"/>
          <w:sz w:val="20"/>
          <w:szCs w:val="20"/>
        </w:rPr>
      </w:pPr>
      <w:r w:rsidRPr="002F3D36">
        <w:rPr>
          <w:rFonts w:ascii="Times New Roman" w:eastAsia="宋体" w:hAnsi="Times New Roman" w:cs="Times New Roman"/>
          <w:color w:val="000000"/>
          <w:kern w:val="0"/>
          <w:sz w:val="20"/>
          <w:szCs w:val="20"/>
        </w:rPr>
        <w:t> </w:t>
      </w:r>
    </w:p>
    <w:p w14:paraId="1502120F" w14:textId="77777777" w:rsidR="002F3D36" w:rsidRPr="002F3D36" w:rsidRDefault="002F3D36" w:rsidP="002F3D36">
      <w:pPr>
        <w:widowControl/>
        <w:spacing w:before="240"/>
        <w:jc w:val="center"/>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38</w:t>
      </w:r>
    </w:p>
    <w:p w14:paraId="0B7B767C" w14:textId="77777777" w:rsidR="002F3D36" w:rsidRPr="002F3D36" w:rsidRDefault="002F3D36" w:rsidP="002F3D36">
      <w:pPr>
        <w:widowControl/>
        <w:jc w:val="left"/>
        <w:rPr>
          <w:rFonts w:ascii="宋体" w:eastAsia="宋体" w:hAnsi="宋体" w:cs="宋体"/>
          <w:kern w:val="0"/>
          <w:sz w:val="24"/>
          <w:szCs w:val="24"/>
        </w:rPr>
      </w:pPr>
      <w:r w:rsidRPr="002F3D36">
        <w:rPr>
          <w:rFonts w:ascii="宋体" w:eastAsia="宋体" w:hAnsi="宋体" w:cs="宋体"/>
          <w:kern w:val="0"/>
          <w:sz w:val="24"/>
          <w:szCs w:val="24"/>
        </w:rPr>
        <w:pict w14:anchorId="1E77FE57">
          <v:rect id="_x0000_i1065" style="width:0;height:1.5pt" o:hralign="center" o:hrstd="t" o:hrnoshade="t" o:hr="t" fillcolor="black" stroked="f"/>
        </w:pict>
      </w:r>
    </w:p>
    <w:p w14:paraId="1A7D2CE5" w14:textId="77777777" w:rsidR="002F3D36" w:rsidRPr="002F3D36" w:rsidRDefault="002F3D36" w:rsidP="002F3D36">
      <w:pPr>
        <w:widowControl/>
        <w:spacing w:line="20" w:lineRule="atLeast"/>
        <w:jc w:val="left"/>
        <w:rPr>
          <w:rFonts w:ascii="Times New Roman" w:eastAsia="宋体" w:hAnsi="Times New Roman" w:cs="Times New Roman"/>
          <w:color w:val="000000"/>
          <w:kern w:val="0"/>
          <w:sz w:val="20"/>
          <w:szCs w:val="20"/>
        </w:rPr>
      </w:pPr>
      <w:r w:rsidRPr="002F3D36">
        <w:rPr>
          <w:rFonts w:ascii="Arial" w:eastAsia="宋体" w:hAnsi="Arial" w:cs="Arial"/>
          <w:color w:val="000000"/>
          <w:kern w:val="0"/>
          <w:sz w:val="2"/>
          <w:szCs w:val="2"/>
        </w:rPr>
        <w:t> </w:t>
      </w:r>
    </w:p>
    <w:p w14:paraId="4F30095C"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Adjusted operating income, adjusted operating margin and adjusted EPS</w:t>
      </w:r>
    </w:p>
    <w:p w14:paraId="00E3E2CC"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Adjusted operating margin and adjusted EPS are non-U.S. GAAP measures the Company uses to evaluate its business, because the Company believes it assists investors and analysts in comparing the Company's performance across reporting periods on a consistent basis by excluding items that are non-operational or non-recurring in nature (such as costs related to capacity alignments, costs related to antitrust matters and for EPS unusual tax items) and that the Company does not believe are indicative of its core operating performance and underlying business trends. Adjusted operating margin and adjusted EPS, as shown in the table below, should be considered in addition to, but not as a substitute for, other measures of financial performance reported in accordance with U.S. GAAP, including operating margin and EPS.</w:t>
      </w:r>
    </w:p>
    <w:p w14:paraId="41804D74"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w:t>
      </w:r>
    </w:p>
    <w:tbl>
      <w:tblPr>
        <w:tblW w:w="20614" w:type="dxa"/>
        <w:tblCellSpacing w:w="15" w:type="dxa"/>
        <w:tblCellMar>
          <w:top w:w="15" w:type="dxa"/>
          <w:left w:w="15" w:type="dxa"/>
          <w:bottom w:w="15" w:type="dxa"/>
          <w:right w:w="15" w:type="dxa"/>
        </w:tblCellMar>
        <w:tblLook w:val="04A0" w:firstRow="1" w:lastRow="0" w:firstColumn="1" w:lastColumn="0" w:noHBand="0" w:noVBand="1"/>
      </w:tblPr>
      <w:tblGrid>
        <w:gridCol w:w="8167"/>
        <w:gridCol w:w="342"/>
        <w:gridCol w:w="269"/>
        <w:gridCol w:w="1350"/>
        <w:gridCol w:w="221"/>
        <w:gridCol w:w="342"/>
        <w:gridCol w:w="267"/>
        <w:gridCol w:w="1210"/>
        <w:gridCol w:w="221"/>
        <w:gridCol w:w="342"/>
        <w:gridCol w:w="267"/>
        <w:gridCol w:w="1111"/>
        <w:gridCol w:w="221"/>
        <w:gridCol w:w="342"/>
        <w:gridCol w:w="269"/>
        <w:gridCol w:w="1350"/>
        <w:gridCol w:w="221"/>
        <w:gridCol w:w="342"/>
        <w:gridCol w:w="267"/>
        <w:gridCol w:w="1210"/>
        <w:gridCol w:w="221"/>
        <w:gridCol w:w="342"/>
        <w:gridCol w:w="267"/>
        <w:gridCol w:w="1216"/>
        <w:gridCol w:w="237"/>
      </w:tblGrid>
      <w:tr w:rsidR="002F3D36" w:rsidRPr="002F3D36" w14:paraId="66149677" w14:textId="77777777" w:rsidTr="002F3D36">
        <w:trPr>
          <w:tblCellSpacing w:w="15" w:type="dxa"/>
        </w:trPr>
        <w:tc>
          <w:tcPr>
            <w:tcW w:w="8138" w:type="dxa"/>
            <w:vAlign w:val="center"/>
            <w:hideMark/>
          </w:tcPr>
          <w:p w14:paraId="72282E76" w14:textId="77777777" w:rsidR="002F3D36" w:rsidRPr="002F3D36" w:rsidRDefault="002F3D36" w:rsidP="002F3D36">
            <w:pPr>
              <w:widowControl/>
              <w:jc w:val="left"/>
              <w:rPr>
                <w:rFonts w:ascii="Times New Roman" w:eastAsia="宋体" w:hAnsi="Times New Roman" w:cs="Times New Roman"/>
                <w:color w:val="000000"/>
                <w:kern w:val="0"/>
                <w:sz w:val="20"/>
                <w:szCs w:val="20"/>
              </w:rPr>
            </w:pPr>
          </w:p>
        </w:tc>
        <w:tc>
          <w:tcPr>
            <w:tcW w:w="313" w:type="dxa"/>
            <w:vAlign w:val="center"/>
            <w:hideMark/>
          </w:tcPr>
          <w:p w14:paraId="0A8B4993"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39" w:type="dxa"/>
            <w:vAlign w:val="center"/>
            <w:hideMark/>
          </w:tcPr>
          <w:p w14:paraId="1C9244AD"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322" w:type="dxa"/>
            <w:vAlign w:val="center"/>
            <w:hideMark/>
          </w:tcPr>
          <w:p w14:paraId="32616422"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91" w:type="dxa"/>
            <w:vAlign w:val="center"/>
            <w:hideMark/>
          </w:tcPr>
          <w:p w14:paraId="5D4B4A89"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313" w:type="dxa"/>
            <w:vAlign w:val="center"/>
            <w:hideMark/>
          </w:tcPr>
          <w:p w14:paraId="2C774FF9"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37" w:type="dxa"/>
            <w:vAlign w:val="center"/>
            <w:hideMark/>
          </w:tcPr>
          <w:p w14:paraId="7843D400"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182" w:type="dxa"/>
            <w:vAlign w:val="center"/>
            <w:hideMark/>
          </w:tcPr>
          <w:p w14:paraId="5D290E51"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91" w:type="dxa"/>
            <w:vAlign w:val="center"/>
            <w:hideMark/>
          </w:tcPr>
          <w:p w14:paraId="0B171F42"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313" w:type="dxa"/>
            <w:vAlign w:val="center"/>
            <w:hideMark/>
          </w:tcPr>
          <w:p w14:paraId="1116D4B0"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37" w:type="dxa"/>
            <w:vAlign w:val="center"/>
            <w:hideMark/>
          </w:tcPr>
          <w:p w14:paraId="33EA0FC6"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082" w:type="dxa"/>
            <w:vAlign w:val="center"/>
            <w:hideMark/>
          </w:tcPr>
          <w:p w14:paraId="356BDC5F"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91" w:type="dxa"/>
            <w:vAlign w:val="center"/>
            <w:hideMark/>
          </w:tcPr>
          <w:p w14:paraId="05F20042"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313" w:type="dxa"/>
            <w:vAlign w:val="center"/>
            <w:hideMark/>
          </w:tcPr>
          <w:p w14:paraId="30008BFD"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39" w:type="dxa"/>
            <w:vAlign w:val="center"/>
            <w:hideMark/>
          </w:tcPr>
          <w:p w14:paraId="2007429A"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322" w:type="dxa"/>
            <w:vAlign w:val="center"/>
            <w:hideMark/>
          </w:tcPr>
          <w:p w14:paraId="5192D1AE"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91" w:type="dxa"/>
            <w:vAlign w:val="center"/>
            <w:hideMark/>
          </w:tcPr>
          <w:p w14:paraId="0882E1D9"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313" w:type="dxa"/>
            <w:vAlign w:val="center"/>
            <w:hideMark/>
          </w:tcPr>
          <w:p w14:paraId="201EE8F2"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37" w:type="dxa"/>
            <w:vAlign w:val="center"/>
            <w:hideMark/>
          </w:tcPr>
          <w:p w14:paraId="5CDB5EB5"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182" w:type="dxa"/>
            <w:vAlign w:val="center"/>
            <w:hideMark/>
          </w:tcPr>
          <w:p w14:paraId="66CD3AF1"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91" w:type="dxa"/>
            <w:vAlign w:val="center"/>
            <w:hideMark/>
          </w:tcPr>
          <w:p w14:paraId="6A5B0CAF"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313" w:type="dxa"/>
            <w:vAlign w:val="center"/>
            <w:hideMark/>
          </w:tcPr>
          <w:p w14:paraId="42028D4F"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37" w:type="dxa"/>
            <w:vAlign w:val="center"/>
            <w:hideMark/>
          </w:tcPr>
          <w:p w14:paraId="76F3F393"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188" w:type="dxa"/>
            <w:vAlign w:val="center"/>
            <w:hideMark/>
          </w:tcPr>
          <w:p w14:paraId="07D4537B"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92" w:type="dxa"/>
            <w:vAlign w:val="center"/>
            <w:hideMark/>
          </w:tcPr>
          <w:p w14:paraId="77933992" w14:textId="77777777" w:rsidR="002F3D36" w:rsidRPr="002F3D36" w:rsidRDefault="002F3D36" w:rsidP="002F3D36">
            <w:pPr>
              <w:widowControl/>
              <w:jc w:val="left"/>
              <w:rPr>
                <w:rFonts w:ascii="Times New Roman" w:eastAsia="Times New Roman" w:hAnsi="Times New Roman" w:cs="Times New Roman"/>
                <w:kern w:val="0"/>
                <w:sz w:val="20"/>
                <w:szCs w:val="20"/>
              </w:rPr>
            </w:pPr>
          </w:p>
        </w:tc>
      </w:tr>
      <w:tr w:rsidR="002F3D36" w:rsidRPr="002F3D36" w14:paraId="006B7AC7" w14:textId="77777777" w:rsidTr="002F3D36">
        <w:trPr>
          <w:trHeight w:val="180"/>
          <w:tblCellSpacing w:w="15" w:type="dxa"/>
        </w:trPr>
        <w:tc>
          <w:tcPr>
            <w:tcW w:w="0" w:type="auto"/>
            <w:vAlign w:val="bottom"/>
            <w:hideMark/>
          </w:tcPr>
          <w:p w14:paraId="3EDD39F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lastRenderedPageBreak/>
              <w:t>Items affecting comparability</w:t>
            </w:r>
          </w:p>
        </w:tc>
        <w:tc>
          <w:tcPr>
            <w:tcW w:w="0" w:type="auto"/>
            <w:vAlign w:val="bottom"/>
            <w:hideMark/>
          </w:tcPr>
          <w:p w14:paraId="480546F7" w14:textId="77777777" w:rsidR="002F3D36" w:rsidRPr="002F3D36" w:rsidRDefault="002F3D36" w:rsidP="002F3D36">
            <w:pPr>
              <w:widowControl/>
              <w:jc w:val="left"/>
              <w:rPr>
                <w:rFonts w:ascii="Times New Roman" w:eastAsia="微软雅黑" w:hAnsi="Times New Roman" w:cs="Times New Roman"/>
                <w:kern w:val="0"/>
                <w:sz w:val="22"/>
              </w:rPr>
            </w:pPr>
            <w:r w:rsidRPr="002F3D36">
              <w:rPr>
                <w:rFonts w:ascii="Calibri" w:eastAsia="微软雅黑" w:hAnsi="Calibri" w:cs="Calibri"/>
                <w:kern w:val="0"/>
                <w:sz w:val="22"/>
              </w:rPr>
              <w:t> </w:t>
            </w:r>
          </w:p>
        </w:tc>
        <w:tc>
          <w:tcPr>
            <w:tcW w:w="0" w:type="auto"/>
            <w:gridSpan w:val="2"/>
            <w:vAlign w:val="bottom"/>
            <w:hideMark/>
          </w:tcPr>
          <w:p w14:paraId="0D805F34" w14:textId="77777777" w:rsidR="002F3D36" w:rsidRPr="002F3D36" w:rsidRDefault="002F3D36" w:rsidP="002F3D36">
            <w:pPr>
              <w:widowControl/>
              <w:jc w:val="left"/>
              <w:rPr>
                <w:rFonts w:ascii="Times New Roman" w:eastAsia="微软雅黑" w:hAnsi="Times New Roman" w:cs="Times New Roman"/>
                <w:kern w:val="0"/>
                <w:sz w:val="22"/>
              </w:rPr>
            </w:pPr>
            <w:r w:rsidRPr="002F3D36">
              <w:rPr>
                <w:rFonts w:ascii="Calibri" w:eastAsia="微软雅黑" w:hAnsi="Calibri" w:cs="Calibri"/>
                <w:kern w:val="0"/>
                <w:sz w:val="22"/>
              </w:rPr>
              <w:t> </w:t>
            </w:r>
          </w:p>
        </w:tc>
        <w:tc>
          <w:tcPr>
            <w:tcW w:w="0" w:type="auto"/>
            <w:vAlign w:val="bottom"/>
            <w:hideMark/>
          </w:tcPr>
          <w:p w14:paraId="10D10FD5" w14:textId="77777777" w:rsidR="002F3D36" w:rsidRPr="002F3D36" w:rsidRDefault="002F3D36" w:rsidP="002F3D36">
            <w:pPr>
              <w:widowControl/>
              <w:jc w:val="left"/>
              <w:rPr>
                <w:rFonts w:ascii="Times New Roman" w:eastAsia="微软雅黑" w:hAnsi="Times New Roman" w:cs="Times New Roman"/>
                <w:kern w:val="0"/>
                <w:sz w:val="22"/>
              </w:rPr>
            </w:pPr>
            <w:r w:rsidRPr="002F3D36">
              <w:rPr>
                <w:rFonts w:ascii="Calibri" w:eastAsia="微软雅黑" w:hAnsi="Calibri" w:cs="Calibri"/>
                <w:kern w:val="0"/>
                <w:sz w:val="22"/>
              </w:rPr>
              <w:t> </w:t>
            </w:r>
          </w:p>
        </w:tc>
        <w:tc>
          <w:tcPr>
            <w:tcW w:w="0" w:type="auto"/>
            <w:vAlign w:val="bottom"/>
            <w:hideMark/>
          </w:tcPr>
          <w:p w14:paraId="3F590BDC" w14:textId="77777777" w:rsidR="002F3D36" w:rsidRPr="002F3D36" w:rsidRDefault="002F3D36" w:rsidP="002F3D36">
            <w:pPr>
              <w:widowControl/>
              <w:jc w:val="left"/>
              <w:rPr>
                <w:rFonts w:ascii="Times New Roman" w:eastAsia="微软雅黑" w:hAnsi="Times New Roman" w:cs="Times New Roman"/>
                <w:kern w:val="0"/>
                <w:sz w:val="22"/>
              </w:rPr>
            </w:pPr>
            <w:r w:rsidRPr="002F3D36">
              <w:rPr>
                <w:rFonts w:ascii="Calibri" w:eastAsia="微软雅黑" w:hAnsi="Calibri" w:cs="Calibri"/>
                <w:kern w:val="0"/>
                <w:sz w:val="22"/>
              </w:rPr>
              <w:t> </w:t>
            </w:r>
          </w:p>
        </w:tc>
        <w:tc>
          <w:tcPr>
            <w:tcW w:w="0" w:type="auto"/>
            <w:gridSpan w:val="2"/>
            <w:vAlign w:val="bottom"/>
            <w:hideMark/>
          </w:tcPr>
          <w:p w14:paraId="5628DA93" w14:textId="77777777" w:rsidR="002F3D36" w:rsidRPr="002F3D36" w:rsidRDefault="002F3D36" w:rsidP="002F3D36">
            <w:pPr>
              <w:widowControl/>
              <w:jc w:val="left"/>
              <w:rPr>
                <w:rFonts w:ascii="Times New Roman" w:eastAsia="微软雅黑" w:hAnsi="Times New Roman" w:cs="Times New Roman"/>
                <w:kern w:val="0"/>
                <w:sz w:val="22"/>
              </w:rPr>
            </w:pPr>
            <w:r w:rsidRPr="002F3D36">
              <w:rPr>
                <w:rFonts w:ascii="Calibri" w:eastAsia="微软雅黑" w:hAnsi="Calibri" w:cs="Calibri"/>
                <w:kern w:val="0"/>
                <w:sz w:val="22"/>
              </w:rPr>
              <w:t> </w:t>
            </w:r>
          </w:p>
        </w:tc>
        <w:tc>
          <w:tcPr>
            <w:tcW w:w="0" w:type="auto"/>
            <w:vAlign w:val="bottom"/>
            <w:hideMark/>
          </w:tcPr>
          <w:p w14:paraId="78562991" w14:textId="77777777" w:rsidR="002F3D36" w:rsidRPr="002F3D36" w:rsidRDefault="002F3D36" w:rsidP="002F3D36">
            <w:pPr>
              <w:widowControl/>
              <w:jc w:val="left"/>
              <w:rPr>
                <w:rFonts w:ascii="Times New Roman" w:eastAsia="微软雅黑" w:hAnsi="Times New Roman" w:cs="Times New Roman"/>
                <w:kern w:val="0"/>
                <w:sz w:val="22"/>
              </w:rPr>
            </w:pPr>
            <w:r w:rsidRPr="002F3D36">
              <w:rPr>
                <w:rFonts w:ascii="Calibri" w:eastAsia="微软雅黑" w:hAnsi="Calibri" w:cs="Calibri"/>
                <w:kern w:val="0"/>
                <w:sz w:val="22"/>
              </w:rPr>
              <w:t> </w:t>
            </w:r>
          </w:p>
        </w:tc>
        <w:tc>
          <w:tcPr>
            <w:tcW w:w="0" w:type="auto"/>
            <w:vAlign w:val="bottom"/>
            <w:hideMark/>
          </w:tcPr>
          <w:p w14:paraId="1C859CA9" w14:textId="77777777" w:rsidR="002F3D36" w:rsidRPr="002F3D36" w:rsidRDefault="002F3D36" w:rsidP="002F3D36">
            <w:pPr>
              <w:widowControl/>
              <w:jc w:val="left"/>
              <w:rPr>
                <w:rFonts w:ascii="Times New Roman" w:eastAsia="微软雅黑" w:hAnsi="Times New Roman" w:cs="Times New Roman"/>
                <w:kern w:val="0"/>
                <w:sz w:val="22"/>
              </w:rPr>
            </w:pPr>
            <w:r w:rsidRPr="002F3D36">
              <w:rPr>
                <w:rFonts w:ascii="Calibri" w:eastAsia="微软雅黑" w:hAnsi="Calibri" w:cs="Calibri"/>
                <w:kern w:val="0"/>
                <w:sz w:val="22"/>
              </w:rPr>
              <w:t> </w:t>
            </w:r>
          </w:p>
        </w:tc>
        <w:tc>
          <w:tcPr>
            <w:tcW w:w="0" w:type="auto"/>
            <w:gridSpan w:val="2"/>
            <w:vAlign w:val="bottom"/>
            <w:hideMark/>
          </w:tcPr>
          <w:p w14:paraId="4CD7B1F8" w14:textId="77777777" w:rsidR="002F3D36" w:rsidRPr="002F3D36" w:rsidRDefault="002F3D36" w:rsidP="002F3D36">
            <w:pPr>
              <w:widowControl/>
              <w:jc w:val="left"/>
              <w:rPr>
                <w:rFonts w:ascii="Times New Roman" w:eastAsia="微软雅黑" w:hAnsi="Times New Roman" w:cs="Times New Roman"/>
                <w:kern w:val="0"/>
                <w:sz w:val="22"/>
              </w:rPr>
            </w:pPr>
            <w:r w:rsidRPr="002F3D36">
              <w:rPr>
                <w:rFonts w:ascii="Calibri" w:eastAsia="微软雅黑" w:hAnsi="Calibri" w:cs="Calibri"/>
                <w:kern w:val="0"/>
                <w:sz w:val="22"/>
              </w:rPr>
              <w:t> </w:t>
            </w:r>
          </w:p>
        </w:tc>
        <w:tc>
          <w:tcPr>
            <w:tcW w:w="0" w:type="auto"/>
            <w:vAlign w:val="bottom"/>
            <w:hideMark/>
          </w:tcPr>
          <w:p w14:paraId="09D3683D" w14:textId="77777777" w:rsidR="002F3D36" w:rsidRPr="002F3D36" w:rsidRDefault="002F3D36" w:rsidP="002F3D36">
            <w:pPr>
              <w:widowControl/>
              <w:jc w:val="left"/>
              <w:rPr>
                <w:rFonts w:ascii="Times New Roman" w:eastAsia="微软雅黑" w:hAnsi="Times New Roman" w:cs="Times New Roman"/>
                <w:kern w:val="0"/>
                <w:sz w:val="22"/>
              </w:rPr>
            </w:pPr>
            <w:r w:rsidRPr="002F3D36">
              <w:rPr>
                <w:rFonts w:ascii="Calibri" w:eastAsia="微软雅黑" w:hAnsi="Calibri" w:cs="Calibri"/>
                <w:kern w:val="0"/>
                <w:sz w:val="22"/>
              </w:rPr>
              <w:t> </w:t>
            </w:r>
          </w:p>
        </w:tc>
        <w:tc>
          <w:tcPr>
            <w:tcW w:w="0" w:type="auto"/>
            <w:vAlign w:val="bottom"/>
            <w:hideMark/>
          </w:tcPr>
          <w:p w14:paraId="0E52AA47" w14:textId="77777777" w:rsidR="002F3D36" w:rsidRPr="002F3D36" w:rsidRDefault="002F3D36" w:rsidP="002F3D36">
            <w:pPr>
              <w:widowControl/>
              <w:jc w:val="left"/>
              <w:rPr>
                <w:rFonts w:ascii="Times New Roman" w:eastAsia="微软雅黑" w:hAnsi="Times New Roman" w:cs="Times New Roman"/>
                <w:kern w:val="0"/>
                <w:sz w:val="22"/>
              </w:rPr>
            </w:pPr>
            <w:r w:rsidRPr="002F3D36">
              <w:rPr>
                <w:rFonts w:ascii="Calibri" w:eastAsia="微软雅黑" w:hAnsi="Calibri" w:cs="Calibri"/>
                <w:kern w:val="0"/>
                <w:sz w:val="22"/>
              </w:rPr>
              <w:t> </w:t>
            </w:r>
          </w:p>
        </w:tc>
        <w:tc>
          <w:tcPr>
            <w:tcW w:w="0" w:type="auto"/>
            <w:gridSpan w:val="2"/>
            <w:vAlign w:val="bottom"/>
            <w:hideMark/>
          </w:tcPr>
          <w:p w14:paraId="145B2F87" w14:textId="77777777" w:rsidR="002F3D36" w:rsidRPr="002F3D36" w:rsidRDefault="002F3D36" w:rsidP="002F3D36">
            <w:pPr>
              <w:widowControl/>
              <w:jc w:val="left"/>
              <w:rPr>
                <w:rFonts w:ascii="Times New Roman" w:eastAsia="微软雅黑" w:hAnsi="Times New Roman" w:cs="Times New Roman"/>
                <w:kern w:val="0"/>
                <w:sz w:val="22"/>
              </w:rPr>
            </w:pPr>
            <w:r w:rsidRPr="002F3D36">
              <w:rPr>
                <w:rFonts w:ascii="Calibri" w:eastAsia="微软雅黑" w:hAnsi="Calibri" w:cs="Calibri"/>
                <w:kern w:val="0"/>
                <w:sz w:val="22"/>
              </w:rPr>
              <w:t> </w:t>
            </w:r>
          </w:p>
        </w:tc>
        <w:tc>
          <w:tcPr>
            <w:tcW w:w="0" w:type="auto"/>
            <w:vAlign w:val="bottom"/>
            <w:hideMark/>
          </w:tcPr>
          <w:p w14:paraId="093AF755" w14:textId="77777777" w:rsidR="002F3D36" w:rsidRPr="002F3D36" w:rsidRDefault="002F3D36" w:rsidP="002F3D36">
            <w:pPr>
              <w:widowControl/>
              <w:jc w:val="left"/>
              <w:rPr>
                <w:rFonts w:ascii="Times New Roman" w:eastAsia="微软雅黑" w:hAnsi="Times New Roman" w:cs="Times New Roman"/>
                <w:kern w:val="0"/>
                <w:sz w:val="22"/>
              </w:rPr>
            </w:pPr>
            <w:r w:rsidRPr="002F3D36">
              <w:rPr>
                <w:rFonts w:ascii="Calibri" w:eastAsia="微软雅黑" w:hAnsi="Calibri" w:cs="Calibri"/>
                <w:kern w:val="0"/>
                <w:sz w:val="22"/>
              </w:rPr>
              <w:t> </w:t>
            </w:r>
          </w:p>
        </w:tc>
        <w:tc>
          <w:tcPr>
            <w:tcW w:w="0" w:type="auto"/>
            <w:vAlign w:val="bottom"/>
            <w:hideMark/>
          </w:tcPr>
          <w:p w14:paraId="362F2E94" w14:textId="77777777" w:rsidR="002F3D36" w:rsidRPr="002F3D36" w:rsidRDefault="002F3D36" w:rsidP="002F3D36">
            <w:pPr>
              <w:widowControl/>
              <w:jc w:val="left"/>
              <w:rPr>
                <w:rFonts w:ascii="Times New Roman" w:eastAsia="微软雅黑" w:hAnsi="Times New Roman" w:cs="Times New Roman"/>
                <w:kern w:val="0"/>
                <w:sz w:val="22"/>
              </w:rPr>
            </w:pPr>
            <w:r w:rsidRPr="002F3D36">
              <w:rPr>
                <w:rFonts w:ascii="Calibri" w:eastAsia="微软雅黑" w:hAnsi="Calibri" w:cs="Calibri"/>
                <w:kern w:val="0"/>
                <w:sz w:val="22"/>
              </w:rPr>
              <w:t> </w:t>
            </w:r>
          </w:p>
        </w:tc>
        <w:tc>
          <w:tcPr>
            <w:tcW w:w="0" w:type="auto"/>
            <w:gridSpan w:val="2"/>
            <w:vAlign w:val="bottom"/>
            <w:hideMark/>
          </w:tcPr>
          <w:p w14:paraId="4B1AAE2B" w14:textId="77777777" w:rsidR="002F3D36" w:rsidRPr="002F3D36" w:rsidRDefault="002F3D36" w:rsidP="002F3D36">
            <w:pPr>
              <w:widowControl/>
              <w:jc w:val="left"/>
              <w:rPr>
                <w:rFonts w:ascii="Times New Roman" w:eastAsia="微软雅黑" w:hAnsi="Times New Roman" w:cs="Times New Roman"/>
                <w:kern w:val="0"/>
                <w:sz w:val="22"/>
              </w:rPr>
            </w:pPr>
            <w:r w:rsidRPr="002F3D36">
              <w:rPr>
                <w:rFonts w:ascii="Calibri" w:eastAsia="微软雅黑" w:hAnsi="Calibri" w:cs="Calibri"/>
                <w:kern w:val="0"/>
                <w:sz w:val="22"/>
              </w:rPr>
              <w:t> </w:t>
            </w:r>
          </w:p>
        </w:tc>
        <w:tc>
          <w:tcPr>
            <w:tcW w:w="0" w:type="auto"/>
            <w:vAlign w:val="bottom"/>
            <w:hideMark/>
          </w:tcPr>
          <w:p w14:paraId="59988F9F" w14:textId="77777777" w:rsidR="002F3D36" w:rsidRPr="002F3D36" w:rsidRDefault="002F3D36" w:rsidP="002F3D36">
            <w:pPr>
              <w:widowControl/>
              <w:jc w:val="left"/>
              <w:rPr>
                <w:rFonts w:ascii="Times New Roman" w:eastAsia="微软雅黑" w:hAnsi="Times New Roman" w:cs="Times New Roman"/>
                <w:kern w:val="0"/>
                <w:sz w:val="22"/>
              </w:rPr>
            </w:pPr>
            <w:r w:rsidRPr="002F3D36">
              <w:rPr>
                <w:rFonts w:ascii="Calibri" w:eastAsia="微软雅黑" w:hAnsi="Calibri" w:cs="Calibri"/>
                <w:kern w:val="0"/>
                <w:sz w:val="22"/>
              </w:rPr>
              <w:t> </w:t>
            </w:r>
          </w:p>
        </w:tc>
        <w:tc>
          <w:tcPr>
            <w:tcW w:w="0" w:type="auto"/>
            <w:vAlign w:val="bottom"/>
            <w:hideMark/>
          </w:tcPr>
          <w:p w14:paraId="4CCAA519" w14:textId="77777777" w:rsidR="002F3D36" w:rsidRPr="002F3D36" w:rsidRDefault="002F3D36" w:rsidP="002F3D36">
            <w:pPr>
              <w:widowControl/>
              <w:jc w:val="left"/>
              <w:rPr>
                <w:rFonts w:ascii="Times New Roman" w:eastAsia="微软雅黑" w:hAnsi="Times New Roman" w:cs="Times New Roman"/>
                <w:kern w:val="0"/>
                <w:sz w:val="22"/>
              </w:rPr>
            </w:pPr>
            <w:r w:rsidRPr="002F3D36">
              <w:rPr>
                <w:rFonts w:ascii="Calibri" w:eastAsia="微软雅黑" w:hAnsi="Calibri" w:cs="Calibri"/>
                <w:kern w:val="0"/>
                <w:sz w:val="22"/>
              </w:rPr>
              <w:t> </w:t>
            </w:r>
          </w:p>
        </w:tc>
        <w:tc>
          <w:tcPr>
            <w:tcW w:w="0" w:type="auto"/>
            <w:gridSpan w:val="2"/>
            <w:vAlign w:val="bottom"/>
            <w:hideMark/>
          </w:tcPr>
          <w:p w14:paraId="152C7DDC" w14:textId="77777777" w:rsidR="002F3D36" w:rsidRPr="002F3D36" w:rsidRDefault="002F3D36" w:rsidP="002F3D36">
            <w:pPr>
              <w:widowControl/>
              <w:jc w:val="left"/>
              <w:rPr>
                <w:rFonts w:ascii="Times New Roman" w:eastAsia="微软雅黑" w:hAnsi="Times New Roman" w:cs="Times New Roman"/>
                <w:kern w:val="0"/>
                <w:sz w:val="22"/>
              </w:rPr>
            </w:pPr>
            <w:r w:rsidRPr="002F3D36">
              <w:rPr>
                <w:rFonts w:ascii="Calibri" w:eastAsia="微软雅黑" w:hAnsi="Calibri" w:cs="Calibri"/>
                <w:kern w:val="0"/>
                <w:sz w:val="22"/>
              </w:rPr>
              <w:t> </w:t>
            </w:r>
          </w:p>
        </w:tc>
        <w:tc>
          <w:tcPr>
            <w:tcW w:w="0" w:type="auto"/>
            <w:vAlign w:val="bottom"/>
            <w:hideMark/>
          </w:tcPr>
          <w:p w14:paraId="66E5293A" w14:textId="77777777" w:rsidR="002F3D36" w:rsidRPr="002F3D36" w:rsidRDefault="002F3D36" w:rsidP="002F3D36">
            <w:pPr>
              <w:widowControl/>
              <w:jc w:val="left"/>
              <w:rPr>
                <w:rFonts w:ascii="Times New Roman" w:eastAsia="微软雅黑" w:hAnsi="Times New Roman" w:cs="Times New Roman"/>
                <w:kern w:val="0"/>
                <w:sz w:val="22"/>
              </w:rPr>
            </w:pPr>
            <w:r w:rsidRPr="002F3D36">
              <w:rPr>
                <w:rFonts w:ascii="Calibri" w:eastAsia="微软雅黑" w:hAnsi="Calibri" w:cs="Calibri"/>
                <w:kern w:val="0"/>
                <w:sz w:val="22"/>
              </w:rPr>
              <w:t> </w:t>
            </w:r>
          </w:p>
        </w:tc>
      </w:tr>
      <w:tr w:rsidR="002F3D36" w:rsidRPr="002F3D36" w14:paraId="16079212" w14:textId="77777777" w:rsidTr="002F3D36">
        <w:trPr>
          <w:trHeight w:val="160"/>
          <w:tblCellSpacing w:w="15" w:type="dxa"/>
        </w:trPr>
        <w:tc>
          <w:tcPr>
            <w:tcW w:w="0" w:type="auto"/>
            <w:vAlign w:val="bottom"/>
            <w:hideMark/>
          </w:tcPr>
          <w:p w14:paraId="3651DC91"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vAlign w:val="bottom"/>
            <w:hideMark/>
          </w:tcPr>
          <w:p w14:paraId="7D8769F6" w14:textId="77777777" w:rsidR="002F3D36" w:rsidRPr="002F3D36" w:rsidRDefault="002F3D36" w:rsidP="002F3D36">
            <w:pPr>
              <w:widowControl/>
              <w:jc w:val="left"/>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gridSpan w:val="10"/>
            <w:tcBorders>
              <w:bottom w:val="single" w:sz="4" w:space="0" w:color="000000"/>
            </w:tcBorders>
            <w:vAlign w:val="bottom"/>
            <w:hideMark/>
          </w:tcPr>
          <w:p w14:paraId="4EF8EC04"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b/>
                <w:bCs/>
                <w:color w:val="000000"/>
                <w:kern w:val="0"/>
                <w:sz w:val="16"/>
                <w:szCs w:val="16"/>
              </w:rPr>
              <w:t>2021</w:t>
            </w:r>
          </w:p>
        </w:tc>
        <w:tc>
          <w:tcPr>
            <w:tcW w:w="0" w:type="auto"/>
            <w:vAlign w:val="bottom"/>
            <w:hideMark/>
          </w:tcPr>
          <w:p w14:paraId="3E8333CA"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vAlign w:val="bottom"/>
            <w:hideMark/>
          </w:tcPr>
          <w:p w14:paraId="4A669A28" w14:textId="77777777" w:rsidR="002F3D36" w:rsidRPr="002F3D36" w:rsidRDefault="002F3D36" w:rsidP="002F3D36">
            <w:pPr>
              <w:widowControl/>
              <w:jc w:val="left"/>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gridSpan w:val="10"/>
            <w:tcBorders>
              <w:bottom w:val="single" w:sz="4" w:space="0" w:color="000000"/>
            </w:tcBorders>
            <w:vAlign w:val="bottom"/>
            <w:hideMark/>
          </w:tcPr>
          <w:p w14:paraId="5D34DF33"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b/>
                <w:bCs/>
                <w:color w:val="000000"/>
                <w:kern w:val="0"/>
                <w:sz w:val="16"/>
                <w:szCs w:val="16"/>
              </w:rPr>
              <w:t>2020</w:t>
            </w:r>
          </w:p>
        </w:tc>
        <w:tc>
          <w:tcPr>
            <w:tcW w:w="0" w:type="auto"/>
            <w:vAlign w:val="bottom"/>
            <w:hideMark/>
          </w:tcPr>
          <w:p w14:paraId="50638C3B"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r>
      <w:tr w:rsidR="002F3D36" w:rsidRPr="002F3D36" w14:paraId="3CD4104F" w14:textId="77777777" w:rsidTr="002F3D36">
        <w:trPr>
          <w:trHeight w:val="160"/>
          <w:tblCellSpacing w:w="15" w:type="dxa"/>
        </w:trPr>
        <w:tc>
          <w:tcPr>
            <w:tcW w:w="0" w:type="auto"/>
            <w:vAlign w:val="bottom"/>
            <w:hideMark/>
          </w:tcPr>
          <w:p w14:paraId="3B7B7FD3" w14:textId="77777777" w:rsidR="002F3D36" w:rsidRPr="002F3D36" w:rsidRDefault="002F3D36" w:rsidP="002F3D36">
            <w:pPr>
              <w:widowControl/>
              <w:jc w:val="left"/>
              <w:rPr>
                <w:rFonts w:ascii="Times New Roman" w:eastAsia="微软雅黑" w:hAnsi="Times New Roman" w:cs="Times New Roman"/>
                <w:kern w:val="0"/>
                <w:sz w:val="16"/>
                <w:szCs w:val="16"/>
              </w:rPr>
            </w:pPr>
            <w:r w:rsidRPr="002F3D36">
              <w:rPr>
                <w:rFonts w:ascii="Arial" w:eastAsia="微软雅黑" w:hAnsi="Arial" w:cs="Arial"/>
                <w:b/>
                <w:bCs/>
                <w:color w:val="000000"/>
                <w:kern w:val="0"/>
                <w:sz w:val="16"/>
                <w:szCs w:val="16"/>
                <w:u w:val="single"/>
              </w:rPr>
              <w:t>(DOLLARS IN MILLIONS, EXCEPT EPS)</w:t>
            </w:r>
          </w:p>
        </w:tc>
        <w:tc>
          <w:tcPr>
            <w:tcW w:w="0" w:type="auto"/>
            <w:vAlign w:val="bottom"/>
            <w:hideMark/>
          </w:tcPr>
          <w:p w14:paraId="0BE39FD7" w14:textId="77777777" w:rsidR="002F3D36" w:rsidRPr="002F3D36" w:rsidRDefault="002F3D36" w:rsidP="002F3D36">
            <w:pPr>
              <w:widowControl/>
              <w:jc w:val="left"/>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gridSpan w:val="2"/>
            <w:tcBorders>
              <w:bottom w:val="single" w:sz="4" w:space="0" w:color="000000"/>
            </w:tcBorders>
            <w:vAlign w:val="bottom"/>
            <w:hideMark/>
          </w:tcPr>
          <w:p w14:paraId="3677BAF2"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b/>
                <w:bCs/>
                <w:color w:val="000000"/>
                <w:kern w:val="0"/>
                <w:sz w:val="16"/>
                <w:szCs w:val="16"/>
              </w:rPr>
              <w:t>Reported</w:t>
            </w:r>
          </w:p>
        </w:tc>
        <w:tc>
          <w:tcPr>
            <w:tcW w:w="0" w:type="auto"/>
            <w:vAlign w:val="bottom"/>
            <w:hideMark/>
          </w:tcPr>
          <w:p w14:paraId="2A4BA677"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vAlign w:val="bottom"/>
            <w:hideMark/>
          </w:tcPr>
          <w:p w14:paraId="333DE0D3" w14:textId="77777777" w:rsidR="002F3D36" w:rsidRPr="002F3D36" w:rsidRDefault="002F3D36" w:rsidP="002F3D36">
            <w:pPr>
              <w:widowControl/>
              <w:jc w:val="left"/>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gridSpan w:val="2"/>
            <w:tcBorders>
              <w:bottom w:val="single" w:sz="4" w:space="0" w:color="000000"/>
            </w:tcBorders>
            <w:vAlign w:val="bottom"/>
            <w:hideMark/>
          </w:tcPr>
          <w:p w14:paraId="67E6BDF7"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b/>
                <w:bCs/>
                <w:color w:val="000000"/>
                <w:kern w:val="0"/>
                <w:sz w:val="16"/>
                <w:szCs w:val="16"/>
              </w:rPr>
              <w:t>Adjust-</w:t>
            </w:r>
            <w:r w:rsidRPr="002F3D36">
              <w:rPr>
                <w:rFonts w:ascii="Arial" w:eastAsia="微软雅黑" w:hAnsi="Arial" w:cs="Arial"/>
                <w:b/>
                <w:bCs/>
                <w:color w:val="000000"/>
                <w:kern w:val="0"/>
                <w:sz w:val="16"/>
                <w:szCs w:val="16"/>
              </w:rPr>
              <w:br/>
              <w:t>ments</w:t>
            </w:r>
            <w:r w:rsidRPr="002F3D36">
              <w:rPr>
                <w:rFonts w:ascii="Arial" w:eastAsia="微软雅黑" w:hAnsi="Arial" w:cs="Arial"/>
                <w:b/>
                <w:bCs/>
                <w:color w:val="000000"/>
                <w:kern w:val="0"/>
                <w:sz w:val="11"/>
                <w:szCs w:val="11"/>
              </w:rPr>
              <w:t>1)</w:t>
            </w:r>
          </w:p>
        </w:tc>
        <w:tc>
          <w:tcPr>
            <w:tcW w:w="0" w:type="auto"/>
            <w:vAlign w:val="bottom"/>
            <w:hideMark/>
          </w:tcPr>
          <w:p w14:paraId="1A12993B"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vAlign w:val="bottom"/>
            <w:hideMark/>
          </w:tcPr>
          <w:p w14:paraId="568D2082" w14:textId="77777777" w:rsidR="002F3D36" w:rsidRPr="002F3D36" w:rsidRDefault="002F3D36" w:rsidP="002F3D36">
            <w:pPr>
              <w:widowControl/>
              <w:jc w:val="left"/>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gridSpan w:val="2"/>
            <w:tcBorders>
              <w:bottom w:val="single" w:sz="4" w:space="0" w:color="000000"/>
            </w:tcBorders>
            <w:vAlign w:val="bottom"/>
            <w:hideMark/>
          </w:tcPr>
          <w:p w14:paraId="7F24FE47"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b/>
                <w:bCs/>
                <w:color w:val="000000"/>
                <w:kern w:val="0"/>
                <w:sz w:val="16"/>
                <w:szCs w:val="16"/>
              </w:rPr>
              <w:t>Non-</w:t>
            </w:r>
            <w:r w:rsidRPr="002F3D36">
              <w:rPr>
                <w:rFonts w:ascii="Arial" w:eastAsia="微软雅黑" w:hAnsi="Arial" w:cs="Arial"/>
                <w:b/>
                <w:bCs/>
                <w:color w:val="000000"/>
                <w:kern w:val="0"/>
                <w:sz w:val="16"/>
                <w:szCs w:val="16"/>
              </w:rPr>
              <w:br/>
              <w:t>U.S.</w:t>
            </w:r>
            <w:r w:rsidRPr="002F3D36">
              <w:rPr>
                <w:rFonts w:ascii="Arial" w:eastAsia="微软雅黑" w:hAnsi="Arial" w:cs="Arial"/>
                <w:b/>
                <w:bCs/>
                <w:color w:val="000000"/>
                <w:kern w:val="0"/>
                <w:sz w:val="16"/>
                <w:szCs w:val="16"/>
              </w:rPr>
              <w:br/>
              <w:t>GAAP</w:t>
            </w:r>
          </w:p>
        </w:tc>
        <w:tc>
          <w:tcPr>
            <w:tcW w:w="0" w:type="auto"/>
            <w:vAlign w:val="bottom"/>
            <w:hideMark/>
          </w:tcPr>
          <w:p w14:paraId="493BEEF1"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vAlign w:val="bottom"/>
            <w:hideMark/>
          </w:tcPr>
          <w:p w14:paraId="1B4A64DA" w14:textId="77777777" w:rsidR="002F3D36" w:rsidRPr="002F3D36" w:rsidRDefault="002F3D36" w:rsidP="002F3D36">
            <w:pPr>
              <w:widowControl/>
              <w:jc w:val="left"/>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gridSpan w:val="2"/>
            <w:tcBorders>
              <w:bottom w:val="single" w:sz="4" w:space="0" w:color="000000"/>
            </w:tcBorders>
            <w:vAlign w:val="bottom"/>
            <w:hideMark/>
          </w:tcPr>
          <w:p w14:paraId="100BB5BF"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b/>
                <w:bCs/>
                <w:color w:val="000000"/>
                <w:kern w:val="0"/>
                <w:sz w:val="16"/>
                <w:szCs w:val="16"/>
              </w:rPr>
              <w:t>Reported</w:t>
            </w:r>
          </w:p>
        </w:tc>
        <w:tc>
          <w:tcPr>
            <w:tcW w:w="0" w:type="auto"/>
            <w:vAlign w:val="bottom"/>
            <w:hideMark/>
          </w:tcPr>
          <w:p w14:paraId="2C481CDB"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vAlign w:val="bottom"/>
            <w:hideMark/>
          </w:tcPr>
          <w:p w14:paraId="6587C770" w14:textId="77777777" w:rsidR="002F3D36" w:rsidRPr="002F3D36" w:rsidRDefault="002F3D36" w:rsidP="002F3D36">
            <w:pPr>
              <w:widowControl/>
              <w:jc w:val="left"/>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gridSpan w:val="2"/>
            <w:tcBorders>
              <w:bottom w:val="single" w:sz="4" w:space="0" w:color="000000"/>
            </w:tcBorders>
            <w:vAlign w:val="bottom"/>
            <w:hideMark/>
          </w:tcPr>
          <w:p w14:paraId="24FAF146"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b/>
                <w:bCs/>
                <w:color w:val="000000"/>
                <w:kern w:val="0"/>
                <w:sz w:val="16"/>
                <w:szCs w:val="16"/>
              </w:rPr>
              <w:t>Adjust-</w:t>
            </w:r>
            <w:r w:rsidRPr="002F3D36">
              <w:rPr>
                <w:rFonts w:ascii="Arial" w:eastAsia="微软雅黑" w:hAnsi="Arial" w:cs="Arial"/>
                <w:b/>
                <w:bCs/>
                <w:color w:val="000000"/>
                <w:kern w:val="0"/>
                <w:sz w:val="16"/>
                <w:szCs w:val="16"/>
              </w:rPr>
              <w:br/>
              <w:t>ments</w:t>
            </w:r>
            <w:r w:rsidRPr="002F3D36">
              <w:rPr>
                <w:rFonts w:ascii="Arial" w:eastAsia="微软雅黑" w:hAnsi="Arial" w:cs="Arial"/>
                <w:b/>
                <w:bCs/>
                <w:color w:val="000000"/>
                <w:kern w:val="0"/>
                <w:sz w:val="11"/>
                <w:szCs w:val="11"/>
              </w:rPr>
              <w:t>1)</w:t>
            </w:r>
          </w:p>
        </w:tc>
        <w:tc>
          <w:tcPr>
            <w:tcW w:w="0" w:type="auto"/>
            <w:vAlign w:val="bottom"/>
            <w:hideMark/>
          </w:tcPr>
          <w:p w14:paraId="4A06DF40"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vAlign w:val="bottom"/>
            <w:hideMark/>
          </w:tcPr>
          <w:p w14:paraId="04AF6568" w14:textId="77777777" w:rsidR="002F3D36" w:rsidRPr="002F3D36" w:rsidRDefault="002F3D36" w:rsidP="002F3D36">
            <w:pPr>
              <w:widowControl/>
              <w:jc w:val="left"/>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gridSpan w:val="2"/>
            <w:tcBorders>
              <w:bottom w:val="single" w:sz="4" w:space="0" w:color="000000"/>
            </w:tcBorders>
            <w:vAlign w:val="bottom"/>
            <w:hideMark/>
          </w:tcPr>
          <w:p w14:paraId="57D20160"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b/>
                <w:bCs/>
                <w:color w:val="000000"/>
                <w:kern w:val="0"/>
                <w:sz w:val="16"/>
                <w:szCs w:val="16"/>
              </w:rPr>
              <w:t>Non-</w:t>
            </w:r>
            <w:r w:rsidRPr="002F3D36">
              <w:rPr>
                <w:rFonts w:ascii="Arial" w:eastAsia="微软雅黑" w:hAnsi="Arial" w:cs="Arial"/>
                <w:b/>
                <w:bCs/>
                <w:color w:val="000000"/>
                <w:kern w:val="0"/>
                <w:sz w:val="16"/>
                <w:szCs w:val="16"/>
              </w:rPr>
              <w:br/>
              <w:t>U.S.</w:t>
            </w:r>
            <w:r w:rsidRPr="002F3D36">
              <w:rPr>
                <w:rFonts w:ascii="Arial" w:eastAsia="微软雅黑" w:hAnsi="Arial" w:cs="Arial"/>
                <w:b/>
                <w:bCs/>
                <w:color w:val="000000"/>
                <w:kern w:val="0"/>
                <w:sz w:val="16"/>
                <w:szCs w:val="16"/>
              </w:rPr>
              <w:br/>
              <w:t>GAAP</w:t>
            </w:r>
          </w:p>
        </w:tc>
        <w:tc>
          <w:tcPr>
            <w:tcW w:w="0" w:type="auto"/>
            <w:vAlign w:val="bottom"/>
            <w:hideMark/>
          </w:tcPr>
          <w:p w14:paraId="2E8B9B5D"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r>
      <w:tr w:rsidR="002F3D36" w:rsidRPr="002F3D36" w14:paraId="454D929C" w14:textId="77777777" w:rsidTr="002F3D36">
        <w:trPr>
          <w:trHeight w:val="180"/>
          <w:tblCellSpacing w:w="15" w:type="dxa"/>
        </w:trPr>
        <w:tc>
          <w:tcPr>
            <w:tcW w:w="0" w:type="auto"/>
            <w:shd w:val="clear" w:color="auto" w:fill="CFF0FC"/>
            <w:hideMark/>
          </w:tcPr>
          <w:p w14:paraId="2E82722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Operating income</w:t>
            </w:r>
          </w:p>
        </w:tc>
        <w:tc>
          <w:tcPr>
            <w:tcW w:w="0" w:type="auto"/>
            <w:shd w:val="clear" w:color="auto" w:fill="CFF0FC"/>
            <w:vAlign w:val="bottom"/>
            <w:hideMark/>
          </w:tcPr>
          <w:p w14:paraId="5D6218A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1757F03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shd w:val="clear" w:color="auto" w:fill="CFF0FC"/>
            <w:vAlign w:val="bottom"/>
            <w:hideMark/>
          </w:tcPr>
          <w:p w14:paraId="23A7675E"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675</w:t>
            </w:r>
          </w:p>
        </w:tc>
        <w:tc>
          <w:tcPr>
            <w:tcW w:w="0" w:type="auto"/>
            <w:shd w:val="clear" w:color="auto" w:fill="CFF0FC"/>
            <w:vAlign w:val="bottom"/>
            <w:hideMark/>
          </w:tcPr>
          <w:p w14:paraId="68353E8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5DAC1EB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2F23981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shd w:val="clear" w:color="auto" w:fill="CFF0FC"/>
            <w:vAlign w:val="bottom"/>
            <w:hideMark/>
          </w:tcPr>
          <w:p w14:paraId="038D9D7F"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8</w:t>
            </w:r>
          </w:p>
        </w:tc>
        <w:tc>
          <w:tcPr>
            <w:tcW w:w="0" w:type="auto"/>
            <w:shd w:val="clear" w:color="auto" w:fill="CFF0FC"/>
            <w:vAlign w:val="bottom"/>
            <w:hideMark/>
          </w:tcPr>
          <w:p w14:paraId="6ADFB20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22BDACC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619A406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shd w:val="clear" w:color="auto" w:fill="CFF0FC"/>
            <w:vAlign w:val="bottom"/>
            <w:hideMark/>
          </w:tcPr>
          <w:p w14:paraId="75A5C81E"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683</w:t>
            </w:r>
          </w:p>
        </w:tc>
        <w:tc>
          <w:tcPr>
            <w:tcW w:w="0" w:type="auto"/>
            <w:shd w:val="clear" w:color="auto" w:fill="CFF0FC"/>
            <w:vAlign w:val="bottom"/>
            <w:hideMark/>
          </w:tcPr>
          <w:p w14:paraId="73FB2E2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0626160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7E2833F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shd w:val="clear" w:color="auto" w:fill="CFF0FC"/>
            <w:vAlign w:val="bottom"/>
            <w:hideMark/>
          </w:tcPr>
          <w:p w14:paraId="675E0BED"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382</w:t>
            </w:r>
          </w:p>
        </w:tc>
        <w:tc>
          <w:tcPr>
            <w:tcW w:w="0" w:type="auto"/>
            <w:shd w:val="clear" w:color="auto" w:fill="CFF0FC"/>
            <w:vAlign w:val="bottom"/>
            <w:hideMark/>
          </w:tcPr>
          <w:p w14:paraId="1DFC7FB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7ABBF8D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1846A29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shd w:val="clear" w:color="auto" w:fill="CFF0FC"/>
            <w:vAlign w:val="bottom"/>
            <w:hideMark/>
          </w:tcPr>
          <w:p w14:paraId="68D7EA72"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99</w:t>
            </w:r>
          </w:p>
        </w:tc>
        <w:tc>
          <w:tcPr>
            <w:tcW w:w="0" w:type="auto"/>
            <w:shd w:val="clear" w:color="auto" w:fill="CFF0FC"/>
            <w:vAlign w:val="bottom"/>
            <w:hideMark/>
          </w:tcPr>
          <w:p w14:paraId="3E49F9B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36FDEDA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4693B38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shd w:val="clear" w:color="auto" w:fill="CFF0FC"/>
            <w:vAlign w:val="bottom"/>
            <w:hideMark/>
          </w:tcPr>
          <w:p w14:paraId="2B5C20C9"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482</w:t>
            </w:r>
          </w:p>
        </w:tc>
        <w:tc>
          <w:tcPr>
            <w:tcW w:w="0" w:type="auto"/>
            <w:shd w:val="clear" w:color="auto" w:fill="CFF0FC"/>
            <w:vAlign w:val="bottom"/>
            <w:hideMark/>
          </w:tcPr>
          <w:p w14:paraId="08627C7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3CAEF5E4" w14:textId="77777777" w:rsidTr="002F3D36">
        <w:trPr>
          <w:trHeight w:val="180"/>
          <w:tblCellSpacing w:w="15" w:type="dxa"/>
        </w:trPr>
        <w:tc>
          <w:tcPr>
            <w:tcW w:w="0" w:type="auto"/>
            <w:shd w:val="clear" w:color="auto" w:fill="FFFFFF"/>
            <w:hideMark/>
          </w:tcPr>
          <w:p w14:paraId="4BFE390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Operating margin, %</w:t>
            </w:r>
          </w:p>
        </w:tc>
        <w:tc>
          <w:tcPr>
            <w:tcW w:w="0" w:type="auto"/>
            <w:shd w:val="clear" w:color="auto" w:fill="FFFFFF"/>
            <w:vAlign w:val="bottom"/>
            <w:hideMark/>
          </w:tcPr>
          <w:p w14:paraId="72DF5B0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bottom"/>
            <w:hideMark/>
          </w:tcPr>
          <w:p w14:paraId="7DB4C57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bottom"/>
            <w:hideMark/>
          </w:tcPr>
          <w:p w14:paraId="1B07FB23"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8.2</w:t>
            </w:r>
          </w:p>
        </w:tc>
        <w:tc>
          <w:tcPr>
            <w:tcW w:w="0" w:type="auto"/>
            <w:shd w:val="clear" w:color="auto" w:fill="FFFFFF"/>
            <w:vAlign w:val="bottom"/>
            <w:hideMark/>
          </w:tcPr>
          <w:p w14:paraId="1C3A3B4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bottom"/>
            <w:hideMark/>
          </w:tcPr>
          <w:p w14:paraId="0100797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bottom"/>
            <w:hideMark/>
          </w:tcPr>
          <w:p w14:paraId="0A40BB4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bottom"/>
            <w:hideMark/>
          </w:tcPr>
          <w:p w14:paraId="705E301E"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0.1</w:t>
            </w:r>
          </w:p>
        </w:tc>
        <w:tc>
          <w:tcPr>
            <w:tcW w:w="0" w:type="auto"/>
            <w:shd w:val="clear" w:color="auto" w:fill="FFFFFF"/>
            <w:vAlign w:val="bottom"/>
            <w:hideMark/>
          </w:tcPr>
          <w:p w14:paraId="6868EE9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bottom"/>
            <w:hideMark/>
          </w:tcPr>
          <w:p w14:paraId="1C96DB1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bottom"/>
            <w:hideMark/>
          </w:tcPr>
          <w:p w14:paraId="625F19C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bottom"/>
            <w:hideMark/>
          </w:tcPr>
          <w:p w14:paraId="756DCC9F"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8.3</w:t>
            </w:r>
          </w:p>
        </w:tc>
        <w:tc>
          <w:tcPr>
            <w:tcW w:w="0" w:type="auto"/>
            <w:shd w:val="clear" w:color="auto" w:fill="FFFFFF"/>
            <w:vAlign w:val="bottom"/>
            <w:hideMark/>
          </w:tcPr>
          <w:p w14:paraId="104FF95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bottom"/>
            <w:hideMark/>
          </w:tcPr>
          <w:p w14:paraId="671CF83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bottom"/>
            <w:hideMark/>
          </w:tcPr>
          <w:p w14:paraId="5D6C052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bottom"/>
            <w:hideMark/>
          </w:tcPr>
          <w:p w14:paraId="140E0CC6"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5.1</w:t>
            </w:r>
          </w:p>
        </w:tc>
        <w:tc>
          <w:tcPr>
            <w:tcW w:w="0" w:type="auto"/>
            <w:shd w:val="clear" w:color="auto" w:fill="FFFFFF"/>
            <w:vAlign w:val="bottom"/>
            <w:hideMark/>
          </w:tcPr>
          <w:p w14:paraId="7A0CC17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bottom"/>
            <w:hideMark/>
          </w:tcPr>
          <w:p w14:paraId="56672BF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bottom"/>
            <w:hideMark/>
          </w:tcPr>
          <w:p w14:paraId="4F0EFAC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bottom"/>
            <w:hideMark/>
          </w:tcPr>
          <w:p w14:paraId="0CB664EE"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1.4</w:t>
            </w:r>
          </w:p>
        </w:tc>
        <w:tc>
          <w:tcPr>
            <w:tcW w:w="0" w:type="auto"/>
            <w:shd w:val="clear" w:color="auto" w:fill="FFFFFF"/>
            <w:vAlign w:val="bottom"/>
            <w:hideMark/>
          </w:tcPr>
          <w:p w14:paraId="4C4AB56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bottom"/>
            <w:hideMark/>
          </w:tcPr>
          <w:p w14:paraId="691D4FE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bottom"/>
            <w:hideMark/>
          </w:tcPr>
          <w:p w14:paraId="248F794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bottom"/>
            <w:hideMark/>
          </w:tcPr>
          <w:p w14:paraId="2F2C9E9E"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6.5</w:t>
            </w:r>
          </w:p>
        </w:tc>
        <w:tc>
          <w:tcPr>
            <w:tcW w:w="0" w:type="auto"/>
            <w:shd w:val="clear" w:color="auto" w:fill="FFFFFF"/>
            <w:vAlign w:val="bottom"/>
            <w:hideMark/>
          </w:tcPr>
          <w:p w14:paraId="5DCDD69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5C74E9A0" w14:textId="77777777" w:rsidTr="002F3D36">
        <w:trPr>
          <w:trHeight w:val="180"/>
          <w:tblCellSpacing w:w="15" w:type="dxa"/>
        </w:trPr>
        <w:tc>
          <w:tcPr>
            <w:tcW w:w="0" w:type="auto"/>
            <w:shd w:val="clear" w:color="auto" w:fill="CFF0FC"/>
            <w:hideMark/>
          </w:tcPr>
          <w:p w14:paraId="1F1BEFC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Income before income taxes</w:t>
            </w:r>
          </w:p>
        </w:tc>
        <w:tc>
          <w:tcPr>
            <w:tcW w:w="0" w:type="auto"/>
            <w:shd w:val="clear" w:color="auto" w:fill="CFF0FC"/>
            <w:vAlign w:val="bottom"/>
            <w:hideMark/>
          </w:tcPr>
          <w:p w14:paraId="0DCAE88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3C48771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430C74BB"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614</w:t>
            </w:r>
          </w:p>
        </w:tc>
        <w:tc>
          <w:tcPr>
            <w:tcW w:w="0" w:type="auto"/>
            <w:shd w:val="clear" w:color="auto" w:fill="CFF0FC"/>
            <w:vAlign w:val="bottom"/>
            <w:hideMark/>
          </w:tcPr>
          <w:p w14:paraId="4FE7148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6F0C77A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4C5658D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279B2BF7"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8</w:t>
            </w:r>
          </w:p>
        </w:tc>
        <w:tc>
          <w:tcPr>
            <w:tcW w:w="0" w:type="auto"/>
            <w:shd w:val="clear" w:color="auto" w:fill="CFF0FC"/>
            <w:vAlign w:val="bottom"/>
            <w:hideMark/>
          </w:tcPr>
          <w:p w14:paraId="06F25FE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1B54D03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1FC5B96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7F65BCCA"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622</w:t>
            </w:r>
          </w:p>
        </w:tc>
        <w:tc>
          <w:tcPr>
            <w:tcW w:w="0" w:type="auto"/>
            <w:shd w:val="clear" w:color="auto" w:fill="CFF0FC"/>
            <w:vAlign w:val="bottom"/>
            <w:hideMark/>
          </w:tcPr>
          <w:p w14:paraId="7D08899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4B926700"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4A86576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1ED49DB5"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291</w:t>
            </w:r>
          </w:p>
        </w:tc>
        <w:tc>
          <w:tcPr>
            <w:tcW w:w="0" w:type="auto"/>
            <w:shd w:val="clear" w:color="auto" w:fill="CFF0FC"/>
            <w:vAlign w:val="bottom"/>
            <w:hideMark/>
          </w:tcPr>
          <w:p w14:paraId="5DB2E99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33B73E1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17D5A6B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7A6A64D7"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99</w:t>
            </w:r>
          </w:p>
        </w:tc>
        <w:tc>
          <w:tcPr>
            <w:tcW w:w="0" w:type="auto"/>
            <w:shd w:val="clear" w:color="auto" w:fill="CFF0FC"/>
            <w:vAlign w:val="bottom"/>
            <w:hideMark/>
          </w:tcPr>
          <w:p w14:paraId="5EAB978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77E1B10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2851F56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6B3F1972"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391</w:t>
            </w:r>
          </w:p>
        </w:tc>
        <w:tc>
          <w:tcPr>
            <w:tcW w:w="0" w:type="auto"/>
            <w:shd w:val="clear" w:color="auto" w:fill="CFF0FC"/>
            <w:vAlign w:val="bottom"/>
            <w:hideMark/>
          </w:tcPr>
          <w:p w14:paraId="6EC025B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571B929A" w14:textId="77777777" w:rsidTr="002F3D36">
        <w:trPr>
          <w:trHeight w:val="180"/>
          <w:tblCellSpacing w:w="15" w:type="dxa"/>
        </w:trPr>
        <w:tc>
          <w:tcPr>
            <w:tcW w:w="0" w:type="auto"/>
            <w:shd w:val="clear" w:color="auto" w:fill="FFFFFF"/>
            <w:hideMark/>
          </w:tcPr>
          <w:p w14:paraId="0C3385D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Net income attributable to controlling interest</w:t>
            </w:r>
          </w:p>
        </w:tc>
        <w:tc>
          <w:tcPr>
            <w:tcW w:w="0" w:type="auto"/>
            <w:shd w:val="clear" w:color="auto" w:fill="FFFFFF"/>
            <w:vAlign w:val="bottom"/>
            <w:hideMark/>
          </w:tcPr>
          <w:p w14:paraId="2FA2D72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bottom"/>
            <w:hideMark/>
          </w:tcPr>
          <w:p w14:paraId="1525070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bottom"/>
            <w:hideMark/>
          </w:tcPr>
          <w:p w14:paraId="488A734D"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435</w:t>
            </w:r>
          </w:p>
        </w:tc>
        <w:tc>
          <w:tcPr>
            <w:tcW w:w="0" w:type="auto"/>
            <w:shd w:val="clear" w:color="auto" w:fill="FFFFFF"/>
            <w:vAlign w:val="bottom"/>
            <w:hideMark/>
          </w:tcPr>
          <w:p w14:paraId="027624D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096F499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bottom"/>
            <w:hideMark/>
          </w:tcPr>
          <w:p w14:paraId="0D66A2F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bottom"/>
            <w:hideMark/>
          </w:tcPr>
          <w:p w14:paraId="35859870"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5</w:t>
            </w:r>
          </w:p>
        </w:tc>
        <w:tc>
          <w:tcPr>
            <w:tcW w:w="0" w:type="auto"/>
            <w:shd w:val="clear" w:color="auto" w:fill="FFFFFF"/>
            <w:vAlign w:val="bottom"/>
            <w:hideMark/>
          </w:tcPr>
          <w:p w14:paraId="6135C15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6645FA45"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bottom"/>
            <w:hideMark/>
          </w:tcPr>
          <w:p w14:paraId="259F0B9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bottom"/>
            <w:hideMark/>
          </w:tcPr>
          <w:p w14:paraId="618CC0F3"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440</w:t>
            </w:r>
          </w:p>
        </w:tc>
        <w:tc>
          <w:tcPr>
            <w:tcW w:w="0" w:type="auto"/>
            <w:shd w:val="clear" w:color="auto" w:fill="FFFFFF"/>
            <w:vAlign w:val="bottom"/>
            <w:hideMark/>
          </w:tcPr>
          <w:p w14:paraId="6FD3185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1059E1A8"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bottom"/>
            <w:hideMark/>
          </w:tcPr>
          <w:p w14:paraId="63329CE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bottom"/>
            <w:hideMark/>
          </w:tcPr>
          <w:p w14:paraId="27BA56EF"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187</w:t>
            </w:r>
          </w:p>
        </w:tc>
        <w:tc>
          <w:tcPr>
            <w:tcW w:w="0" w:type="auto"/>
            <w:shd w:val="clear" w:color="auto" w:fill="FFFFFF"/>
            <w:vAlign w:val="bottom"/>
            <w:hideMark/>
          </w:tcPr>
          <w:p w14:paraId="32A5E2D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20FB5D8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bottom"/>
            <w:hideMark/>
          </w:tcPr>
          <w:p w14:paraId="663F78E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bottom"/>
            <w:hideMark/>
          </w:tcPr>
          <w:p w14:paraId="2C0D271B"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88</w:t>
            </w:r>
          </w:p>
        </w:tc>
        <w:tc>
          <w:tcPr>
            <w:tcW w:w="0" w:type="auto"/>
            <w:shd w:val="clear" w:color="auto" w:fill="FFFFFF"/>
            <w:vAlign w:val="bottom"/>
            <w:hideMark/>
          </w:tcPr>
          <w:p w14:paraId="0FA208B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5634CFAF"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bottom"/>
            <w:hideMark/>
          </w:tcPr>
          <w:p w14:paraId="431054C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bottom"/>
            <w:hideMark/>
          </w:tcPr>
          <w:p w14:paraId="64920959"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275</w:t>
            </w:r>
          </w:p>
        </w:tc>
        <w:tc>
          <w:tcPr>
            <w:tcW w:w="0" w:type="auto"/>
            <w:shd w:val="clear" w:color="auto" w:fill="FFFFFF"/>
            <w:vAlign w:val="bottom"/>
            <w:hideMark/>
          </w:tcPr>
          <w:p w14:paraId="517D831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37C7DFF6" w14:textId="77777777" w:rsidTr="002F3D36">
        <w:trPr>
          <w:trHeight w:val="180"/>
          <w:tblCellSpacing w:w="15" w:type="dxa"/>
        </w:trPr>
        <w:tc>
          <w:tcPr>
            <w:tcW w:w="0" w:type="auto"/>
            <w:shd w:val="clear" w:color="auto" w:fill="CFF0FC"/>
            <w:hideMark/>
          </w:tcPr>
          <w:p w14:paraId="57D3F81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Capital employed</w:t>
            </w:r>
          </w:p>
        </w:tc>
        <w:tc>
          <w:tcPr>
            <w:tcW w:w="0" w:type="auto"/>
            <w:shd w:val="clear" w:color="auto" w:fill="CFF0FC"/>
            <w:vAlign w:val="bottom"/>
            <w:hideMark/>
          </w:tcPr>
          <w:p w14:paraId="79E12B2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4E42264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5AC25B69"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3,700</w:t>
            </w:r>
          </w:p>
        </w:tc>
        <w:tc>
          <w:tcPr>
            <w:tcW w:w="0" w:type="auto"/>
            <w:shd w:val="clear" w:color="auto" w:fill="CFF0FC"/>
            <w:vAlign w:val="bottom"/>
            <w:hideMark/>
          </w:tcPr>
          <w:p w14:paraId="6D39B62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5A0D6B9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4FE5DBC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402CF2D4"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5</w:t>
            </w:r>
          </w:p>
        </w:tc>
        <w:tc>
          <w:tcPr>
            <w:tcW w:w="0" w:type="auto"/>
            <w:shd w:val="clear" w:color="auto" w:fill="CFF0FC"/>
            <w:vAlign w:val="bottom"/>
            <w:hideMark/>
          </w:tcPr>
          <w:p w14:paraId="176C75D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36F0EC15"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539D9F9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61006C60"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3,705</w:t>
            </w:r>
          </w:p>
        </w:tc>
        <w:tc>
          <w:tcPr>
            <w:tcW w:w="0" w:type="auto"/>
            <w:shd w:val="clear" w:color="auto" w:fill="CFF0FC"/>
            <w:vAlign w:val="bottom"/>
            <w:hideMark/>
          </w:tcPr>
          <w:p w14:paraId="684A76C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0BBB1985"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23CEAE6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4B0569E7"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3,637</w:t>
            </w:r>
          </w:p>
        </w:tc>
        <w:tc>
          <w:tcPr>
            <w:tcW w:w="0" w:type="auto"/>
            <w:shd w:val="clear" w:color="auto" w:fill="CFF0FC"/>
            <w:vAlign w:val="bottom"/>
            <w:hideMark/>
          </w:tcPr>
          <w:p w14:paraId="29BC9D8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43F34ED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6824FE1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6E34FD6A"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88</w:t>
            </w:r>
          </w:p>
        </w:tc>
        <w:tc>
          <w:tcPr>
            <w:tcW w:w="0" w:type="auto"/>
            <w:shd w:val="clear" w:color="auto" w:fill="CFF0FC"/>
            <w:vAlign w:val="bottom"/>
            <w:hideMark/>
          </w:tcPr>
          <w:p w14:paraId="01EAC0C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25F229BF"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5638589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4AAC2972"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3,725</w:t>
            </w:r>
          </w:p>
        </w:tc>
        <w:tc>
          <w:tcPr>
            <w:tcW w:w="0" w:type="auto"/>
            <w:shd w:val="clear" w:color="auto" w:fill="CFF0FC"/>
            <w:vAlign w:val="bottom"/>
            <w:hideMark/>
          </w:tcPr>
          <w:p w14:paraId="49BECCE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6CC85BA1" w14:textId="77777777" w:rsidTr="002F3D36">
        <w:trPr>
          <w:trHeight w:val="180"/>
          <w:tblCellSpacing w:w="15" w:type="dxa"/>
        </w:trPr>
        <w:tc>
          <w:tcPr>
            <w:tcW w:w="0" w:type="auto"/>
            <w:shd w:val="clear" w:color="auto" w:fill="FFFFFF"/>
            <w:hideMark/>
          </w:tcPr>
          <w:p w14:paraId="09E7A7A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Return on capital employed, %</w:t>
            </w:r>
            <w:r w:rsidRPr="002F3D36">
              <w:rPr>
                <w:rFonts w:ascii="Arial" w:eastAsia="微软雅黑" w:hAnsi="Arial" w:cs="Arial"/>
                <w:color w:val="000000"/>
                <w:kern w:val="0"/>
                <w:sz w:val="12"/>
                <w:szCs w:val="12"/>
              </w:rPr>
              <w:t> 2)</w:t>
            </w:r>
          </w:p>
        </w:tc>
        <w:tc>
          <w:tcPr>
            <w:tcW w:w="0" w:type="auto"/>
            <w:shd w:val="clear" w:color="auto" w:fill="FFFFFF"/>
            <w:vAlign w:val="bottom"/>
            <w:hideMark/>
          </w:tcPr>
          <w:p w14:paraId="1716750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bottom"/>
            <w:hideMark/>
          </w:tcPr>
          <w:p w14:paraId="53934C9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bottom"/>
            <w:hideMark/>
          </w:tcPr>
          <w:p w14:paraId="54EE9459"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18.3</w:t>
            </w:r>
          </w:p>
        </w:tc>
        <w:tc>
          <w:tcPr>
            <w:tcW w:w="0" w:type="auto"/>
            <w:shd w:val="clear" w:color="auto" w:fill="FFFFFF"/>
            <w:vAlign w:val="bottom"/>
            <w:hideMark/>
          </w:tcPr>
          <w:p w14:paraId="5FBE037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bottom"/>
            <w:hideMark/>
          </w:tcPr>
          <w:p w14:paraId="1797734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bottom"/>
            <w:hideMark/>
          </w:tcPr>
          <w:p w14:paraId="282E211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bottom"/>
            <w:hideMark/>
          </w:tcPr>
          <w:p w14:paraId="0CB949D4"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0.2</w:t>
            </w:r>
          </w:p>
        </w:tc>
        <w:tc>
          <w:tcPr>
            <w:tcW w:w="0" w:type="auto"/>
            <w:shd w:val="clear" w:color="auto" w:fill="FFFFFF"/>
            <w:vAlign w:val="bottom"/>
            <w:hideMark/>
          </w:tcPr>
          <w:p w14:paraId="3B51F9E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bottom"/>
            <w:hideMark/>
          </w:tcPr>
          <w:p w14:paraId="52ECA2A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bottom"/>
            <w:hideMark/>
          </w:tcPr>
          <w:p w14:paraId="5B28C00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bottom"/>
            <w:hideMark/>
          </w:tcPr>
          <w:p w14:paraId="455C9554"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18.5</w:t>
            </w:r>
          </w:p>
        </w:tc>
        <w:tc>
          <w:tcPr>
            <w:tcW w:w="0" w:type="auto"/>
            <w:shd w:val="clear" w:color="auto" w:fill="FFFFFF"/>
            <w:vAlign w:val="bottom"/>
            <w:hideMark/>
          </w:tcPr>
          <w:p w14:paraId="0BD992D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bottom"/>
            <w:hideMark/>
          </w:tcPr>
          <w:p w14:paraId="34E39F2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bottom"/>
            <w:hideMark/>
          </w:tcPr>
          <w:p w14:paraId="1B5D222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bottom"/>
            <w:hideMark/>
          </w:tcPr>
          <w:p w14:paraId="5EF36E6E"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10.4</w:t>
            </w:r>
          </w:p>
        </w:tc>
        <w:tc>
          <w:tcPr>
            <w:tcW w:w="0" w:type="auto"/>
            <w:shd w:val="clear" w:color="auto" w:fill="FFFFFF"/>
            <w:vAlign w:val="bottom"/>
            <w:hideMark/>
          </w:tcPr>
          <w:p w14:paraId="3BE06A5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bottom"/>
            <w:hideMark/>
          </w:tcPr>
          <w:p w14:paraId="2B5D946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bottom"/>
            <w:hideMark/>
          </w:tcPr>
          <w:p w14:paraId="40122D3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bottom"/>
            <w:hideMark/>
          </w:tcPr>
          <w:p w14:paraId="145DB156"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2.5</w:t>
            </w:r>
          </w:p>
        </w:tc>
        <w:tc>
          <w:tcPr>
            <w:tcW w:w="0" w:type="auto"/>
            <w:shd w:val="clear" w:color="auto" w:fill="FFFFFF"/>
            <w:vAlign w:val="bottom"/>
            <w:hideMark/>
          </w:tcPr>
          <w:p w14:paraId="6968EA9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bottom"/>
            <w:hideMark/>
          </w:tcPr>
          <w:p w14:paraId="78FD4F9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bottom"/>
            <w:hideMark/>
          </w:tcPr>
          <w:p w14:paraId="28E43E4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bottom"/>
            <w:hideMark/>
          </w:tcPr>
          <w:p w14:paraId="573640EC"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12.9</w:t>
            </w:r>
          </w:p>
        </w:tc>
        <w:tc>
          <w:tcPr>
            <w:tcW w:w="0" w:type="auto"/>
            <w:shd w:val="clear" w:color="auto" w:fill="FFFFFF"/>
            <w:vAlign w:val="bottom"/>
            <w:hideMark/>
          </w:tcPr>
          <w:p w14:paraId="576585B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1E77FBF7" w14:textId="77777777" w:rsidTr="002F3D36">
        <w:trPr>
          <w:trHeight w:val="180"/>
          <w:tblCellSpacing w:w="15" w:type="dxa"/>
        </w:trPr>
        <w:tc>
          <w:tcPr>
            <w:tcW w:w="0" w:type="auto"/>
            <w:shd w:val="clear" w:color="auto" w:fill="CFF0FC"/>
            <w:hideMark/>
          </w:tcPr>
          <w:p w14:paraId="5D7023A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Return on total equity, %</w:t>
            </w:r>
            <w:r w:rsidRPr="002F3D36">
              <w:rPr>
                <w:rFonts w:ascii="Arial" w:eastAsia="微软雅黑" w:hAnsi="Arial" w:cs="Arial"/>
                <w:color w:val="000000"/>
                <w:kern w:val="0"/>
                <w:sz w:val="12"/>
                <w:szCs w:val="12"/>
              </w:rPr>
              <w:t> 3)</w:t>
            </w:r>
          </w:p>
        </w:tc>
        <w:tc>
          <w:tcPr>
            <w:tcW w:w="0" w:type="auto"/>
            <w:shd w:val="clear" w:color="auto" w:fill="CFF0FC"/>
            <w:vAlign w:val="bottom"/>
            <w:hideMark/>
          </w:tcPr>
          <w:p w14:paraId="32139FF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35EBD33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3311D532"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17.1</w:t>
            </w:r>
          </w:p>
        </w:tc>
        <w:tc>
          <w:tcPr>
            <w:tcW w:w="0" w:type="auto"/>
            <w:shd w:val="clear" w:color="auto" w:fill="CFF0FC"/>
            <w:vAlign w:val="bottom"/>
            <w:hideMark/>
          </w:tcPr>
          <w:p w14:paraId="4E2CA33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217DB2A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6E3C2D7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15A9759E"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0.2</w:t>
            </w:r>
          </w:p>
        </w:tc>
        <w:tc>
          <w:tcPr>
            <w:tcW w:w="0" w:type="auto"/>
            <w:shd w:val="clear" w:color="auto" w:fill="CFF0FC"/>
            <w:vAlign w:val="bottom"/>
            <w:hideMark/>
          </w:tcPr>
          <w:p w14:paraId="2111EF3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4812C90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13B6E64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6AAD6911"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17.3</w:t>
            </w:r>
          </w:p>
        </w:tc>
        <w:tc>
          <w:tcPr>
            <w:tcW w:w="0" w:type="auto"/>
            <w:shd w:val="clear" w:color="auto" w:fill="CFF0FC"/>
            <w:vAlign w:val="bottom"/>
            <w:hideMark/>
          </w:tcPr>
          <w:p w14:paraId="19A4964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5A2516B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5BE5B29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16021119"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8.8</w:t>
            </w:r>
          </w:p>
        </w:tc>
        <w:tc>
          <w:tcPr>
            <w:tcW w:w="0" w:type="auto"/>
            <w:shd w:val="clear" w:color="auto" w:fill="CFF0FC"/>
            <w:vAlign w:val="bottom"/>
            <w:hideMark/>
          </w:tcPr>
          <w:p w14:paraId="68569A5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5D6ACBA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651472C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5C852333"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3.9</w:t>
            </w:r>
          </w:p>
        </w:tc>
        <w:tc>
          <w:tcPr>
            <w:tcW w:w="0" w:type="auto"/>
            <w:shd w:val="clear" w:color="auto" w:fill="CFF0FC"/>
            <w:vAlign w:val="bottom"/>
            <w:hideMark/>
          </w:tcPr>
          <w:p w14:paraId="7AA4379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08F664F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6F8B426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4C7F1C85"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12.7</w:t>
            </w:r>
          </w:p>
        </w:tc>
        <w:tc>
          <w:tcPr>
            <w:tcW w:w="0" w:type="auto"/>
            <w:shd w:val="clear" w:color="auto" w:fill="CFF0FC"/>
            <w:vAlign w:val="bottom"/>
            <w:hideMark/>
          </w:tcPr>
          <w:p w14:paraId="4375EFA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352E96D9" w14:textId="77777777" w:rsidTr="002F3D36">
        <w:trPr>
          <w:trHeight w:val="180"/>
          <w:tblCellSpacing w:w="15" w:type="dxa"/>
        </w:trPr>
        <w:tc>
          <w:tcPr>
            <w:tcW w:w="0" w:type="auto"/>
            <w:shd w:val="clear" w:color="auto" w:fill="FFFFFF"/>
            <w:hideMark/>
          </w:tcPr>
          <w:p w14:paraId="7C09F6D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Earnings per share, diluted</w:t>
            </w:r>
            <w:r w:rsidRPr="002F3D36">
              <w:rPr>
                <w:rFonts w:ascii="Arial" w:eastAsia="微软雅黑" w:hAnsi="Arial" w:cs="Arial"/>
                <w:color w:val="000000"/>
                <w:kern w:val="0"/>
                <w:sz w:val="12"/>
                <w:szCs w:val="12"/>
              </w:rPr>
              <w:t> 4, 5)</w:t>
            </w:r>
          </w:p>
        </w:tc>
        <w:tc>
          <w:tcPr>
            <w:tcW w:w="0" w:type="auto"/>
            <w:shd w:val="clear" w:color="auto" w:fill="FFFFFF"/>
            <w:vAlign w:val="bottom"/>
            <w:hideMark/>
          </w:tcPr>
          <w:p w14:paraId="254F743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bottom"/>
            <w:hideMark/>
          </w:tcPr>
          <w:p w14:paraId="742A413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shd w:val="clear" w:color="auto" w:fill="FFFFFF"/>
            <w:vAlign w:val="bottom"/>
            <w:hideMark/>
          </w:tcPr>
          <w:p w14:paraId="1414AFA7"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4.96</w:t>
            </w:r>
          </w:p>
        </w:tc>
        <w:tc>
          <w:tcPr>
            <w:tcW w:w="0" w:type="auto"/>
            <w:shd w:val="clear" w:color="auto" w:fill="FFFFFF"/>
            <w:vAlign w:val="bottom"/>
            <w:hideMark/>
          </w:tcPr>
          <w:p w14:paraId="78A3570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bottom"/>
            <w:hideMark/>
          </w:tcPr>
          <w:p w14:paraId="2D4EC50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bottom"/>
            <w:hideMark/>
          </w:tcPr>
          <w:p w14:paraId="41EA09A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shd w:val="clear" w:color="auto" w:fill="FFFFFF"/>
            <w:vAlign w:val="bottom"/>
            <w:hideMark/>
          </w:tcPr>
          <w:p w14:paraId="4A80BFD4"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0.06</w:t>
            </w:r>
          </w:p>
        </w:tc>
        <w:tc>
          <w:tcPr>
            <w:tcW w:w="0" w:type="auto"/>
            <w:shd w:val="clear" w:color="auto" w:fill="FFFFFF"/>
            <w:vAlign w:val="bottom"/>
            <w:hideMark/>
          </w:tcPr>
          <w:p w14:paraId="484C0D6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bottom"/>
            <w:hideMark/>
          </w:tcPr>
          <w:p w14:paraId="28AAAC51"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bottom"/>
            <w:hideMark/>
          </w:tcPr>
          <w:p w14:paraId="36A163F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shd w:val="clear" w:color="auto" w:fill="FFFFFF"/>
            <w:vAlign w:val="bottom"/>
            <w:hideMark/>
          </w:tcPr>
          <w:p w14:paraId="68859C1A"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5.02</w:t>
            </w:r>
          </w:p>
        </w:tc>
        <w:tc>
          <w:tcPr>
            <w:tcW w:w="0" w:type="auto"/>
            <w:shd w:val="clear" w:color="auto" w:fill="FFFFFF"/>
            <w:vAlign w:val="bottom"/>
            <w:hideMark/>
          </w:tcPr>
          <w:p w14:paraId="68C27E5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bottom"/>
            <w:hideMark/>
          </w:tcPr>
          <w:p w14:paraId="0874C059"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bottom"/>
            <w:hideMark/>
          </w:tcPr>
          <w:p w14:paraId="0203BE6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shd w:val="clear" w:color="auto" w:fill="FFFFFF"/>
            <w:vAlign w:val="bottom"/>
            <w:hideMark/>
          </w:tcPr>
          <w:p w14:paraId="64ACEF87"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2.14</w:t>
            </w:r>
          </w:p>
        </w:tc>
        <w:tc>
          <w:tcPr>
            <w:tcW w:w="0" w:type="auto"/>
            <w:shd w:val="clear" w:color="auto" w:fill="FFFFFF"/>
            <w:vAlign w:val="bottom"/>
            <w:hideMark/>
          </w:tcPr>
          <w:p w14:paraId="596DF40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bottom"/>
            <w:hideMark/>
          </w:tcPr>
          <w:p w14:paraId="6A375CD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bottom"/>
            <w:hideMark/>
          </w:tcPr>
          <w:p w14:paraId="68F0F1E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shd w:val="clear" w:color="auto" w:fill="FFFFFF"/>
            <w:vAlign w:val="bottom"/>
            <w:hideMark/>
          </w:tcPr>
          <w:p w14:paraId="7E7D104B"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1.01</w:t>
            </w:r>
          </w:p>
        </w:tc>
        <w:tc>
          <w:tcPr>
            <w:tcW w:w="0" w:type="auto"/>
            <w:shd w:val="clear" w:color="auto" w:fill="FFFFFF"/>
            <w:vAlign w:val="bottom"/>
            <w:hideMark/>
          </w:tcPr>
          <w:p w14:paraId="1EE7043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bottom"/>
            <w:hideMark/>
          </w:tcPr>
          <w:p w14:paraId="1F9A365C"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bottom"/>
            <w:hideMark/>
          </w:tcPr>
          <w:p w14:paraId="7A24229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shd w:val="clear" w:color="auto" w:fill="FFFFFF"/>
            <w:vAlign w:val="bottom"/>
            <w:hideMark/>
          </w:tcPr>
          <w:p w14:paraId="5750CDE8"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3.15</w:t>
            </w:r>
          </w:p>
        </w:tc>
        <w:tc>
          <w:tcPr>
            <w:tcW w:w="0" w:type="auto"/>
            <w:shd w:val="clear" w:color="auto" w:fill="FFFFFF"/>
            <w:vAlign w:val="bottom"/>
            <w:hideMark/>
          </w:tcPr>
          <w:p w14:paraId="51F8144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224E1C24" w14:textId="77777777" w:rsidTr="002F3D36">
        <w:trPr>
          <w:trHeight w:val="180"/>
          <w:tblCellSpacing w:w="15" w:type="dxa"/>
        </w:trPr>
        <w:tc>
          <w:tcPr>
            <w:tcW w:w="0" w:type="auto"/>
            <w:shd w:val="clear" w:color="auto" w:fill="CFF0FC"/>
            <w:hideMark/>
          </w:tcPr>
          <w:p w14:paraId="575DDF5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Total parent shareholders' equity per share</w:t>
            </w:r>
          </w:p>
        </w:tc>
        <w:tc>
          <w:tcPr>
            <w:tcW w:w="0" w:type="auto"/>
            <w:shd w:val="clear" w:color="auto" w:fill="CFF0FC"/>
            <w:vAlign w:val="bottom"/>
            <w:hideMark/>
          </w:tcPr>
          <w:p w14:paraId="474EFF80" w14:textId="77777777" w:rsidR="002F3D36" w:rsidRPr="002F3D36" w:rsidRDefault="002F3D36" w:rsidP="002F3D36">
            <w:pPr>
              <w:widowControl/>
              <w:jc w:val="left"/>
              <w:rPr>
                <w:rFonts w:ascii="Times New Roman" w:eastAsia="微软雅黑" w:hAnsi="Times New Roman" w:cs="Times New Roman"/>
                <w:kern w:val="0"/>
                <w:sz w:val="22"/>
              </w:rPr>
            </w:pPr>
            <w:r w:rsidRPr="002F3D36">
              <w:rPr>
                <w:rFonts w:ascii="Calibri" w:eastAsia="微软雅黑" w:hAnsi="Calibri" w:cs="Calibri"/>
                <w:kern w:val="0"/>
                <w:sz w:val="22"/>
              </w:rPr>
              <w:t> </w:t>
            </w:r>
          </w:p>
        </w:tc>
        <w:tc>
          <w:tcPr>
            <w:tcW w:w="0" w:type="auto"/>
            <w:shd w:val="clear" w:color="auto" w:fill="CFF0FC"/>
            <w:vAlign w:val="bottom"/>
            <w:hideMark/>
          </w:tcPr>
          <w:p w14:paraId="3CACAFF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shd w:val="clear" w:color="auto" w:fill="CFF0FC"/>
            <w:vAlign w:val="bottom"/>
            <w:hideMark/>
          </w:tcPr>
          <w:p w14:paraId="47E83242"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30.10</w:t>
            </w:r>
          </w:p>
        </w:tc>
        <w:tc>
          <w:tcPr>
            <w:tcW w:w="0" w:type="auto"/>
            <w:shd w:val="clear" w:color="auto" w:fill="CFF0FC"/>
            <w:vAlign w:val="bottom"/>
            <w:hideMark/>
          </w:tcPr>
          <w:p w14:paraId="31DCF46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0498F8E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7B905A9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shd w:val="clear" w:color="auto" w:fill="CFF0FC"/>
            <w:vAlign w:val="bottom"/>
            <w:hideMark/>
          </w:tcPr>
          <w:p w14:paraId="6BF0ACBF"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0.06</w:t>
            </w:r>
          </w:p>
        </w:tc>
        <w:tc>
          <w:tcPr>
            <w:tcW w:w="0" w:type="auto"/>
            <w:shd w:val="clear" w:color="auto" w:fill="CFF0FC"/>
            <w:vAlign w:val="bottom"/>
            <w:hideMark/>
          </w:tcPr>
          <w:p w14:paraId="0B1FFD5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6545F5D9"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47F5757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shd w:val="clear" w:color="auto" w:fill="CFF0FC"/>
            <w:vAlign w:val="bottom"/>
            <w:hideMark/>
          </w:tcPr>
          <w:p w14:paraId="2EA89586"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30.15</w:t>
            </w:r>
          </w:p>
        </w:tc>
        <w:tc>
          <w:tcPr>
            <w:tcW w:w="0" w:type="auto"/>
            <w:shd w:val="clear" w:color="auto" w:fill="CFF0FC"/>
            <w:vAlign w:val="bottom"/>
            <w:hideMark/>
          </w:tcPr>
          <w:p w14:paraId="147D051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1B39A4F8"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0D7A6E8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shd w:val="clear" w:color="auto" w:fill="CFF0FC"/>
            <w:vAlign w:val="bottom"/>
            <w:hideMark/>
          </w:tcPr>
          <w:p w14:paraId="2CEDE504"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27.56</w:t>
            </w:r>
          </w:p>
        </w:tc>
        <w:tc>
          <w:tcPr>
            <w:tcW w:w="0" w:type="auto"/>
            <w:shd w:val="clear" w:color="auto" w:fill="CFF0FC"/>
            <w:vAlign w:val="bottom"/>
            <w:hideMark/>
          </w:tcPr>
          <w:p w14:paraId="3D778CF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2E68AB2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007A46C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shd w:val="clear" w:color="auto" w:fill="CFF0FC"/>
            <w:vAlign w:val="bottom"/>
            <w:hideMark/>
          </w:tcPr>
          <w:p w14:paraId="6DF99A01"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1.01</w:t>
            </w:r>
          </w:p>
        </w:tc>
        <w:tc>
          <w:tcPr>
            <w:tcW w:w="0" w:type="auto"/>
            <w:shd w:val="clear" w:color="auto" w:fill="CFF0FC"/>
            <w:vAlign w:val="bottom"/>
            <w:hideMark/>
          </w:tcPr>
          <w:p w14:paraId="1B95F92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6384E613"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7C7B3F9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shd w:val="clear" w:color="auto" w:fill="CFF0FC"/>
            <w:vAlign w:val="bottom"/>
            <w:hideMark/>
          </w:tcPr>
          <w:p w14:paraId="1F446CA3"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28.57</w:t>
            </w:r>
          </w:p>
        </w:tc>
        <w:tc>
          <w:tcPr>
            <w:tcW w:w="0" w:type="auto"/>
            <w:shd w:val="clear" w:color="auto" w:fill="CFF0FC"/>
            <w:vAlign w:val="bottom"/>
            <w:hideMark/>
          </w:tcPr>
          <w:p w14:paraId="1F0873C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bl>
    <w:p w14:paraId="299A672C"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6"/>
          <w:szCs w:val="16"/>
        </w:rPr>
        <w:t xml:space="preserve">1) Represents costs for capacity alignments and antitrust related matters. See table below for a disaggregation of these costs. </w:t>
      </w:r>
    </w:p>
    <w:p w14:paraId="2374D183"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6"/>
          <w:szCs w:val="16"/>
        </w:rPr>
        <w:t>2) Operating income and income from equity method investments, relative to average capital employed.</w:t>
      </w:r>
    </w:p>
    <w:p w14:paraId="53964FDA"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6"/>
          <w:szCs w:val="16"/>
        </w:rPr>
        <w:t>3) Net Income relative to average total equity for the year.</w:t>
      </w:r>
    </w:p>
    <w:p w14:paraId="4882400D"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6"/>
          <w:szCs w:val="16"/>
        </w:rPr>
        <w:t>4) Assuming dilution and net of treasury shares.</w:t>
      </w:r>
    </w:p>
    <w:p w14:paraId="47E0151A"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6"/>
          <w:szCs w:val="16"/>
        </w:rPr>
        <w:t>5) Participating share awards with right to receive dividend equivalents are (under the two-class method) excluded from the EPS calculation.</w:t>
      </w:r>
    </w:p>
    <w:p w14:paraId="7A96733D"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w:t>
      </w:r>
    </w:p>
    <w:tbl>
      <w:tblPr>
        <w:tblW w:w="20614" w:type="dxa"/>
        <w:tblCellSpacing w:w="15" w:type="dxa"/>
        <w:tblCellMar>
          <w:top w:w="15" w:type="dxa"/>
          <w:left w:w="15" w:type="dxa"/>
          <w:bottom w:w="15" w:type="dxa"/>
          <w:right w:w="15" w:type="dxa"/>
        </w:tblCellMar>
        <w:tblLook w:val="04A0" w:firstRow="1" w:lastRow="0" w:firstColumn="1" w:lastColumn="0" w:noHBand="0" w:noVBand="1"/>
      </w:tblPr>
      <w:tblGrid>
        <w:gridCol w:w="10509"/>
        <w:gridCol w:w="282"/>
        <w:gridCol w:w="274"/>
        <w:gridCol w:w="1848"/>
        <w:gridCol w:w="412"/>
        <w:gridCol w:w="283"/>
        <w:gridCol w:w="274"/>
        <w:gridCol w:w="1576"/>
        <w:gridCol w:w="173"/>
        <w:gridCol w:w="452"/>
        <w:gridCol w:w="274"/>
        <w:gridCol w:w="1567"/>
        <w:gridCol w:w="412"/>
        <w:gridCol w:w="283"/>
        <w:gridCol w:w="276"/>
        <w:gridCol w:w="1526"/>
        <w:gridCol w:w="193"/>
      </w:tblGrid>
      <w:tr w:rsidR="002F3D36" w:rsidRPr="002F3D36" w14:paraId="027A5CE0" w14:textId="77777777" w:rsidTr="002F3D36">
        <w:trPr>
          <w:tblCellSpacing w:w="15" w:type="dxa"/>
        </w:trPr>
        <w:tc>
          <w:tcPr>
            <w:tcW w:w="10486" w:type="dxa"/>
            <w:vAlign w:val="center"/>
            <w:hideMark/>
          </w:tcPr>
          <w:p w14:paraId="78CFE178" w14:textId="77777777" w:rsidR="002F3D36" w:rsidRPr="002F3D36" w:rsidRDefault="002F3D36" w:rsidP="002F3D36">
            <w:pPr>
              <w:widowControl/>
              <w:jc w:val="left"/>
              <w:rPr>
                <w:rFonts w:ascii="Times New Roman" w:eastAsia="宋体" w:hAnsi="Times New Roman" w:cs="Times New Roman"/>
                <w:color w:val="000000"/>
                <w:kern w:val="0"/>
                <w:sz w:val="20"/>
                <w:szCs w:val="20"/>
              </w:rPr>
            </w:pPr>
          </w:p>
        </w:tc>
        <w:tc>
          <w:tcPr>
            <w:tcW w:w="253" w:type="dxa"/>
            <w:vAlign w:val="center"/>
            <w:hideMark/>
          </w:tcPr>
          <w:p w14:paraId="5A09B19A"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44" w:type="dxa"/>
            <w:vAlign w:val="center"/>
            <w:hideMark/>
          </w:tcPr>
          <w:p w14:paraId="40EF4846"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821" w:type="dxa"/>
            <w:vAlign w:val="center"/>
            <w:hideMark/>
          </w:tcPr>
          <w:p w14:paraId="36B46B6A"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382" w:type="dxa"/>
            <w:vAlign w:val="center"/>
            <w:hideMark/>
          </w:tcPr>
          <w:p w14:paraId="42898E03"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53" w:type="dxa"/>
            <w:vAlign w:val="center"/>
            <w:hideMark/>
          </w:tcPr>
          <w:p w14:paraId="3219CE06"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44" w:type="dxa"/>
            <w:vAlign w:val="center"/>
            <w:hideMark/>
          </w:tcPr>
          <w:p w14:paraId="23019A37"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548" w:type="dxa"/>
            <w:vAlign w:val="center"/>
            <w:hideMark/>
          </w:tcPr>
          <w:p w14:paraId="0F860840"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43" w:type="dxa"/>
            <w:vAlign w:val="center"/>
            <w:hideMark/>
          </w:tcPr>
          <w:p w14:paraId="23F731AE"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423" w:type="dxa"/>
            <w:vAlign w:val="center"/>
            <w:hideMark/>
          </w:tcPr>
          <w:p w14:paraId="5D399D0D"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44" w:type="dxa"/>
            <w:vAlign w:val="center"/>
            <w:hideMark/>
          </w:tcPr>
          <w:p w14:paraId="064AE873"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539" w:type="dxa"/>
            <w:vAlign w:val="center"/>
            <w:hideMark/>
          </w:tcPr>
          <w:p w14:paraId="02C42666"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382" w:type="dxa"/>
            <w:vAlign w:val="center"/>
            <w:hideMark/>
          </w:tcPr>
          <w:p w14:paraId="3A01C762"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53" w:type="dxa"/>
            <w:vAlign w:val="center"/>
            <w:hideMark/>
          </w:tcPr>
          <w:p w14:paraId="714ADA82"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46" w:type="dxa"/>
            <w:vAlign w:val="center"/>
            <w:hideMark/>
          </w:tcPr>
          <w:p w14:paraId="5FADB140"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498" w:type="dxa"/>
            <w:vAlign w:val="center"/>
            <w:hideMark/>
          </w:tcPr>
          <w:p w14:paraId="2575C030"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48" w:type="dxa"/>
            <w:vAlign w:val="center"/>
            <w:hideMark/>
          </w:tcPr>
          <w:p w14:paraId="315AC668" w14:textId="77777777" w:rsidR="002F3D36" w:rsidRPr="002F3D36" w:rsidRDefault="002F3D36" w:rsidP="002F3D36">
            <w:pPr>
              <w:widowControl/>
              <w:jc w:val="left"/>
              <w:rPr>
                <w:rFonts w:ascii="Times New Roman" w:eastAsia="Times New Roman" w:hAnsi="Times New Roman" w:cs="Times New Roman"/>
                <w:kern w:val="0"/>
                <w:sz w:val="20"/>
                <w:szCs w:val="20"/>
              </w:rPr>
            </w:pPr>
          </w:p>
        </w:tc>
      </w:tr>
      <w:tr w:rsidR="002F3D36" w:rsidRPr="002F3D36" w14:paraId="3D3FDC01" w14:textId="77777777" w:rsidTr="002F3D36">
        <w:trPr>
          <w:trHeight w:val="180"/>
          <w:tblCellSpacing w:w="15" w:type="dxa"/>
        </w:trPr>
        <w:tc>
          <w:tcPr>
            <w:tcW w:w="0" w:type="auto"/>
            <w:shd w:val="clear" w:color="auto" w:fill="FFFFFF"/>
            <w:vAlign w:val="bottom"/>
            <w:hideMark/>
          </w:tcPr>
          <w:p w14:paraId="2B49AFB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Items included in Non-U.S. GAAP adjustments</w:t>
            </w:r>
          </w:p>
        </w:tc>
        <w:tc>
          <w:tcPr>
            <w:tcW w:w="0" w:type="auto"/>
            <w:shd w:val="clear" w:color="auto" w:fill="FFFFFF"/>
            <w:vAlign w:val="bottom"/>
            <w:hideMark/>
          </w:tcPr>
          <w:p w14:paraId="44E74EC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gridSpan w:val="2"/>
            <w:shd w:val="clear" w:color="auto" w:fill="FFFFFF"/>
            <w:vAlign w:val="bottom"/>
            <w:hideMark/>
          </w:tcPr>
          <w:p w14:paraId="78C73CAE" w14:textId="77777777" w:rsidR="002F3D36" w:rsidRPr="002F3D36" w:rsidRDefault="002F3D36" w:rsidP="002F3D36">
            <w:pPr>
              <w:widowControl/>
              <w:jc w:val="left"/>
              <w:rPr>
                <w:rFonts w:ascii="Times New Roman" w:eastAsia="微软雅黑" w:hAnsi="Times New Roman" w:cs="Times New Roman"/>
                <w:kern w:val="0"/>
                <w:sz w:val="22"/>
              </w:rPr>
            </w:pPr>
            <w:r w:rsidRPr="002F3D36">
              <w:rPr>
                <w:rFonts w:ascii="Calibri" w:eastAsia="微软雅黑" w:hAnsi="Calibri" w:cs="Calibri"/>
                <w:kern w:val="0"/>
                <w:sz w:val="22"/>
              </w:rPr>
              <w:t> </w:t>
            </w:r>
          </w:p>
        </w:tc>
        <w:tc>
          <w:tcPr>
            <w:tcW w:w="0" w:type="auto"/>
            <w:shd w:val="clear" w:color="auto" w:fill="FFFFFF"/>
            <w:vAlign w:val="bottom"/>
            <w:hideMark/>
          </w:tcPr>
          <w:p w14:paraId="0E6FC51E" w14:textId="77777777" w:rsidR="002F3D36" w:rsidRPr="002F3D36" w:rsidRDefault="002F3D36" w:rsidP="002F3D36">
            <w:pPr>
              <w:widowControl/>
              <w:jc w:val="left"/>
              <w:rPr>
                <w:rFonts w:ascii="Times New Roman" w:eastAsia="微软雅黑" w:hAnsi="Times New Roman" w:cs="Times New Roman"/>
                <w:kern w:val="0"/>
                <w:sz w:val="22"/>
              </w:rPr>
            </w:pPr>
            <w:r w:rsidRPr="002F3D36">
              <w:rPr>
                <w:rFonts w:ascii="Calibri" w:eastAsia="微软雅黑" w:hAnsi="Calibri" w:cs="Calibri"/>
                <w:kern w:val="0"/>
                <w:sz w:val="22"/>
              </w:rPr>
              <w:t> </w:t>
            </w:r>
          </w:p>
        </w:tc>
        <w:tc>
          <w:tcPr>
            <w:tcW w:w="0" w:type="auto"/>
            <w:shd w:val="clear" w:color="auto" w:fill="FFFFFF"/>
            <w:vAlign w:val="bottom"/>
            <w:hideMark/>
          </w:tcPr>
          <w:p w14:paraId="70E9C492" w14:textId="77777777" w:rsidR="002F3D36" w:rsidRPr="002F3D36" w:rsidRDefault="002F3D36" w:rsidP="002F3D36">
            <w:pPr>
              <w:widowControl/>
              <w:jc w:val="left"/>
              <w:rPr>
                <w:rFonts w:ascii="Times New Roman" w:eastAsia="微软雅黑" w:hAnsi="Times New Roman" w:cs="Times New Roman"/>
                <w:kern w:val="0"/>
                <w:sz w:val="22"/>
              </w:rPr>
            </w:pPr>
            <w:r w:rsidRPr="002F3D36">
              <w:rPr>
                <w:rFonts w:ascii="Calibri" w:eastAsia="微软雅黑" w:hAnsi="Calibri" w:cs="Calibri"/>
                <w:kern w:val="0"/>
                <w:sz w:val="22"/>
              </w:rPr>
              <w:t> </w:t>
            </w:r>
          </w:p>
        </w:tc>
        <w:tc>
          <w:tcPr>
            <w:tcW w:w="0" w:type="auto"/>
            <w:gridSpan w:val="2"/>
            <w:shd w:val="clear" w:color="auto" w:fill="FFFFFF"/>
            <w:vAlign w:val="bottom"/>
            <w:hideMark/>
          </w:tcPr>
          <w:p w14:paraId="5327097A" w14:textId="77777777" w:rsidR="002F3D36" w:rsidRPr="002F3D36" w:rsidRDefault="002F3D36" w:rsidP="002F3D36">
            <w:pPr>
              <w:widowControl/>
              <w:jc w:val="left"/>
              <w:rPr>
                <w:rFonts w:ascii="Times New Roman" w:eastAsia="微软雅黑" w:hAnsi="Times New Roman" w:cs="Times New Roman"/>
                <w:kern w:val="0"/>
                <w:sz w:val="22"/>
              </w:rPr>
            </w:pPr>
            <w:r w:rsidRPr="002F3D36">
              <w:rPr>
                <w:rFonts w:ascii="Calibri" w:eastAsia="微软雅黑" w:hAnsi="Calibri" w:cs="Calibri"/>
                <w:kern w:val="0"/>
                <w:sz w:val="22"/>
              </w:rPr>
              <w:t> </w:t>
            </w:r>
          </w:p>
        </w:tc>
        <w:tc>
          <w:tcPr>
            <w:tcW w:w="0" w:type="auto"/>
            <w:shd w:val="clear" w:color="auto" w:fill="FFFFFF"/>
            <w:vAlign w:val="bottom"/>
            <w:hideMark/>
          </w:tcPr>
          <w:p w14:paraId="1BA371A7" w14:textId="77777777" w:rsidR="002F3D36" w:rsidRPr="002F3D36" w:rsidRDefault="002F3D36" w:rsidP="002F3D36">
            <w:pPr>
              <w:widowControl/>
              <w:jc w:val="left"/>
              <w:rPr>
                <w:rFonts w:ascii="Times New Roman" w:eastAsia="微软雅黑" w:hAnsi="Times New Roman" w:cs="Times New Roman"/>
                <w:kern w:val="0"/>
                <w:sz w:val="22"/>
              </w:rPr>
            </w:pPr>
            <w:r w:rsidRPr="002F3D36">
              <w:rPr>
                <w:rFonts w:ascii="Calibri" w:eastAsia="微软雅黑" w:hAnsi="Calibri" w:cs="Calibri"/>
                <w:kern w:val="0"/>
                <w:sz w:val="22"/>
              </w:rPr>
              <w:t> </w:t>
            </w:r>
          </w:p>
        </w:tc>
        <w:tc>
          <w:tcPr>
            <w:tcW w:w="0" w:type="auto"/>
            <w:shd w:val="clear" w:color="auto" w:fill="FFFFFF"/>
            <w:vAlign w:val="bottom"/>
            <w:hideMark/>
          </w:tcPr>
          <w:p w14:paraId="684BCF75" w14:textId="77777777" w:rsidR="002F3D36" w:rsidRPr="002F3D36" w:rsidRDefault="002F3D36" w:rsidP="002F3D36">
            <w:pPr>
              <w:widowControl/>
              <w:jc w:val="left"/>
              <w:rPr>
                <w:rFonts w:ascii="Times New Roman" w:eastAsia="微软雅黑" w:hAnsi="Times New Roman" w:cs="Times New Roman"/>
                <w:kern w:val="0"/>
                <w:sz w:val="22"/>
              </w:rPr>
            </w:pPr>
            <w:r w:rsidRPr="002F3D36">
              <w:rPr>
                <w:rFonts w:ascii="Calibri" w:eastAsia="微软雅黑" w:hAnsi="Calibri" w:cs="Calibri"/>
                <w:kern w:val="0"/>
                <w:sz w:val="22"/>
              </w:rPr>
              <w:t> </w:t>
            </w:r>
          </w:p>
        </w:tc>
        <w:tc>
          <w:tcPr>
            <w:tcW w:w="0" w:type="auto"/>
            <w:gridSpan w:val="2"/>
            <w:shd w:val="clear" w:color="auto" w:fill="FFFFFF"/>
            <w:vAlign w:val="bottom"/>
            <w:hideMark/>
          </w:tcPr>
          <w:p w14:paraId="3F62B9C2" w14:textId="77777777" w:rsidR="002F3D36" w:rsidRPr="002F3D36" w:rsidRDefault="002F3D36" w:rsidP="002F3D36">
            <w:pPr>
              <w:widowControl/>
              <w:jc w:val="left"/>
              <w:rPr>
                <w:rFonts w:ascii="Times New Roman" w:eastAsia="微软雅黑" w:hAnsi="Times New Roman" w:cs="Times New Roman"/>
                <w:kern w:val="0"/>
                <w:sz w:val="22"/>
              </w:rPr>
            </w:pPr>
            <w:r w:rsidRPr="002F3D36">
              <w:rPr>
                <w:rFonts w:ascii="Calibri" w:eastAsia="微软雅黑" w:hAnsi="Calibri" w:cs="Calibri"/>
                <w:kern w:val="0"/>
                <w:sz w:val="22"/>
              </w:rPr>
              <w:t> </w:t>
            </w:r>
          </w:p>
        </w:tc>
        <w:tc>
          <w:tcPr>
            <w:tcW w:w="0" w:type="auto"/>
            <w:shd w:val="clear" w:color="auto" w:fill="FFFFFF"/>
            <w:vAlign w:val="bottom"/>
            <w:hideMark/>
          </w:tcPr>
          <w:p w14:paraId="497D23CA" w14:textId="77777777" w:rsidR="002F3D36" w:rsidRPr="002F3D36" w:rsidRDefault="002F3D36" w:rsidP="002F3D36">
            <w:pPr>
              <w:widowControl/>
              <w:jc w:val="left"/>
              <w:rPr>
                <w:rFonts w:ascii="Times New Roman" w:eastAsia="微软雅黑" w:hAnsi="Times New Roman" w:cs="Times New Roman"/>
                <w:kern w:val="0"/>
                <w:sz w:val="22"/>
              </w:rPr>
            </w:pPr>
            <w:r w:rsidRPr="002F3D36">
              <w:rPr>
                <w:rFonts w:ascii="Calibri" w:eastAsia="微软雅黑" w:hAnsi="Calibri" w:cs="Calibri"/>
                <w:kern w:val="0"/>
                <w:sz w:val="22"/>
              </w:rPr>
              <w:t> </w:t>
            </w:r>
          </w:p>
        </w:tc>
        <w:tc>
          <w:tcPr>
            <w:tcW w:w="0" w:type="auto"/>
            <w:shd w:val="clear" w:color="auto" w:fill="FFFFFF"/>
            <w:vAlign w:val="bottom"/>
            <w:hideMark/>
          </w:tcPr>
          <w:p w14:paraId="60D2CDD4" w14:textId="77777777" w:rsidR="002F3D36" w:rsidRPr="002F3D36" w:rsidRDefault="002F3D36" w:rsidP="002F3D36">
            <w:pPr>
              <w:widowControl/>
              <w:jc w:val="left"/>
              <w:rPr>
                <w:rFonts w:ascii="Times New Roman" w:eastAsia="微软雅黑" w:hAnsi="Times New Roman" w:cs="Times New Roman"/>
                <w:kern w:val="0"/>
                <w:sz w:val="22"/>
              </w:rPr>
            </w:pPr>
            <w:r w:rsidRPr="002F3D36">
              <w:rPr>
                <w:rFonts w:ascii="Calibri" w:eastAsia="微软雅黑" w:hAnsi="Calibri" w:cs="Calibri"/>
                <w:kern w:val="0"/>
                <w:sz w:val="22"/>
              </w:rPr>
              <w:t> </w:t>
            </w:r>
          </w:p>
        </w:tc>
        <w:tc>
          <w:tcPr>
            <w:tcW w:w="0" w:type="auto"/>
            <w:gridSpan w:val="2"/>
            <w:shd w:val="clear" w:color="auto" w:fill="FFFFFF"/>
            <w:vAlign w:val="bottom"/>
            <w:hideMark/>
          </w:tcPr>
          <w:p w14:paraId="122F28DE" w14:textId="77777777" w:rsidR="002F3D36" w:rsidRPr="002F3D36" w:rsidRDefault="002F3D36" w:rsidP="002F3D36">
            <w:pPr>
              <w:widowControl/>
              <w:jc w:val="left"/>
              <w:rPr>
                <w:rFonts w:ascii="Times New Roman" w:eastAsia="微软雅黑" w:hAnsi="Times New Roman" w:cs="Times New Roman"/>
                <w:kern w:val="0"/>
                <w:sz w:val="22"/>
              </w:rPr>
            </w:pPr>
            <w:r w:rsidRPr="002F3D36">
              <w:rPr>
                <w:rFonts w:ascii="Calibri" w:eastAsia="微软雅黑" w:hAnsi="Calibri" w:cs="Calibri"/>
                <w:kern w:val="0"/>
                <w:sz w:val="22"/>
              </w:rPr>
              <w:t> </w:t>
            </w:r>
          </w:p>
        </w:tc>
        <w:tc>
          <w:tcPr>
            <w:tcW w:w="0" w:type="auto"/>
            <w:shd w:val="clear" w:color="auto" w:fill="FFFFFF"/>
            <w:vAlign w:val="bottom"/>
            <w:hideMark/>
          </w:tcPr>
          <w:p w14:paraId="363F80E0" w14:textId="77777777" w:rsidR="002F3D36" w:rsidRPr="002F3D36" w:rsidRDefault="002F3D36" w:rsidP="002F3D36">
            <w:pPr>
              <w:widowControl/>
              <w:jc w:val="left"/>
              <w:rPr>
                <w:rFonts w:ascii="Times New Roman" w:eastAsia="微软雅黑" w:hAnsi="Times New Roman" w:cs="Times New Roman"/>
                <w:kern w:val="0"/>
                <w:sz w:val="22"/>
              </w:rPr>
            </w:pPr>
            <w:r w:rsidRPr="002F3D36">
              <w:rPr>
                <w:rFonts w:ascii="Calibri" w:eastAsia="微软雅黑" w:hAnsi="Calibri" w:cs="Calibri"/>
                <w:kern w:val="0"/>
                <w:sz w:val="22"/>
              </w:rPr>
              <w:t> </w:t>
            </w:r>
          </w:p>
        </w:tc>
      </w:tr>
      <w:tr w:rsidR="002F3D36" w:rsidRPr="002F3D36" w14:paraId="7F2EA0CB" w14:textId="77777777" w:rsidTr="002F3D36">
        <w:trPr>
          <w:trHeight w:val="160"/>
          <w:tblCellSpacing w:w="15" w:type="dxa"/>
        </w:trPr>
        <w:tc>
          <w:tcPr>
            <w:tcW w:w="0" w:type="auto"/>
            <w:shd w:val="clear" w:color="auto" w:fill="FFFFFF"/>
            <w:vAlign w:val="bottom"/>
            <w:hideMark/>
          </w:tcPr>
          <w:p w14:paraId="55E7E8E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bottom"/>
            <w:hideMark/>
          </w:tcPr>
          <w:p w14:paraId="3CDEDE4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gridSpan w:val="6"/>
            <w:tcBorders>
              <w:bottom w:val="single" w:sz="4" w:space="0" w:color="000000"/>
            </w:tcBorders>
            <w:shd w:val="clear" w:color="auto" w:fill="FFFFFF"/>
            <w:vAlign w:val="bottom"/>
            <w:hideMark/>
          </w:tcPr>
          <w:p w14:paraId="4D013283"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b/>
                <w:bCs/>
                <w:color w:val="000000"/>
                <w:kern w:val="0"/>
                <w:sz w:val="16"/>
                <w:szCs w:val="16"/>
              </w:rPr>
              <w:t>2021</w:t>
            </w:r>
          </w:p>
        </w:tc>
        <w:tc>
          <w:tcPr>
            <w:tcW w:w="0" w:type="auto"/>
            <w:shd w:val="clear" w:color="auto" w:fill="FFFFFF"/>
            <w:vAlign w:val="bottom"/>
            <w:hideMark/>
          </w:tcPr>
          <w:p w14:paraId="41FBAFB2"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shd w:val="clear" w:color="auto" w:fill="FFFFFF"/>
            <w:vAlign w:val="bottom"/>
            <w:hideMark/>
          </w:tcPr>
          <w:p w14:paraId="6F900CEA" w14:textId="77777777" w:rsidR="002F3D36" w:rsidRPr="002F3D36" w:rsidRDefault="002F3D36" w:rsidP="002F3D36">
            <w:pPr>
              <w:widowControl/>
              <w:jc w:val="left"/>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gridSpan w:val="6"/>
            <w:tcBorders>
              <w:bottom w:val="single" w:sz="4" w:space="0" w:color="000000"/>
            </w:tcBorders>
            <w:shd w:val="clear" w:color="auto" w:fill="FFFFFF"/>
            <w:vAlign w:val="bottom"/>
            <w:hideMark/>
          </w:tcPr>
          <w:p w14:paraId="044C5144"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b/>
                <w:bCs/>
                <w:color w:val="000000"/>
                <w:kern w:val="0"/>
                <w:sz w:val="16"/>
                <w:szCs w:val="16"/>
              </w:rPr>
              <w:t>2020</w:t>
            </w:r>
          </w:p>
        </w:tc>
        <w:tc>
          <w:tcPr>
            <w:tcW w:w="0" w:type="auto"/>
            <w:shd w:val="clear" w:color="auto" w:fill="FFFFFF"/>
            <w:vAlign w:val="bottom"/>
            <w:hideMark/>
          </w:tcPr>
          <w:p w14:paraId="7ED652AD"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r>
      <w:tr w:rsidR="002F3D36" w:rsidRPr="002F3D36" w14:paraId="07B7A4E1" w14:textId="77777777" w:rsidTr="002F3D36">
        <w:trPr>
          <w:trHeight w:val="160"/>
          <w:tblCellSpacing w:w="15" w:type="dxa"/>
        </w:trPr>
        <w:tc>
          <w:tcPr>
            <w:tcW w:w="0" w:type="auto"/>
            <w:shd w:val="clear" w:color="auto" w:fill="FFFFFF"/>
            <w:vAlign w:val="bottom"/>
            <w:hideMark/>
          </w:tcPr>
          <w:p w14:paraId="3ADB85F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bottom"/>
            <w:hideMark/>
          </w:tcPr>
          <w:p w14:paraId="12AEC56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gridSpan w:val="2"/>
            <w:tcBorders>
              <w:bottom w:val="single" w:sz="4" w:space="0" w:color="000000"/>
            </w:tcBorders>
            <w:shd w:val="clear" w:color="auto" w:fill="FFFFFF"/>
            <w:vAlign w:val="bottom"/>
            <w:hideMark/>
          </w:tcPr>
          <w:p w14:paraId="55D69E49"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b/>
                <w:bCs/>
                <w:color w:val="000000"/>
                <w:kern w:val="0"/>
                <w:sz w:val="16"/>
                <w:szCs w:val="16"/>
              </w:rPr>
              <w:t>Adjustment</w:t>
            </w:r>
            <w:r w:rsidRPr="002F3D36">
              <w:rPr>
                <w:rFonts w:ascii="Arial" w:eastAsia="微软雅黑" w:hAnsi="Arial" w:cs="Arial"/>
                <w:b/>
                <w:bCs/>
                <w:color w:val="000000"/>
                <w:kern w:val="0"/>
                <w:sz w:val="16"/>
                <w:szCs w:val="16"/>
              </w:rPr>
              <w:br/>
              <w:t>Millions</w:t>
            </w:r>
          </w:p>
        </w:tc>
        <w:tc>
          <w:tcPr>
            <w:tcW w:w="0" w:type="auto"/>
            <w:shd w:val="clear" w:color="auto" w:fill="FFFFFF"/>
            <w:vAlign w:val="bottom"/>
            <w:hideMark/>
          </w:tcPr>
          <w:p w14:paraId="25832904"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shd w:val="clear" w:color="auto" w:fill="FFFFFF"/>
            <w:vAlign w:val="bottom"/>
            <w:hideMark/>
          </w:tcPr>
          <w:p w14:paraId="33C957C5" w14:textId="77777777" w:rsidR="002F3D36" w:rsidRPr="002F3D36" w:rsidRDefault="002F3D36" w:rsidP="002F3D36">
            <w:pPr>
              <w:widowControl/>
              <w:jc w:val="left"/>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gridSpan w:val="2"/>
            <w:tcBorders>
              <w:bottom w:val="single" w:sz="4" w:space="0" w:color="000000"/>
            </w:tcBorders>
            <w:shd w:val="clear" w:color="auto" w:fill="FFFFFF"/>
            <w:vAlign w:val="bottom"/>
            <w:hideMark/>
          </w:tcPr>
          <w:p w14:paraId="4E38E7D3"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b/>
                <w:bCs/>
                <w:color w:val="000000"/>
                <w:kern w:val="0"/>
                <w:sz w:val="16"/>
                <w:szCs w:val="16"/>
              </w:rPr>
              <w:t>Adjustment</w:t>
            </w:r>
            <w:r w:rsidRPr="002F3D36">
              <w:rPr>
                <w:rFonts w:ascii="Arial" w:eastAsia="微软雅黑" w:hAnsi="Arial" w:cs="Arial"/>
                <w:b/>
                <w:bCs/>
                <w:color w:val="000000"/>
                <w:kern w:val="0"/>
                <w:sz w:val="16"/>
                <w:szCs w:val="16"/>
              </w:rPr>
              <w:br/>
              <w:t>Per share</w:t>
            </w:r>
          </w:p>
        </w:tc>
        <w:tc>
          <w:tcPr>
            <w:tcW w:w="0" w:type="auto"/>
            <w:shd w:val="clear" w:color="auto" w:fill="FFFFFF"/>
            <w:vAlign w:val="bottom"/>
            <w:hideMark/>
          </w:tcPr>
          <w:p w14:paraId="78225986"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shd w:val="clear" w:color="auto" w:fill="FFFFFF"/>
            <w:vAlign w:val="bottom"/>
            <w:hideMark/>
          </w:tcPr>
          <w:p w14:paraId="58D15BA5" w14:textId="77777777" w:rsidR="002F3D36" w:rsidRPr="002F3D36" w:rsidRDefault="002F3D36" w:rsidP="002F3D36">
            <w:pPr>
              <w:widowControl/>
              <w:jc w:val="right"/>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gridSpan w:val="2"/>
            <w:tcBorders>
              <w:bottom w:val="single" w:sz="4" w:space="0" w:color="000000"/>
            </w:tcBorders>
            <w:shd w:val="clear" w:color="auto" w:fill="FFFFFF"/>
            <w:vAlign w:val="bottom"/>
            <w:hideMark/>
          </w:tcPr>
          <w:p w14:paraId="72B5AD6B"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b/>
                <w:bCs/>
                <w:color w:val="000000"/>
                <w:kern w:val="0"/>
                <w:sz w:val="16"/>
                <w:szCs w:val="16"/>
              </w:rPr>
              <w:t>Adjustment</w:t>
            </w:r>
            <w:r w:rsidRPr="002F3D36">
              <w:rPr>
                <w:rFonts w:ascii="Arial" w:eastAsia="微软雅黑" w:hAnsi="Arial" w:cs="Arial"/>
                <w:b/>
                <w:bCs/>
                <w:color w:val="000000"/>
                <w:kern w:val="0"/>
                <w:sz w:val="16"/>
                <w:szCs w:val="16"/>
              </w:rPr>
              <w:br/>
              <w:t>Millions</w:t>
            </w:r>
          </w:p>
        </w:tc>
        <w:tc>
          <w:tcPr>
            <w:tcW w:w="0" w:type="auto"/>
            <w:shd w:val="clear" w:color="auto" w:fill="FFFFFF"/>
            <w:vAlign w:val="bottom"/>
            <w:hideMark/>
          </w:tcPr>
          <w:p w14:paraId="3ECAD1F7"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shd w:val="clear" w:color="auto" w:fill="FFFFFF"/>
            <w:vAlign w:val="bottom"/>
            <w:hideMark/>
          </w:tcPr>
          <w:p w14:paraId="05E5C062" w14:textId="77777777" w:rsidR="002F3D36" w:rsidRPr="002F3D36" w:rsidRDefault="002F3D36" w:rsidP="002F3D36">
            <w:pPr>
              <w:widowControl/>
              <w:jc w:val="left"/>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gridSpan w:val="2"/>
            <w:tcBorders>
              <w:bottom w:val="single" w:sz="4" w:space="0" w:color="000000"/>
            </w:tcBorders>
            <w:shd w:val="clear" w:color="auto" w:fill="FFFFFF"/>
            <w:vAlign w:val="bottom"/>
            <w:hideMark/>
          </w:tcPr>
          <w:p w14:paraId="5A12264C"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b/>
                <w:bCs/>
                <w:color w:val="000000"/>
                <w:kern w:val="0"/>
                <w:sz w:val="16"/>
                <w:szCs w:val="16"/>
              </w:rPr>
              <w:t>Adjustment</w:t>
            </w:r>
            <w:r w:rsidRPr="002F3D36">
              <w:rPr>
                <w:rFonts w:ascii="Arial" w:eastAsia="微软雅黑" w:hAnsi="Arial" w:cs="Arial"/>
                <w:b/>
                <w:bCs/>
                <w:color w:val="000000"/>
                <w:kern w:val="0"/>
                <w:sz w:val="16"/>
                <w:szCs w:val="16"/>
              </w:rPr>
              <w:br/>
              <w:t>Per share</w:t>
            </w:r>
          </w:p>
        </w:tc>
        <w:tc>
          <w:tcPr>
            <w:tcW w:w="0" w:type="auto"/>
            <w:shd w:val="clear" w:color="auto" w:fill="FFFFFF"/>
            <w:vAlign w:val="bottom"/>
            <w:hideMark/>
          </w:tcPr>
          <w:p w14:paraId="05542261"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r>
      <w:tr w:rsidR="002F3D36" w:rsidRPr="002F3D36" w14:paraId="59B37F1A" w14:textId="77777777" w:rsidTr="002F3D36">
        <w:trPr>
          <w:trHeight w:val="180"/>
          <w:tblCellSpacing w:w="15" w:type="dxa"/>
        </w:trPr>
        <w:tc>
          <w:tcPr>
            <w:tcW w:w="0" w:type="auto"/>
            <w:shd w:val="clear" w:color="auto" w:fill="CFF0FC"/>
            <w:vAlign w:val="center"/>
            <w:hideMark/>
          </w:tcPr>
          <w:p w14:paraId="2B3D03B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Capacity alignment</w:t>
            </w:r>
          </w:p>
        </w:tc>
        <w:tc>
          <w:tcPr>
            <w:tcW w:w="0" w:type="auto"/>
            <w:shd w:val="clear" w:color="auto" w:fill="CFF0FC"/>
            <w:vAlign w:val="bottom"/>
            <w:hideMark/>
          </w:tcPr>
          <w:p w14:paraId="5EC42AE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26AE5B8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shd w:val="clear" w:color="auto" w:fill="CFF0FC"/>
            <w:vAlign w:val="bottom"/>
            <w:hideMark/>
          </w:tcPr>
          <w:p w14:paraId="09F8FBD8"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8</w:t>
            </w:r>
          </w:p>
        </w:tc>
        <w:tc>
          <w:tcPr>
            <w:tcW w:w="0" w:type="auto"/>
            <w:shd w:val="clear" w:color="auto" w:fill="CFF0FC"/>
            <w:vAlign w:val="bottom"/>
            <w:hideMark/>
          </w:tcPr>
          <w:p w14:paraId="2FE245B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169A4D5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3894ADE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shd w:val="clear" w:color="auto" w:fill="CFF0FC"/>
            <w:vAlign w:val="bottom"/>
            <w:hideMark/>
          </w:tcPr>
          <w:p w14:paraId="3ADF9D4E"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0.10</w:t>
            </w:r>
          </w:p>
        </w:tc>
        <w:tc>
          <w:tcPr>
            <w:tcW w:w="0" w:type="auto"/>
            <w:shd w:val="clear" w:color="auto" w:fill="CFF0FC"/>
            <w:vAlign w:val="bottom"/>
            <w:hideMark/>
          </w:tcPr>
          <w:p w14:paraId="2FA289E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0990870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089A09C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shd w:val="clear" w:color="auto" w:fill="CFF0FC"/>
            <w:vAlign w:val="bottom"/>
            <w:hideMark/>
          </w:tcPr>
          <w:p w14:paraId="18756A57"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99</w:t>
            </w:r>
          </w:p>
        </w:tc>
        <w:tc>
          <w:tcPr>
            <w:tcW w:w="0" w:type="auto"/>
            <w:shd w:val="clear" w:color="auto" w:fill="CFF0FC"/>
            <w:vAlign w:val="bottom"/>
            <w:hideMark/>
          </w:tcPr>
          <w:p w14:paraId="6B7D3FA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3F00D94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1E9BE4A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shd w:val="clear" w:color="auto" w:fill="CFF0FC"/>
            <w:vAlign w:val="bottom"/>
            <w:hideMark/>
          </w:tcPr>
          <w:p w14:paraId="5D9F205F"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1.13</w:t>
            </w:r>
          </w:p>
        </w:tc>
        <w:tc>
          <w:tcPr>
            <w:tcW w:w="0" w:type="auto"/>
            <w:shd w:val="clear" w:color="auto" w:fill="CFF0FC"/>
            <w:vAlign w:val="bottom"/>
            <w:hideMark/>
          </w:tcPr>
          <w:p w14:paraId="3CA9D09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1379B0F2" w14:textId="77777777" w:rsidTr="002F3D36">
        <w:trPr>
          <w:trHeight w:val="180"/>
          <w:tblCellSpacing w:w="15" w:type="dxa"/>
        </w:trPr>
        <w:tc>
          <w:tcPr>
            <w:tcW w:w="0" w:type="auto"/>
            <w:shd w:val="clear" w:color="auto" w:fill="FFFFFF"/>
            <w:vAlign w:val="center"/>
            <w:hideMark/>
          </w:tcPr>
          <w:p w14:paraId="561FF14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Antitrust related matters</w:t>
            </w:r>
          </w:p>
        </w:tc>
        <w:tc>
          <w:tcPr>
            <w:tcW w:w="0" w:type="auto"/>
            <w:shd w:val="clear" w:color="auto" w:fill="FFFFFF"/>
            <w:vAlign w:val="bottom"/>
            <w:hideMark/>
          </w:tcPr>
          <w:p w14:paraId="2277C25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shd w:val="clear" w:color="auto" w:fill="FFFFFF"/>
            <w:vAlign w:val="bottom"/>
            <w:hideMark/>
          </w:tcPr>
          <w:p w14:paraId="6766D75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shd w:val="clear" w:color="auto" w:fill="FFFFFF"/>
            <w:vAlign w:val="bottom"/>
            <w:hideMark/>
          </w:tcPr>
          <w:p w14:paraId="6F5F5794"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shd w:val="clear" w:color="auto" w:fill="FFFFFF"/>
            <w:vAlign w:val="bottom"/>
            <w:hideMark/>
          </w:tcPr>
          <w:p w14:paraId="37AFAD1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bottom"/>
            <w:hideMark/>
          </w:tcPr>
          <w:p w14:paraId="699053F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shd w:val="clear" w:color="auto" w:fill="FFFFFF"/>
            <w:vAlign w:val="bottom"/>
            <w:hideMark/>
          </w:tcPr>
          <w:p w14:paraId="60F1702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shd w:val="clear" w:color="auto" w:fill="FFFFFF"/>
            <w:vAlign w:val="bottom"/>
            <w:hideMark/>
          </w:tcPr>
          <w:p w14:paraId="2967C6E8"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shd w:val="clear" w:color="auto" w:fill="FFFFFF"/>
            <w:vAlign w:val="bottom"/>
            <w:hideMark/>
          </w:tcPr>
          <w:p w14:paraId="0D46841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bottom"/>
            <w:hideMark/>
          </w:tcPr>
          <w:p w14:paraId="6546C0C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shd w:val="clear" w:color="auto" w:fill="FFFFFF"/>
            <w:vAlign w:val="bottom"/>
            <w:hideMark/>
          </w:tcPr>
          <w:p w14:paraId="665E31E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shd w:val="clear" w:color="auto" w:fill="FFFFFF"/>
            <w:vAlign w:val="bottom"/>
            <w:hideMark/>
          </w:tcPr>
          <w:p w14:paraId="46ADAA82"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1</w:t>
            </w:r>
          </w:p>
        </w:tc>
        <w:tc>
          <w:tcPr>
            <w:tcW w:w="0" w:type="auto"/>
            <w:shd w:val="clear" w:color="auto" w:fill="FFFFFF"/>
            <w:vAlign w:val="bottom"/>
            <w:hideMark/>
          </w:tcPr>
          <w:p w14:paraId="0F73288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bottom"/>
            <w:hideMark/>
          </w:tcPr>
          <w:p w14:paraId="4FE67AB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shd w:val="clear" w:color="auto" w:fill="FFFFFF"/>
            <w:vAlign w:val="bottom"/>
            <w:hideMark/>
          </w:tcPr>
          <w:p w14:paraId="57FE96B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shd w:val="clear" w:color="auto" w:fill="FFFFFF"/>
            <w:vAlign w:val="bottom"/>
            <w:hideMark/>
          </w:tcPr>
          <w:p w14:paraId="5CE9F62D"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0.01</w:t>
            </w:r>
          </w:p>
        </w:tc>
        <w:tc>
          <w:tcPr>
            <w:tcW w:w="0" w:type="auto"/>
            <w:shd w:val="clear" w:color="auto" w:fill="FFFFFF"/>
            <w:vAlign w:val="bottom"/>
            <w:hideMark/>
          </w:tcPr>
          <w:p w14:paraId="1695FF8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3BF24606" w14:textId="77777777" w:rsidTr="002F3D36">
        <w:trPr>
          <w:trHeight w:val="180"/>
          <w:tblCellSpacing w:w="15" w:type="dxa"/>
        </w:trPr>
        <w:tc>
          <w:tcPr>
            <w:tcW w:w="0" w:type="auto"/>
            <w:shd w:val="clear" w:color="auto" w:fill="FFFFFF"/>
            <w:vAlign w:val="center"/>
            <w:hideMark/>
          </w:tcPr>
          <w:p w14:paraId="3E85FCE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Total adjustments to Operating income</w:t>
            </w:r>
          </w:p>
        </w:tc>
        <w:tc>
          <w:tcPr>
            <w:tcW w:w="0" w:type="auto"/>
            <w:shd w:val="clear" w:color="auto" w:fill="FFFFFF"/>
            <w:vAlign w:val="bottom"/>
            <w:hideMark/>
          </w:tcPr>
          <w:p w14:paraId="3543B3E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bottom"/>
            <w:hideMark/>
          </w:tcPr>
          <w:p w14:paraId="0158C50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bottom"/>
            <w:hideMark/>
          </w:tcPr>
          <w:p w14:paraId="458ACABF"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8</w:t>
            </w:r>
          </w:p>
        </w:tc>
        <w:tc>
          <w:tcPr>
            <w:tcW w:w="0" w:type="auto"/>
            <w:shd w:val="clear" w:color="auto" w:fill="FFFFFF"/>
            <w:vAlign w:val="bottom"/>
            <w:hideMark/>
          </w:tcPr>
          <w:p w14:paraId="7890E63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bottom"/>
            <w:hideMark/>
          </w:tcPr>
          <w:p w14:paraId="69DDAA3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bottom"/>
            <w:hideMark/>
          </w:tcPr>
          <w:p w14:paraId="77D719B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bottom"/>
            <w:hideMark/>
          </w:tcPr>
          <w:p w14:paraId="1201EA8E"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0.10</w:t>
            </w:r>
          </w:p>
        </w:tc>
        <w:tc>
          <w:tcPr>
            <w:tcW w:w="0" w:type="auto"/>
            <w:shd w:val="clear" w:color="auto" w:fill="FFFFFF"/>
            <w:vAlign w:val="bottom"/>
            <w:hideMark/>
          </w:tcPr>
          <w:p w14:paraId="6E900D3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bottom"/>
            <w:hideMark/>
          </w:tcPr>
          <w:p w14:paraId="2759048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bottom"/>
            <w:hideMark/>
          </w:tcPr>
          <w:p w14:paraId="1D1066F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bottom"/>
            <w:hideMark/>
          </w:tcPr>
          <w:p w14:paraId="194B1874"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99</w:t>
            </w:r>
          </w:p>
        </w:tc>
        <w:tc>
          <w:tcPr>
            <w:tcW w:w="0" w:type="auto"/>
            <w:shd w:val="clear" w:color="auto" w:fill="FFFFFF"/>
            <w:vAlign w:val="bottom"/>
            <w:hideMark/>
          </w:tcPr>
          <w:p w14:paraId="70F5E43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bottom"/>
            <w:hideMark/>
          </w:tcPr>
          <w:p w14:paraId="2442110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bottom"/>
            <w:hideMark/>
          </w:tcPr>
          <w:p w14:paraId="15938EE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bottom"/>
            <w:hideMark/>
          </w:tcPr>
          <w:p w14:paraId="58DE4CEC"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1.14</w:t>
            </w:r>
          </w:p>
        </w:tc>
        <w:tc>
          <w:tcPr>
            <w:tcW w:w="0" w:type="auto"/>
            <w:shd w:val="clear" w:color="auto" w:fill="FFFFFF"/>
            <w:vAlign w:val="bottom"/>
            <w:hideMark/>
          </w:tcPr>
          <w:p w14:paraId="6339D02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784BF303" w14:textId="77777777" w:rsidTr="002F3D36">
        <w:trPr>
          <w:trHeight w:val="180"/>
          <w:tblCellSpacing w:w="15" w:type="dxa"/>
        </w:trPr>
        <w:tc>
          <w:tcPr>
            <w:tcW w:w="0" w:type="auto"/>
            <w:shd w:val="clear" w:color="auto" w:fill="CFF0FC"/>
            <w:vAlign w:val="center"/>
            <w:hideMark/>
          </w:tcPr>
          <w:p w14:paraId="58752B5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Tax on Non-U.S. GAAP adjustments</w:t>
            </w:r>
            <w:r w:rsidRPr="002F3D36">
              <w:rPr>
                <w:rFonts w:ascii="Arial" w:eastAsia="微软雅黑" w:hAnsi="Arial" w:cs="Arial"/>
                <w:color w:val="000000"/>
                <w:kern w:val="0"/>
                <w:sz w:val="12"/>
                <w:szCs w:val="12"/>
              </w:rPr>
              <w:t>1)</w:t>
            </w:r>
          </w:p>
        </w:tc>
        <w:tc>
          <w:tcPr>
            <w:tcW w:w="0" w:type="auto"/>
            <w:shd w:val="clear" w:color="auto" w:fill="CFF0FC"/>
            <w:vAlign w:val="bottom"/>
            <w:hideMark/>
          </w:tcPr>
          <w:p w14:paraId="220BCC2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shd w:val="clear" w:color="auto" w:fill="CFF0FC"/>
            <w:vAlign w:val="bottom"/>
            <w:hideMark/>
          </w:tcPr>
          <w:p w14:paraId="39A37BB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shd w:val="clear" w:color="auto" w:fill="CFF0FC"/>
            <w:vAlign w:val="bottom"/>
            <w:hideMark/>
          </w:tcPr>
          <w:p w14:paraId="4FCEC266"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(3</w:t>
            </w:r>
          </w:p>
        </w:tc>
        <w:tc>
          <w:tcPr>
            <w:tcW w:w="0" w:type="auto"/>
            <w:shd w:val="clear" w:color="auto" w:fill="CFF0FC"/>
            <w:vAlign w:val="bottom"/>
            <w:hideMark/>
          </w:tcPr>
          <w:p w14:paraId="4A049A7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shd w:val="clear" w:color="auto" w:fill="CFF0FC"/>
            <w:vAlign w:val="bottom"/>
            <w:hideMark/>
          </w:tcPr>
          <w:p w14:paraId="2DA7D30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shd w:val="clear" w:color="auto" w:fill="CFF0FC"/>
            <w:vAlign w:val="bottom"/>
            <w:hideMark/>
          </w:tcPr>
          <w:p w14:paraId="1A56912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shd w:val="clear" w:color="auto" w:fill="CFF0FC"/>
            <w:vAlign w:val="bottom"/>
            <w:hideMark/>
          </w:tcPr>
          <w:p w14:paraId="060C2D97"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(0.04</w:t>
            </w:r>
          </w:p>
        </w:tc>
        <w:tc>
          <w:tcPr>
            <w:tcW w:w="0" w:type="auto"/>
            <w:shd w:val="clear" w:color="auto" w:fill="CFF0FC"/>
            <w:vAlign w:val="bottom"/>
            <w:hideMark/>
          </w:tcPr>
          <w:p w14:paraId="1C3D9CD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shd w:val="clear" w:color="auto" w:fill="CFF0FC"/>
            <w:vAlign w:val="bottom"/>
            <w:hideMark/>
          </w:tcPr>
          <w:p w14:paraId="02B7040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shd w:val="clear" w:color="auto" w:fill="CFF0FC"/>
            <w:vAlign w:val="bottom"/>
            <w:hideMark/>
          </w:tcPr>
          <w:p w14:paraId="422165A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shd w:val="clear" w:color="auto" w:fill="CFF0FC"/>
            <w:vAlign w:val="bottom"/>
            <w:hideMark/>
          </w:tcPr>
          <w:p w14:paraId="164619A8"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(11</w:t>
            </w:r>
          </w:p>
        </w:tc>
        <w:tc>
          <w:tcPr>
            <w:tcW w:w="0" w:type="auto"/>
            <w:shd w:val="clear" w:color="auto" w:fill="CFF0FC"/>
            <w:vAlign w:val="bottom"/>
            <w:hideMark/>
          </w:tcPr>
          <w:p w14:paraId="1A5305E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shd w:val="clear" w:color="auto" w:fill="CFF0FC"/>
            <w:vAlign w:val="bottom"/>
            <w:hideMark/>
          </w:tcPr>
          <w:p w14:paraId="7E16D19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shd w:val="clear" w:color="auto" w:fill="CFF0FC"/>
            <w:vAlign w:val="bottom"/>
            <w:hideMark/>
          </w:tcPr>
          <w:p w14:paraId="4C72E00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shd w:val="clear" w:color="auto" w:fill="CFF0FC"/>
            <w:vAlign w:val="bottom"/>
            <w:hideMark/>
          </w:tcPr>
          <w:p w14:paraId="6E08338B"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(0.13</w:t>
            </w:r>
          </w:p>
        </w:tc>
        <w:tc>
          <w:tcPr>
            <w:tcW w:w="0" w:type="auto"/>
            <w:shd w:val="clear" w:color="auto" w:fill="CFF0FC"/>
            <w:vAlign w:val="bottom"/>
            <w:hideMark/>
          </w:tcPr>
          <w:p w14:paraId="4BAE49A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r>
      <w:tr w:rsidR="002F3D36" w:rsidRPr="002F3D36" w14:paraId="15447827" w14:textId="77777777" w:rsidTr="002F3D36">
        <w:trPr>
          <w:trHeight w:val="180"/>
          <w:tblCellSpacing w:w="15" w:type="dxa"/>
        </w:trPr>
        <w:tc>
          <w:tcPr>
            <w:tcW w:w="0" w:type="auto"/>
            <w:shd w:val="clear" w:color="auto" w:fill="FFFFFF"/>
            <w:vAlign w:val="center"/>
            <w:hideMark/>
          </w:tcPr>
          <w:p w14:paraId="14B6C38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Total adjustments to Net Income</w:t>
            </w:r>
          </w:p>
        </w:tc>
        <w:tc>
          <w:tcPr>
            <w:tcW w:w="0" w:type="auto"/>
            <w:shd w:val="clear" w:color="auto" w:fill="FFFFFF"/>
            <w:vAlign w:val="bottom"/>
            <w:hideMark/>
          </w:tcPr>
          <w:p w14:paraId="4277312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bottom"/>
            <w:hideMark/>
          </w:tcPr>
          <w:p w14:paraId="71A5D10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w:t>
            </w:r>
          </w:p>
        </w:tc>
        <w:tc>
          <w:tcPr>
            <w:tcW w:w="0" w:type="auto"/>
            <w:shd w:val="clear" w:color="auto" w:fill="FFFFFF"/>
            <w:vAlign w:val="bottom"/>
            <w:hideMark/>
          </w:tcPr>
          <w:p w14:paraId="0151D3CA"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5</w:t>
            </w:r>
          </w:p>
        </w:tc>
        <w:tc>
          <w:tcPr>
            <w:tcW w:w="0" w:type="auto"/>
            <w:shd w:val="clear" w:color="auto" w:fill="FFFFFF"/>
            <w:vAlign w:val="bottom"/>
            <w:hideMark/>
          </w:tcPr>
          <w:p w14:paraId="3B36ADC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bottom"/>
            <w:hideMark/>
          </w:tcPr>
          <w:p w14:paraId="3BB6348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bottom"/>
            <w:hideMark/>
          </w:tcPr>
          <w:p w14:paraId="580A77B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w:t>
            </w:r>
          </w:p>
        </w:tc>
        <w:tc>
          <w:tcPr>
            <w:tcW w:w="0" w:type="auto"/>
            <w:shd w:val="clear" w:color="auto" w:fill="FFFFFF"/>
            <w:vAlign w:val="bottom"/>
            <w:hideMark/>
          </w:tcPr>
          <w:p w14:paraId="24A04CD4"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0.06</w:t>
            </w:r>
          </w:p>
        </w:tc>
        <w:tc>
          <w:tcPr>
            <w:tcW w:w="0" w:type="auto"/>
            <w:shd w:val="clear" w:color="auto" w:fill="FFFFFF"/>
            <w:vAlign w:val="bottom"/>
            <w:hideMark/>
          </w:tcPr>
          <w:p w14:paraId="34B0193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bottom"/>
            <w:hideMark/>
          </w:tcPr>
          <w:p w14:paraId="62C40F4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bottom"/>
            <w:hideMark/>
          </w:tcPr>
          <w:p w14:paraId="168BB8E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w:t>
            </w:r>
          </w:p>
        </w:tc>
        <w:tc>
          <w:tcPr>
            <w:tcW w:w="0" w:type="auto"/>
            <w:shd w:val="clear" w:color="auto" w:fill="FFFFFF"/>
            <w:vAlign w:val="bottom"/>
            <w:hideMark/>
          </w:tcPr>
          <w:p w14:paraId="0941CED7"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88</w:t>
            </w:r>
          </w:p>
        </w:tc>
        <w:tc>
          <w:tcPr>
            <w:tcW w:w="0" w:type="auto"/>
            <w:shd w:val="clear" w:color="auto" w:fill="FFFFFF"/>
            <w:vAlign w:val="bottom"/>
            <w:hideMark/>
          </w:tcPr>
          <w:p w14:paraId="3CA8BBD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bottom"/>
            <w:hideMark/>
          </w:tcPr>
          <w:p w14:paraId="3039ECC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bottom"/>
            <w:hideMark/>
          </w:tcPr>
          <w:p w14:paraId="393CB24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w:t>
            </w:r>
          </w:p>
        </w:tc>
        <w:tc>
          <w:tcPr>
            <w:tcW w:w="0" w:type="auto"/>
            <w:shd w:val="clear" w:color="auto" w:fill="FFFFFF"/>
            <w:vAlign w:val="bottom"/>
            <w:hideMark/>
          </w:tcPr>
          <w:p w14:paraId="68904BE5"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1.01</w:t>
            </w:r>
          </w:p>
        </w:tc>
        <w:tc>
          <w:tcPr>
            <w:tcW w:w="0" w:type="auto"/>
            <w:shd w:val="clear" w:color="auto" w:fill="FFFFFF"/>
            <w:vAlign w:val="bottom"/>
            <w:hideMark/>
          </w:tcPr>
          <w:p w14:paraId="02BC84E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78AEAB7B" w14:textId="77777777" w:rsidTr="002F3D36">
        <w:trPr>
          <w:tblCellSpacing w:w="15" w:type="dxa"/>
        </w:trPr>
        <w:tc>
          <w:tcPr>
            <w:tcW w:w="0" w:type="auto"/>
            <w:shd w:val="clear" w:color="auto" w:fill="CFF0FC"/>
            <w:vAlign w:val="center"/>
            <w:hideMark/>
          </w:tcPr>
          <w:p w14:paraId="7EC233E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7B4E1D8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gridSpan w:val="2"/>
            <w:shd w:val="clear" w:color="auto" w:fill="CFF0FC"/>
            <w:vAlign w:val="bottom"/>
            <w:hideMark/>
          </w:tcPr>
          <w:p w14:paraId="7ED0952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22F68E1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67B53C7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gridSpan w:val="2"/>
            <w:shd w:val="clear" w:color="auto" w:fill="CFF0FC"/>
            <w:vAlign w:val="bottom"/>
            <w:hideMark/>
          </w:tcPr>
          <w:p w14:paraId="2EDD07E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708519F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3D42B60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gridSpan w:val="2"/>
            <w:shd w:val="clear" w:color="auto" w:fill="CFF0FC"/>
            <w:vAlign w:val="bottom"/>
            <w:hideMark/>
          </w:tcPr>
          <w:p w14:paraId="434F2B4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4F3CF83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710C697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gridSpan w:val="2"/>
            <w:shd w:val="clear" w:color="auto" w:fill="CFF0FC"/>
            <w:vAlign w:val="bottom"/>
            <w:hideMark/>
          </w:tcPr>
          <w:p w14:paraId="0436FF9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4CF89D1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419934E6" w14:textId="77777777" w:rsidTr="002F3D36">
        <w:trPr>
          <w:trHeight w:val="180"/>
          <w:tblCellSpacing w:w="15" w:type="dxa"/>
        </w:trPr>
        <w:tc>
          <w:tcPr>
            <w:tcW w:w="0" w:type="auto"/>
            <w:shd w:val="clear" w:color="auto" w:fill="FFFFFF"/>
            <w:vAlign w:val="center"/>
            <w:hideMark/>
          </w:tcPr>
          <w:p w14:paraId="5FF575C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Weighted average number of shares outstanding - diluted</w:t>
            </w:r>
            <w:r w:rsidRPr="002F3D36">
              <w:rPr>
                <w:rFonts w:ascii="Arial" w:eastAsia="微软雅黑" w:hAnsi="Arial" w:cs="Arial"/>
                <w:color w:val="000000"/>
                <w:kern w:val="0"/>
                <w:sz w:val="12"/>
                <w:szCs w:val="12"/>
              </w:rPr>
              <w:t>2)</w:t>
            </w:r>
          </w:p>
        </w:tc>
        <w:tc>
          <w:tcPr>
            <w:tcW w:w="0" w:type="auto"/>
            <w:shd w:val="clear" w:color="auto" w:fill="FFFFFF"/>
            <w:vAlign w:val="bottom"/>
            <w:hideMark/>
          </w:tcPr>
          <w:p w14:paraId="66B378D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gridSpan w:val="2"/>
            <w:shd w:val="clear" w:color="auto" w:fill="FFFFFF"/>
            <w:vAlign w:val="bottom"/>
            <w:hideMark/>
          </w:tcPr>
          <w:p w14:paraId="0E303A2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bottom"/>
            <w:hideMark/>
          </w:tcPr>
          <w:p w14:paraId="6B34E1A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bottom"/>
            <w:hideMark/>
          </w:tcPr>
          <w:p w14:paraId="66C0E56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bottom"/>
            <w:hideMark/>
          </w:tcPr>
          <w:p w14:paraId="112DB3C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bottom"/>
            <w:hideMark/>
          </w:tcPr>
          <w:p w14:paraId="2157A454"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87.7</w:t>
            </w:r>
          </w:p>
        </w:tc>
        <w:tc>
          <w:tcPr>
            <w:tcW w:w="0" w:type="auto"/>
            <w:shd w:val="clear" w:color="auto" w:fill="FFFFFF"/>
            <w:vAlign w:val="bottom"/>
            <w:hideMark/>
          </w:tcPr>
          <w:p w14:paraId="3A47F0B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bottom"/>
            <w:hideMark/>
          </w:tcPr>
          <w:p w14:paraId="74EACA9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gridSpan w:val="2"/>
            <w:shd w:val="clear" w:color="auto" w:fill="FFFFFF"/>
            <w:vAlign w:val="bottom"/>
            <w:hideMark/>
          </w:tcPr>
          <w:p w14:paraId="6E6BC7F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bottom"/>
            <w:hideMark/>
          </w:tcPr>
          <w:p w14:paraId="37E3545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bottom"/>
            <w:hideMark/>
          </w:tcPr>
          <w:p w14:paraId="2726EF4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bottom"/>
            <w:hideMark/>
          </w:tcPr>
          <w:p w14:paraId="1BB5A18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bottom"/>
            <w:hideMark/>
          </w:tcPr>
          <w:p w14:paraId="220276C3"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87.5</w:t>
            </w:r>
          </w:p>
        </w:tc>
        <w:tc>
          <w:tcPr>
            <w:tcW w:w="0" w:type="auto"/>
            <w:shd w:val="clear" w:color="auto" w:fill="FFFFFF"/>
            <w:vAlign w:val="bottom"/>
            <w:hideMark/>
          </w:tcPr>
          <w:p w14:paraId="5392CB9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380011C0" w14:textId="77777777" w:rsidTr="002F3D36">
        <w:trPr>
          <w:trHeight w:val="180"/>
          <w:tblCellSpacing w:w="15" w:type="dxa"/>
        </w:trPr>
        <w:tc>
          <w:tcPr>
            <w:tcW w:w="0" w:type="auto"/>
            <w:shd w:val="clear" w:color="auto" w:fill="CFF0FC"/>
            <w:vAlign w:val="center"/>
            <w:hideMark/>
          </w:tcPr>
          <w:p w14:paraId="2D8F3B9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Adjustment Return on capital employed</w:t>
            </w:r>
          </w:p>
        </w:tc>
        <w:tc>
          <w:tcPr>
            <w:tcW w:w="0" w:type="auto"/>
            <w:shd w:val="clear" w:color="auto" w:fill="CFF0FC"/>
            <w:vAlign w:val="bottom"/>
            <w:hideMark/>
          </w:tcPr>
          <w:p w14:paraId="6AEECAA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65E05F1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shd w:val="clear" w:color="auto" w:fill="CFF0FC"/>
            <w:vAlign w:val="bottom"/>
            <w:hideMark/>
          </w:tcPr>
          <w:p w14:paraId="6BAD2F66"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8</w:t>
            </w:r>
          </w:p>
        </w:tc>
        <w:tc>
          <w:tcPr>
            <w:tcW w:w="0" w:type="auto"/>
            <w:shd w:val="clear" w:color="auto" w:fill="CFF0FC"/>
            <w:vAlign w:val="bottom"/>
            <w:hideMark/>
          </w:tcPr>
          <w:p w14:paraId="6E005CC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1EF440E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gridSpan w:val="2"/>
            <w:shd w:val="clear" w:color="auto" w:fill="CFF0FC"/>
            <w:vAlign w:val="bottom"/>
            <w:hideMark/>
          </w:tcPr>
          <w:p w14:paraId="1B6A5BB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5A4E7DF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10431C7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79A7A96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shd w:val="clear" w:color="auto" w:fill="CFF0FC"/>
            <w:vAlign w:val="bottom"/>
            <w:hideMark/>
          </w:tcPr>
          <w:p w14:paraId="301A48F5"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99</w:t>
            </w:r>
          </w:p>
        </w:tc>
        <w:tc>
          <w:tcPr>
            <w:tcW w:w="0" w:type="auto"/>
            <w:shd w:val="clear" w:color="auto" w:fill="CFF0FC"/>
            <w:vAlign w:val="bottom"/>
            <w:hideMark/>
          </w:tcPr>
          <w:p w14:paraId="7B6D9A9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36CFBC6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gridSpan w:val="2"/>
            <w:shd w:val="clear" w:color="auto" w:fill="CFF0FC"/>
            <w:vAlign w:val="bottom"/>
            <w:hideMark/>
          </w:tcPr>
          <w:p w14:paraId="5A7B0AC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3D59C5A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420DE634" w14:textId="77777777" w:rsidTr="002F3D36">
        <w:trPr>
          <w:trHeight w:val="180"/>
          <w:tblCellSpacing w:w="15" w:type="dxa"/>
        </w:trPr>
        <w:tc>
          <w:tcPr>
            <w:tcW w:w="0" w:type="auto"/>
            <w:shd w:val="clear" w:color="auto" w:fill="FFFFFF"/>
            <w:vAlign w:val="center"/>
            <w:hideMark/>
          </w:tcPr>
          <w:p w14:paraId="75B5BF2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Adjustment Return on capital employed, %</w:t>
            </w:r>
          </w:p>
        </w:tc>
        <w:tc>
          <w:tcPr>
            <w:tcW w:w="0" w:type="auto"/>
            <w:shd w:val="clear" w:color="auto" w:fill="FFFFFF"/>
            <w:vAlign w:val="bottom"/>
            <w:hideMark/>
          </w:tcPr>
          <w:p w14:paraId="587405A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bottom"/>
            <w:hideMark/>
          </w:tcPr>
          <w:p w14:paraId="760AA01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bottom"/>
            <w:hideMark/>
          </w:tcPr>
          <w:p w14:paraId="10ABFE21"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0.2</w:t>
            </w:r>
          </w:p>
        </w:tc>
        <w:tc>
          <w:tcPr>
            <w:tcW w:w="0" w:type="auto"/>
            <w:shd w:val="clear" w:color="auto" w:fill="FFFFFF"/>
            <w:vAlign w:val="bottom"/>
            <w:hideMark/>
          </w:tcPr>
          <w:p w14:paraId="3140E9F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shd w:val="clear" w:color="auto" w:fill="FFFFFF"/>
            <w:vAlign w:val="bottom"/>
            <w:hideMark/>
          </w:tcPr>
          <w:p w14:paraId="225C887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gridSpan w:val="2"/>
            <w:shd w:val="clear" w:color="auto" w:fill="FFFFFF"/>
            <w:vAlign w:val="bottom"/>
            <w:hideMark/>
          </w:tcPr>
          <w:p w14:paraId="52ED027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bottom"/>
            <w:hideMark/>
          </w:tcPr>
          <w:p w14:paraId="698588D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bottom"/>
            <w:hideMark/>
          </w:tcPr>
          <w:p w14:paraId="42E0987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bottom"/>
            <w:hideMark/>
          </w:tcPr>
          <w:p w14:paraId="3D461C0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bottom"/>
            <w:hideMark/>
          </w:tcPr>
          <w:p w14:paraId="45AEB3C7"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2.5</w:t>
            </w:r>
          </w:p>
        </w:tc>
        <w:tc>
          <w:tcPr>
            <w:tcW w:w="0" w:type="auto"/>
            <w:shd w:val="clear" w:color="auto" w:fill="FFFFFF"/>
            <w:vAlign w:val="bottom"/>
            <w:hideMark/>
          </w:tcPr>
          <w:p w14:paraId="5A33B4B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shd w:val="clear" w:color="auto" w:fill="FFFFFF"/>
            <w:vAlign w:val="bottom"/>
            <w:hideMark/>
          </w:tcPr>
          <w:p w14:paraId="0CA84E5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gridSpan w:val="2"/>
            <w:shd w:val="clear" w:color="auto" w:fill="FFFFFF"/>
            <w:vAlign w:val="bottom"/>
            <w:hideMark/>
          </w:tcPr>
          <w:p w14:paraId="2FD0FC4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bottom"/>
            <w:hideMark/>
          </w:tcPr>
          <w:p w14:paraId="7F6ADF8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53EEEE54" w14:textId="77777777" w:rsidTr="002F3D36">
        <w:trPr>
          <w:tblCellSpacing w:w="15" w:type="dxa"/>
        </w:trPr>
        <w:tc>
          <w:tcPr>
            <w:tcW w:w="0" w:type="auto"/>
            <w:shd w:val="clear" w:color="auto" w:fill="CFF0FC"/>
            <w:vAlign w:val="center"/>
            <w:hideMark/>
          </w:tcPr>
          <w:p w14:paraId="2A45408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3DC8E9C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gridSpan w:val="2"/>
            <w:shd w:val="clear" w:color="auto" w:fill="CFF0FC"/>
            <w:vAlign w:val="bottom"/>
            <w:hideMark/>
          </w:tcPr>
          <w:p w14:paraId="5FBE8C9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2C23F69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7AB6C24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gridSpan w:val="2"/>
            <w:shd w:val="clear" w:color="auto" w:fill="CFF0FC"/>
            <w:vAlign w:val="bottom"/>
            <w:hideMark/>
          </w:tcPr>
          <w:p w14:paraId="504756E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5BDE091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700F155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gridSpan w:val="2"/>
            <w:shd w:val="clear" w:color="auto" w:fill="CFF0FC"/>
            <w:vAlign w:val="bottom"/>
            <w:hideMark/>
          </w:tcPr>
          <w:p w14:paraId="0DB2729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11E3B9F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6861224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gridSpan w:val="2"/>
            <w:shd w:val="clear" w:color="auto" w:fill="CFF0FC"/>
            <w:vAlign w:val="bottom"/>
            <w:hideMark/>
          </w:tcPr>
          <w:p w14:paraId="716CBB7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7360642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07CAC609" w14:textId="77777777" w:rsidTr="002F3D36">
        <w:trPr>
          <w:trHeight w:val="180"/>
          <w:tblCellSpacing w:w="15" w:type="dxa"/>
        </w:trPr>
        <w:tc>
          <w:tcPr>
            <w:tcW w:w="0" w:type="auto"/>
            <w:shd w:val="clear" w:color="auto" w:fill="FFFFFF"/>
            <w:vAlign w:val="center"/>
            <w:hideMark/>
          </w:tcPr>
          <w:p w14:paraId="1039F55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Adjustment Return on total equity</w:t>
            </w:r>
          </w:p>
        </w:tc>
        <w:tc>
          <w:tcPr>
            <w:tcW w:w="0" w:type="auto"/>
            <w:shd w:val="clear" w:color="auto" w:fill="FFFFFF"/>
            <w:vAlign w:val="bottom"/>
            <w:hideMark/>
          </w:tcPr>
          <w:p w14:paraId="1A85E8D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bottom"/>
            <w:hideMark/>
          </w:tcPr>
          <w:p w14:paraId="1E43537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shd w:val="clear" w:color="auto" w:fill="FFFFFF"/>
            <w:vAlign w:val="bottom"/>
            <w:hideMark/>
          </w:tcPr>
          <w:p w14:paraId="17E57BEF"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5</w:t>
            </w:r>
          </w:p>
        </w:tc>
        <w:tc>
          <w:tcPr>
            <w:tcW w:w="0" w:type="auto"/>
            <w:shd w:val="clear" w:color="auto" w:fill="FFFFFF"/>
            <w:vAlign w:val="bottom"/>
            <w:hideMark/>
          </w:tcPr>
          <w:p w14:paraId="59D03DC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bottom"/>
            <w:hideMark/>
          </w:tcPr>
          <w:p w14:paraId="24DF508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gridSpan w:val="2"/>
            <w:shd w:val="clear" w:color="auto" w:fill="FFFFFF"/>
            <w:vAlign w:val="bottom"/>
            <w:hideMark/>
          </w:tcPr>
          <w:p w14:paraId="2621960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bottom"/>
            <w:hideMark/>
          </w:tcPr>
          <w:p w14:paraId="7185407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bottom"/>
            <w:hideMark/>
          </w:tcPr>
          <w:p w14:paraId="2007F33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bottom"/>
            <w:hideMark/>
          </w:tcPr>
          <w:p w14:paraId="6C0A964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shd w:val="clear" w:color="auto" w:fill="FFFFFF"/>
            <w:vAlign w:val="bottom"/>
            <w:hideMark/>
          </w:tcPr>
          <w:p w14:paraId="6D339042"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88</w:t>
            </w:r>
          </w:p>
        </w:tc>
        <w:tc>
          <w:tcPr>
            <w:tcW w:w="0" w:type="auto"/>
            <w:shd w:val="clear" w:color="auto" w:fill="FFFFFF"/>
            <w:vAlign w:val="bottom"/>
            <w:hideMark/>
          </w:tcPr>
          <w:p w14:paraId="6E3220F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bottom"/>
            <w:hideMark/>
          </w:tcPr>
          <w:p w14:paraId="1428BB9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gridSpan w:val="2"/>
            <w:shd w:val="clear" w:color="auto" w:fill="FFFFFF"/>
            <w:vAlign w:val="bottom"/>
            <w:hideMark/>
          </w:tcPr>
          <w:p w14:paraId="79B076E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bottom"/>
            <w:hideMark/>
          </w:tcPr>
          <w:p w14:paraId="01CF465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74364E7B" w14:textId="77777777" w:rsidTr="002F3D36">
        <w:trPr>
          <w:trHeight w:val="180"/>
          <w:tblCellSpacing w:w="15" w:type="dxa"/>
        </w:trPr>
        <w:tc>
          <w:tcPr>
            <w:tcW w:w="0" w:type="auto"/>
            <w:shd w:val="clear" w:color="auto" w:fill="CFF0FC"/>
            <w:vAlign w:val="center"/>
            <w:hideMark/>
          </w:tcPr>
          <w:p w14:paraId="091C0AD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Adjustment Return on total equity, %</w:t>
            </w:r>
          </w:p>
        </w:tc>
        <w:tc>
          <w:tcPr>
            <w:tcW w:w="0" w:type="auto"/>
            <w:shd w:val="clear" w:color="auto" w:fill="CFF0FC"/>
            <w:vAlign w:val="bottom"/>
            <w:hideMark/>
          </w:tcPr>
          <w:p w14:paraId="13D95E4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15017AA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74CAE421"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0.2</w:t>
            </w:r>
          </w:p>
        </w:tc>
        <w:tc>
          <w:tcPr>
            <w:tcW w:w="0" w:type="auto"/>
            <w:shd w:val="clear" w:color="auto" w:fill="CFF0FC"/>
            <w:vAlign w:val="bottom"/>
            <w:hideMark/>
          </w:tcPr>
          <w:p w14:paraId="269EBE2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shd w:val="clear" w:color="auto" w:fill="CFF0FC"/>
            <w:vAlign w:val="bottom"/>
            <w:hideMark/>
          </w:tcPr>
          <w:p w14:paraId="32F2855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gridSpan w:val="2"/>
            <w:shd w:val="clear" w:color="auto" w:fill="CFF0FC"/>
            <w:vAlign w:val="bottom"/>
            <w:hideMark/>
          </w:tcPr>
          <w:p w14:paraId="1CF1140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679ADCD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3B17CF3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1B75756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0424E282"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3.9</w:t>
            </w:r>
          </w:p>
        </w:tc>
        <w:tc>
          <w:tcPr>
            <w:tcW w:w="0" w:type="auto"/>
            <w:shd w:val="clear" w:color="auto" w:fill="CFF0FC"/>
            <w:vAlign w:val="bottom"/>
            <w:hideMark/>
          </w:tcPr>
          <w:p w14:paraId="161247A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shd w:val="clear" w:color="auto" w:fill="CFF0FC"/>
            <w:vAlign w:val="bottom"/>
            <w:hideMark/>
          </w:tcPr>
          <w:p w14:paraId="5653B4D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gridSpan w:val="2"/>
            <w:shd w:val="clear" w:color="auto" w:fill="CFF0FC"/>
            <w:vAlign w:val="bottom"/>
            <w:hideMark/>
          </w:tcPr>
          <w:p w14:paraId="644EBBB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3B84E44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bl>
    <w:p w14:paraId="626DCAF4"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6"/>
          <w:szCs w:val="16"/>
        </w:rPr>
        <w:t xml:space="preserve">1) The tax is calculated based on the tax laws in the respective jurisdiction(s) of the adjustment(s). </w:t>
      </w:r>
    </w:p>
    <w:p w14:paraId="290FDFAA"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6"/>
          <w:szCs w:val="16"/>
        </w:rPr>
        <w:lastRenderedPageBreak/>
        <w:t>2) Annualized average number of outstanding shares.</w:t>
      </w:r>
    </w:p>
    <w:p w14:paraId="61043B3F" w14:textId="77777777" w:rsidR="002F3D36" w:rsidRPr="002F3D36" w:rsidRDefault="002F3D36" w:rsidP="002F3D36">
      <w:pPr>
        <w:widowControl/>
        <w:spacing w:before="240"/>
        <w:jc w:val="center"/>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39</w:t>
      </w:r>
    </w:p>
    <w:p w14:paraId="7A61CC74" w14:textId="77777777" w:rsidR="002F3D36" w:rsidRPr="002F3D36" w:rsidRDefault="002F3D36" w:rsidP="002F3D36">
      <w:pPr>
        <w:widowControl/>
        <w:jc w:val="left"/>
        <w:rPr>
          <w:rFonts w:ascii="宋体" w:eastAsia="宋体" w:hAnsi="宋体" w:cs="宋体"/>
          <w:kern w:val="0"/>
          <w:sz w:val="24"/>
          <w:szCs w:val="24"/>
        </w:rPr>
      </w:pPr>
      <w:r w:rsidRPr="002F3D36">
        <w:rPr>
          <w:rFonts w:ascii="宋体" w:eastAsia="宋体" w:hAnsi="宋体" w:cs="宋体"/>
          <w:kern w:val="0"/>
          <w:sz w:val="24"/>
          <w:szCs w:val="24"/>
        </w:rPr>
        <w:pict w14:anchorId="7C6507E0">
          <v:rect id="_x0000_i1066" style="width:0;height:1.5pt" o:hralign="center" o:hrstd="t" o:hrnoshade="t" o:hr="t" fillcolor="black" stroked="f"/>
        </w:pict>
      </w:r>
    </w:p>
    <w:p w14:paraId="14ED85EA" w14:textId="77777777" w:rsidR="002F3D36" w:rsidRPr="002F3D36" w:rsidRDefault="002F3D36" w:rsidP="002F3D36">
      <w:pPr>
        <w:widowControl/>
        <w:spacing w:line="20" w:lineRule="atLeast"/>
        <w:jc w:val="left"/>
        <w:rPr>
          <w:rFonts w:ascii="Times New Roman" w:eastAsia="宋体" w:hAnsi="Times New Roman" w:cs="Times New Roman"/>
          <w:color w:val="000000"/>
          <w:kern w:val="0"/>
          <w:sz w:val="20"/>
          <w:szCs w:val="20"/>
        </w:rPr>
      </w:pPr>
      <w:r w:rsidRPr="002F3D36">
        <w:rPr>
          <w:rFonts w:ascii="Arial" w:eastAsia="宋体" w:hAnsi="Arial" w:cs="Arial"/>
          <w:color w:val="000000"/>
          <w:kern w:val="0"/>
          <w:sz w:val="2"/>
          <w:szCs w:val="2"/>
        </w:rPr>
        <w:t> </w:t>
      </w:r>
    </w:p>
    <w:p w14:paraId="77371A93"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b/>
          <w:bCs/>
          <w:caps/>
          <w:color w:val="000000"/>
          <w:kern w:val="0"/>
          <w:sz w:val="22"/>
        </w:rPr>
        <w:t>LIQUIDITY, CAPITAL RESOURCES AND FINANCIAL POSITION</w:t>
      </w:r>
    </w:p>
    <w:p w14:paraId="18037EED"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w:t>
      </w:r>
    </w:p>
    <w:tbl>
      <w:tblPr>
        <w:tblW w:w="20614" w:type="dxa"/>
        <w:tblCellSpacing w:w="15" w:type="dxa"/>
        <w:tblCellMar>
          <w:top w:w="15" w:type="dxa"/>
          <w:left w:w="15" w:type="dxa"/>
          <w:bottom w:w="15" w:type="dxa"/>
          <w:right w:w="15" w:type="dxa"/>
        </w:tblCellMar>
        <w:tblLook w:val="04A0" w:firstRow="1" w:lastRow="0" w:firstColumn="1" w:lastColumn="0" w:noHBand="0" w:noVBand="1"/>
      </w:tblPr>
      <w:tblGrid>
        <w:gridCol w:w="13605"/>
        <w:gridCol w:w="354"/>
        <w:gridCol w:w="275"/>
        <w:gridCol w:w="2636"/>
        <w:gridCol w:w="230"/>
        <w:gridCol w:w="354"/>
        <w:gridCol w:w="275"/>
        <w:gridCol w:w="2636"/>
        <w:gridCol w:w="249"/>
      </w:tblGrid>
      <w:tr w:rsidR="002F3D36" w:rsidRPr="002F3D36" w14:paraId="2A7B94CD" w14:textId="77777777" w:rsidTr="002F3D36">
        <w:trPr>
          <w:tblCellSpacing w:w="15" w:type="dxa"/>
        </w:trPr>
        <w:tc>
          <w:tcPr>
            <w:tcW w:w="13583" w:type="dxa"/>
            <w:vAlign w:val="center"/>
            <w:hideMark/>
          </w:tcPr>
          <w:p w14:paraId="592917F2" w14:textId="77777777" w:rsidR="002F3D36" w:rsidRPr="002F3D36" w:rsidRDefault="002F3D36" w:rsidP="002F3D36">
            <w:pPr>
              <w:widowControl/>
              <w:jc w:val="left"/>
              <w:rPr>
                <w:rFonts w:ascii="Times New Roman" w:eastAsia="宋体" w:hAnsi="Times New Roman" w:cs="Times New Roman"/>
                <w:color w:val="000000"/>
                <w:kern w:val="0"/>
                <w:sz w:val="20"/>
                <w:szCs w:val="20"/>
              </w:rPr>
            </w:pPr>
          </w:p>
        </w:tc>
        <w:tc>
          <w:tcPr>
            <w:tcW w:w="324" w:type="dxa"/>
            <w:vAlign w:val="center"/>
            <w:hideMark/>
          </w:tcPr>
          <w:p w14:paraId="1888948E"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45" w:type="dxa"/>
            <w:vAlign w:val="center"/>
            <w:hideMark/>
          </w:tcPr>
          <w:p w14:paraId="4AB7C5CE"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610" w:type="dxa"/>
            <w:vAlign w:val="center"/>
            <w:hideMark/>
          </w:tcPr>
          <w:p w14:paraId="072C4ED9"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00" w:type="dxa"/>
            <w:vAlign w:val="center"/>
            <w:hideMark/>
          </w:tcPr>
          <w:p w14:paraId="49D99A99"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324" w:type="dxa"/>
            <w:vAlign w:val="center"/>
            <w:hideMark/>
          </w:tcPr>
          <w:p w14:paraId="3C0CA92A"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45" w:type="dxa"/>
            <w:vAlign w:val="center"/>
            <w:hideMark/>
          </w:tcPr>
          <w:p w14:paraId="4CC271F8"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610" w:type="dxa"/>
            <w:vAlign w:val="center"/>
            <w:hideMark/>
          </w:tcPr>
          <w:p w14:paraId="5A9B1C65"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04" w:type="dxa"/>
            <w:vAlign w:val="center"/>
            <w:hideMark/>
          </w:tcPr>
          <w:p w14:paraId="0B9D3EB6" w14:textId="77777777" w:rsidR="002F3D36" w:rsidRPr="002F3D36" w:rsidRDefault="002F3D36" w:rsidP="002F3D36">
            <w:pPr>
              <w:widowControl/>
              <w:jc w:val="left"/>
              <w:rPr>
                <w:rFonts w:ascii="Times New Roman" w:eastAsia="Times New Roman" w:hAnsi="Times New Roman" w:cs="Times New Roman"/>
                <w:kern w:val="0"/>
                <w:sz w:val="20"/>
                <w:szCs w:val="20"/>
              </w:rPr>
            </w:pPr>
          </w:p>
        </w:tc>
      </w:tr>
      <w:tr w:rsidR="002F3D36" w:rsidRPr="002F3D36" w14:paraId="3DC38B1E" w14:textId="77777777" w:rsidTr="002F3D36">
        <w:trPr>
          <w:trHeight w:val="160"/>
          <w:tblCellSpacing w:w="15" w:type="dxa"/>
        </w:trPr>
        <w:tc>
          <w:tcPr>
            <w:tcW w:w="0" w:type="auto"/>
            <w:vAlign w:val="bottom"/>
            <w:hideMark/>
          </w:tcPr>
          <w:p w14:paraId="6208374A"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vAlign w:val="bottom"/>
            <w:hideMark/>
          </w:tcPr>
          <w:p w14:paraId="703E0246" w14:textId="77777777" w:rsidR="002F3D36" w:rsidRPr="002F3D36" w:rsidRDefault="002F3D36" w:rsidP="002F3D36">
            <w:pPr>
              <w:widowControl/>
              <w:jc w:val="left"/>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gridSpan w:val="6"/>
            <w:tcBorders>
              <w:bottom w:val="single" w:sz="4" w:space="0" w:color="000000"/>
            </w:tcBorders>
            <w:vAlign w:val="bottom"/>
            <w:hideMark/>
          </w:tcPr>
          <w:p w14:paraId="15EA22F4"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b/>
                <w:bCs/>
                <w:color w:val="000000"/>
                <w:kern w:val="0"/>
                <w:sz w:val="16"/>
                <w:szCs w:val="16"/>
              </w:rPr>
              <w:t>Years ended December 31</w:t>
            </w:r>
          </w:p>
        </w:tc>
        <w:tc>
          <w:tcPr>
            <w:tcW w:w="0" w:type="auto"/>
            <w:vAlign w:val="bottom"/>
            <w:hideMark/>
          </w:tcPr>
          <w:p w14:paraId="524BB74B"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r>
      <w:tr w:rsidR="002F3D36" w:rsidRPr="002F3D36" w14:paraId="6332B90F" w14:textId="77777777" w:rsidTr="002F3D36">
        <w:trPr>
          <w:trHeight w:val="160"/>
          <w:tblCellSpacing w:w="15" w:type="dxa"/>
        </w:trPr>
        <w:tc>
          <w:tcPr>
            <w:tcW w:w="0" w:type="auto"/>
            <w:vAlign w:val="bottom"/>
            <w:hideMark/>
          </w:tcPr>
          <w:p w14:paraId="11BCD3B2" w14:textId="77777777" w:rsidR="002F3D36" w:rsidRPr="002F3D36" w:rsidRDefault="002F3D36" w:rsidP="002F3D36">
            <w:pPr>
              <w:widowControl/>
              <w:jc w:val="left"/>
              <w:rPr>
                <w:rFonts w:ascii="Times New Roman" w:eastAsia="微软雅黑" w:hAnsi="Times New Roman" w:cs="Times New Roman"/>
                <w:kern w:val="0"/>
                <w:sz w:val="16"/>
                <w:szCs w:val="16"/>
              </w:rPr>
            </w:pPr>
            <w:r w:rsidRPr="002F3D36">
              <w:rPr>
                <w:rFonts w:ascii="Arial" w:eastAsia="微软雅黑" w:hAnsi="Arial" w:cs="Arial"/>
                <w:b/>
                <w:bCs/>
                <w:color w:val="000000"/>
                <w:kern w:val="0"/>
                <w:sz w:val="16"/>
                <w:szCs w:val="16"/>
                <w:u w:val="single"/>
              </w:rPr>
              <w:t>(DOLLARS IN MILLIONS)</w:t>
            </w:r>
          </w:p>
        </w:tc>
        <w:tc>
          <w:tcPr>
            <w:tcW w:w="0" w:type="auto"/>
            <w:vAlign w:val="bottom"/>
            <w:hideMark/>
          </w:tcPr>
          <w:p w14:paraId="14120652" w14:textId="77777777" w:rsidR="002F3D36" w:rsidRPr="002F3D36" w:rsidRDefault="002F3D36" w:rsidP="002F3D36">
            <w:pPr>
              <w:widowControl/>
              <w:jc w:val="left"/>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gridSpan w:val="2"/>
            <w:tcBorders>
              <w:bottom w:val="single" w:sz="4" w:space="0" w:color="000000"/>
            </w:tcBorders>
            <w:vAlign w:val="bottom"/>
            <w:hideMark/>
          </w:tcPr>
          <w:p w14:paraId="1289232D"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b/>
                <w:bCs/>
                <w:color w:val="000000"/>
                <w:kern w:val="0"/>
                <w:sz w:val="16"/>
                <w:szCs w:val="16"/>
              </w:rPr>
              <w:t>2021</w:t>
            </w:r>
          </w:p>
        </w:tc>
        <w:tc>
          <w:tcPr>
            <w:tcW w:w="0" w:type="auto"/>
            <w:vAlign w:val="bottom"/>
            <w:hideMark/>
          </w:tcPr>
          <w:p w14:paraId="32172F58"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vAlign w:val="bottom"/>
            <w:hideMark/>
          </w:tcPr>
          <w:p w14:paraId="3E800D13" w14:textId="77777777" w:rsidR="002F3D36" w:rsidRPr="002F3D36" w:rsidRDefault="002F3D36" w:rsidP="002F3D36">
            <w:pPr>
              <w:widowControl/>
              <w:jc w:val="left"/>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gridSpan w:val="2"/>
            <w:tcBorders>
              <w:bottom w:val="single" w:sz="4" w:space="0" w:color="000000"/>
            </w:tcBorders>
            <w:vAlign w:val="bottom"/>
            <w:hideMark/>
          </w:tcPr>
          <w:p w14:paraId="51825E07"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b/>
                <w:bCs/>
                <w:color w:val="000000"/>
                <w:kern w:val="0"/>
                <w:sz w:val="16"/>
                <w:szCs w:val="16"/>
              </w:rPr>
              <w:t>2020</w:t>
            </w:r>
          </w:p>
        </w:tc>
        <w:tc>
          <w:tcPr>
            <w:tcW w:w="0" w:type="auto"/>
            <w:vAlign w:val="bottom"/>
            <w:hideMark/>
          </w:tcPr>
          <w:p w14:paraId="115E215D"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r>
      <w:tr w:rsidR="002F3D36" w:rsidRPr="002F3D36" w14:paraId="609FDBEC" w14:textId="77777777" w:rsidTr="002F3D36">
        <w:trPr>
          <w:trHeight w:val="180"/>
          <w:tblCellSpacing w:w="15" w:type="dxa"/>
        </w:trPr>
        <w:tc>
          <w:tcPr>
            <w:tcW w:w="0" w:type="auto"/>
            <w:shd w:val="clear" w:color="auto" w:fill="CFF0FC"/>
            <w:hideMark/>
          </w:tcPr>
          <w:p w14:paraId="2BF2713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Net cash provided by operating activities</w:t>
            </w:r>
          </w:p>
        </w:tc>
        <w:tc>
          <w:tcPr>
            <w:tcW w:w="0" w:type="auto"/>
            <w:shd w:val="clear" w:color="auto" w:fill="CFF0FC"/>
            <w:vAlign w:val="bottom"/>
            <w:hideMark/>
          </w:tcPr>
          <w:p w14:paraId="0EEDC24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5243680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shd w:val="clear" w:color="auto" w:fill="CFF0FC"/>
            <w:vAlign w:val="bottom"/>
            <w:hideMark/>
          </w:tcPr>
          <w:p w14:paraId="7EFA9188"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754</w:t>
            </w:r>
          </w:p>
        </w:tc>
        <w:tc>
          <w:tcPr>
            <w:tcW w:w="0" w:type="auto"/>
            <w:shd w:val="clear" w:color="auto" w:fill="CFF0FC"/>
            <w:vAlign w:val="bottom"/>
            <w:hideMark/>
          </w:tcPr>
          <w:p w14:paraId="6DAE091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489E91F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0653756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shd w:val="clear" w:color="auto" w:fill="CFF0FC"/>
            <w:vAlign w:val="bottom"/>
            <w:hideMark/>
          </w:tcPr>
          <w:p w14:paraId="4ACB7F67"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849</w:t>
            </w:r>
          </w:p>
        </w:tc>
        <w:tc>
          <w:tcPr>
            <w:tcW w:w="0" w:type="auto"/>
            <w:shd w:val="clear" w:color="auto" w:fill="CFF0FC"/>
            <w:vAlign w:val="bottom"/>
            <w:hideMark/>
          </w:tcPr>
          <w:p w14:paraId="7BE378D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7961665B" w14:textId="77777777" w:rsidTr="002F3D36">
        <w:trPr>
          <w:trHeight w:val="180"/>
          <w:tblCellSpacing w:w="15" w:type="dxa"/>
        </w:trPr>
        <w:tc>
          <w:tcPr>
            <w:tcW w:w="0" w:type="auto"/>
            <w:hideMark/>
          </w:tcPr>
          <w:p w14:paraId="6FC4C47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Net cash used in investing activities</w:t>
            </w:r>
          </w:p>
        </w:tc>
        <w:tc>
          <w:tcPr>
            <w:tcW w:w="0" w:type="auto"/>
            <w:vAlign w:val="bottom"/>
            <w:hideMark/>
          </w:tcPr>
          <w:p w14:paraId="6AB24AB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54E8688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72FDEE88"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(454</w:t>
            </w:r>
          </w:p>
        </w:tc>
        <w:tc>
          <w:tcPr>
            <w:tcW w:w="0" w:type="auto"/>
            <w:vAlign w:val="bottom"/>
            <w:hideMark/>
          </w:tcPr>
          <w:p w14:paraId="12B4D72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vAlign w:val="bottom"/>
            <w:hideMark/>
          </w:tcPr>
          <w:p w14:paraId="3EAF0E3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5CC066E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5C37DA52"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(340</w:t>
            </w:r>
          </w:p>
        </w:tc>
        <w:tc>
          <w:tcPr>
            <w:tcW w:w="0" w:type="auto"/>
            <w:vAlign w:val="bottom"/>
            <w:hideMark/>
          </w:tcPr>
          <w:p w14:paraId="65BF5D0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r>
      <w:tr w:rsidR="002F3D36" w:rsidRPr="002F3D36" w14:paraId="0F10993C" w14:textId="77777777" w:rsidTr="002F3D36">
        <w:trPr>
          <w:trHeight w:val="180"/>
          <w:tblCellSpacing w:w="15" w:type="dxa"/>
        </w:trPr>
        <w:tc>
          <w:tcPr>
            <w:tcW w:w="0" w:type="auto"/>
            <w:shd w:val="clear" w:color="auto" w:fill="CFF0FC"/>
            <w:hideMark/>
          </w:tcPr>
          <w:p w14:paraId="28A0987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Net cash (used in) provided by financing activities</w:t>
            </w:r>
          </w:p>
        </w:tc>
        <w:tc>
          <w:tcPr>
            <w:tcW w:w="0" w:type="auto"/>
            <w:shd w:val="clear" w:color="auto" w:fill="CFF0FC"/>
            <w:vAlign w:val="bottom"/>
            <w:hideMark/>
          </w:tcPr>
          <w:p w14:paraId="3405B3D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59D047A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265A56CC"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(469</w:t>
            </w:r>
          </w:p>
        </w:tc>
        <w:tc>
          <w:tcPr>
            <w:tcW w:w="0" w:type="auto"/>
            <w:shd w:val="clear" w:color="auto" w:fill="CFF0FC"/>
            <w:vAlign w:val="bottom"/>
            <w:hideMark/>
          </w:tcPr>
          <w:p w14:paraId="72C0844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shd w:val="clear" w:color="auto" w:fill="CFF0FC"/>
            <w:vAlign w:val="bottom"/>
            <w:hideMark/>
          </w:tcPr>
          <w:p w14:paraId="5E9EC20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0B8554B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1510AF3A"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160</w:t>
            </w:r>
          </w:p>
        </w:tc>
        <w:tc>
          <w:tcPr>
            <w:tcW w:w="0" w:type="auto"/>
            <w:shd w:val="clear" w:color="auto" w:fill="CFF0FC"/>
            <w:vAlign w:val="bottom"/>
            <w:hideMark/>
          </w:tcPr>
          <w:p w14:paraId="3C1F125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5A5FC2A8" w14:textId="77777777" w:rsidTr="002F3D36">
        <w:trPr>
          <w:trHeight w:val="180"/>
          <w:tblCellSpacing w:w="15" w:type="dxa"/>
        </w:trPr>
        <w:tc>
          <w:tcPr>
            <w:tcW w:w="0" w:type="auto"/>
            <w:hideMark/>
          </w:tcPr>
          <w:p w14:paraId="0AD35AA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Effect of exchange rate changes on cash and cash equivalents</w:t>
            </w:r>
          </w:p>
        </w:tc>
        <w:tc>
          <w:tcPr>
            <w:tcW w:w="0" w:type="auto"/>
            <w:vAlign w:val="bottom"/>
            <w:hideMark/>
          </w:tcPr>
          <w:p w14:paraId="694999E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vAlign w:val="bottom"/>
            <w:hideMark/>
          </w:tcPr>
          <w:p w14:paraId="47A2EA1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vAlign w:val="bottom"/>
            <w:hideMark/>
          </w:tcPr>
          <w:p w14:paraId="4FFB821F"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(39</w:t>
            </w:r>
          </w:p>
        </w:tc>
        <w:tc>
          <w:tcPr>
            <w:tcW w:w="0" w:type="auto"/>
            <w:vAlign w:val="bottom"/>
            <w:hideMark/>
          </w:tcPr>
          <w:p w14:paraId="7EBBAC3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vAlign w:val="bottom"/>
            <w:hideMark/>
          </w:tcPr>
          <w:p w14:paraId="00CA825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vAlign w:val="bottom"/>
            <w:hideMark/>
          </w:tcPr>
          <w:p w14:paraId="73F7EF3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vAlign w:val="bottom"/>
            <w:hideMark/>
          </w:tcPr>
          <w:p w14:paraId="09A205FA"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64</w:t>
            </w:r>
          </w:p>
        </w:tc>
        <w:tc>
          <w:tcPr>
            <w:tcW w:w="0" w:type="auto"/>
            <w:vAlign w:val="bottom"/>
            <w:hideMark/>
          </w:tcPr>
          <w:p w14:paraId="27CC0EC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4A69DC1A" w14:textId="77777777" w:rsidTr="002F3D36">
        <w:trPr>
          <w:trHeight w:val="180"/>
          <w:tblCellSpacing w:w="15" w:type="dxa"/>
        </w:trPr>
        <w:tc>
          <w:tcPr>
            <w:tcW w:w="0" w:type="auto"/>
            <w:shd w:val="clear" w:color="auto" w:fill="CFF0FC"/>
            <w:hideMark/>
          </w:tcPr>
          <w:p w14:paraId="26BB831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(Decrease) increase in cash and cash equivalents</w:t>
            </w:r>
          </w:p>
        </w:tc>
        <w:tc>
          <w:tcPr>
            <w:tcW w:w="0" w:type="auto"/>
            <w:shd w:val="clear" w:color="auto" w:fill="CFF0FC"/>
            <w:vAlign w:val="bottom"/>
            <w:hideMark/>
          </w:tcPr>
          <w:p w14:paraId="02A1F8C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1AD2C7B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23435E0B"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(209</w:t>
            </w:r>
          </w:p>
        </w:tc>
        <w:tc>
          <w:tcPr>
            <w:tcW w:w="0" w:type="auto"/>
            <w:shd w:val="clear" w:color="auto" w:fill="CFF0FC"/>
            <w:vAlign w:val="bottom"/>
            <w:hideMark/>
          </w:tcPr>
          <w:p w14:paraId="6A7B91D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w:t>
            </w:r>
          </w:p>
        </w:tc>
        <w:tc>
          <w:tcPr>
            <w:tcW w:w="0" w:type="auto"/>
            <w:shd w:val="clear" w:color="auto" w:fill="CFF0FC"/>
            <w:vAlign w:val="bottom"/>
            <w:hideMark/>
          </w:tcPr>
          <w:p w14:paraId="219656F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1F924F1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4AF102A4"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733</w:t>
            </w:r>
          </w:p>
        </w:tc>
        <w:tc>
          <w:tcPr>
            <w:tcW w:w="0" w:type="auto"/>
            <w:shd w:val="clear" w:color="auto" w:fill="CFF0FC"/>
            <w:vAlign w:val="bottom"/>
            <w:hideMark/>
          </w:tcPr>
          <w:p w14:paraId="1AFF2CE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6CB2872D" w14:textId="77777777" w:rsidTr="002F3D36">
        <w:trPr>
          <w:trHeight w:val="180"/>
          <w:tblCellSpacing w:w="15" w:type="dxa"/>
        </w:trPr>
        <w:tc>
          <w:tcPr>
            <w:tcW w:w="0" w:type="auto"/>
            <w:hideMark/>
          </w:tcPr>
          <w:p w14:paraId="5A2DB0E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Cash and cash equivalents at beginning of year</w:t>
            </w:r>
          </w:p>
        </w:tc>
        <w:tc>
          <w:tcPr>
            <w:tcW w:w="0" w:type="auto"/>
            <w:vAlign w:val="bottom"/>
            <w:hideMark/>
          </w:tcPr>
          <w:p w14:paraId="25E8777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vAlign w:val="bottom"/>
            <w:hideMark/>
          </w:tcPr>
          <w:p w14:paraId="623CF3F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vAlign w:val="bottom"/>
            <w:hideMark/>
          </w:tcPr>
          <w:p w14:paraId="57691B3B"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1,178</w:t>
            </w:r>
          </w:p>
        </w:tc>
        <w:tc>
          <w:tcPr>
            <w:tcW w:w="0" w:type="auto"/>
            <w:vAlign w:val="bottom"/>
            <w:hideMark/>
          </w:tcPr>
          <w:p w14:paraId="76469CF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0E00BD9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vAlign w:val="bottom"/>
            <w:hideMark/>
          </w:tcPr>
          <w:p w14:paraId="4D755E0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vAlign w:val="bottom"/>
            <w:hideMark/>
          </w:tcPr>
          <w:p w14:paraId="2AA54A80"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445</w:t>
            </w:r>
          </w:p>
        </w:tc>
        <w:tc>
          <w:tcPr>
            <w:tcW w:w="0" w:type="auto"/>
            <w:vAlign w:val="bottom"/>
            <w:hideMark/>
          </w:tcPr>
          <w:p w14:paraId="2227D21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1EAF60AB" w14:textId="77777777" w:rsidTr="002F3D36">
        <w:trPr>
          <w:trHeight w:val="180"/>
          <w:tblCellSpacing w:w="15" w:type="dxa"/>
        </w:trPr>
        <w:tc>
          <w:tcPr>
            <w:tcW w:w="0" w:type="auto"/>
            <w:shd w:val="clear" w:color="auto" w:fill="CFF0FC"/>
            <w:hideMark/>
          </w:tcPr>
          <w:p w14:paraId="17F8C19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Cash and cash equivalents at end of year</w:t>
            </w:r>
          </w:p>
        </w:tc>
        <w:tc>
          <w:tcPr>
            <w:tcW w:w="0" w:type="auto"/>
            <w:shd w:val="clear" w:color="auto" w:fill="CFF0FC"/>
            <w:vAlign w:val="bottom"/>
            <w:hideMark/>
          </w:tcPr>
          <w:p w14:paraId="3D2845A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4D05ED0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w:t>
            </w:r>
          </w:p>
        </w:tc>
        <w:tc>
          <w:tcPr>
            <w:tcW w:w="0" w:type="auto"/>
            <w:shd w:val="clear" w:color="auto" w:fill="CFF0FC"/>
            <w:vAlign w:val="bottom"/>
            <w:hideMark/>
          </w:tcPr>
          <w:p w14:paraId="776387C0"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970</w:t>
            </w:r>
          </w:p>
        </w:tc>
        <w:tc>
          <w:tcPr>
            <w:tcW w:w="0" w:type="auto"/>
            <w:shd w:val="clear" w:color="auto" w:fill="CFF0FC"/>
            <w:vAlign w:val="bottom"/>
            <w:hideMark/>
          </w:tcPr>
          <w:p w14:paraId="405BB8E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19D13BF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0AF6B94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w:t>
            </w:r>
          </w:p>
        </w:tc>
        <w:tc>
          <w:tcPr>
            <w:tcW w:w="0" w:type="auto"/>
            <w:shd w:val="clear" w:color="auto" w:fill="CFF0FC"/>
            <w:vAlign w:val="bottom"/>
            <w:hideMark/>
          </w:tcPr>
          <w:p w14:paraId="362F330F"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1,178</w:t>
            </w:r>
          </w:p>
        </w:tc>
        <w:tc>
          <w:tcPr>
            <w:tcW w:w="0" w:type="auto"/>
            <w:shd w:val="clear" w:color="auto" w:fill="CFF0FC"/>
            <w:vAlign w:val="bottom"/>
            <w:hideMark/>
          </w:tcPr>
          <w:p w14:paraId="4BC6A4D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bl>
    <w:p w14:paraId="491C444E"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w:t>
      </w:r>
    </w:p>
    <w:p w14:paraId="5C75496A" w14:textId="77777777" w:rsidR="002F3D36" w:rsidRPr="002F3D36" w:rsidRDefault="002F3D36" w:rsidP="002F3D36">
      <w:pPr>
        <w:widowControl/>
        <w:spacing w:before="16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NET CASH PROVIDED BY OPERATING ACTIVITIES</w:t>
      </w:r>
    </w:p>
    <w:p w14:paraId="1A8E42A0"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xml:space="preserve">Cash flow from operations, together with available financial resources and credit facilities, are expected to be sufficient to fund the Company’s anticipated working capital requirements, capital expenditures and future dividend payments. </w:t>
      </w:r>
    </w:p>
    <w:p w14:paraId="5E9EA2CE"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Net cash provided by operating activities was $754 million in 2021 compared to $849 million in 2020. The decrease of $95 million was primarily due to negative effects from changes in operating working capital partly offset by positive effects from the higher net income.</w:t>
      </w:r>
    </w:p>
    <w:p w14:paraId="06D898E6"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xml:space="preserve">At December 31, 2021, trade working capital (see section Non-U.S. GAAP Performance Measures above) amounted to $1,332 million corresponding to 16% of net sales compared to $1,366 million and 14% at December 31, 2020. </w:t>
      </w:r>
    </w:p>
    <w:p w14:paraId="3E6E5DC9"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Receivables outstanding in relation to sales (see Glossary and Definitions for definition) were 20% December 31, 2021, compared to 18% in 2020. Factoring agreements did not have any material impact on receivables outstanding for 2021 or 2020.</w:t>
      </w:r>
    </w:p>
    <w:p w14:paraId="2B10C4A2"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Inventory in relation to sales (see Glossary and Definitions for definition) were 9%</w:t>
      </w:r>
      <w:r w:rsidRPr="002F3D36">
        <w:rPr>
          <w:rFonts w:ascii="Arial" w:eastAsia="宋体" w:hAnsi="Arial" w:cs="Arial"/>
          <w:color w:val="FF0000"/>
          <w:kern w:val="0"/>
          <w:sz w:val="18"/>
          <w:szCs w:val="18"/>
        </w:rPr>
        <w:t xml:space="preserve"> </w:t>
      </w:r>
      <w:r w:rsidRPr="002F3D36">
        <w:rPr>
          <w:rFonts w:ascii="Arial" w:eastAsia="宋体" w:hAnsi="Arial" w:cs="Arial"/>
          <w:color w:val="000000"/>
          <w:kern w:val="0"/>
          <w:sz w:val="18"/>
          <w:szCs w:val="18"/>
        </w:rPr>
        <w:t>at December 31, 2021, compared to 8% in 2020.</w:t>
      </w:r>
    </w:p>
    <w:p w14:paraId="3D5441CF"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Payables outstanding in relation to sales (see Glossary and Definitions for definition) were 14% at December 31, 2021 compared to 13% in 2020.</w:t>
      </w:r>
    </w:p>
    <w:p w14:paraId="646D7C90"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NET CASH USED IN INVESTING ACTIVITIES</w:t>
      </w:r>
    </w:p>
    <w:p w14:paraId="57507C66"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In 2021 and 2020 net cash used in investing activities amounted to $454</w:t>
      </w:r>
      <w:r w:rsidRPr="002F3D36">
        <w:rPr>
          <w:rFonts w:ascii="Arial" w:eastAsia="宋体" w:hAnsi="Arial" w:cs="Arial"/>
          <w:color w:val="FF0000"/>
          <w:kern w:val="0"/>
          <w:sz w:val="18"/>
          <w:szCs w:val="18"/>
        </w:rPr>
        <w:t xml:space="preserve"> </w:t>
      </w:r>
      <w:r w:rsidRPr="002F3D36">
        <w:rPr>
          <w:rFonts w:ascii="Arial" w:eastAsia="宋体" w:hAnsi="Arial" w:cs="Arial"/>
          <w:color w:val="000000"/>
          <w:kern w:val="0"/>
          <w:sz w:val="18"/>
          <w:szCs w:val="18"/>
        </w:rPr>
        <w:t xml:space="preserve">million and $340 million, respectively. The Company's investing activities primarily consists of investments in property, plant and </w:t>
      </w:r>
      <w:r w:rsidRPr="002F3D36">
        <w:rPr>
          <w:rFonts w:ascii="Arial" w:eastAsia="宋体" w:hAnsi="Arial" w:cs="Arial"/>
          <w:color w:val="000000"/>
          <w:kern w:val="0"/>
          <w:sz w:val="18"/>
          <w:szCs w:val="18"/>
        </w:rPr>
        <w:lastRenderedPageBreak/>
        <w:t>equipment, net of cash. Net cash generated by operating activities continued to sufficiently cover capital expenditures for property, plant and equipment.</w:t>
      </w:r>
    </w:p>
    <w:p w14:paraId="45C137F6" w14:textId="77777777" w:rsidR="002F3D36" w:rsidRPr="002F3D36" w:rsidRDefault="002F3D36" w:rsidP="002F3D36">
      <w:pPr>
        <w:widowControl/>
        <w:spacing w:before="16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Capital expenditures, net was $454 million in 2021 and $340 million in 2020. The increase of $114 million mainly reflects that the level in the prior year was still low due to the pandemic</w:t>
      </w:r>
      <w:r w:rsidRPr="002F3D36">
        <w:rPr>
          <w:rFonts w:ascii="Arial" w:eastAsia="宋体" w:hAnsi="Arial" w:cs="Arial"/>
          <w:color w:val="000000"/>
          <w:kern w:val="0"/>
          <w:sz w:val="20"/>
          <w:szCs w:val="20"/>
        </w:rPr>
        <w:t xml:space="preserve">. </w:t>
      </w:r>
      <w:r w:rsidRPr="002F3D36">
        <w:rPr>
          <w:rFonts w:ascii="Arial" w:eastAsia="宋体" w:hAnsi="Arial" w:cs="Arial"/>
          <w:color w:val="000000"/>
          <w:kern w:val="0"/>
          <w:sz w:val="18"/>
          <w:szCs w:val="18"/>
        </w:rPr>
        <w:t>In relation to net sales, capital expenditures, net was 5.5% in 2021 and 4.6% in 2020.</w:t>
      </w:r>
    </w:p>
    <w:p w14:paraId="208CA938"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Depreciation and amortization totaled $394 million in 2021 compared to $371million in 2020.</w:t>
      </w:r>
    </w:p>
    <w:p w14:paraId="4F447C72"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During the years 2021 and 2020, a majority of the Company's investments were for production capacity to support new product launches and automation projects for improved efficiency. Major investments were mainly made in China, Europe and North America.</w:t>
      </w:r>
    </w:p>
    <w:p w14:paraId="1166F69C"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In 2021, investments in China were made to support revenue growth and to expand capacity and capabilities of textile production. In Europe investments were mainly related to new product launches and automatizations. In North America, the investments were mainly related to capacity expansions.</w:t>
      </w:r>
    </w:p>
    <w:p w14:paraId="360F864E"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NET CASH (USED IN) PROVIDED BY FINANCING ACTIVITIES</w:t>
      </w:r>
    </w:p>
    <w:p w14:paraId="0CA02AB1"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xml:space="preserve">Net cash (used in) provided by financing activities amounted to $(469) million and $160 million for the years 2021 and 2020, respectively. </w:t>
      </w:r>
    </w:p>
    <w:p w14:paraId="77927F4C"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In 2021, the Company paid dividends of $165 million after reinstated the dividends in the second quarter of 2021. In 2020, the Company paid dividends of $54 million in the first quarter and then suspended the dividends due to the COVID-19 pandemic for the remaining quarters.</w:t>
      </w:r>
    </w:p>
    <w:p w14:paraId="4A2A6CE3"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 xml:space="preserve">INCOME TAXES </w:t>
      </w:r>
    </w:p>
    <w:p w14:paraId="58A0180E"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The Company has reserves for taxes that may become payable in future periods as a result of tax audits. At any given time, the Company is undergoing tax audits covering multiple years in several tax jurisdictions. Ultimate outcomes are uncertain but could, in future periods, have a significant impact on the Company’s cash flows. See discussions of income taxes under Significant Accounting Policies in this section, Note 2 and Note 5 to the Consolidated Financial Statements included herein.</w:t>
      </w:r>
    </w:p>
    <w:p w14:paraId="10C7B7E4" w14:textId="77777777" w:rsidR="002F3D36" w:rsidRPr="002F3D36" w:rsidRDefault="002F3D36" w:rsidP="002F3D36">
      <w:pPr>
        <w:widowControl/>
        <w:spacing w:before="240"/>
        <w:jc w:val="center"/>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40</w:t>
      </w:r>
    </w:p>
    <w:p w14:paraId="58E66165" w14:textId="77777777" w:rsidR="002F3D36" w:rsidRPr="002F3D36" w:rsidRDefault="002F3D36" w:rsidP="002F3D36">
      <w:pPr>
        <w:widowControl/>
        <w:jc w:val="left"/>
        <w:rPr>
          <w:rFonts w:ascii="宋体" w:eastAsia="宋体" w:hAnsi="宋体" w:cs="宋体"/>
          <w:kern w:val="0"/>
          <w:sz w:val="24"/>
          <w:szCs w:val="24"/>
        </w:rPr>
      </w:pPr>
      <w:r w:rsidRPr="002F3D36">
        <w:rPr>
          <w:rFonts w:ascii="宋体" w:eastAsia="宋体" w:hAnsi="宋体" w:cs="宋体"/>
          <w:kern w:val="0"/>
          <w:sz w:val="24"/>
          <w:szCs w:val="24"/>
        </w:rPr>
        <w:pict w14:anchorId="4AEC0606">
          <v:rect id="_x0000_i1067" style="width:0;height:1.5pt" o:hralign="center" o:hrstd="t" o:hrnoshade="t" o:hr="t" fillcolor="black" stroked="f"/>
        </w:pict>
      </w:r>
    </w:p>
    <w:p w14:paraId="1933490B" w14:textId="77777777" w:rsidR="002F3D36" w:rsidRPr="002F3D36" w:rsidRDefault="002F3D36" w:rsidP="002F3D36">
      <w:pPr>
        <w:widowControl/>
        <w:spacing w:line="20" w:lineRule="atLeast"/>
        <w:jc w:val="left"/>
        <w:rPr>
          <w:rFonts w:ascii="Times New Roman" w:eastAsia="宋体" w:hAnsi="Times New Roman" w:cs="Times New Roman"/>
          <w:color w:val="000000"/>
          <w:kern w:val="0"/>
          <w:sz w:val="20"/>
          <w:szCs w:val="20"/>
        </w:rPr>
      </w:pPr>
      <w:r w:rsidRPr="002F3D36">
        <w:rPr>
          <w:rFonts w:ascii="Arial" w:eastAsia="宋体" w:hAnsi="Arial" w:cs="Arial"/>
          <w:color w:val="000000"/>
          <w:kern w:val="0"/>
          <w:sz w:val="2"/>
          <w:szCs w:val="2"/>
        </w:rPr>
        <w:t> </w:t>
      </w:r>
    </w:p>
    <w:p w14:paraId="5F85ED4E"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 xml:space="preserve">PENSION ARRANGEMENTS </w:t>
      </w:r>
    </w:p>
    <w:p w14:paraId="2FEDC006"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The Company has defined benefit pension plans covering nearly half of the U.S. employees. As of December 31, 2021, the main U.S defined benefit plan was frozen for further benefits. Many of the Company’s non-U.S. employees are also covered by pension arrangements.</w:t>
      </w:r>
    </w:p>
    <w:p w14:paraId="4EEC753A"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At December 31, 2021, the Company’s net pension liability (i.e. the actual funded status) for its U.S. and non-U.S. plans was $197 million compared to $248 million at December 31, 2020. The plans had a net unamortized actuarial loss before tax of $68 million recorded in Accumulated Other Comprehensive (Loss) Income in the Consolidated Statement of Equity at December 31, 2021, compared to $107 million at December 31, 2020. The decrease in the actuarial loss was mainly due to a decrease in the discount rate for the U.S. plans. The amortization of this loss is expected to be $1 million in 2022.</w:t>
      </w:r>
    </w:p>
    <w:p w14:paraId="605A241C"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lastRenderedPageBreak/>
        <w:t>The decrease in the total net pension liability in 2021 of $51 million was mainly due to the increase in discount rates.</w:t>
      </w:r>
    </w:p>
    <w:p w14:paraId="7D28318A"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xml:space="preserve">Pension expense associated with the defined benefit plans was $24 million in 2021 and $33 million in 2020, and is expected to be $4 million in 2022. The $9 million decrease in 2021 pension expense was mainly due to lower discount rates, a decrease in the cost of plan settlements in the U.S. and a higher expected return on assets due to the growth in the size of the assets. </w:t>
      </w:r>
    </w:p>
    <w:p w14:paraId="0A018681"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The Company contributed $25 million to its defined benefit plans in 2021 and $26 million in 2020. The Company expects to contribute $22 million to these plans in 2022 and is currently projecting a yearly funding at approximately the same level in the subsequent years.</w:t>
      </w:r>
    </w:p>
    <w:p w14:paraId="7791B0A4"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For further information about retirement plans see Note 18 to the Consolidated Financial Statements included herein.</w:t>
      </w:r>
    </w:p>
    <w:p w14:paraId="2B32831C"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 xml:space="preserve">SHAREHOLDER RETURNS </w:t>
      </w:r>
    </w:p>
    <w:p w14:paraId="4BDC82A4"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xml:space="preserve">Total cash dividends paid were $165 million in 2021 and $54 million in 2020. The Company cancelled its dividends from the second quarter 2020 due to the COVID-19 pandemic. </w:t>
      </w:r>
      <w:r w:rsidRPr="002F3D36">
        <w:rPr>
          <w:rFonts w:ascii="Arial" w:eastAsia="宋体" w:hAnsi="Arial" w:cs="Arial"/>
          <w:color w:val="000000"/>
          <w:kern w:val="0"/>
          <w:sz w:val="18"/>
          <w:szCs w:val="18"/>
          <w:shd w:val="clear" w:color="auto" w:fill="FFFFFF"/>
        </w:rPr>
        <w:t>In the second quarter of 2021 the Board of Directors reinstated quarterly dividends.</w:t>
      </w:r>
      <w:r w:rsidRPr="002F3D36">
        <w:rPr>
          <w:rFonts w:ascii="Arial" w:eastAsia="宋体" w:hAnsi="Arial" w:cs="Arial"/>
          <w:color w:val="000000"/>
          <w:kern w:val="0"/>
          <w:sz w:val="18"/>
          <w:szCs w:val="18"/>
        </w:rPr>
        <w:t xml:space="preserve"> </w:t>
      </w:r>
    </w:p>
    <w:p w14:paraId="658CB3A1"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 xml:space="preserve">EQUITY </w:t>
      </w:r>
    </w:p>
    <w:p w14:paraId="61D41076"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xml:space="preserve">During 2021, total equity increased by $225 million to $2,648 million. The change was mainly due to $437 million from net income, partially offset by dividends of $166 million and $86 million from negative foreign exchange effects. </w:t>
      </w:r>
    </w:p>
    <w:p w14:paraId="1F886B11"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aps/>
          <w:color w:val="000000"/>
          <w:kern w:val="0"/>
          <w:sz w:val="22"/>
        </w:rPr>
        <w:t>TREASURY ACTIVITES</w:t>
      </w:r>
    </w:p>
    <w:p w14:paraId="4F8029BE"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 xml:space="preserve">DEBT AND CREDIT ARRANGEMENTS </w:t>
      </w:r>
    </w:p>
    <w:p w14:paraId="02CE2B34" w14:textId="77777777" w:rsidR="002F3D36" w:rsidRPr="002F3D36" w:rsidRDefault="002F3D36" w:rsidP="002F3D36">
      <w:pPr>
        <w:widowControl/>
        <w:spacing w:before="120" w:after="20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xml:space="preserve">The Company's total debt as of December 31, 2021 and 2020 was $2,008 million and $2,411 million, respectively. The Company had a net debt position (see section Non-U.S. GAAP Performance Measures) at December 31, 2021 and 2020 of $1,052 million and $1,214 million, respectively. </w:t>
      </w:r>
    </w:p>
    <w:p w14:paraId="3A5C20D0"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xml:space="preserve">In June 2020, the Company utilized its new SEK 6,000 million facility with Swedish Export Credit Corporation which was signed in May 2020. The SEK 6,000 million facility was utilized in two different loans. One SEK 3,000 million loan maturing in 2022 carrying a floating interest rate of 3M STIBOR +1.35% and one SEK 3,000 million loan maturing in 2025 carrying a floating interest rate of 3M STIBOR +1.85%. </w:t>
      </w:r>
    </w:p>
    <w:p w14:paraId="7B63AADF"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In June 2018, the Company priced and issued 5-year notes for a total of €500 million in the Eurobond market. The notes carry a coupon of 0.75% and matures in 2023.</w:t>
      </w:r>
    </w:p>
    <w:p w14:paraId="399F1FA7"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xml:space="preserve">In July 2016, the Company refinanced its existing revolving credit facility (RCF) of $1,100 million. The facility, syndicated among 14 banks, originally maturing in July 2021 with two extension options, each for an additional year. The extension options have been used by the Company and the maturity date for the facility has been extended to July 2023. The Company pays a commitment fee on the undrawn amount of 0.1%, representing 35% of the applicable margin, which is 0.375% (given the Company’s rating of “BBB” from S&amp;P Global Ratings at May 28, 2020). Borrowings under the facility are unsecured and bear interest based on the relevant LIBOR or IBOR rate. At December 31, 2021, the RCF of $1,100 million was </w:t>
      </w:r>
      <w:r w:rsidRPr="002F3D36">
        <w:rPr>
          <w:rFonts w:ascii="Arial" w:eastAsia="宋体" w:hAnsi="Arial" w:cs="Arial"/>
          <w:color w:val="000000"/>
          <w:kern w:val="0"/>
          <w:sz w:val="18"/>
          <w:szCs w:val="18"/>
        </w:rPr>
        <w:lastRenderedPageBreak/>
        <w:t>unutilized. This facility is not subject to any financial covenants nor is any other substantial financing of Autoliv.</w:t>
      </w:r>
    </w:p>
    <w:p w14:paraId="288E2036"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In 2014, the Company issued and sold long-term debt securities in a U.S. Private Placement pursuant to a Note Purchase and Guaranty Agreement dated April 23, 2014, by and among Autoliv ASP Inc., the Company and the purchasers listed therein. As of December 31, 2021, $767 million remains outstanding from the 2014 issuance.</w:t>
      </w:r>
    </w:p>
    <w:p w14:paraId="6F768996"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The Company has a €3,000 million Euro Medium Term Note Program in place for being able to issue notes to be traded on the Global Exchange Market of Euronext Dublin. On December 31, 2021, no notes had been issued under this program.</w:t>
      </w:r>
    </w:p>
    <w:p w14:paraId="318934C2"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At December 31, 2021,</w:t>
      </w:r>
      <w:r w:rsidRPr="002F3D36">
        <w:rPr>
          <w:rFonts w:ascii="Arial" w:eastAsia="宋体" w:hAnsi="Arial" w:cs="Arial"/>
          <w:color w:val="FF0000"/>
          <w:kern w:val="0"/>
          <w:sz w:val="18"/>
          <w:szCs w:val="18"/>
        </w:rPr>
        <w:t xml:space="preserve"> </w:t>
      </w:r>
      <w:r w:rsidRPr="002F3D36">
        <w:rPr>
          <w:rFonts w:ascii="Arial" w:eastAsia="宋体" w:hAnsi="Arial" w:cs="Arial"/>
          <w:color w:val="000000"/>
          <w:kern w:val="0"/>
          <w:sz w:val="18"/>
          <w:szCs w:val="18"/>
        </w:rPr>
        <w:t>Autoliv’s long-term credit rating from S&amp;P Global Ratings was BBB with stable outlook. The Company aims to maintain a strong investment grade credit rating.</w:t>
      </w:r>
    </w:p>
    <w:p w14:paraId="77B9B44A"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For additional information about the Company's debt and credit arrangements, see Note 13 to the Consolidated Financial Statements included herein.</w:t>
      </w:r>
    </w:p>
    <w:p w14:paraId="2A467578" w14:textId="77777777" w:rsidR="002F3D36" w:rsidRPr="002F3D36" w:rsidRDefault="002F3D36" w:rsidP="002F3D36">
      <w:pPr>
        <w:widowControl/>
        <w:spacing w:before="240"/>
        <w:jc w:val="center"/>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41</w:t>
      </w:r>
    </w:p>
    <w:p w14:paraId="6C15365C" w14:textId="77777777" w:rsidR="002F3D36" w:rsidRPr="002F3D36" w:rsidRDefault="002F3D36" w:rsidP="002F3D36">
      <w:pPr>
        <w:widowControl/>
        <w:jc w:val="left"/>
        <w:rPr>
          <w:rFonts w:ascii="宋体" w:eastAsia="宋体" w:hAnsi="宋体" w:cs="宋体"/>
          <w:kern w:val="0"/>
          <w:sz w:val="24"/>
          <w:szCs w:val="24"/>
        </w:rPr>
      </w:pPr>
      <w:r w:rsidRPr="002F3D36">
        <w:rPr>
          <w:rFonts w:ascii="宋体" w:eastAsia="宋体" w:hAnsi="宋体" w:cs="宋体"/>
          <w:kern w:val="0"/>
          <w:sz w:val="24"/>
          <w:szCs w:val="24"/>
        </w:rPr>
        <w:pict w14:anchorId="5BAFF283">
          <v:rect id="_x0000_i1068" style="width:0;height:1.5pt" o:hralign="center" o:hrstd="t" o:hrnoshade="t" o:hr="t" fillcolor="black" stroked="f"/>
        </w:pict>
      </w:r>
    </w:p>
    <w:p w14:paraId="04D3695A" w14:textId="77777777" w:rsidR="002F3D36" w:rsidRPr="002F3D36" w:rsidRDefault="002F3D36" w:rsidP="002F3D36">
      <w:pPr>
        <w:widowControl/>
        <w:spacing w:line="20" w:lineRule="atLeast"/>
        <w:jc w:val="left"/>
        <w:rPr>
          <w:rFonts w:ascii="Times New Roman" w:eastAsia="宋体" w:hAnsi="Times New Roman" w:cs="Times New Roman"/>
          <w:color w:val="000000"/>
          <w:kern w:val="0"/>
          <w:sz w:val="20"/>
          <w:szCs w:val="20"/>
        </w:rPr>
      </w:pPr>
      <w:r w:rsidRPr="002F3D36">
        <w:rPr>
          <w:rFonts w:ascii="Arial" w:eastAsia="宋体" w:hAnsi="Arial" w:cs="Arial"/>
          <w:color w:val="000000"/>
          <w:kern w:val="0"/>
          <w:sz w:val="2"/>
          <w:szCs w:val="2"/>
        </w:rPr>
        <w:t> </w:t>
      </w:r>
    </w:p>
    <w:p w14:paraId="3D7D53F9"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FACTORING</w:t>
      </w:r>
    </w:p>
    <w:p w14:paraId="0C0B4CBB"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During 2021 and 2020, the Company sold receivables and discounted notes related to selected customers. These factoring arrangements increase cash while reducing accounts receivable and customer risks. At December 31, 2021, the Company had received $159 million for sold receivables without recourse and discounted notes with a discount cost of $2 million during the year, compared to $161 million at December 31, 2020 with a discount cost of $3 million recorded in Other non-operating items, net.</w:t>
      </w:r>
    </w:p>
    <w:p w14:paraId="288B4A2C"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NUMBER OF SHARES</w:t>
      </w:r>
    </w:p>
    <w:p w14:paraId="02A94238"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At December 31, 2021, 87.5 million shares were outstanding (net of 15.3 million treasury shares), a 0.1% increase from 87.4 million one year earlier.</w:t>
      </w:r>
    </w:p>
    <w:p w14:paraId="325E15B8" w14:textId="77777777" w:rsidR="002F3D36" w:rsidRPr="002F3D36" w:rsidRDefault="002F3D36" w:rsidP="002F3D36">
      <w:pPr>
        <w:widowControl/>
        <w:spacing w:before="24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The number of shares outstanding is expected to increase by 0.4 million when all Restricted Stock Units (RSU) and Performance Shares (PSs) vest and if all stock options (SOs) to key employees are exercised, see Note 16 to the Consolidated Financial Statements included herein.</w:t>
      </w:r>
    </w:p>
    <w:p w14:paraId="5E73F03D" w14:textId="77777777" w:rsidR="002F3D36" w:rsidRPr="002F3D36" w:rsidRDefault="002F3D36" w:rsidP="002F3D36">
      <w:pPr>
        <w:widowControl/>
        <w:spacing w:before="24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In total, Autoliv has repurchased 44.5 million shares under its stock repurchase program between May 2000 and December 2021 for cash of $2,498 million, including commissions. The average cost per share for all repurchased shares to date is $56.13. No stock repurchases were made in 2021. Purchases can be made from time to time as market and business conditions warrant in open market, negotiated or block transactions. On December 31, 2021, the stock repurchase program authorized by the Board of Directors in 2014 expired with approximately 3 million shares remaining. In November 2021, the Board of Directors approved a new stock repurchase program that authorizes the Company to re</w:t>
      </w:r>
      <w:r w:rsidRPr="002F3D36">
        <w:rPr>
          <w:rFonts w:ascii="Arial" w:eastAsia="宋体" w:hAnsi="Arial" w:cs="Arial"/>
          <w:color w:val="000000"/>
          <w:kern w:val="0"/>
          <w:sz w:val="18"/>
          <w:szCs w:val="18"/>
          <w:shd w:val="clear" w:color="auto" w:fill="FFFFFF"/>
        </w:rPr>
        <w:t>purchase up to $1.5 billion or up to 17 million shares (whichever comes first) between January 2022 and the end of 2024.</w:t>
      </w:r>
    </w:p>
    <w:p w14:paraId="20D42E14"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22"/>
        </w:rPr>
        <w:lastRenderedPageBreak/>
        <w:t xml:space="preserve">Contractual Obligations and Commitments </w:t>
      </w:r>
    </w:p>
    <w:p w14:paraId="06F8678C"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Contractual obligations include debt, sponsored defined benefit plans, lease and purchase obligations that are enforceable and legally binding on the Company.</w:t>
      </w:r>
    </w:p>
    <w:p w14:paraId="02A914C5"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xml:space="preserve">For material contractual debt obligations as of December 31, 2021, see Note 13 to the Consolidated Financial Statements included herein. </w:t>
      </w:r>
    </w:p>
    <w:p w14:paraId="2B8E71CE"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Operating lease obligations represent the payment obligations (undiscounted cash flows) under leases classified as operating leases. Capital lease obligations are not material. See Note 3 to the Consolidated Financial Statements included herein.</w:t>
      </w:r>
    </w:p>
    <w:p w14:paraId="12B0B412"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There are no unconditional purchase obligations other than short-term obligations related to inventory, services, tooling, and property, plant and equipment purchased in the ordinary course of business. Purchase agreements with suppliers entered into in the ordinary course of business do not generally include fixed quantities. Quantities and delivery dates are established in “call off plans” accessible electronically for all customers and suppliers involved. Communicated “call off plans” for production material from suppliers are normally reflected in equivalent commitments from Autoliv customers.</w:t>
      </w:r>
    </w:p>
    <w:p w14:paraId="1FF8E4EB"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The Company sponsors defined benefit plans that cover a significant portion of the Company's U.S. employees and certain non-U.S. employees. The pension plans in the U.S. are funded in conformity with the minimum funding requirements of the Pension Protection Act of 2006. Funding for the Company's pension plans in other countries is based upon plan provisions, actuarial recommendations and/or statutory requirements. Due to volatility associated with future changes in interest rates and plan asset returns, the Company cannot predict with reasonable reliability the timing and amounts of future funding requirements. The Company may elect to make contributions in excess of the minimum funding requirements for the U.S. plans in response to investment performance and changes in interest rates, or when the Company believes that it is financially advantageous to do so and based on other capital requirements. See Note 18 to the Consolidated Financial Statements included herein.</w:t>
      </w:r>
    </w:p>
    <w:p w14:paraId="2A72BEB3"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22"/>
        </w:rPr>
        <w:t xml:space="preserve">Risks and Risk Management </w:t>
      </w:r>
    </w:p>
    <w:p w14:paraId="0F0A9CC4"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The Company is exposed to several categories of risks. They can broadly be categorized as operational risks, strategic risks and financial risks. Some of the major risks in each category are described below. There are also other risks that could have a material effect on the Company’s results and financial position, and the description below is not complete but should be read in conjunction with the discussion of risks described in Item 1A above, which contains a description of the Company's material risks.</w:t>
      </w:r>
    </w:p>
    <w:p w14:paraId="252CC679"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As described below, the Company has taken several mitigating actions, applied numerous strategies, adopted policies, and introduced control and reporting systems to reduce and mitigate these risks. In addition, the Company from time to time identifies and evaluates emerging or changing risks to the Company in order to ensure that identified risks and related risk management are updated in this fast-moving environment.</w:t>
      </w:r>
    </w:p>
    <w:p w14:paraId="41C6DD6F" w14:textId="77777777" w:rsidR="002F3D36" w:rsidRPr="002F3D36" w:rsidRDefault="002F3D36" w:rsidP="002F3D36">
      <w:pPr>
        <w:widowControl/>
        <w:spacing w:before="240"/>
        <w:jc w:val="center"/>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42</w:t>
      </w:r>
    </w:p>
    <w:p w14:paraId="0529BE20" w14:textId="77777777" w:rsidR="002F3D36" w:rsidRPr="002F3D36" w:rsidRDefault="002F3D36" w:rsidP="002F3D36">
      <w:pPr>
        <w:widowControl/>
        <w:jc w:val="left"/>
        <w:rPr>
          <w:rFonts w:ascii="宋体" w:eastAsia="宋体" w:hAnsi="宋体" w:cs="宋体"/>
          <w:kern w:val="0"/>
          <w:sz w:val="24"/>
          <w:szCs w:val="24"/>
        </w:rPr>
      </w:pPr>
      <w:r w:rsidRPr="002F3D36">
        <w:rPr>
          <w:rFonts w:ascii="宋体" w:eastAsia="宋体" w:hAnsi="宋体" w:cs="宋体"/>
          <w:kern w:val="0"/>
          <w:sz w:val="24"/>
          <w:szCs w:val="24"/>
        </w:rPr>
        <w:pict w14:anchorId="07F77FBC">
          <v:rect id="_x0000_i1069" style="width:0;height:1.5pt" o:hralign="center" o:hrstd="t" o:hrnoshade="t" o:hr="t" fillcolor="black" stroked="f"/>
        </w:pict>
      </w:r>
    </w:p>
    <w:p w14:paraId="2D6F7A16" w14:textId="77777777" w:rsidR="002F3D36" w:rsidRPr="002F3D36" w:rsidRDefault="002F3D36" w:rsidP="002F3D36">
      <w:pPr>
        <w:widowControl/>
        <w:spacing w:line="20" w:lineRule="atLeast"/>
        <w:jc w:val="left"/>
        <w:rPr>
          <w:rFonts w:ascii="Times New Roman" w:eastAsia="宋体" w:hAnsi="Times New Roman" w:cs="Times New Roman"/>
          <w:color w:val="000000"/>
          <w:kern w:val="0"/>
          <w:sz w:val="20"/>
          <w:szCs w:val="20"/>
        </w:rPr>
      </w:pPr>
      <w:r w:rsidRPr="002F3D36">
        <w:rPr>
          <w:rFonts w:ascii="Arial" w:eastAsia="宋体" w:hAnsi="Arial" w:cs="Arial"/>
          <w:color w:val="000000"/>
          <w:kern w:val="0"/>
          <w:sz w:val="2"/>
          <w:szCs w:val="2"/>
        </w:rPr>
        <w:t> </w:t>
      </w:r>
    </w:p>
    <w:p w14:paraId="28AB7B21"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22"/>
        </w:rPr>
        <w:t xml:space="preserve">Operational Risks </w:t>
      </w:r>
    </w:p>
    <w:p w14:paraId="559F725C" w14:textId="77777777" w:rsidR="002F3D36" w:rsidRPr="002F3D36" w:rsidRDefault="002F3D36" w:rsidP="002F3D36">
      <w:pPr>
        <w:widowControl/>
        <w:spacing w:before="120"/>
        <w:jc w:val="left"/>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lastRenderedPageBreak/>
        <w:t xml:space="preserve">LIGHT VEHICLE PRODUCTION </w:t>
      </w:r>
    </w:p>
    <w:p w14:paraId="60F3174D"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Around 30% of Autoliv’s costs are fixed; therefore, short-term earnings are dependent on sales volumes and highly dependent on capacity utilization in the Company’s plants.</w:t>
      </w:r>
    </w:p>
    <w:p w14:paraId="68D1C3AE"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xml:space="preserve">Global LVP is an indicator of the Company’s sales development. Ultimately, however, sales are determined by the production levels for the individual vehicle models for which Autoliv is a supplier (see Dependence on Customers). The Company’s sales are split over several hundred contracts covering more than 1,100 vehicle models. This moderates the effect of changes in vehicle demand of individual countries and regions as well as production issues. The risk of fluctuating sales has also been mitigated by Autoliv’s rapid expansion in Asia and other growth markets, which has reduced the Company’s former high dependence on sales in Europe to a diversified mix with Europe, the Americas and Asia each accounting for roughly 30% to 40% of the Company's 2021 total sales. </w:t>
      </w:r>
    </w:p>
    <w:p w14:paraId="524CDAD4"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xml:space="preserve">It is the Company’s strategy to reduce the risk of fluctuating LVP by using a high number of temporary personnel instead of permanent personnel in direct production. During 2021 and 2020, the level of temporary personnel in relation to total personnel in direct production was 9% and 13%, respectively. To reduce the potential impact of unusual fluctuations in the production of vehicle models supplied by the Company such as during the financial crisis in 2008-2009 and the COVID-19 pandemic in 2020-2021 – it is also necessary for the Company to be prepared to quickly adapt the level of permanent employees as well as fixed cost production capacity. </w:t>
      </w:r>
    </w:p>
    <w:p w14:paraId="6973D114"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PRICING PRESSURE</w:t>
      </w:r>
    </w:p>
    <w:p w14:paraId="1B28D2D8"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Pricing pressure from customers is an inherent part of the automotive components business. The extent of price reductions varies from year to year and takes the form of one time give backs, reductions in direct sales prices and/or discounted reimbursements for engineering work.</w:t>
      </w:r>
    </w:p>
    <w:p w14:paraId="082D7580"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In response, Autoliv is continuously engaged in efforts to reduce costs and to provide customers added value by developing new products. Generally, the speed by which these cost-reduction programs generate results will, to a large extent, determine the future profitability of the Company. The various cost-reduction programs are, to a considerable extent, interrelated. This interrelationship makes it difficult to isolate the impact of costs on any single program, therefore, the Company monitors key measures such as costs in relation to sales and productivity.</w:t>
      </w:r>
    </w:p>
    <w:p w14:paraId="5301587C"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COMPONENT COSTS AND RAW MATERIAL PRICES</w:t>
      </w:r>
    </w:p>
    <w:p w14:paraId="75AC7498"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The cost of direct materials was approximately 50% of sales in 2021, of which approximately half is the raw material cost portion.</w:t>
      </w:r>
    </w:p>
    <w:p w14:paraId="7401EC78"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xml:space="preserve">The main raw materials being used as input material for Autoliv operations are steel, textiles, plastic and non-ferrous metals. The Company saw a significant inflation in 2021 with respect to rising raw material costs due to very high market prices. Semiconductor shortages hampered the global auto production and caused disturbances in the second half of 2021. There are also supply chain difficulties related to freight capacity and import tariffs imposed by the United States and other countries. The low schedule reliability in freight and the import tariffs are impacting the raw material market and creating pricing and availability uncertainties. </w:t>
      </w:r>
    </w:p>
    <w:p w14:paraId="08D99E2D"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lastRenderedPageBreak/>
        <w:t>The Company takes several actions to mitigate raw material price increases, such as competitive sourcing and exploring alternative materials.</w:t>
      </w:r>
    </w:p>
    <w:p w14:paraId="1F95CB17"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LEGAL</w:t>
      </w:r>
    </w:p>
    <w:p w14:paraId="509CE14F"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The Company is involved from time to time in regulatory, commercial and contractual legal proceedings that may be significant, and the Company’s business may suffer as a result of adverse outcomes of current or future legal proceedings. These claims may include, without limitation, commercial or contractual disputes, including disputes with the Company’s suppliers and customers, intellectual property matters, alleged violations of laws, rules or regulations, governmental investigations, personal injury claims, product liability claims, environmental issues, tax and customs matters, and employment matters.</w:t>
      </w:r>
    </w:p>
    <w:p w14:paraId="2D7C7721"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A substantial legal liability or adverse regulatory outcome and the substantial cost to defend the litigation or regulatory proceedings may have an adverse effect on the Company’s business, operating results, financial condition, cash flows and reputation.</w:t>
      </w:r>
    </w:p>
    <w:p w14:paraId="1AF30841"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No assurances can be given that such proceedings and claims will not have a material adverse impact on the Company’s profitability and consolidated financial position, or that reserves or insurance will mitigate such impact. See Note 17 to the Consolidated Financial Statements included herein and Item 3 – Legal Proceedings.</w:t>
      </w:r>
    </w:p>
    <w:p w14:paraId="7890623A" w14:textId="77777777" w:rsidR="002F3D36" w:rsidRPr="002F3D36" w:rsidRDefault="002F3D36" w:rsidP="002F3D36">
      <w:pPr>
        <w:widowControl/>
        <w:spacing w:before="240"/>
        <w:jc w:val="center"/>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43</w:t>
      </w:r>
    </w:p>
    <w:p w14:paraId="56154940" w14:textId="77777777" w:rsidR="002F3D36" w:rsidRPr="002F3D36" w:rsidRDefault="002F3D36" w:rsidP="002F3D36">
      <w:pPr>
        <w:widowControl/>
        <w:jc w:val="left"/>
        <w:rPr>
          <w:rFonts w:ascii="宋体" w:eastAsia="宋体" w:hAnsi="宋体" w:cs="宋体"/>
          <w:kern w:val="0"/>
          <w:sz w:val="24"/>
          <w:szCs w:val="24"/>
        </w:rPr>
      </w:pPr>
      <w:r w:rsidRPr="002F3D36">
        <w:rPr>
          <w:rFonts w:ascii="宋体" w:eastAsia="宋体" w:hAnsi="宋体" w:cs="宋体"/>
          <w:kern w:val="0"/>
          <w:sz w:val="24"/>
          <w:szCs w:val="24"/>
        </w:rPr>
        <w:pict w14:anchorId="3CEBF13D">
          <v:rect id="_x0000_i1070" style="width:0;height:1.5pt" o:hralign="center" o:hrstd="t" o:hrnoshade="t" o:hr="t" fillcolor="black" stroked="f"/>
        </w:pict>
      </w:r>
    </w:p>
    <w:p w14:paraId="09A7F199" w14:textId="77777777" w:rsidR="002F3D36" w:rsidRPr="002F3D36" w:rsidRDefault="002F3D36" w:rsidP="002F3D36">
      <w:pPr>
        <w:widowControl/>
        <w:spacing w:line="20" w:lineRule="atLeast"/>
        <w:jc w:val="left"/>
        <w:rPr>
          <w:rFonts w:ascii="Times New Roman" w:eastAsia="宋体" w:hAnsi="Times New Roman" w:cs="Times New Roman"/>
          <w:color w:val="000000"/>
          <w:kern w:val="0"/>
          <w:sz w:val="20"/>
          <w:szCs w:val="20"/>
        </w:rPr>
      </w:pPr>
      <w:r w:rsidRPr="002F3D36">
        <w:rPr>
          <w:rFonts w:ascii="Arial" w:eastAsia="宋体" w:hAnsi="Arial" w:cs="Arial"/>
          <w:color w:val="000000"/>
          <w:kern w:val="0"/>
          <w:sz w:val="2"/>
          <w:szCs w:val="2"/>
        </w:rPr>
        <w:t> </w:t>
      </w:r>
    </w:p>
    <w:p w14:paraId="0AEC29CA"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PRODUCT WARRANTY AND RECALLS</w:t>
      </w:r>
    </w:p>
    <w:p w14:paraId="210BEE7F"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If our products are alleged to fail to perform as expected or are defective, the Company may be exposed to various claims for damages and compensation. Such claims may result in costs and other losses to the Company even where the relevant product is eventually found to have functioned properly. If a product (actually or allegedly) fails to perform as expected or is defective, we may face warranty and recall claims. If such actual or alleged failure or defect results, or is alleged to result, in bodily injury and/or property damage, we may also face product liability and other claims. The Company may experience material warranty, recall, product or other liability claims or losses in the future, and the Company may incur significant cost to defend against such claims. The Company may be required to participate in a recall involving its products. Each vehicle manufacturer has its own practices regarding product recalls and other product liability actions relating to its suppliers. Government safety regulators also have policies and practices with respect to recalls. As suppliers become more integrally involved in the vehicle design process and assume more of the vehicle assembly functions, vehicle manufacturers are increasingly looking to their suppliers for contribution when faced with recalls and product liability claims. In addition, with global platforms and procedures, vehicle manufacturers are increasingly evaluating our quality performance on a global basis. Any one or more quality, warranty or other recall issue(s), including the ones affecting few units and/or having a small financial impact, may cause a vehicle manufacturer to implement measures which may have a severe impact on the Company’s operations, such as a temporary or prolonged suspension of new orders or the Company’s ability to bid for new business.</w:t>
      </w:r>
    </w:p>
    <w:p w14:paraId="61C935E2"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lastRenderedPageBreak/>
        <w:t>In addition, over time, there is a risk that the number of vehicles affected by a failure or defect will increase significantly (as would the Company’s costs), since our products often use global designs and are increasingly based on or utilize the same or similar parts, components or solutions.</w:t>
      </w:r>
    </w:p>
    <w:p w14:paraId="7F24FE55"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xml:space="preserve">Although quality has always been a central focus in the automotive industry, especially for safety products, our customers and regulators have become increasingly attentive to quality with even less tolerance for any deviations, which has resulted in an increase in the number of automotive recalls. This trend is likely to continue as automobile manufacturers introduce even stricter quality requirements and regulating agencies and other authorities increase the level of scrutiny given to vehicle safety issues. A warranty recall or a product liability claim brought against the Company in excess of the Company’s insurance may have a material adverse effect on its business and/or financial results. Vehicle manufacturers are also increasingly requiring their external suppliers to guarantee or warrant their products and bear the costs of repair and replacement of such products under new vehicle warranties. A vehicle manufacturer may attempt to hold the Company responsible for some or all of the repair or replacement costs of defective products under new vehicle warranties when the product supplied did not perform as represented. Additionally, a customer may not allow us to bid for expiring or new business until certain remedial steps have been taken. Accordingly, the future costs of warranty claims by the Company’s customers may be material. </w:t>
      </w:r>
    </w:p>
    <w:p w14:paraId="493DFDE9"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The Company’s warranty reserves are based upon management’s best estimates of amounts necessary to settle future and existing claims. Management regularly evaluates the appropriateness of these reserves and adjusts them when we believe it is appropriate to do so. However, the final amounts determined to be due could differ materially from the Company’s recorded estimates. We believe our established reserves are adequate to cover potential warranty settlements typically seen in our business.</w:t>
      </w:r>
    </w:p>
    <w:p w14:paraId="6A42B75F"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The Company’s strategy is to follow a stringent procedure when developing new products and technologies and to apply a proactive “zero-defect” quality policy (see section Quality Management). In addition, the Company maintains a program of insurance, which may include commercial insurance, self-insurance, or a combination of both approaches, for potential recall and product liability claims in amounts and on terms that it believes are reasonable and prudent based on our prior claims experience. However, such insurance may not be sufficient to cover every possible claim that can arise in the Company’s businesses, now or in the future, or may not always will be available should the Company, now or in the future, wish to extend, renew, increase or otherwise adjust such insurance. In recent years, the cost of recall and product liability insurance as well as the Company’s level of self-insurance and deductibles has increased. Management’s decision regarding what insurance to procure is also impacted by the cost for such insurance. As a result, the Company may face material losses in excess of the insurance coverage procured. A substantial recall or liability in excess of coverage levels could therefore have a material adverse effect on the Company.</w:t>
      </w:r>
    </w:p>
    <w:p w14:paraId="1C81AEA6"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ENVIRONMENTAL</w:t>
      </w:r>
    </w:p>
    <w:p w14:paraId="3615E8CD"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xml:space="preserve">Most of the Company’s manufacturing processes consist of the assembly of components. As a result, the environmental impact from the Company’s plants is generally modest. While the Company’s businesses from time to time are subject to environmental investigations, there are no material environmental-related cases pending against the Company. Therefore, Autoliv does not incur (or expect to incur) any material costs or capital expenditures associated with maintaining facilities compliant with U.S. or non-U.S. environmental requirements. To reduce environmental risk, the Company has implemented an </w:t>
      </w:r>
      <w:r w:rsidRPr="002F3D36">
        <w:rPr>
          <w:rFonts w:ascii="Arial" w:eastAsia="宋体" w:hAnsi="Arial" w:cs="Arial"/>
          <w:color w:val="000000"/>
          <w:kern w:val="0"/>
          <w:sz w:val="18"/>
          <w:szCs w:val="18"/>
        </w:rPr>
        <w:lastRenderedPageBreak/>
        <w:t>environmental management system in all plants globally and has adopted an environmental policy (see corporate website www.autoliv.com).</w:t>
      </w:r>
    </w:p>
    <w:p w14:paraId="0190D9CB"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Autoliv is subject to a number of environmental and occupational health and safety laws and regulations. Such requirements are complex and are generally becoming more stringent over time. There can be no assurance that these requirements will not change in the future, or that the Company will at all times be in compliance with all such requirements and regulations, despite its intention to be. The Company may also find itself subject, possibly due to changes in legislation or other regulation, to environmental liabilities based on the activities of its predecessor entities or of businesses acquired. Such liability could be based on activities which are not related to the Company’s current activities.</w:t>
      </w:r>
    </w:p>
    <w:p w14:paraId="2CFFE1A4" w14:textId="77777777" w:rsidR="002F3D36" w:rsidRPr="002F3D36" w:rsidRDefault="002F3D36" w:rsidP="002F3D36">
      <w:pPr>
        <w:widowControl/>
        <w:spacing w:before="1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TRADE</w:t>
      </w:r>
    </w:p>
    <w:p w14:paraId="6F802073"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xml:space="preserve">Autoliv is subject to various international trade regulations and regimes and changes in these regimes could lead to increased compliance costs and costs of raw materials and other components. In addition, political conditions leading to trade conflicts and the imposition of tariffs or other trade barriers between countries in which the Company does business could increase its costs of doing business. </w:t>
      </w:r>
    </w:p>
    <w:p w14:paraId="2169D93F" w14:textId="77777777" w:rsidR="002F3D36" w:rsidRPr="002F3D36" w:rsidRDefault="002F3D36" w:rsidP="002F3D36">
      <w:pPr>
        <w:widowControl/>
        <w:spacing w:before="240"/>
        <w:jc w:val="center"/>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44</w:t>
      </w:r>
    </w:p>
    <w:p w14:paraId="74C012AF" w14:textId="77777777" w:rsidR="002F3D36" w:rsidRPr="002F3D36" w:rsidRDefault="002F3D36" w:rsidP="002F3D36">
      <w:pPr>
        <w:widowControl/>
        <w:jc w:val="left"/>
        <w:rPr>
          <w:rFonts w:ascii="宋体" w:eastAsia="宋体" w:hAnsi="宋体" w:cs="宋体"/>
          <w:kern w:val="0"/>
          <w:sz w:val="24"/>
          <w:szCs w:val="24"/>
        </w:rPr>
      </w:pPr>
      <w:r w:rsidRPr="002F3D36">
        <w:rPr>
          <w:rFonts w:ascii="宋体" w:eastAsia="宋体" w:hAnsi="宋体" w:cs="宋体"/>
          <w:kern w:val="0"/>
          <w:sz w:val="24"/>
          <w:szCs w:val="24"/>
        </w:rPr>
        <w:pict w14:anchorId="429295DD">
          <v:rect id="_x0000_i1071" style="width:0;height:1.5pt" o:hralign="center" o:hrstd="t" o:hrnoshade="t" o:hr="t" fillcolor="black" stroked="f"/>
        </w:pict>
      </w:r>
    </w:p>
    <w:p w14:paraId="0799CAC0" w14:textId="77777777" w:rsidR="002F3D36" w:rsidRPr="002F3D36" w:rsidRDefault="002F3D36" w:rsidP="002F3D36">
      <w:pPr>
        <w:widowControl/>
        <w:spacing w:line="20" w:lineRule="atLeast"/>
        <w:jc w:val="left"/>
        <w:rPr>
          <w:rFonts w:ascii="Times New Roman" w:eastAsia="宋体" w:hAnsi="Times New Roman" w:cs="Times New Roman"/>
          <w:color w:val="000000"/>
          <w:kern w:val="0"/>
          <w:sz w:val="20"/>
          <w:szCs w:val="20"/>
        </w:rPr>
      </w:pPr>
      <w:r w:rsidRPr="002F3D36">
        <w:rPr>
          <w:rFonts w:ascii="Arial" w:eastAsia="宋体" w:hAnsi="Arial" w:cs="Arial"/>
          <w:color w:val="000000"/>
          <w:kern w:val="0"/>
          <w:sz w:val="2"/>
          <w:szCs w:val="2"/>
        </w:rPr>
        <w:t> </w:t>
      </w:r>
    </w:p>
    <w:p w14:paraId="3203CEF0" w14:textId="77777777" w:rsidR="002F3D36" w:rsidRPr="002F3D36" w:rsidRDefault="002F3D36" w:rsidP="002F3D36">
      <w:pPr>
        <w:widowControl/>
        <w:spacing w:before="16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22"/>
        </w:rPr>
        <w:t>Strategic Risks</w:t>
      </w:r>
    </w:p>
    <w:p w14:paraId="5726A6F3"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REGULATIONS</w:t>
      </w:r>
    </w:p>
    <w:p w14:paraId="00DFA959"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In addition to vehicle production, the Company’s market is driven by the safety content per vehicle, which is affected by new regulations and new vehicle rating programs, in addition to consumer demand for new safety technologies.</w:t>
      </w:r>
    </w:p>
    <w:p w14:paraId="1F70727B"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shd w:val="clear" w:color="auto" w:fill="FFFFFF"/>
        </w:rPr>
        <w:t>The most important regulations are the seatbelt installation laws that exist in all vehicle-producing countries. Many countries also have strict enforcement laws on the wearing of seatbelts. Another significant vehicle safety regulation is the U.S. federal law that, since 1997, requires frontal airbags for both the driver and the front-seat passenger in all new vehicles sold in the U.S.</w:t>
      </w:r>
    </w:p>
    <w:p w14:paraId="37E4A689"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shd w:val="clear" w:color="auto" w:fill="FFFFFF"/>
        </w:rPr>
        <w:t>In 2007, the U.S. adopted new regulations for head impact and enhanced thorax protection in side impact crashes, which now have been fully phased-in. China introduced a vehicle rating program in 2006 and during the past 15 years this China NCAP, together with the new additional rating program CIASI from 2019, drive Chinese vehicle safety performance and safety content with regards to crashworthiness and occupant protection. Latin America introduced a basic rating program in 2010 followed by ASEAN NCAP in Southeast Asia in 2011, and Global NCAP that is rating vehicles sold in significant emerging markets like India. Several countries, e.g., Malaysia and Thailand, are increasingly adopting the UN Regulations regarding vehicle safety under the UN 1958 agreement, and Malaysia started a world first motorcycle safety rating program in 2021.</w:t>
      </w:r>
      <w:r w:rsidRPr="002F3D36">
        <w:rPr>
          <w:rFonts w:ascii="Arial" w:eastAsia="宋体" w:hAnsi="Arial" w:cs="Arial"/>
          <w:color w:val="000000"/>
          <w:kern w:val="0"/>
          <w:sz w:val="18"/>
          <w:szCs w:val="18"/>
        </w:rPr>
        <w:t xml:space="preserve"> </w:t>
      </w:r>
    </w:p>
    <w:p w14:paraId="59D5B08B"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shd w:val="clear" w:color="auto" w:fill="FFFFFF"/>
        </w:rPr>
        <w:t xml:space="preserve">The United States upgraded its vehicle rating program in 2010 and Europe upgraded the Euro NCAP rating system during 2018. Euro NCAP is midway of a new upgrade, which will be fully implemented by 2025. Japan and South Korea are continuously upgrading their respective vehicle rating programs, JNCAP and KNCAP respectively. India requires frontal airbags for the driver from July 2019, and passenger airbags from 2021 for all new passenger vehicles (M1). Vehicles with automated driving </w:t>
      </w:r>
      <w:r w:rsidRPr="002F3D36">
        <w:rPr>
          <w:rFonts w:ascii="Arial" w:eastAsia="宋体" w:hAnsi="Arial" w:cs="Arial"/>
          <w:color w:val="000000"/>
          <w:kern w:val="0"/>
          <w:sz w:val="18"/>
          <w:szCs w:val="18"/>
          <w:shd w:val="clear" w:color="auto" w:fill="FFFFFF"/>
        </w:rPr>
        <w:lastRenderedPageBreak/>
        <w:t>systems (ADS) are expected to provide additional opportunities through integration of protective safety systems with ADAS technologies, as well as new vehicle interior layouts and seating configurations.</w:t>
      </w:r>
      <w:r w:rsidRPr="002F3D36">
        <w:rPr>
          <w:rFonts w:ascii="Arial" w:eastAsia="宋体" w:hAnsi="Arial" w:cs="Arial"/>
          <w:color w:val="000000"/>
          <w:kern w:val="0"/>
          <w:sz w:val="18"/>
          <w:szCs w:val="18"/>
        </w:rPr>
        <w:t xml:space="preserve"> </w:t>
      </w:r>
    </w:p>
    <w:p w14:paraId="75E2B3B0"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shd w:val="clear" w:color="auto" w:fill="FFFFFF"/>
        </w:rPr>
        <w:t>There are also other plans for improved automotive safety, both in these countries and others that could affect the Company’s market.</w:t>
      </w:r>
      <w:r w:rsidRPr="002F3D36">
        <w:rPr>
          <w:rFonts w:ascii="Arial" w:eastAsia="宋体" w:hAnsi="Arial" w:cs="Arial"/>
          <w:color w:val="000000"/>
          <w:kern w:val="0"/>
          <w:sz w:val="20"/>
          <w:szCs w:val="20"/>
          <w:shd w:val="clear" w:color="auto" w:fill="FFFFFF"/>
        </w:rPr>
        <w:t xml:space="preserve"> </w:t>
      </w:r>
      <w:r w:rsidRPr="002F3D36">
        <w:rPr>
          <w:rFonts w:ascii="Arial" w:eastAsia="宋体" w:hAnsi="Arial" w:cs="Arial"/>
          <w:color w:val="000000"/>
          <w:kern w:val="0"/>
          <w:sz w:val="18"/>
          <w:szCs w:val="18"/>
        </w:rPr>
        <w:t>However, there can be no assurance that changes in regulations will not adversely affect the demand for the Company’s products or, at least, result in a slower increase in the demand for them.</w:t>
      </w:r>
    </w:p>
    <w:p w14:paraId="1514560F"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DEPENDENCE ON CUSTOMERS</w:t>
      </w:r>
    </w:p>
    <w:p w14:paraId="48363F50"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As a result of this highly consolidated market, the Company is dependent on a relatively small number of customers with strong purchasing power. In 2021, the five largest vehicle manufacturers accounted for around 50% of global LVP and the ten largest manufacturers for around 73%. In 2021, the Company’s five largest customers accounted for around 51% of revenues and the ten largest customers for around 80% of total sales. The Company's largest customer contract accounted for around 2% of sales in 2021.</w:t>
      </w:r>
    </w:p>
    <w:p w14:paraId="6427ACF0"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w:t>
      </w:r>
    </w:p>
    <w:tbl>
      <w:tblPr>
        <w:tblW w:w="20614" w:type="dxa"/>
        <w:tblCellSpacing w:w="15" w:type="dxa"/>
        <w:tblCellMar>
          <w:top w:w="15" w:type="dxa"/>
          <w:left w:w="15" w:type="dxa"/>
          <w:bottom w:w="15" w:type="dxa"/>
          <w:right w:w="15" w:type="dxa"/>
        </w:tblCellMar>
        <w:tblLook w:val="04A0" w:firstRow="1" w:lastRow="0" w:firstColumn="1" w:lastColumn="0" w:noHBand="0" w:noVBand="1"/>
      </w:tblPr>
      <w:tblGrid>
        <w:gridCol w:w="10940"/>
        <w:gridCol w:w="485"/>
        <w:gridCol w:w="150"/>
        <w:gridCol w:w="3776"/>
        <w:gridCol w:w="418"/>
        <w:gridCol w:w="485"/>
        <w:gridCol w:w="150"/>
        <w:gridCol w:w="3776"/>
        <w:gridCol w:w="434"/>
      </w:tblGrid>
      <w:tr w:rsidR="002F3D36" w:rsidRPr="002F3D36" w14:paraId="25EE69AD" w14:textId="77777777" w:rsidTr="002F3D36">
        <w:trPr>
          <w:tblCellSpacing w:w="15" w:type="dxa"/>
        </w:trPr>
        <w:tc>
          <w:tcPr>
            <w:tcW w:w="10909" w:type="dxa"/>
            <w:vAlign w:val="center"/>
            <w:hideMark/>
          </w:tcPr>
          <w:p w14:paraId="61225AF6" w14:textId="77777777" w:rsidR="002F3D36" w:rsidRPr="002F3D36" w:rsidRDefault="002F3D36" w:rsidP="002F3D36">
            <w:pPr>
              <w:widowControl/>
              <w:jc w:val="left"/>
              <w:rPr>
                <w:rFonts w:ascii="Times New Roman" w:eastAsia="宋体" w:hAnsi="Times New Roman" w:cs="Times New Roman"/>
                <w:color w:val="000000"/>
                <w:kern w:val="0"/>
                <w:sz w:val="20"/>
                <w:szCs w:val="20"/>
              </w:rPr>
            </w:pPr>
          </w:p>
        </w:tc>
        <w:tc>
          <w:tcPr>
            <w:tcW w:w="456" w:type="dxa"/>
            <w:vAlign w:val="center"/>
            <w:hideMark/>
          </w:tcPr>
          <w:p w14:paraId="7E087F28"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20" w:type="dxa"/>
            <w:vAlign w:val="center"/>
            <w:hideMark/>
          </w:tcPr>
          <w:p w14:paraId="27032209"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3752" w:type="dxa"/>
            <w:vAlign w:val="center"/>
            <w:hideMark/>
          </w:tcPr>
          <w:p w14:paraId="3E3D7A87"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388" w:type="dxa"/>
            <w:vAlign w:val="center"/>
            <w:hideMark/>
          </w:tcPr>
          <w:p w14:paraId="57925CEA"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456" w:type="dxa"/>
            <w:vAlign w:val="center"/>
            <w:hideMark/>
          </w:tcPr>
          <w:p w14:paraId="25036EFA"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20" w:type="dxa"/>
            <w:vAlign w:val="center"/>
            <w:hideMark/>
          </w:tcPr>
          <w:p w14:paraId="0FC52ADD"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3752" w:type="dxa"/>
            <w:vAlign w:val="center"/>
            <w:hideMark/>
          </w:tcPr>
          <w:p w14:paraId="1A0A230D"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389" w:type="dxa"/>
            <w:vAlign w:val="center"/>
            <w:hideMark/>
          </w:tcPr>
          <w:p w14:paraId="11EF5722" w14:textId="77777777" w:rsidR="002F3D36" w:rsidRPr="002F3D36" w:rsidRDefault="002F3D36" w:rsidP="002F3D36">
            <w:pPr>
              <w:widowControl/>
              <w:jc w:val="left"/>
              <w:rPr>
                <w:rFonts w:ascii="Times New Roman" w:eastAsia="Times New Roman" w:hAnsi="Times New Roman" w:cs="Times New Roman"/>
                <w:kern w:val="0"/>
                <w:sz w:val="20"/>
                <w:szCs w:val="20"/>
              </w:rPr>
            </w:pPr>
          </w:p>
        </w:tc>
      </w:tr>
      <w:tr w:rsidR="002F3D36" w:rsidRPr="002F3D36" w14:paraId="37AB6881" w14:textId="77777777" w:rsidTr="002F3D36">
        <w:trPr>
          <w:trHeight w:val="160"/>
          <w:tblCellSpacing w:w="15" w:type="dxa"/>
        </w:trPr>
        <w:tc>
          <w:tcPr>
            <w:tcW w:w="0" w:type="auto"/>
            <w:tcBorders>
              <w:bottom w:val="single" w:sz="4" w:space="0" w:color="000000"/>
            </w:tcBorders>
            <w:vAlign w:val="bottom"/>
            <w:hideMark/>
          </w:tcPr>
          <w:p w14:paraId="4658DFC6" w14:textId="77777777" w:rsidR="002F3D36" w:rsidRPr="002F3D36" w:rsidRDefault="002F3D36" w:rsidP="002F3D36">
            <w:pPr>
              <w:widowControl/>
              <w:jc w:val="left"/>
              <w:rPr>
                <w:rFonts w:ascii="Times New Roman" w:eastAsia="微软雅黑" w:hAnsi="Times New Roman" w:cs="Times New Roman"/>
                <w:kern w:val="0"/>
                <w:sz w:val="16"/>
                <w:szCs w:val="16"/>
              </w:rPr>
            </w:pPr>
            <w:r w:rsidRPr="002F3D36">
              <w:rPr>
                <w:rFonts w:ascii="Arial" w:eastAsia="微软雅黑" w:hAnsi="Arial" w:cs="Arial"/>
                <w:b/>
                <w:bCs/>
                <w:color w:val="000000"/>
                <w:kern w:val="0"/>
                <w:sz w:val="16"/>
                <w:szCs w:val="16"/>
              </w:rPr>
              <w:t>Customer</w:t>
            </w:r>
          </w:p>
        </w:tc>
        <w:tc>
          <w:tcPr>
            <w:tcW w:w="0" w:type="auto"/>
            <w:vAlign w:val="bottom"/>
            <w:hideMark/>
          </w:tcPr>
          <w:p w14:paraId="5A8D852C" w14:textId="77777777" w:rsidR="002F3D36" w:rsidRPr="002F3D36" w:rsidRDefault="002F3D36" w:rsidP="002F3D36">
            <w:pPr>
              <w:widowControl/>
              <w:jc w:val="left"/>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gridSpan w:val="2"/>
            <w:tcBorders>
              <w:bottom w:val="single" w:sz="4" w:space="0" w:color="000000"/>
            </w:tcBorders>
            <w:vAlign w:val="bottom"/>
            <w:hideMark/>
          </w:tcPr>
          <w:p w14:paraId="023AC573"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b/>
                <w:bCs/>
                <w:color w:val="000000"/>
                <w:kern w:val="0"/>
                <w:sz w:val="16"/>
                <w:szCs w:val="16"/>
              </w:rPr>
              <w:t>% of Autoliv sales</w:t>
            </w:r>
          </w:p>
        </w:tc>
        <w:tc>
          <w:tcPr>
            <w:tcW w:w="0" w:type="auto"/>
            <w:vAlign w:val="bottom"/>
            <w:hideMark/>
          </w:tcPr>
          <w:p w14:paraId="23B585CD"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vAlign w:val="bottom"/>
            <w:hideMark/>
          </w:tcPr>
          <w:p w14:paraId="05DAC5B9" w14:textId="77777777" w:rsidR="002F3D36" w:rsidRPr="002F3D36" w:rsidRDefault="002F3D36" w:rsidP="002F3D36">
            <w:pPr>
              <w:widowControl/>
              <w:jc w:val="left"/>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gridSpan w:val="2"/>
            <w:tcBorders>
              <w:bottom w:val="single" w:sz="4" w:space="0" w:color="000000"/>
            </w:tcBorders>
            <w:vAlign w:val="bottom"/>
            <w:hideMark/>
          </w:tcPr>
          <w:p w14:paraId="34DFEFD2"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b/>
                <w:bCs/>
                <w:color w:val="000000"/>
                <w:kern w:val="0"/>
                <w:sz w:val="16"/>
                <w:szCs w:val="16"/>
              </w:rPr>
              <w:t>% of Global LVP</w:t>
            </w:r>
            <w:r w:rsidRPr="002F3D36">
              <w:rPr>
                <w:rFonts w:ascii="Arial" w:eastAsia="微软雅黑" w:hAnsi="Arial" w:cs="Arial"/>
                <w:color w:val="000000"/>
                <w:kern w:val="0"/>
                <w:sz w:val="11"/>
                <w:szCs w:val="11"/>
              </w:rPr>
              <w:t>1)</w:t>
            </w:r>
          </w:p>
        </w:tc>
        <w:tc>
          <w:tcPr>
            <w:tcW w:w="0" w:type="auto"/>
            <w:vAlign w:val="bottom"/>
            <w:hideMark/>
          </w:tcPr>
          <w:p w14:paraId="0E002C2D"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r>
      <w:tr w:rsidR="002F3D36" w:rsidRPr="002F3D36" w14:paraId="0B1BFA3E" w14:textId="77777777" w:rsidTr="002F3D36">
        <w:trPr>
          <w:trHeight w:val="180"/>
          <w:tblCellSpacing w:w="15" w:type="dxa"/>
        </w:trPr>
        <w:tc>
          <w:tcPr>
            <w:tcW w:w="0" w:type="auto"/>
            <w:shd w:val="clear" w:color="auto" w:fill="CFF0FC"/>
            <w:vAlign w:val="center"/>
            <w:hideMark/>
          </w:tcPr>
          <w:p w14:paraId="45D4F28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Renault/Nissan/Mitsubishi</w:t>
            </w:r>
          </w:p>
        </w:tc>
        <w:tc>
          <w:tcPr>
            <w:tcW w:w="0" w:type="auto"/>
            <w:shd w:val="clear" w:color="auto" w:fill="CFF0FC"/>
            <w:vAlign w:val="bottom"/>
            <w:hideMark/>
          </w:tcPr>
          <w:p w14:paraId="1568304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center"/>
            <w:hideMark/>
          </w:tcPr>
          <w:p w14:paraId="5911FA5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center"/>
            <w:hideMark/>
          </w:tcPr>
          <w:p w14:paraId="21BD21C3"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13</w:t>
            </w:r>
          </w:p>
        </w:tc>
        <w:tc>
          <w:tcPr>
            <w:tcW w:w="0" w:type="auto"/>
            <w:shd w:val="clear" w:color="auto" w:fill="CFF0FC"/>
            <w:vAlign w:val="center"/>
            <w:hideMark/>
          </w:tcPr>
          <w:p w14:paraId="6FC506F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shd w:val="clear" w:color="auto" w:fill="CFF0FC"/>
            <w:vAlign w:val="bottom"/>
            <w:hideMark/>
          </w:tcPr>
          <w:p w14:paraId="74A9E6E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center"/>
            <w:hideMark/>
          </w:tcPr>
          <w:p w14:paraId="350B575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center"/>
            <w:hideMark/>
          </w:tcPr>
          <w:p w14:paraId="0F21E24C"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9</w:t>
            </w:r>
          </w:p>
        </w:tc>
        <w:tc>
          <w:tcPr>
            <w:tcW w:w="0" w:type="auto"/>
            <w:shd w:val="clear" w:color="auto" w:fill="CFF0FC"/>
            <w:vAlign w:val="center"/>
            <w:hideMark/>
          </w:tcPr>
          <w:p w14:paraId="21F33A9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r>
      <w:tr w:rsidR="002F3D36" w:rsidRPr="002F3D36" w14:paraId="14F8189C" w14:textId="77777777" w:rsidTr="002F3D36">
        <w:trPr>
          <w:trHeight w:val="180"/>
          <w:tblCellSpacing w:w="15" w:type="dxa"/>
        </w:trPr>
        <w:tc>
          <w:tcPr>
            <w:tcW w:w="0" w:type="auto"/>
            <w:shd w:val="clear" w:color="auto" w:fill="FFFFFF"/>
            <w:vAlign w:val="center"/>
            <w:hideMark/>
          </w:tcPr>
          <w:p w14:paraId="4B5BDD4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Stellantis</w:t>
            </w:r>
          </w:p>
        </w:tc>
        <w:tc>
          <w:tcPr>
            <w:tcW w:w="0" w:type="auto"/>
            <w:shd w:val="clear" w:color="auto" w:fill="FFFFFF"/>
            <w:vAlign w:val="bottom"/>
            <w:hideMark/>
          </w:tcPr>
          <w:p w14:paraId="1E442AC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center"/>
            <w:hideMark/>
          </w:tcPr>
          <w:p w14:paraId="382A138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center"/>
            <w:hideMark/>
          </w:tcPr>
          <w:p w14:paraId="413BBF7D"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11</w:t>
            </w:r>
          </w:p>
        </w:tc>
        <w:tc>
          <w:tcPr>
            <w:tcW w:w="0" w:type="auto"/>
            <w:shd w:val="clear" w:color="auto" w:fill="FFFFFF"/>
            <w:vAlign w:val="center"/>
            <w:hideMark/>
          </w:tcPr>
          <w:p w14:paraId="2C2E070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shd w:val="clear" w:color="auto" w:fill="FFFFFF"/>
            <w:vAlign w:val="bottom"/>
            <w:hideMark/>
          </w:tcPr>
          <w:p w14:paraId="7CCFC77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center"/>
            <w:hideMark/>
          </w:tcPr>
          <w:p w14:paraId="4A23339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center"/>
            <w:hideMark/>
          </w:tcPr>
          <w:p w14:paraId="437ECCF2"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8</w:t>
            </w:r>
          </w:p>
        </w:tc>
        <w:tc>
          <w:tcPr>
            <w:tcW w:w="0" w:type="auto"/>
            <w:shd w:val="clear" w:color="auto" w:fill="FFFFFF"/>
            <w:vAlign w:val="center"/>
            <w:hideMark/>
          </w:tcPr>
          <w:p w14:paraId="7289366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r>
      <w:tr w:rsidR="002F3D36" w:rsidRPr="002F3D36" w14:paraId="765F1A55" w14:textId="77777777" w:rsidTr="002F3D36">
        <w:trPr>
          <w:trHeight w:val="180"/>
          <w:tblCellSpacing w:w="15" w:type="dxa"/>
        </w:trPr>
        <w:tc>
          <w:tcPr>
            <w:tcW w:w="0" w:type="auto"/>
            <w:shd w:val="clear" w:color="auto" w:fill="CFF0FC"/>
            <w:vAlign w:val="center"/>
            <w:hideMark/>
          </w:tcPr>
          <w:p w14:paraId="0CD4C56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VW</w:t>
            </w:r>
          </w:p>
        </w:tc>
        <w:tc>
          <w:tcPr>
            <w:tcW w:w="0" w:type="auto"/>
            <w:shd w:val="clear" w:color="auto" w:fill="CFF0FC"/>
            <w:vAlign w:val="bottom"/>
            <w:hideMark/>
          </w:tcPr>
          <w:p w14:paraId="59A5EB1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center"/>
            <w:hideMark/>
          </w:tcPr>
          <w:p w14:paraId="4D39AA8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center"/>
            <w:hideMark/>
          </w:tcPr>
          <w:p w14:paraId="3850B618"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10</w:t>
            </w:r>
          </w:p>
        </w:tc>
        <w:tc>
          <w:tcPr>
            <w:tcW w:w="0" w:type="auto"/>
            <w:shd w:val="clear" w:color="auto" w:fill="CFF0FC"/>
            <w:vAlign w:val="center"/>
            <w:hideMark/>
          </w:tcPr>
          <w:p w14:paraId="0B668C8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shd w:val="clear" w:color="auto" w:fill="CFF0FC"/>
            <w:vAlign w:val="bottom"/>
            <w:hideMark/>
          </w:tcPr>
          <w:p w14:paraId="7829569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center"/>
            <w:hideMark/>
          </w:tcPr>
          <w:p w14:paraId="64EC4A0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center"/>
            <w:hideMark/>
          </w:tcPr>
          <w:p w14:paraId="57E1DB84"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11</w:t>
            </w:r>
          </w:p>
        </w:tc>
        <w:tc>
          <w:tcPr>
            <w:tcW w:w="0" w:type="auto"/>
            <w:shd w:val="clear" w:color="auto" w:fill="CFF0FC"/>
            <w:vAlign w:val="center"/>
            <w:hideMark/>
          </w:tcPr>
          <w:p w14:paraId="0EAF4E6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r>
      <w:tr w:rsidR="002F3D36" w:rsidRPr="002F3D36" w14:paraId="48B0CA37" w14:textId="77777777" w:rsidTr="002F3D36">
        <w:trPr>
          <w:trHeight w:val="180"/>
          <w:tblCellSpacing w:w="15" w:type="dxa"/>
        </w:trPr>
        <w:tc>
          <w:tcPr>
            <w:tcW w:w="0" w:type="auto"/>
            <w:shd w:val="clear" w:color="auto" w:fill="FFFFFF"/>
            <w:vAlign w:val="center"/>
            <w:hideMark/>
          </w:tcPr>
          <w:p w14:paraId="39821E1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Toyota</w:t>
            </w:r>
          </w:p>
        </w:tc>
        <w:tc>
          <w:tcPr>
            <w:tcW w:w="0" w:type="auto"/>
            <w:shd w:val="clear" w:color="auto" w:fill="FFFFFF"/>
            <w:vAlign w:val="bottom"/>
            <w:hideMark/>
          </w:tcPr>
          <w:p w14:paraId="4FC887A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center"/>
            <w:hideMark/>
          </w:tcPr>
          <w:p w14:paraId="5B09202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center"/>
            <w:hideMark/>
          </w:tcPr>
          <w:p w14:paraId="082470FC"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9</w:t>
            </w:r>
          </w:p>
        </w:tc>
        <w:tc>
          <w:tcPr>
            <w:tcW w:w="0" w:type="auto"/>
            <w:shd w:val="clear" w:color="auto" w:fill="FFFFFF"/>
            <w:vAlign w:val="center"/>
            <w:hideMark/>
          </w:tcPr>
          <w:p w14:paraId="790F391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shd w:val="clear" w:color="auto" w:fill="FFFFFF"/>
            <w:vAlign w:val="bottom"/>
            <w:hideMark/>
          </w:tcPr>
          <w:p w14:paraId="580DA3A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center"/>
            <w:hideMark/>
          </w:tcPr>
          <w:p w14:paraId="1E4D4E5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center"/>
            <w:hideMark/>
          </w:tcPr>
          <w:p w14:paraId="16C20F75"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13</w:t>
            </w:r>
          </w:p>
        </w:tc>
        <w:tc>
          <w:tcPr>
            <w:tcW w:w="0" w:type="auto"/>
            <w:shd w:val="clear" w:color="auto" w:fill="FFFFFF"/>
            <w:vAlign w:val="center"/>
            <w:hideMark/>
          </w:tcPr>
          <w:p w14:paraId="2DD7BE6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r>
      <w:tr w:rsidR="002F3D36" w:rsidRPr="002F3D36" w14:paraId="0D84FDFD" w14:textId="77777777" w:rsidTr="002F3D36">
        <w:trPr>
          <w:trHeight w:val="180"/>
          <w:tblCellSpacing w:w="15" w:type="dxa"/>
        </w:trPr>
        <w:tc>
          <w:tcPr>
            <w:tcW w:w="0" w:type="auto"/>
            <w:shd w:val="clear" w:color="auto" w:fill="CFF0FC"/>
            <w:vAlign w:val="center"/>
            <w:hideMark/>
          </w:tcPr>
          <w:p w14:paraId="414A746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Honda</w:t>
            </w:r>
          </w:p>
        </w:tc>
        <w:tc>
          <w:tcPr>
            <w:tcW w:w="0" w:type="auto"/>
            <w:shd w:val="clear" w:color="auto" w:fill="CFF0FC"/>
            <w:vAlign w:val="bottom"/>
            <w:hideMark/>
          </w:tcPr>
          <w:p w14:paraId="6061484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center"/>
            <w:hideMark/>
          </w:tcPr>
          <w:p w14:paraId="0F1E74A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center"/>
            <w:hideMark/>
          </w:tcPr>
          <w:p w14:paraId="1E6D1E1B"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8</w:t>
            </w:r>
          </w:p>
        </w:tc>
        <w:tc>
          <w:tcPr>
            <w:tcW w:w="0" w:type="auto"/>
            <w:shd w:val="clear" w:color="auto" w:fill="CFF0FC"/>
            <w:vAlign w:val="center"/>
            <w:hideMark/>
          </w:tcPr>
          <w:p w14:paraId="5B28AE9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shd w:val="clear" w:color="auto" w:fill="CFF0FC"/>
            <w:vAlign w:val="bottom"/>
            <w:hideMark/>
          </w:tcPr>
          <w:p w14:paraId="42BE232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center"/>
            <w:hideMark/>
          </w:tcPr>
          <w:p w14:paraId="135782A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center"/>
            <w:hideMark/>
          </w:tcPr>
          <w:p w14:paraId="1F3B572C"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6</w:t>
            </w:r>
          </w:p>
        </w:tc>
        <w:tc>
          <w:tcPr>
            <w:tcW w:w="0" w:type="auto"/>
            <w:shd w:val="clear" w:color="auto" w:fill="CFF0FC"/>
            <w:vAlign w:val="center"/>
            <w:hideMark/>
          </w:tcPr>
          <w:p w14:paraId="428BF00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r>
      <w:tr w:rsidR="002F3D36" w:rsidRPr="002F3D36" w14:paraId="723B2D03" w14:textId="77777777" w:rsidTr="002F3D36">
        <w:trPr>
          <w:trHeight w:val="180"/>
          <w:tblCellSpacing w:w="15" w:type="dxa"/>
        </w:trPr>
        <w:tc>
          <w:tcPr>
            <w:tcW w:w="0" w:type="auto"/>
            <w:shd w:val="clear" w:color="auto" w:fill="FFFFFF"/>
            <w:vAlign w:val="center"/>
            <w:hideMark/>
          </w:tcPr>
          <w:p w14:paraId="42108F8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Hyundai</w:t>
            </w:r>
          </w:p>
        </w:tc>
        <w:tc>
          <w:tcPr>
            <w:tcW w:w="0" w:type="auto"/>
            <w:shd w:val="clear" w:color="auto" w:fill="FFFFFF"/>
            <w:vAlign w:val="bottom"/>
            <w:hideMark/>
          </w:tcPr>
          <w:p w14:paraId="105F05D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center"/>
            <w:hideMark/>
          </w:tcPr>
          <w:p w14:paraId="28709E4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center"/>
            <w:hideMark/>
          </w:tcPr>
          <w:p w14:paraId="03746C46"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8</w:t>
            </w:r>
          </w:p>
        </w:tc>
        <w:tc>
          <w:tcPr>
            <w:tcW w:w="0" w:type="auto"/>
            <w:shd w:val="clear" w:color="auto" w:fill="FFFFFF"/>
            <w:vAlign w:val="center"/>
            <w:hideMark/>
          </w:tcPr>
          <w:p w14:paraId="246A7D8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shd w:val="clear" w:color="auto" w:fill="FFFFFF"/>
            <w:vAlign w:val="bottom"/>
            <w:hideMark/>
          </w:tcPr>
          <w:p w14:paraId="245EF53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center"/>
            <w:hideMark/>
          </w:tcPr>
          <w:p w14:paraId="69F32AC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center"/>
            <w:hideMark/>
          </w:tcPr>
          <w:p w14:paraId="30BC2926"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9</w:t>
            </w:r>
          </w:p>
        </w:tc>
        <w:tc>
          <w:tcPr>
            <w:tcW w:w="0" w:type="auto"/>
            <w:shd w:val="clear" w:color="auto" w:fill="FFFFFF"/>
            <w:vAlign w:val="center"/>
            <w:hideMark/>
          </w:tcPr>
          <w:p w14:paraId="3D83540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r>
      <w:tr w:rsidR="002F3D36" w:rsidRPr="002F3D36" w14:paraId="044418CE" w14:textId="77777777" w:rsidTr="002F3D36">
        <w:trPr>
          <w:trHeight w:val="180"/>
          <w:tblCellSpacing w:w="15" w:type="dxa"/>
        </w:trPr>
        <w:tc>
          <w:tcPr>
            <w:tcW w:w="0" w:type="auto"/>
            <w:shd w:val="clear" w:color="auto" w:fill="CFF0FC"/>
            <w:vAlign w:val="center"/>
            <w:hideMark/>
          </w:tcPr>
          <w:p w14:paraId="633ACD3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Ford</w:t>
            </w:r>
          </w:p>
        </w:tc>
        <w:tc>
          <w:tcPr>
            <w:tcW w:w="0" w:type="auto"/>
            <w:shd w:val="clear" w:color="auto" w:fill="CFF0FC"/>
            <w:vAlign w:val="bottom"/>
            <w:hideMark/>
          </w:tcPr>
          <w:p w14:paraId="61DEA97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center"/>
            <w:hideMark/>
          </w:tcPr>
          <w:p w14:paraId="3617295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center"/>
            <w:hideMark/>
          </w:tcPr>
          <w:p w14:paraId="3198FD64"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7</w:t>
            </w:r>
          </w:p>
        </w:tc>
        <w:tc>
          <w:tcPr>
            <w:tcW w:w="0" w:type="auto"/>
            <w:shd w:val="clear" w:color="auto" w:fill="CFF0FC"/>
            <w:vAlign w:val="center"/>
            <w:hideMark/>
          </w:tcPr>
          <w:p w14:paraId="553DAD8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shd w:val="clear" w:color="auto" w:fill="CFF0FC"/>
            <w:vAlign w:val="bottom"/>
            <w:hideMark/>
          </w:tcPr>
          <w:p w14:paraId="3A3824A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center"/>
            <w:hideMark/>
          </w:tcPr>
          <w:p w14:paraId="16E4305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center"/>
            <w:hideMark/>
          </w:tcPr>
          <w:p w14:paraId="4B1EEFCA"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4</w:t>
            </w:r>
          </w:p>
        </w:tc>
        <w:tc>
          <w:tcPr>
            <w:tcW w:w="0" w:type="auto"/>
            <w:shd w:val="clear" w:color="auto" w:fill="CFF0FC"/>
            <w:vAlign w:val="center"/>
            <w:hideMark/>
          </w:tcPr>
          <w:p w14:paraId="7CE1FA1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r>
      <w:tr w:rsidR="002F3D36" w:rsidRPr="002F3D36" w14:paraId="096CA789" w14:textId="77777777" w:rsidTr="002F3D36">
        <w:trPr>
          <w:trHeight w:val="180"/>
          <w:tblCellSpacing w:w="15" w:type="dxa"/>
        </w:trPr>
        <w:tc>
          <w:tcPr>
            <w:tcW w:w="0" w:type="auto"/>
            <w:shd w:val="clear" w:color="auto" w:fill="FFFFFF"/>
            <w:vAlign w:val="center"/>
            <w:hideMark/>
          </w:tcPr>
          <w:p w14:paraId="43783F3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General Motors</w:t>
            </w:r>
          </w:p>
        </w:tc>
        <w:tc>
          <w:tcPr>
            <w:tcW w:w="0" w:type="auto"/>
            <w:shd w:val="clear" w:color="auto" w:fill="FFFFFF"/>
            <w:vAlign w:val="bottom"/>
            <w:hideMark/>
          </w:tcPr>
          <w:p w14:paraId="771E43D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center"/>
            <w:hideMark/>
          </w:tcPr>
          <w:p w14:paraId="5F1EBDD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center"/>
            <w:hideMark/>
          </w:tcPr>
          <w:p w14:paraId="3966D13B"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6</w:t>
            </w:r>
          </w:p>
        </w:tc>
        <w:tc>
          <w:tcPr>
            <w:tcW w:w="0" w:type="auto"/>
            <w:shd w:val="clear" w:color="auto" w:fill="FFFFFF"/>
            <w:vAlign w:val="center"/>
            <w:hideMark/>
          </w:tcPr>
          <w:p w14:paraId="3875874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shd w:val="clear" w:color="auto" w:fill="FFFFFF"/>
            <w:vAlign w:val="bottom"/>
            <w:hideMark/>
          </w:tcPr>
          <w:p w14:paraId="0FD33CC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center"/>
            <w:hideMark/>
          </w:tcPr>
          <w:p w14:paraId="35D0836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center"/>
            <w:hideMark/>
          </w:tcPr>
          <w:p w14:paraId="1B4DD4B8"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5</w:t>
            </w:r>
          </w:p>
        </w:tc>
        <w:tc>
          <w:tcPr>
            <w:tcW w:w="0" w:type="auto"/>
            <w:shd w:val="clear" w:color="auto" w:fill="FFFFFF"/>
            <w:vAlign w:val="center"/>
            <w:hideMark/>
          </w:tcPr>
          <w:p w14:paraId="13E6699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r>
      <w:tr w:rsidR="002F3D36" w:rsidRPr="002F3D36" w14:paraId="78F67F68" w14:textId="77777777" w:rsidTr="002F3D36">
        <w:trPr>
          <w:trHeight w:val="180"/>
          <w:tblCellSpacing w:w="15" w:type="dxa"/>
        </w:trPr>
        <w:tc>
          <w:tcPr>
            <w:tcW w:w="0" w:type="auto"/>
            <w:shd w:val="clear" w:color="auto" w:fill="CFF0FC"/>
            <w:vAlign w:val="center"/>
            <w:hideMark/>
          </w:tcPr>
          <w:p w14:paraId="2863EDA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BMW</w:t>
            </w:r>
          </w:p>
        </w:tc>
        <w:tc>
          <w:tcPr>
            <w:tcW w:w="0" w:type="auto"/>
            <w:shd w:val="clear" w:color="auto" w:fill="CFF0FC"/>
            <w:vAlign w:val="bottom"/>
            <w:hideMark/>
          </w:tcPr>
          <w:p w14:paraId="1CA163C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center"/>
            <w:hideMark/>
          </w:tcPr>
          <w:p w14:paraId="767CCA8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center"/>
            <w:hideMark/>
          </w:tcPr>
          <w:p w14:paraId="2C71F6E8"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4</w:t>
            </w:r>
          </w:p>
        </w:tc>
        <w:tc>
          <w:tcPr>
            <w:tcW w:w="0" w:type="auto"/>
            <w:shd w:val="clear" w:color="auto" w:fill="CFF0FC"/>
            <w:vAlign w:val="center"/>
            <w:hideMark/>
          </w:tcPr>
          <w:p w14:paraId="2B19EAB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shd w:val="clear" w:color="auto" w:fill="CFF0FC"/>
            <w:vAlign w:val="bottom"/>
            <w:hideMark/>
          </w:tcPr>
          <w:p w14:paraId="1C4F20F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center"/>
            <w:hideMark/>
          </w:tcPr>
          <w:p w14:paraId="22AF6D9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center"/>
            <w:hideMark/>
          </w:tcPr>
          <w:p w14:paraId="3F0BB12A"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3</w:t>
            </w:r>
          </w:p>
        </w:tc>
        <w:tc>
          <w:tcPr>
            <w:tcW w:w="0" w:type="auto"/>
            <w:shd w:val="clear" w:color="auto" w:fill="CFF0FC"/>
            <w:vAlign w:val="center"/>
            <w:hideMark/>
          </w:tcPr>
          <w:p w14:paraId="3E986F6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r>
      <w:tr w:rsidR="002F3D36" w:rsidRPr="002F3D36" w14:paraId="2972F236" w14:textId="77777777" w:rsidTr="002F3D36">
        <w:trPr>
          <w:trHeight w:val="180"/>
          <w:tblCellSpacing w:w="15" w:type="dxa"/>
        </w:trPr>
        <w:tc>
          <w:tcPr>
            <w:tcW w:w="0" w:type="auto"/>
            <w:shd w:val="clear" w:color="auto" w:fill="FFFFFF"/>
            <w:vAlign w:val="center"/>
            <w:hideMark/>
          </w:tcPr>
          <w:p w14:paraId="2382B37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Mercedes-Benz</w:t>
            </w:r>
          </w:p>
        </w:tc>
        <w:tc>
          <w:tcPr>
            <w:tcW w:w="0" w:type="auto"/>
            <w:shd w:val="clear" w:color="auto" w:fill="FFFFFF"/>
            <w:vAlign w:val="bottom"/>
            <w:hideMark/>
          </w:tcPr>
          <w:p w14:paraId="682AB6D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center"/>
            <w:hideMark/>
          </w:tcPr>
          <w:p w14:paraId="49B61AB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center"/>
            <w:hideMark/>
          </w:tcPr>
          <w:p w14:paraId="6A2AF368"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4</w:t>
            </w:r>
          </w:p>
        </w:tc>
        <w:tc>
          <w:tcPr>
            <w:tcW w:w="0" w:type="auto"/>
            <w:shd w:val="clear" w:color="auto" w:fill="FFFFFF"/>
            <w:vAlign w:val="center"/>
            <w:hideMark/>
          </w:tcPr>
          <w:p w14:paraId="0CC8C75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shd w:val="clear" w:color="auto" w:fill="FFFFFF"/>
            <w:vAlign w:val="bottom"/>
            <w:hideMark/>
          </w:tcPr>
          <w:p w14:paraId="0D93C69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center"/>
            <w:hideMark/>
          </w:tcPr>
          <w:p w14:paraId="7936905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FFFFFF"/>
            <w:vAlign w:val="center"/>
            <w:hideMark/>
          </w:tcPr>
          <w:p w14:paraId="3D4BE1EC"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3</w:t>
            </w:r>
          </w:p>
        </w:tc>
        <w:tc>
          <w:tcPr>
            <w:tcW w:w="0" w:type="auto"/>
            <w:shd w:val="clear" w:color="auto" w:fill="FFFFFF"/>
            <w:vAlign w:val="center"/>
            <w:hideMark/>
          </w:tcPr>
          <w:p w14:paraId="2326FAD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r>
    </w:tbl>
    <w:p w14:paraId="39C2DA1C"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6"/>
          <w:szCs w:val="16"/>
        </w:rPr>
        <w:t>1) Source: IHS Markit</w:t>
      </w:r>
    </w:p>
    <w:p w14:paraId="03362B82"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Although business with every major customer is split into at least several contracts (usually one contract per vehicle platform) and although the customer base has become more balanced and diversified as a result of the Company's significant expansion in China and other rapidly-growing markets, the loss of all business from a major customer (whether by a cancellation of existing contracts or not awarding Autoliv new business), the consolidation of one or more major customers or a bankruptcy of a major customer could have a material adverse effect on the Company. In addition, a quality issue, shortcomings in the Company's service to a customer or uncompetitive prices or products could result in the customer not awarding the Company new business, which will gradually have a negative impact on the Company's sales when current contracts start to expire.</w:t>
      </w:r>
    </w:p>
    <w:p w14:paraId="502FCAB4"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See also Note 20 Segment Information to the Consolidated Financial Statements included herein.</w:t>
      </w:r>
    </w:p>
    <w:p w14:paraId="5480493D"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CUSTOMER PAYMENT RISK</w:t>
      </w:r>
    </w:p>
    <w:p w14:paraId="58867E94"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xml:space="preserve">Another risk related to the Company's customers is the risk that one or more of its customers will be unable to pay their invoices that become due. The Company seeks to limit this customer payment risk by </w:t>
      </w:r>
      <w:r w:rsidRPr="002F3D36">
        <w:rPr>
          <w:rFonts w:ascii="Arial" w:eastAsia="宋体" w:hAnsi="Arial" w:cs="Arial"/>
          <w:color w:val="000000"/>
          <w:kern w:val="0"/>
          <w:sz w:val="18"/>
          <w:szCs w:val="18"/>
        </w:rPr>
        <w:lastRenderedPageBreak/>
        <w:t>invoicing its major customers through their local subsidiaries in each country, even for global contracts. By invoicing this way, the Company attempts to avoid having the receivables with a multinational customer group exposed to the risk that a bankruptcy or similar event in one country would put all receivables with such customer group at risk. In each country, the Company also monitors invoices becoming overdue.</w:t>
      </w:r>
    </w:p>
    <w:p w14:paraId="3AB2D04D"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Even so, if a major customer is unable to fulfill its payment obligations, it is likely that the Company would be forced to record a substantial loss on such receivables.</w:t>
      </w:r>
    </w:p>
    <w:p w14:paraId="78EE0052" w14:textId="77777777" w:rsidR="002F3D36" w:rsidRPr="002F3D36" w:rsidRDefault="002F3D36" w:rsidP="002F3D36">
      <w:pPr>
        <w:widowControl/>
        <w:spacing w:before="240"/>
        <w:jc w:val="center"/>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45</w:t>
      </w:r>
    </w:p>
    <w:p w14:paraId="5D8F4EA3" w14:textId="77777777" w:rsidR="002F3D36" w:rsidRPr="002F3D36" w:rsidRDefault="002F3D36" w:rsidP="002F3D36">
      <w:pPr>
        <w:widowControl/>
        <w:jc w:val="left"/>
        <w:rPr>
          <w:rFonts w:ascii="宋体" w:eastAsia="宋体" w:hAnsi="宋体" w:cs="宋体"/>
          <w:kern w:val="0"/>
          <w:sz w:val="24"/>
          <w:szCs w:val="24"/>
        </w:rPr>
      </w:pPr>
      <w:r w:rsidRPr="002F3D36">
        <w:rPr>
          <w:rFonts w:ascii="宋体" w:eastAsia="宋体" w:hAnsi="宋体" w:cs="宋体"/>
          <w:kern w:val="0"/>
          <w:sz w:val="24"/>
          <w:szCs w:val="24"/>
        </w:rPr>
        <w:pict w14:anchorId="0C8C1DEC">
          <v:rect id="_x0000_i1072" style="width:0;height:1.5pt" o:hralign="center" o:hrstd="t" o:hrnoshade="t" o:hr="t" fillcolor="black" stroked="f"/>
        </w:pict>
      </w:r>
    </w:p>
    <w:p w14:paraId="5DC89F00" w14:textId="77777777" w:rsidR="002F3D36" w:rsidRPr="002F3D36" w:rsidRDefault="002F3D36" w:rsidP="002F3D36">
      <w:pPr>
        <w:widowControl/>
        <w:spacing w:line="20" w:lineRule="atLeast"/>
        <w:jc w:val="left"/>
        <w:rPr>
          <w:rFonts w:ascii="Times New Roman" w:eastAsia="宋体" w:hAnsi="Times New Roman" w:cs="Times New Roman"/>
          <w:color w:val="000000"/>
          <w:kern w:val="0"/>
          <w:sz w:val="20"/>
          <w:szCs w:val="20"/>
        </w:rPr>
      </w:pPr>
      <w:r w:rsidRPr="002F3D36">
        <w:rPr>
          <w:rFonts w:ascii="Arial" w:eastAsia="宋体" w:hAnsi="Arial" w:cs="Arial"/>
          <w:color w:val="000000"/>
          <w:kern w:val="0"/>
          <w:sz w:val="2"/>
          <w:szCs w:val="2"/>
        </w:rPr>
        <w:t> </w:t>
      </w:r>
    </w:p>
    <w:p w14:paraId="7488B064"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DEPENDENCE ON SUPPLIERS</w:t>
      </w:r>
    </w:p>
    <w:p w14:paraId="3AE3F406"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The Company relies on internal and/or external suppliers in order to meet its delivery commitments to the customers. In some cases, suppliers are dictated by the customers based on very specific qualification requirements. Autoliv supply chain organization is reviewing sourcing risks and actively working on mitigating related supply chain risks.</w:t>
      </w:r>
    </w:p>
    <w:p w14:paraId="56156238"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The Company’s ambition is to maintain an optimal number of suppliers in all significant component technologies.</w:t>
      </w:r>
    </w:p>
    <w:p w14:paraId="0D65E898"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NEW COMPETITION</w:t>
      </w:r>
    </w:p>
    <w:p w14:paraId="1998D86D"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xml:space="preserve">Increased competition may result in price reductions, reduced margins and the Company's inability to gain or hold market share. OEMs rigorously evaluate suppliers on the basis of product quality, price, reliability and delivery as well as engineering capabilities, technical expertise, product innovation, financial viability, application of lean principles, operational flexibility, customer service and overall management. To maintain the Company's competitiveness and position as a market leader, it is important to focus on all of these aspects of supplier evaluation and selection. </w:t>
      </w:r>
    </w:p>
    <w:p w14:paraId="17B392D6"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Although the market for occupant restraint systems has undergone a significant consolidation during the past ten years, the passive safety market remains very competitive. It cannot be excluded that additional competitors, both global and local, will seek to enter the market or grow beyond their current Keiretsu group or traditional customer base. Particularly in China, South Korea and Japan there are numerous small domestic competitors often supplying just one OEM group</w:t>
      </w:r>
    </w:p>
    <w:p w14:paraId="5F14C8EC"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PATENTS AND PROPRIETARY TECHNOLOGY</w:t>
      </w:r>
    </w:p>
    <w:p w14:paraId="3B6CF3E1"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The Company’s strategy is to protect its innovations with patents, and to vigorously protect and defend its patents, trademarks and know-how against infringement and unauthorized use. At the end of 2021, the Company held more than 6,400 patents and patents applications. These patents expire on various dates during the period from 2022 to 2041. The expiration of any single patent is not expected to have a material adverse effect on the Company’s financial results.</w:t>
      </w:r>
    </w:p>
    <w:p w14:paraId="5DD4D906"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xml:space="preserve">Although the Company believes that its products and technology do not infringe upon the proprietary rights of others, there can be no assurance that third parties will not assert infringement claims against the Company in the future. Also, there can be no assurance that any patent now owned by the Company will afford protection against competitors that develop similar technology. As the Company continues to </w:t>
      </w:r>
      <w:r w:rsidRPr="002F3D36">
        <w:rPr>
          <w:rFonts w:ascii="Arial" w:eastAsia="宋体" w:hAnsi="Arial" w:cs="Arial"/>
          <w:color w:val="000000"/>
          <w:kern w:val="0"/>
          <w:sz w:val="18"/>
          <w:szCs w:val="18"/>
        </w:rPr>
        <w:lastRenderedPageBreak/>
        <w:t>expand its products and expand into new businesses, it will increase its exposure to intellectual property claims.</w:t>
      </w:r>
    </w:p>
    <w:p w14:paraId="4996B6A9"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22"/>
        </w:rPr>
        <w:t xml:space="preserve">Financial Risks </w:t>
      </w:r>
    </w:p>
    <w:p w14:paraId="35EA586C"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The Company is exposed to financial risks through its operations. To reduce the financial risks and to take advantage of economies of scale, the Company has a central treasury department supporting operations and management. The treasury department handles external financial transactions and functions as the Company’s in-house bank for its subsidiaries.</w:t>
      </w:r>
    </w:p>
    <w:p w14:paraId="7A4EF7B4"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The Board of Directors monitors compliance with the financial risk policy on an on-going basis. For information about specific financial risks, see Item 7A – Quantitative and Qualitative Disclosures about Market Risk.</w:t>
      </w:r>
    </w:p>
    <w:p w14:paraId="4281B7BD"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22"/>
        </w:rPr>
        <w:t xml:space="preserve">Significant Accounting Policies and Critical Accounting Estimates </w:t>
      </w:r>
    </w:p>
    <w:p w14:paraId="0572B78A"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NEW ACCOUNTING STANDARDS</w:t>
      </w:r>
    </w:p>
    <w:p w14:paraId="1CF7CF80"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The Company has considered all applicable recently issued accounting standards. The Company has summarized in Note 2 to the Consolidated Financial Statements each of the recently issued accounting standards and stated the impact or whether management is continuing to assess the impact.</w:t>
      </w:r>
    </w:p>
    <w:p w14:paraId="69E014F9"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APPLICATION OF CRITICAL ACCOUNTING POLICIES</w:t>
      </w:r>
    </w:p>
    <w:p w14:paraId="54918C7E"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The Company’s significant accounting policies are disclosed in Note 2 to the Consolidated Financial Statements included herein. Senior management has discussed the development and selection of critical accounting estimates and disclosures with the Audit Committee of the Board of Directors. The application of accounting policies necessarily requires judgments and the use of estimates by a Company’s management. Actual results could differ from these estimates. By their nature, these judgments are subject to an inherent degree of uncertainty. These judgments are based on the Company's historical experience, terms of existing contracts, and management’s evaluation of trends in the industry, information provided by the Company's customers and information available from other outside sources, as appropriate. The Company considers an accounting estimate to be critical if:</w:t>
      </w:r>
    </w:p>
    <w:p w14:paraId="6EC79729" w14:textId="77777777" w:rsidR="002F3D36" w:rsidRPr="002F3D36" w:rsidRDefault="002F3D36" w:rsidP="002F3D36">
      <w:pPr>
        <w:widowControl/>
        <w:rPr>
          <w:rFonts w:ascii="微软雅黑" w:eastAsia="微软雅黑" w:hAnsi="微软雅黑" w:cs="宋体"/>
          <w:color w:val="000000"/>
          <w:kern w:val="0"/>
          <w:sz w:val="27"/>
          <w:szCs w:val="27"/>
        </w:rPr>
      </w:pPr>
      <w:r w:rsidRPr="002F3D36">
        <w:rPr>
          <w:rFonts w:ascii="Times New Roman" w:eastAsia="微软雅黑" w:hAnsi="Times New Roman" w:cs="Times New Roman"/>
          <w:color w:val="000000"/>
          <w:kern w:val="0"/>
          <w:sz w:val="18"/>
          <w:szCs w:val="18"/>
        </w:rPr>
        <w:t>•</w:t>
      </w:r>
    </w:p>
    <w:p w14:paraId="79FEF47B" w14:textId="77777777" w:rsidR="002F3D36" w:rsidRPr="002F3D36" w:rsidRDefault="002F3D36" w:rsidP="002F3D36">
      <w:pPr>
        <w:widowControl/>
        <w:rPr>
          <w:rFonts w:ascii="微软雅黑" w:eastAsia="微软雅黑" w:hAnsi="微软雅黑" w:cs="宋体" w:hint="eastAsia"/>
          <w:color w:val="000000"/>
          <w:kern w:val="0"/>
          <w:sz w:val="27"/>
          <w:szCs w:val="27"/>
        </w:rPr>
      </w:pPr>
      <w:r w:rsidRPr="002F3D36">
        <w:rPr>
          <w:rFonts w:ascii="Arial" w:eastAsia="微软雅黑" w:hAnsi="Arial" w:cs="Arial"/>
          <w:color w:val="000000"/>
          <w:kern w:val="0"/>
          <w:sz w:val="18"/>
          <w:szCs w:val="18"/>
        </w:rPr>
        <w:t>It requires management to make assumptions about matters that were uncertain at the time of the estimate, and</w:t>
      </w:r>
    </w:p>
    <w:p w14:paraId="44F604CD" w14:textId="77777777" w:rsidR="002F3D36" w:rsidRPr="002F3D36" w:rsidRDefault="002F3D36" w:rsidP="002F3D36">
      <w:pPr>
        <w:widowControl/>
        <w:rPr>
          <w:rFonts w:ascii="微软雅黑" w:eastAsia="微软雅黑" w:hAnsi="微软雅黑" w:cs="宋体" w:hint="eastAsia"/>
          <w:color w:val="000000"/>
          <w:kern w:val="0"/>
          <w:sz w:val="27"/>
          <w:szCs w:val="27"/>
        </w:rPr>
      </w:pPr>
      <w:r w:rsidRPr="002F3D36">
        <w:rPr>
          <w:rFonts w:ascii="Times New Roman" w:eastAsia="微软雅黑" w:hAnsi="Times New Roman" w:cs="Times New Roman"/>
          <w:color w:val="000000"/>
          <w:kern w:val="0"/>
          <w:sz w:val="18"/>
          <w:szCs w:val="18"/>
        </w:rPr>
        <w:t>•</w:t>
      </w:r>
    </w:p>
    <w:p w14:paraId="2D22F887" w14:textId="77777777" w:rsidR="002F3D36" w:rsidRPr="002F3D36" w:rsidRDefault="002F3D36" w:rsidP="002F3D36">
      <w:pPr>
        <w:widowControl/>
        <w:rPr>
          <w:rFonts w:ascii="微软雅黑" w:eastAsia="微软雅黑" w:hAnsi="微软雅黑" w:cs="宋体" w:hint="eastAsia"/>
          <w:color w:val="000000"/>
          <w:kern w:val="0"/>
          <w:sz w:val="27"/>
          <w:szCs w:val="27"/>
        </w:rPr>
      </w:pPr>
      <w:r w:rsidRPr="002F3D36">
        <w:rPr>
          <w:rFonts w:ascii="Arial" w:eastAsia="微软雅黑" w:hAnsi="Arial" w:cs="Arial"/>
          <w:color w:val="000000"/>
          <w:kern w:val="0"/>
          <w:sz w:val="18"/>
          <w:szCs w:val="18"/>
        </w:rPr>
        <w:t>Changes in the estimate or different estimates that could have been selected would have had a material impact on the Company's financial condition or results of operations. The accounting estimates that require management’s most significant judgments include the estimation of variable considerations, estimations associated with purchase price allocations regarding business combinations, assessment of recoverability of goodwill and intangible assets, estimation of pension benefit obligations based on actuarial assumptions, estimation of accruals for warranty and recalls , restructuring charges, uncertain tax positions, valuation allowances and legal proceedings.</w:t>
      </w:r>
    </w:p>
    <w:p w14:paraId="31A51488" w14:textId="77777777" w:rsidR="002F3D36" w:rsidRPr="002F3D36" w:rsidRDefault="002F3D36" w:rsidP="002F3D36">
      <w:pPr>
        <w:widowControl/>
        <w:spacing w:before="120"/>
        <w:rPr>
          <w:rFonts w:ascii="Times New Roman" w:eastAsia="宋体" w:hAnsi="Times New Roman" w:cs="Times New Roman" w:hint="eastAsia"/>
          <w:color w:val="000000"/>
          <w:kern w:val="0"/>
          <w:sz w:val="20"/>
          <w:szCs w:val="20"/>
        </w:rPr>
      </w:pPr>
      <w:r w:rsidRPr="002F3D36">
        <w:rPr>
          <w:rFonts w:ascii="Arial" w:eastAsia="宋体" w:hAnsi="Arial" w:cs="Arial"/>
          <w:color w:val="000000"/>
          <w:kern w:val="0"/>
          <w:sz w:val="18"/>
          <w:szCs w:val="18"/>
        </w:rPr>
        <w:t>The Company has summarized its critical accounting policies requiring judgment below. These might change over time based on the current facts and circumstances.</w:t>
      </w:r>
    </w:p>
    <w:p w14:paraId="251175CE" w14:textId="77777777" w:rsidR="002F3D36" w:rsidRPr="002F3D36" w:rsidRDefault="002F3D36" w:rsidP="002F3D36">
      <w:pPr>
        <w:widowControl/>
        <w:spacing w:before="240"/>
        <w:jc w:val="center"/>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lastRenderedPageBreak/>
        <w:t>46</w:t>
      </w:r>
    </w:p>
    <w:p w14:paraId="29E135DB" w14:textId="77777777" w:rsidR="002F3D36" w:rsidRPr="002F3D36" w:rsidRDefault="002F3D36" w:rsidP="002F3D36">
      <w:pPr>
        <w:widowControl/>
        <w:jc w:val="left"/>
        <w:rPr>
          <w:rFonts w:ascii="宋体" w:eastAsia="宋体" w:hAnsi="宋体" w:cs="宋体"/>
          <w:kern w:val="0"/>
          <w:sz w:val="24"/>
          <w:szCs w:val="24"/>
        </w:rPr>
      </w:pPr>
      <w:r w:rsidRPr="002F3D36">
        <w:rPr>
          <w:rFonts w:ascii="宋体" w:eastAsia="宋体" w:hAnsi="宋体" w:cs="宋体"/>
          <w:kern w:val="0"/>
          <w:sz w:val="24"/>
          <w:szCs w:val="24"/>
        </w:rPr>
        <w:pict w14:anchorId="7664AA04">
          <v:rect id="_x0000_i1073" style="width:0;height:1.5pt" o:hralign="center" o:hrstd="t" o:hrnoshade="t" o:hr="t" fillcolor="black" stroked="f"/>
        </w:pict>
      </w:r>
    </w:p>
    <w:p w14:paraId="3FDBDA1E" w14:textId="77777777" w:rsidR="002F3D36" w:rsidRPr="002F3D36" w:rsidRDefault="002F3D36" w:rsidP="002F3D36">
      <w:pPr>
        <w:widowControl/>
        <w:spacing w:line="20" w:lineRule="atLeast"/>
        <w:jc w:val="left"/>
        <w:rPr>
          <w:rFonts w:ascii="Times New Roman" w:eastAsia="宋体" w:hAnsi="Times New Roman" w:cs="Times New Roman"/>
          <w:color w:val="000000"/>
          <w:kern w:val="0"/>
          <w:sz w:val="20"/>
          <w:szCs w:val="20"/>
        </w:rPr>
      </w:pPr>
      <w:r w:rsidRPr="002F3D36">
        <w:rPr>
          <w:rFonts w:ascii="Arial" w:eastAsia="宋体" w:hAnsi="Arial" w:cs="Arial"/>
          <w:color w:val="000000"/>
          <w:kern w:val="0"/>
          <w:sz w:val="2"/>
          <w:szCs w:val="2"/>
        </w:rPr>
        <w:t> </w:t>
      </w:r>
    </w:p>
    <w:p w14:paraId="704B7648"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REVENUE RECOGNITION</w:t>
      </w:r>
    </w:p>
    <w:p w14:paraId="1A0589A4"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xml:space="preserve">In accordance with ASC 606, </w:t>
      </w:r>
      <w:r w:rsidRPr="002F3D36">
        <w:rPr>
          <w:rFonts w:ascii="Arial" w:eastAsia="宋体" w:hAnsi="Arial" w:cs="Arial"/>
          <w:i/>
          <w:iCs/>
          <w:color w:val="000000"/>
          <w:kern w:val="0"/>
          <w:sz w:val="18"/>
          <w:szCs w:val="18"/>
        </w:rPr>
        <w:t>Revenue from Contracts with Customers</w:t>
      </w:r>
      <w:r w:rsidRPr="002F3D36">
        <w:rPr>
          <w:rFonts w:ascii="Arial" w:eastAsia="宋体" w:hAnsi="Arial" w:cs="Arial"/>
          <w:color w:val="000000"/>
          <w:kern w:val="0"/>
          <w:sz w:val="18"/>
          <w:szCs w:val="18"/>
        </w:rPr>
        <w:t>, revenue is measured based on consideration specified in a contract with a customer, adjusted for any variable consideration (i.e. price concessions) and estimated at contract inception. The estimated amount of variable consideration that will be received by the Company are based on historical experience and trends, management´s understanding of the status of negotiations with customers and anticipated future pricing strategies. The Company recognizes revenue when it satisfies a performance obligation by transferring control over a product to a customer.</w:t>
      </w:r>
    </w:p>
    <w:p w14:paraId="617E1831"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In addition, from time to time, the Company may make payments to customers in connection with ongoing and future business. These payments to customers are generally recognized as a reduction to revenue at the time of the commitment to make these payments unless the payment concession can be clearly linked to the future business award. If the payments are capitalized, the amounts are amortized to revenue as the related goods are transferred.</w:t>
      </w:r>
    </w:p>
    <w:p w14:paraId="3D72F1CF"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INVENTORY RESERVES</w:t>
      </w:r>
    </w:p>
    <w:p w14:paraId="7DB35C26"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Inventories are evaluated based on individual or, in some cases, groups of inventory items. Reserves are established to reduce the value of inventories to the lower of cost or net realizable value. Net realizable value is the estimated selling prices in the ordinary course of business, less reasonably predictable costs of completion, disposal and transportation. Excess inventories are quantities of items that exceed anticipated sales or usage for a reasonable period. The Company has guidelines for calculating provisions for excess inventories based on the number of months of inventories on hand compared to anticipated sales or usage. Management uses its judgment to forecast sales or usage and to determine what constitutes a reasonable period.</w:t>
      </w:r>
    </w:p>
    <w:p w14:paraId="64E328B8"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There can be no assurance that the amount ultimately realized for inventories will not be materially different than that assumed in the calculation of the reserves.</w:t>
      </w:r>
    </w:p>
    <w:p w14:paraId="799E120D"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 xml:space="preserve">GOODWILL </w:t>
      </w:r>
    </w:p>
    <w:p w14:paraId="40277C8D"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The Company performs an annual impairment test of goodwill in the fourth quarter of each year following the Company’s annual forecasting process. In October 2021 th</w:t>
      </w:r>
      <w:r w:rsidRPr="002F3D36">
        <w:rPr>
          <w:rFonts w:ascii="Arial" w:eastAsia="宋体" w:hAnsi="Arial" w:cs="Arial"/>
          <w:color w:val="000000"/>
          <w:kern w:val="0"/>
          <w:sz w:val="18"/>
          <w:szCs w:val="18"/>
          <w:shd w:val="clear" w:color="auto" w:fill="FFFFFF"/>
        </w:rPr>
        <w:t>e Company concluded that there were no impairments of goodwill. For further information, see Note 2, Summary of Significant Accounting Policies to the Consolidated Financial Statements.</w:t>
      </w:r>
    </w:p>
    <w:p w14:paraId="45E20291"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RECALL PROVISIONS AND WARRANTY OBLIGATIONS</w:t>
      </w:r>
    </w:p>
    <w:p w14:paraId="0A894A3F"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xml:space="preserve">The Company records liabilities for product recalls when probable claims are identified and when it is possible to reasonably estimate costs. Recall costs are costs incurred when the customer decides to formally recall a product due to a known or suspected safety concern. Product recall costs are estimated based on the expected cost of replacing the product and the customer´s cost of carrying out the recall, which is affected by the number of vehicles subject to recall and the cost of labor and materials to remove </w:t>
      </w:r>
      <w:r w:rsidRPr="002F3D36">
        <w:rPr>
          <w:rFonts w:ascii="Arial" w:eastAsia="宋体" w:hAnsi="Arial" w:cs="Arial"/>
          <w:color w:val="000000"/>
          <w:kern w:val="0"/>
          <w:sz w:val="18"/>
          <w:szCs w:val="18"/>
        </w:rPr>
        <w:lastRenderedPageBreak/>
        <w:t xml:space="preserve">and replace the defective product. </w:t>
      </w:r>
      <w:r w:rsidRPr="002F3D36">
        <w:rPr>
          <w:rFonts w:ascii="Arial" w:eastAsia="宋体" w:hAnsi="Arial" w:cs="Arial"/>
          <w:color w:val="000000"/>
          <w:kern w:val="0"/>
          <w:sz w:val="18"/>
          <w:szCs w:val="18"/>
          <w:shd w:val="clear" w:color="auto" w:fill="FFFFFF"/>
        </w:rPr>
        <w:t>The Company maintains a program of insurance, which may include commercial insurance, self-insurance, or a combination of both approaches, for potential recall and product liability claims in amounts and on terms that it believes are reasonable and prudent based on our prior claims experience. The Company’s insurance policies generally include coverage of the costs of a recall, although costs related to replacement parts are generally not covered.</w:t>
      </w:r>
      <w:r w:rsidRPr="002F3D36">
        <w:rPr>
          <w:rFonts w:ascii="Arial" w:eastAsia="宋体" w:hAnsi="Arial" w:cs="Arial"/>
          <w:color w:val="000000"/>
          <w:kern w:val="0"/>
          <w:sz w:val="18"/>
          <w:szCs w:val="18"/>
        </w:rPr>
        <w:t xml:space="preserve"> Actual costs incurred could differ from the amounts estimated, requiring adjustments to these reserves in future periods. It is possible that changes in our assumptions or future product recall issues could materially affect our financial position, results of operations or cash flows.</w:t>
      </w:r>
    </w:p>
    <w:p w14:paraId="4FF216FF"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Estimating warranty obligations requires the Company to forecast the resolution of existing claims and expected future claims on products sold. The Company bases the estimate on historical trends of units sold and payment amounts, combined with our current understanding of the status of existing claims and discussions with our customers. These estimates are re-evaluated on an ongoing basis. Actual warranty obligations could differ from the amounts estimated requiring adjustments to existing reserves in future periods. Due to the uncertainty and potential volatility of the factors contributing to developing these estimates, changes in our assumptions could materially affect our results of operations.</w:t>
      </w:r>
    </w:p>
    <w:p w14:paraId="156912C0"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RESTRUCTURING PROVISIONS</w:t>
      </w:r>
    </w:p>
    <w:p w14:paraId="7B01089E"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The Company defines restructuring expense to include costs directly associated with capacity alignment programs, plus exit or disposal activities. Estimates of restructuring charges are based on information available at the time such charges are recorded. In general, management anticipates that restructuring activities will be completed within a time frame such that significant changes to the exit plan are not likely.</w:t>
      </w:r>
    </w:p>
    <w:p w14:paraId="71B4906E"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Due to inherent uncertainty involved in estimating restructuring expenses, actual amounts paid for such activities may differ from amounts initially estimated.</w:t>
      </w:r>
    </w:p>
    <w:p w14:paraId="3715AFB1" w14:textId="77777777" w:rsidR="002F3D36" w:rsidRPr="002F3D36" w:rsidRDefault="002F3D36" w:rsidP="002F3D36">
      <w:pPr>
        <w:widowControl/>
        <w:jc w:val="left"/>
        <w:rPr>
          <w:rFonts w:ascii="Times New Roman" w:eastAsia="宋体" w:hAnsi="Times New Roman" w:cs="Times New Roman"/>
          <w:color w:val="000000"/>
          <w:kern w:val="0"/>
          <w:sz w:val="20"/>
          <w:szCs w:val="20"/>
        </w:rPr>
      </w:pPr>
      <w:r w:rsidRPr="002F3D36">
        <w:rPr>
          <w:rFonts w:ascii="Times New Roman" w:eastAsia="宋体" w:hAnsi="Times New Roman" w:cs="Times New Roman"/>
          <w:color w:val="000000"/>
          <w:kern w:val="0"/>
          <w:sz w:val="20"/>
          <w:szCs w:val="20"/>
        </w:rPr>
        <w:t> </w:t>
      </w:r>
    </w:p>
    <w:p w14:paraId="5601EA26" w14:textId="77777777" w:rsidR="002F3D36" w:rsidRPr="002F3D36" w:rsidRDefault="002F3D36" w:rsidP="002F3D36">
      <w:pPr>
        <w:widowControl/>
        <w:spacing w:before="240"/>
        <w:jc w:val="center"/>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47</w:t>
      </w:r>
    </w:p>
    <w:p w14:paraId="22808D45" w14:textId="77777777" w:rsidR="002F3D36" w:rsidRPr="002F3D36" w:rsidRDefault="002F3D36" w:rsidP="002F3D36">
      <w:pPr>
        <w:widowControl/>
        <w:jc w:val="left"/>
        <w:rPr>
          <w:rFonts w:ascii="宋体" w:eastAsia="宋体" w:hAnsi="宋体" w:cs="宋体"/>
          <w:kern w:val="0"/>
          <w:sz w:val="24"/>
          <w:szCs w:val="24"/>
        </w:rPr>
      </w:pPr>
      <w:r w:rsidRPr="002F3D36">
        <w:rPr>
          <w:rFonts w:ascii="宋体" w:eastAsia="宋体" w:hAnsi="宋体" w:cs="宋体"/>
          <w:kern w:val="0"/>
          <w:sz w:val="24"/>
          <w:szCs w:val="24"/>
        </w:rPr>
        <w:pict w14:anchorId="0EDB6001">
          <v:rect id="_x0000_i1074" style="width:0;height:1.5pt" o:hralign="center" o:hrstd="t" o:hrnoshade="t" o:hr="t" fillcolor="black" stroked="f"/>
        </w:pict>
      </w:r>
    </w:p>
    <w:p w14:paraId="38B86543" w14:textId="77777777" w:rsidR="002F3D36" w:rsidRPr="002F3D36" w:rsidRDefault="002F3D36" w:rsidP="002F3D36">
      <w:pPr>
        <w:widowControl/>
        <w:spacing w:line="20" w:lineRule="atLeast"/>
        <w:jc w:val="left"/>
        <w:rPr>
          <w:rFonts w:ascii="Times New Roman" w:eastAsia="宋体" w:hAnsi="Times New Roman" w:cs="Times New Roman"/>
          <w:color w:val="000000"/>
          <w:kern w:val="0"/>
          <w:sz w:val="20"/>
          <w:szCs w:val="20"/>
        </w:rPr>
      </w:pPr>
      <w:r w:rsidRPr="002F3D36">
        <w:rPr>
          <w:rFonts w:ascii="Arial" w:eastAsia="宋体" w:hAnsi="Arial" w:cs="Arial"/>
          <w:color w:val="000000"/>
          <w:kern w:val="0"/>
          <w:sz w:val="2"/>
          <w:szCs w:val="2"/>
        </w:rPr>
        <w:t> </w:t>
      </w:r>
    </w:p>
    <w:p w14:paraId="151182F9"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DEFINED BENEFIT PENSION PLANS</w:t>
      </w:r>
    </w:p>
    <w:p w14:paraId="5BDA56CF"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The Company has defined benefit pension plans in thirteen countries. The most significant plans exist in the U.S. These U.S. plans represent approximately 59% of the Company’s total pension benefit obligation. See Note 18, Retirement Plans to the Consolidated Financial Statements included herein.</w:t>
      </w:r>
    </w:p>
    <w:p w14:paraId="6241208F"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The Company, in consultation with its actuarial advisors, determines certain key assumptions to be used in calculating the projected benefit obligation and annual pension expense. For the U.S. plans, the assumptions used for calculating the 2021 pension expense were a discount rate of 2.37%, expected rate of increase in compensation levels of 2.65%, and an expected long-term rate of return on plan assets of 5.05%.</w:t>
      </w:r>
    </w:p>
    <w:p w14:paraId="778AF439"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xml:space="preserve">The assumptions used in calculating the U.S. benefit obligations disclosed as of December 31, 2021 were a discount rate of 2.77% and an expected age-based rate of increase in compensation levels of 2.65%. The discount rate for the U.S. plans has been set based on the rates of return of high-quality fixed-income investments currently available at the measurement date and are expected to be available during the </w:t>
      </w:r>
      <w:r w:rsidRPr="002F3D36">
        <w:rPr>
          <w:rFonts w:ascii="Arial" w:eastAsia="宋体" w:hAnsi="Arial" w:cs="Arial"/>
          <w:color w:val="000000"/>
          <w:kern w:val="0"/>
          <w:sz w:val="18"/>
          <w:szCs w:val="18"/>
        </w:rPr>
        <w:lastRenderedPageBreak/>
        <w:t>period the benefits will be paid. The expected rate of increase in compensation levels and long-term return on plan assets are determined based on a number of factors and must take into account long-term expectations and reflect the financial environment in the respective local markets. At December 31, 2021, 42% of the U.S. plan assets were invested in equities, which is in-line with the target of 40%.</w:t>
      </w:r>
    </w:p>
    <w:p w14:paraId="28C82C97"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The table below illustrates the sensitivity of the U.S. net periodic benefit cost and projected U.S. benefit obligation to a 1pp change in the discount rate, decrease in return on plan assets and increase in compensation levels for the U.S. plans (in millions). The use of actuarial assumptions is an area of management’s estimate.</w:t>
      </w:r>
    </w:p>
    <w:p w14:paraId="22635654"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w:t>
      </w:r>
    </w:p>
    <w:tbl>
      <w:tblPr>
        <w:tblW w:w="20614" w:type="dxa"/>
        <w:tblCellSpacing w:w="15" w:type="dxa"/>
        <w:tblCellMar>
          <w:top w:w="15" w:type="dxa"/>
          <w:left w:w="15" w:type="dxa"/>
          <w:bottom w:w="15" w:type="dxa"/>
          <w:right w:w="15" w:type="dxa"/>
        </w:tblCellMar>
        <w:tblLook w:val="04A0" w:firstRow="1" w:lastRow="0" w:firstColumn="1" w:lastColumn="0" w:noHBand="0" w:noVBand="1"/>
      </w:tblPr>
      <w:tblGrid>
        <w:gridCol w:w="8754"/>
        <w:gridCol w:w="450"/>
        <w:gridCol w:w="3194"/>
        <w:gridCol w:w="450"/>
        <w:gridCol w:w="274"/>
        <w:gridCol w:w="3006"/>
        <w:gridCol w:w="227"/>
        <w:gridCol w:w="450"/>
        <w:gridCol w:w="274"/>
        <w:gridCol w:w="3287"/>
        <w:gridCol w:w="248"/>
      </w:tblGrid>
      <w:tr w:rsidR="002F3D36" w:rsidRPr="002F3D36" w14:paraId="3C5B3EC2" w14:textId="77777777" w:rsidTr="002F3D36">
        <w:trPr>
          <w:tblCellSpacing w:w="15" w:type="dxa"/>
        </w:trPr>
        <w:tc>
          <w:tcPr>
            <w:tcW w:w="8722" w:type="dxa"/>
            <w:vAlign w:val="center"/>
            <w:hideMark/>
          </w:tcPr>
          <w:p w14:paraId="57F39434" w14:textId="77777777" w:rsidR="002F3D36" w:rsidRPr="002F3D36" w:rsidRDefault="002F3D36" w:rsidP="002F3D36">
            <w:pPr>
              <w:widowControl/>
              <w:jc w:val="left"/>
              <w:rPr>
                <w:rFonts w:ascii="Times New Roman" w:eastAsia="宋体" w:hAnsi="Times New Roman" w:cs="Times New Roman"/>
                <w:color w:val="000000"/>
                <w:kern w:val="0"/>
                <w:sz w:val="20"/>
                <w:szCs w:val="20"/>
              </w:rPr>
            </w:pPr>
          </w:p>
        </w:tc>
        <w:tc>
          <w:tcPr>
            <w:tcW w:w="421" w:type="dxa"/>
            <w:vAlign w:val="center"/>
            <w:hideMark/>
          </w:tcPr>
          <w:p w14:paraId="368977DE"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3168" w:type="dxa"/>
            <w:vAlign w:val="center"/>
            <w:hideMark/>
          </w:tcPr>
          <w:p w14:paraId="52C8457B"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421" w:type="dxa"/>
            <w:vAlign w:val="center"/>
            <w:hideMark/>
          </w:tcPr>
          <w:p w14:paraId="681E649C"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44" w:type="dxa"/>
            <w:vAlign w:val="center"/>
            <w:hideMark/>
          </w:tcPr>
          <w:p w14:paraId="7106A835"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980" w:type="dxa"/>
            <w:vAlign w:val="center"/>
            <w:hideMark/>
          </w:tcPr>
          <w:p w14:paraId="276FFCE8"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97" w:type="dxa"/>
            <w:vAlign w:val="center"/>
            <w:hideMark/>
          </w:tcPr>
          <w:p w14:paraId="0E46094E"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421" w:type="dxa"/>
            <w:vAlign w:val="center"/>
            <w:hideMark/>
          </w:tcPr>
          <w:p w14:paraId="2FDFB194"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44" w:type="dxa"/>
            <w:vAlign w:val="center"/>
            <w:hideMark/>
          </w:tcPr>
          <w:p w14:paraId="33AC561B"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3262" w:type="dxa"/>
            <w:vAlign w:val="center"/>
            <w:hideMark/>
          </w:tcPr>
          <w:p w14:paraId="75700D64"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03" w:type="dxa"/>
            <w:vAlign w:val="center"/>
            <w:hideMark/>
          </w:tcPr>
          <w:p w14:paraId="66BEAF62" w14:textId="77777777" w:rsidR="002F3D36" w:rsidRPr="002F3D36" w:rsidRDefault="002F3D36" w:rsidP="002F3D36">
            <w:pPr>
              <w:widowControl/>
              <w:jc w:val="left"/>
              <w:rPr>
                <w:rFonts w:ascii="Times New Roman" w:eastAsia="Times New Roman" w:hAnsi="Times New Roman" w:cs="Times New Roman"/>
                <w:kern w:val="0"/>
                <w:sz w:val="20"/>
                <w:szCs w:val="20"/>
              </w:rPr>
            </w:pPr>
          </w:p>
        </w:tc>
      </w:tr>
      <w:tr w:rsidR="002F3D36" w:rsidRPr="002F3D36" w14:paraId="65F674FF" w14:textId="77777777" w:rsidTr="002F3D36">
        <w:trPr>
          <w:trHeight w:val="160"/>
          <w:tblCellSpacing w:w="15" w:type="dxa"/>
        </w:trPr>
        <w:tc>
          <w:tcPr>
            <w:tcW w:w="0" w:type="auto"/>
            <w:vAlign w:val="bottom"/>
            <w:hideMark/>
          </w:tcPr>
          <w:p w14:paraId="1383717F" w14:textId="77777777" w:rsidR="002F3D36" w:rsidRPr="002F3D36" w:rsidRDefault="002F3D36" w:rsidP="002F3D36">
            <w:pPr>
              <w:widowControl/>
              <w:jc w:val="left"/>
              <w:rPr>
                <w:rFonts w:ascii="Times New Roman" w:eastAsia="微软雅黑" w:hAnsi="Times New Roman" w:cs="Times New Roman"/>
                <w:kern w:val="0"/>
                <w:sz w:val="16"/>
                <w:szCs w:val="16"/>
              </w:rPr>
            </w:pPr>
            <w:r w:rsidRPr="002F3D36">
              <w:rPr>
                <w:rFonts w:ascii="Arial" w:eastAsia="微软雅黑" w:hAnsi="Arial" w:cs="Arial"/>
                <w:b/>
                <w:bCs/>
                <w:color w:val="000000"/>
                <w:kern w:val="0"/>
                <w:sz w:val="16"/>
                <w:szCs w:val="16"/>
                <w:u w:val="single"/>
              </w:rPr>
              <w:t>Assumption</w:t>
            </w:r>
            <w:r w:rsidRPr="002F3D36">
              <w:rPr>
                <w:rFonts w:ascii="Arial" w:eastAsia="微软雅黑" w:hAnsi="Arial" w:cs="Arial"/>
                <w:b/>
                <w:bCs/>
                <w:color w:val="000000"/>
                <w:kern w:val="0"/>
                <w:sz w:val="16"/>
                <w:szCs w:val="16"/>
                <w:u w:val="single"/>
              </w:rPr>
              <w:br/>
              <w:t>(in millions)</w:t>
            </w:r>
          </w:p>
        </w:tc>
        <w:tc>
          <w:tcPr>
            <w:tcW w:w="0" w:type="auto"/>
            <w:vAlign w:val="bottom"/>
            <w:hideMark/>
          </w:tcPr>
          <w:p w14:paraId="34A5C085" w14:textId="77777777" w:rsidR="002F3D36" w:rsidRPr="002F3D36" w:rsidRDefault="002F3D36" w:rsidP="002F3D36">
            <w:pPr>
              <w:widowControl/>
              <w:jc w:val="left"/>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tcBorders>
              <w:bottom w:val="single" w:sz="4" w:space="0" w:color="000000"/>
            </w:tcBorders>
            <w:vAlign w:val="bottom"/>
            <w:hideMark/>
          </w:tcPr>
          <w:p w14:paraId="55D78EAC"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b/>
                <w:bCs/>
                <w:color w:val="000000"/>
                <w:kern w:val="0"/>
                <w:sz w:val="16"/>
                <w:szCs w:val="16"/>
              </w:rPr>
              <w:t>Change</w:t>
            </w:r>
          </w:p>
        </w:tc>
        <w:tc>
          <w:tcPr>
            <w:tcW w:w="0" w:type="auto"/>
            <w:vAlign w:val="bottom"/>
            <w:hideMark/>
          </w:tcPr>
          <w:p w14:paraId="49894CF4" w14:textId="77777777" w:rsidR="002F3D36" w:rsidRPr="002F3D36" w:rsidRDefault="002F3D36" w:rsidP="002F3D36">
            <w:pPr>
              <w:widowControl/>
              <w:jc w:val="left"/>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gridSpan w:val="2"/>
            <w:tcBorders>
              <w:bottom w:val="single" w:sz="4" w:space="0" w:color="000000"/>
            </w:tcBorders>
            <w:vAlign w:val="bottom"/>
            <w:hideMark/>
          </w:tcPr>
          <w:p w14:paraId="3359F8C5"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b/>
                <w:bCs/>
                <w:color w:val="000000"/>
                <w:kern w:val="0"/>
                <w:sz w:val="16"/>
                <w:szCs w:val="16"/>
              </w:rPr>
              <w:t>2021 net</w:t>
            </w:r>
            <w:r w:rsidRPr="002F3D36">
              <w:rPr>
                <w:rFonts w:ascii="Arial" w:eastAsia="微软雅黑" w:hAnsi="Arial" w:cs="Arial"/>
                <w:b/>
                <w:bCs/>
                <w:color w:val="000000"/>
                <w:kern w:val="0"/>
                <w:sz w:val="16"/>
                <w:szCs w:val="16"/>
              </w:rPr>
              <w:br/>
              <w:t>periodic</w:t>
            </w:r>
            <w:r w:rsidRPr="002F3D36">
              <w:rPr>
                <w:rFonts w:ascii="Arial" w:eastAsia="微软雅黑" w:hAnsi="Arial" w:cs="Arial"/>
                <w:b/>
                <w:bCs/>
                <w:color w:val="000000"/>
                <w:kern w:val="0"/>
                <w:sz w:val="16"/>
                <w:szCs w:val="16"/>
              </w:rPr>
              <w:br/>
              <w:t>benefit</w:t>
            </w:r>
            <w:r w:rsidRPr="002F3D36">
              <w:rPr>
                <w:rFonts w:ascii="Arial" w:eastAsia="微软雅黑" w:hAnsi="Arial" w:cs="Arial"/>
                <w:b/>
                <w:bCs/>
                <w:color w:val="000000"/>
                <w:kern w:val="0"/>
                <w:sz w:val="16"/>
                <w:szCs w:val="16"/>
              </w:rPr>
              <w:br/>
              <w:t>cost increase</w:t>
            </w:r>
            <w:r w:rsidRPr="002F3D36">
              <w:rPr>
                <w:rFonts w:ascii="Arial" w:eastAsia="微软雅黑" w:hAnsi="Arial" w:cs="Arial"/>
                <w:b/>
                <w:bCs/>
                <w:color w:val="000000"/>
                <w:kern w:val="0"/>
                <w:sz w:val="16"/>
                <w:szCs w:val="16"/>
              </w:rPr>
              <w:br/>
              <w:t>(decrease)</w:t>
            </w:r>
          </w:p>
        </w:tc>
        <w:tc>
          <w:tcPr>
            <w:tcW w:w="0" w:type="auto"/>
            <w:vAlign w:val="bottom"/>
            <w:hideMark/>
          </w:tcPr>
          <w:p w14:paraId="1DA96606"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vAlign w:val="bottom"/>
            <w:hideMark/>
          </w:tcPr>
          <w:p w14:paraId="06BBC076" w14:textId="77777777" w:rsidR="002F3D36" w:rsidRPr="002F3D36" w:rsidRDefault="002F3D36" w:rsidP="002F3D36">
            <w:pPr>
              <w:widowControl/>
              <w:jc w:val="left"/>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gridSpan w:val="2"/>
            <w:tcBorders>
              <w:bottom w:val="single" w:sz="4" w:space="0" w:color="000000"/>
            </w:tcBorders>
            <w:vAlign w:val="bottom"/>
            <w:hideMark/>
          </w:tcPr>
          <w:p w14:paraId="6BD31EE5"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b/>
                <w:bCs/>
                <w:color w:val="000000"/>
                <w:kern w:val="0"/>
                <w:sz w:val="16"/>
                <w:szCs w:val="16"/>
              </w:rPr>
              <w:t>2021 projected</w:t>
            </w:r>
            <w:r w:rsidRPr="002F3D36">
              <w:rPr>
                <w:rFonts w:ascii="Arial" w:eastAsia="微软雅黑" w:hAnsi="Arial" w:cs="Arial"/>
                <w:b/>
                <w:bCs/>
                <w:color w:val="000000"/>
                <w:kern w:val="0"/>
                <w:sz w:val="16"/>
                <w:szCs w:val="16"/>
              </w:rPr>
              <w:br/>
              <w:t>benefit</w:t>
            </w:r>
            <w:r w:rsidRPr="002F3D36">
              <w:rPr>
                <w:rFonts w:ascii="Arial" w:eastAsia="微软雅黑" w:hAnsi="Arial" w:cs="Arial"/>
                <w:b/>
                <w:bCs/>
                <w:color w:val="000000"/>
                <w:kern w:val="0"/>
                <w:sz w:val="16"/>
                <w:szCs w:val="16"/>
              </w:rPr>
              <w:br/>
              <w:t>obligation</w:t>
            </w:r>
            <w:r w:rsidRPr="002F3D36">
              <w:rPr>
                <w:rFonts w:ascii="Arial" w:eastAsia="微软雅黑" w:hAnsi="Arial" w:cs="Arial"/>
                <w:b/>
                <w:bCs/>
                <w:color w:val="000000"/>
                <w:kern w:val="0"/>
                <w:sz w:val="16"/>
                <w:szCs w:val="16"/>
              </w:rPr>
              <w:br/>
              <w:t>increase</w:t>
            </w:r>
            <w:r w:rsidRPr="002F3D36">
              <w:rPr>
                <w:rFonts w:ascii="Arial" w:eastAsia="微软雅黑" w:hAnsi="Arial" w:cs="Arial"/>
                <w:b/>
                <w:bCs/>
                <w:color w:val="000000"/>
                <w:kern w:val="0"/>
                <w:sz w:val="16"/>
                <w:szCs w:val="16"/>
              </w:rPr>
              <w:br/>
              <w:t>(decrease)</w:t>
            </w:r>
          </w:p>
        </w:tc>
        <w:tc>
          <w:tcPr>
            <w:tcW w:w="0" w:type="auto"/>
            <w:vAlign w:val="bottom"/>
            <w:hideMark/>
          </w:tcPr>
          <w:p w14:paraId="1D552198"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r>
      <w:tr w:rsidR="002F3D36" w:rsidRPr="002F3D36" w14:paraId="08FDEE48" w14:textId="77777777" w:rsidTr="002F3D36">
        <w:trPr>
          <w:trHeight w:val="180"/>
          <w:tblCellSpacing w:w="15" w:type="dxa"/>
        </w:trPr>
        <w:tc>
          <w:tcPr>
            <w:tcW w:w="0" w:type="auto"/>
            <w:shd w:val="clear" w:color="auto" w:fill="CFF0FC"/>
            <w:vAlign w:val="bottom"/>
            <w:hideMark/>
          </w:tcPr>
          <w:p w14:paraId="3AF33DF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Discount rate</w:t>
            </w:r>
          </w:p>
        </w:tc>
        <w:tc>
          <w:tcPr>
            <w:tcW w:w="0" w:type="auto"/>
            <w:shd w:val="clear" w:color="auto" w:fill="CFF0FC"/>
            <w:vAlign w:val="bottom"/>
            <w:hideMark/>
          </w:tcPr>
          <w:p w14:paraId="209E0D9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6A7B5AC6"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1pp increase</w:t>
            </w:r>
          </w:p>
        </w:tc>
        <w:tc>
          <w:tcPr>
            <w:tcW w:w="0" w:type="auto"/>
            <w:shd w:val="clear" w:color="auto" w:fill="CFF0FC"/>
            <w:vAlign w:val="bottom"/>
            <w:hideMark/>
          </w:tcPr>
          <w:p w14:paraId="19565BB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210A142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shd w:val="clear" w:color="auto" w:fill="CFF0FC"/>
            <w:vAlign w:val="bottom"/>
            <w:hideMark/>
          </w:tcPr>
          <w:p w14:paraId="1AB45312"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1</w:t>
            </w:r>
          </w:p>
        </w:tc>
        <w:tc>
          <w:tcPr>
            <w:tcW w:w="0" w:type="auto"/>
            <w:shd w:val="clear" w:color="auto" w:fill="CFF0FC"/>
            <w:vAlign w:val="bottom"/>
            <w:hideMark/>
          </w:tcPr>
          <w:p w14:paraId="12E39BC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40DBEAA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4FC5B57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shd w:val="clear" w:color="auto" w:fill="CFF0FC"/>
            <w:vAlign w:val="bottom"/>
            <w:hideMark/>
          </w:tcPr>
          <w:p w14:paraId="6ECFD49F"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(34</w:t>
            </w:r>
          </w:p>
        </w:tc>
        <w:tc>
          <w:tcPr>
            <w:tcW w:w="0" w:type="auto"/>
            <w:shd w:val="clear" w:color="auto" w:fill="CFF0FC"/>
            <w:vAlign w:val="bottom"/>
            <w:hideMark/>
          </w:tcPr>
          <w:p w14:paraId="361CC6A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r>
      <w:tr w:rsidR="002F3D36" w:rsidRPr="002F3D36" w14:paraId="3180C1A7" w14:textId="77777777" w:rsidTr="002F3D36">
        <w:trPr>
          <w:trHeight w:val="180"/>
          <w:tblCellSpacing w:w="15" w:type="dxa"/>
        </w:trPr>
        <w:tc>
          <w:tcPr>
            <w:tcW w:w="0" w:type="auto"/>
            <w:vAlign w:val="bottom"/>
            <w:hideMark/>
          </w:tcPr>
          <w:p w14:paraId="10AAEC1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Discount rate</w:t>
            </w:r>
          </w:p>
        </w:tc>
        <w:tc>
          <w:tcPr>
            <w:tcW w:w="0" w:type="auto"/>
            <w:vAlign w:val="bottom"/>
            <w:hideMark/>
          </w:tcPr>
          <w:p w14:paraId="082F0C9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1002AA1E"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1pp decrease</w:t>
            </w:r>
          </w:p>
        </w:tc>
        <w:tc>
          <w:tcPr>
            <w:tcW w:w="0" w:type="auto"/>
            <w:vAlign w:val="bottom"/>
            <w:hideMark/>
          </w:tcPr>
          <w:p w14:paraId="5144E94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5BB66BB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004E146F"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2</w:t>
            </w:r>
          </w:p>
        </w:tc>
        <w:tc>
          <w:tcPr>
            <w:tcW w:w="0" w:type="auto"/>
            <w:vAlign w:val="bottom"/>
            <w:hideMark/>
          </w:tcPr>
          <w:p w14:paraId="4E72A37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1EF5EE7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5BCA121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7225B5ED"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41</w:t>
            </w:r>
          </w:p>
        </w:tc>
        <w:tc>
          <w:tcPr>
            <w:tcW w:w="0" w:type="auto"/>
            <w:vAlign w:val="bottom"/>
            <w:hideMark/>
          </w:tcPr>
          <w:p w14:paraId="2BC14BA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36E2B354" w14:textId="77777777" w:rsidTr="002F3D36">
        <w:trPr>
          <w:trHeight w:val="180"/>
          <w:tblCellSpacing w:w="15" w:type="dxa"/>
        </w:trPr>
        <w:tc>
          <w:tcPr>
            <w:tcW w:w="0" w:type="auto"/>
            <w:shd w:val="clear" w:color="auto" w:fill="CFF0FC"/>
            <w:vAlign w:val="bottom"/>
            <w:hideMark/>
          </w:tcPr>
          <w:p w14:paraId="3391F80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Compensation levels</w:t>
            </w:r>
          </w:p>
        </w:tc>
        <w:tc>
          <w:tcPr>
            <w:tcW w:w="0" w:type="auto"/>
            <w:shd w:val="clear" w:color="auto" w:fill="CFF0FC"/>
            <w:vAlign w:val="bottom"/>
            <w:hideMark/>
          </w:tcPr>
          <w:p w14:paraId="01E55F5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57875FED"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1pp increase</w:t>
            </w:r>
          </w:p>
        </w:tc>
        <w:tc>
          <w:tcPr>
            <w:tcW w:w="0" w:type="auto"/>
            <w:shd w:val="clear" w:color="auto" w:fill="CFF0FC"/>
            <w:vAlign w:val="bottom"/>
            <w:hideMark/>
          </w:tcPr>
          <w:p w14:paraId="7F77E05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34E640E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00548290"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0</w:t>
            </w:r>
          </w:p>
        </w:tc>
        <w:tc>
          <w:tcPr>
            <w:tcW w:w="0" w:type="auto"/>
            <w:shd w:val="clear" w:color="auto" w:fill="CFF0FC"/>
            <w:vAlign w:val="bottom"/>
            <w:hideMark/>
          </w:tcPr>
          <w:p w14:paraId="45217AF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30775FD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6EA400C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24BFF944"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0</w:t>
            </w:r>
          </w:p>
        </w:tc>
        <w:tc>
          <w:tcPr>
            <w:tcW w:w="0" w:type="auto"/>
            <w:shd w:val="clear" w:color="auto" w:fill="CFF0FC"/>
            <w:vAlign w:val="bottom"/>
            <w:hideMark/>
          </w:tcPr>
          <w:p w14:paraId="73CA671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0C6B0430" w14:textId="77777777" w:rsidTr="002F3D36">
        <w:trPr>
          <w:trHeight w:val="180"/>
          <w:tblCellSpacing w:w="15" w:type="dxa"/>
        </w:trPr>
        <w:tc>
          <w:tcPr>
            <w:tcW w:w="0" w:type="auto"/>
            <w:vAlign w:val="bottom"/>
            <w:hideMark/>
          </w:tcPr>
          <w:p w14:paraId="320677A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Return on plan assets</w:t>
            </w:r>
          </w:p>
        </w:tc>
        <w:tc>
          <w:tcPr>
            <w:tcW w:w="0" w:type="auto"/>
            <w:vAlign w:val="bottom"/>
            <w:hideMark/>
          </w:tcPr>
          <w:p w14:paraId="3D292F3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700519E2"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1pp decrease</w:t>
            </w:r>
          </w:p>
        </w:tc>
        <w:tc>
          <w:tcPr>
            <w:tcW w:w="0" w:type="auto"/>
            <w:vAlign w:val="bottom"/>
            <w:hideMark/>
          </w:tcPr>
          <w:p w14:paraId="0EBEE93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4D04BA7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497253E0"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4</w:t>
            </w:r>
          </w:p>
        </w:tc>
        <w:tc>
          <w:tcPr>
            <w:tcW w:w="0" w:type="auto"/>
            <w:vAlign w:val="bottom"/>
            <w:hideMark/>
          </w:tcPr>
          <w:p w14:paraId="4208A0C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600BC09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gridSpan w:val="2"/>
            <w:vAlign w:val="bottom"/>
            <w:hideMark/>
          </w:tcPr>
          <w:p w14:paraId="3DE733D9"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n/a</w:t>
            </w:r>
          </w:p>
        </w:tc>
        <w:tc>
          <w:tcPr>
            <w:tcW w:w="0" w:type="auto"/>
            <w:vAlign w:val="bottom"/>
            <w:hideMark/>
          </w:tcPr>
          <w:p w14:paraId="69BCD602"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bl>
    <w:p w14:paraId="008C69C7"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w:t>
      </w:r>
    </w:p>
    <w:p w14:paraId="25C29D95" w14:textId="77777777" w:rsidR="002F3D36" w:rsidRPr="002F3D36" w:rsidRDefault="002F3D36" w:rsidP="002F3D36">
      <w:pPr>
        <w:widowControl/>
        <w:spacing w:before="16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INCOME TAXES</w:t>
      </w:r>
    </w:p>
    <w:p w14:paraId="36243000"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Significant judgment is required in determining the worldwide provision for income taxes. In the ordinary course of a global business, there are many transactions for which the ultimate tax outcome is uncertain. Many of these uncertainties arise as a consequence of intercompany transactions.</w:t>
      </w:r>
    </w:p>
    <w:p w14:paraId="2552514C"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Although the Company believes that its tax return positions are supportable, no assurance can be given that the final outcome of these matters will not be materially different than that which is reflected in the historical income tax provisions and accruals. Such differences could have a material effect on the income tax provisions or benefits in the periods in which such determinations are made. See also the discussion of reserves for uncertain tax positions, and the determinations of valuation allowances on the Company's deferred tax assets in Note 5, Income Taxes to the Consolidated Financial Statements.</w:t>
      </w:r>
    </w:p>
    <w:p w14:paraId="620591F2"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CONTINGENT LIABILITIES</w:t>
      </w:r>
    </w:p>
    <w:p w14:paraId="0ABCD9BE"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Various claims, lawsuits and proceedings are pending or threatened against the Company or its subsidiaries, covering a range of matters that arise in the ordinary course of its business activities with respect to commercial, product liability or other matters.</w:t>
      </w:r>
    </w:p>
    <w:p w14:paraId="09FA05EC"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The Company diligently defends itself in such matters and, in addition, carries insurance coverage to the extent reasonably available against insurable risks.</w:t>
      </w:r>
    </w:p>
    <w:p w14:paraId="57C1F58A"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The Company records liabilities for claims, lawsuits and proceedings when they are probable and it is possible to reasonably estimate the cost of such liabilities. Legal costs expected to be incurred in connection with a loss contingency are expensed as such costs are incurred.</w:t>
      </w:r>
    </w:p>
    <w:p w14:paraId="46F5A1EC"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lastRenderedPageBreak/>
        <w:t>A loss contingency is accrued by a charge to income if it is probable that an asset has been impaired or a liability has been incurred and the amount of the loss can be reasonably estimated. In determining whether a loss should be accrued management evaluates, among other factors, the degree of probability of an unfavorable outcome and the ability to make a reasonable estimate of the amount of loss. Changes in these factors could materially impact the Company's consolidated financial statements.</w:t>
      </w:r>
    </w:p>
    <w:p w14:paraId="5851BF10" w14:textId="77777777" w:rsidR="002F3D36" w:rsidRPr="002F3D36" w:rsidRDefault="002F3D36" w:rsidP="002F3D36">
      <w:pPr>
        <w:widowControl/>
        <w:spacing w:before="240"/>
        <w:jc w:val="center"/>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48</w:t>
      </w:r>
    </w:p>
    <w:p w14:paraId="531BAAF8" w14:textId="77777777" w:rsidR="002F3D36" w:rsidRPr="002F3D36" w:rsidRDefault="002F3D36" w:rsidP="002F3D36">
      <w:pPr>
        <w:widowControl/>
        <w:jc w:val="left"/>
        <w:rPr>
          <w:rFonts w:ascii="宋体" w:eastAsia="宋体" w:hAnsi="宋体" w:cs="宋体"/>
          <w:kern w:val="0"/>
          <w:sz w:val="24"/>
          <w:szCs w:val="24"/>
        </w:rPr>
      </w:pPr>
      <w:r w:rsidRPr="002F3D36">
        <w:rPr>
          <w:rFonts w:ascii="宋体" w:eastAsia="宋体" w:hAnsi="宋体" w:cs="宋体"/>
          <w:kern w:val="0"/>
          <w:sz w:val="24"/>
          <w:szCs w:val="24"/>
        </w:rPr>
        <w:pict w14:anchorId="10FEC648">
          <v:rect id="_x0000_i1075" style="width:0;height:1.5pt" o:hralign="center" o:hrstd="t" o:hrnoshade="t" o:hr="t" fillcolor="black" stroked="f"/>
        </w:pict>
      </w:r>
    </w:p>
    <w:p w14:paraId="677AC3FC" w14:textId="77777777" w:rsidR="002F3D36" w:rsidRPr="002F3D36" w:rsidRDefault="002F3D36" w:rsidP="002F3D36">
      <w:pPr>
        <w:widowControl/>
        <w:spacing w:line="20" w:lineRule="atLeast"/>
        <w:jc w:val="left"/>
        <w:rPr>
          <w:rFonts w:ascii="Times New Roman" w:eastAsia="宋体" w:hAnsi="Times New Roman" w:cs="Times New Roman"/>
          <w:color w:val="000000"/>
          <w:kern w:val="0"/>
          <w:sz w:val="20"/>
          <w:szCs w:val="20"/>
        </w:rPr>
      </w:pPr>
      <w:r w:rsidRPr="002F3D36">
        <w:rPr>
          <w:rFonts w:ascii="Arial" w:eastAsia="宋体" w:hAnsi="Arial" w:cs="Arial"/>
          <w:color w:val="000000"/>
          <w:kern w:val="0"/>
          <w:sz w:val="2"/>
          <w:szCs w:val="2"/>
        </w:rPr>
        <w:t> </w:t>
      </w:r>
    </w:p>
    <w:p w14:paraId="6BBD76DB"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22"/>
        </w:rPr>
        <w:t>Item 7A. Quantitative and Qualitative Disclosures about Market Risk</w:t>
      </w:r>
    </w:p>
    <w:p w14:paraId="5E85A75E"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The Company is exposed to several markets risks in the ordinary course of business including risks related to currencies, interest rates, financing, capital structure and credit ratings and impairment. See also Note 2, Summary of Significant Accounting Policies to the Consolidated Financial Statements included with this Annual Report for information about how these risks are quantified.</w:t>
      </w:r>
    </w:p>
    <w:p w14:paraId="4872AC12"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CURRENCY RISKS</w:t>
      </w:r>
    </w:p>
    <w:p w14:paraId="72401018"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1. Transaction Exposure and Revaluation effects</w:t>
      </w:r>
    </w:p>
    <w:p w14:paraId="1EB65598"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Transaction exposure arises because the cost of a product originates in one currency and the product is sold in another currency. Revaluation effects come from valuation of assets denominated in other currencies than the reporting currency of each unit.</w:t>
      </w:r>
    </w:p>
    <w:p w14:paraId="53FE58D9"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The Company's net transaction exposure in 2021 was approximately $2.3 billion. The four largest net exposures are U.S. dollar (sell) against the the Mexican Peso, Romanian Lei (buy) against the Euro, U.S. dollar (buy) against the Korean Won and U.S. dollar (sell) against the Canadian dollar. Together these currencies accounted for approximately 50% of the Company's net currency transaction exposure.</w:t>
      </w:r>
    </w:p>
    <w:p w14:paraId="5FA35240"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xml:space="preserve">Since the Company can only effectively hedge these currency flows in the short term, periodic hedging would only reduce the impact of fluctuations temporarily. Over time, periodic hedging would postpone but not reduce the impact of fluctuations. In addition, the net exposure is limited to only around one quarter of net sales and is made up of around 50 different currency pairs with exposures of more than $1 million each. The Company generally does not hedge these flows. </w:t>
      </w:r>
    </w:p>
    <w:p w14:paraId="17973DCA"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 xml:space="preserve">2. Translation Exposure in the Income Statement and Balance Sheet </w:t>
      </w:r>
    </w:p>
    <w:p w14:paraId="202A2E60"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Another effect of exchange rate fluctuations arises when the income statements of non-U.S. subsidiaries are translated into U.S. dollars. Outside the U.S., the Company’s most significant currency is the Euro. The Company estimates that 29% of its net sales will be denominated in Euro or other European currencies during 2022, while 19% of net sales is estimated to be denominated in U.S. dollars.</w:t>
      </w:r>
    </w:p>
    <w:p w14:paraId="0D41D100"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The Company estimates that a 1% increase in the value of the U.S. dollar versus European currencies will decrease reported U.S. dollar annual net sales in 2022 by $28 million or by 0.3%, while operating income for 2022 will decline by approximately 0.3% or by about $3 million, assuming reported corporate average margin.</w:t>
      </w:r>
    </w:p>
    <w:p w14:paraId="30FBA25A"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The Company’s policy is not to hedge this type of translation exposure.</w:t>
      </w:r>
    </w:p>
    <w:p w14:paraId="409016C2"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lastRenderedPageBreak/>
        <w:t>A translation exposure also arises when the balance sheets of non-U.S. subsidiaries are translated into U.S. dollars. The policy of the Company is to finance major subsidiaries in the country’s local currency and to minimize the amounts held by subsidiaries in foreign currency accounts.</w:t>
      </w:r>
    </w:p>
    <w:p w14:paraId="72C5F5ED"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Consequently, changes in currency rates relating to funding and foreign currency accounts normally have a small impact on the Company’s income. In 2021 and 2020, the impact from the Company’s currency exposure were not material.</w:t>
      </w:r>
    </w:p>
    <w:p w14:paraId="2F78830E"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INTEREST RATE RISK</w:t>
      </w:r>
    </w:p>
    <w:p w14:paraId="3D48709A"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xml:space="preserve">Interest rate risk refers to the risk that interest rate changes will affect the Company’s borrowing costs. Autoliv’s interest rate risk policy states that the average interest rate fixing period should be minimum 1 year and maximum 5 years. </w:t>
      </w:r>
    </w:p>
    <w:p w14:paraId="1F14867C"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xml:space="preserve">At December 31, 2021, the average interest rate fixing period for the Company’s outstanding debt was 2.1 years, and at December 31, 2020, the average interest rate fixing period for the Company’s outstanding debt was 2.4 years. </w:t>
      </w:r>
    </w:p>
    <w:p w14:paraId="717801E9"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Given the Company’s current capital structure, the Company estimates that a one-percentage point interest rate increase would decrease net interest expense by approximately $2.9 million in 2022. This is based on the capital structure at the end of 2021 when the gross fixed-rate debt was $1,330 million while the Company had a net debt position of $1,052 million (see section Non-U.S. GAAP Performance Measures). Thus, a change in the interest rate environment would not have a notable impact on the Company’s interest expense. As of December 31, 2021, the Company had $969 million in cash and cash equivalents of which the majority were subject to a floating interest rate. Taking the cash and cash equivalents of $969 million (which is primarily subject to floating interest rates) minus the portion of debt carrying floating interest rates, the Company estimated that a one-percentage point interest rate increase would decrease net interest expense by approximately $2.9 million, both in 2022 and 2023.</w:t>
      </w:r>
    </w:p>
    <w:p w14:paraId="23EE30B2"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xml:space="preserve">Fixed interest rate debt is achieved both by issuing fixed rate notes and through interest rate swaps. The most notable debt carrying fixed interest rates is the $767 million U.S. private placement notes issued in 2014 and in June 2018, the Company issued €500 million of 5-year notes in the Eurobond market. For additional information, see Note 13 to the Consolidated Financial Statements included herein. </w:t>
      </w:r>
    </w:p>
    <w:p w14:paraId="03CEE99F" w14:textId="77777777" w:rsidR="002F3D36" w:rsidRPr="002F3D36" w:rsidRDefault="002F3D36" w:rsidP="002F3D36">
      <w:pPr>
        <w:widowControl/>
        <w:spacing w:before="240"/>
        <w:jc w:val="center"/>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49</w:t>
      </w:r>
    </w:p>
    <w:p w14:paraId="33E51AC8" w14:textId="77777777" w:rsidR="002F3D36" w:rsidRPr="002F3D36" w:rsidRDefault="002F3D36" w:rsidP="002F3D36">
      <w:pPr>
        <w:widowControl/>
        <w:jc w:val="left"/>
        <w:rPr>
          <w:rFonts w:ascii="宋体" w:eastAsia="宋体" w:hAnsi="宋体" w:cs="宋体"/>
          <w:kern w:val="0"/>
          <w:sz w:val="24"/>
          <w:szCs w:val="24"/>
        </w:rPr>
      </w:pPr>
      <w:r w:rsidRPr="002F3D36">
        <w:rPr>
          <w:rFonts w:ascii="宋体" w:eastAsia="宋体" w:hAnsi="宋体" w:cs="宋体"/>
          <w:kern w:val="0"/>
          <w:sz w:val="24"/>
          <w:szCs w:val="24"/>
        </w:rPr>
        <w:pict w14:anchorId="19096950">
          <v:rect id="_x0000_i1076" style="width:0;height:1.5pt" o:hralign="center" o:hrstd="t" o:hrnoshade="t" o:hr="t" fillcolor="black" stroked="f"/>
        </w:pict>
      </w:r>
    </w:p>
    <w:p w14:paraId="77412FF6" w14:textId="77777777" w:rsidR="002F3D36" w:rsidRPr="002F3D36" w:rsidRDefault="002F3D36" w:rsidP="002F3D36">
      <w:pPr>
        <w:widowControl/>
        <w:spacing w:line="20" w:lineRule="atLeast"/>
        <w:jc w:val="left"/>
        <w:rPr>
          <w:rFonts w:ascii="Times New Roman" w:eastAsia="宋体" w:hAnsi="Times New Roman" w:cs="Times New Roman"/>
          <w:color w:val="000000"/>
          <w:kern w:val="0"/>
          <w:sz w:val="20"/>
          <w:szCs w:val="20"/>
        </w:rPr>
      </w:pPr>
      <w:r w:rsidRPr="002F3D36">
        <w:rPr>
          <w:rFonts w:ascii="Arial" w:eastAsia="宋体" w:hAnsi="Arial" w:cs="Arial"/>
          <w:color w:val="000000"/>
          <w:kern w:val="0"/>
          <w:sz w:val="2"/>
          <w:szCs w:val="2"/>
        </w:rPr>
        <w:t> </w:t>
      </w:r>
    </w:p>
    <w:p w14:paraId="1AD9F13F"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FINANCING RISK</w:t>
      </w:r>
    </w:p>
    <w:p w14:paraId="3608C18C"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xml:space="preserve">Financing risk refers to the risk that it will be difficult and/or expensive to finance new or existing debt to meet the financing needs of the Autoliv Group. </w:t>
      </w:r>
    </w:p>
    <w:p w14:paraId="08F5F287"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The management of the financing risk ensures access to funding in a cost-efficient way by diversification of funding sources and debt maturities.</w:t>
      </w:r>
    </w:p>
    <w:p w14:paraId="5E65D046"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Autoliv has diversified its long-term funding sources by issuing notes in the USPP and Eurobond markets, and by signing a long-term credit agreement with 14 banks. The Company also has a lending facility with the Swedish Export Credit Corporation.</w:t>
      </w:r>
    </w:p>
    <w:p w14:paraId="02F40638"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lastRenderedPageBreak/>
        <w:t>The Company has Medium Term Note Program in place for being able to issue notes to be traded on the Global Exchange Market of Euronext Dublin. The Company also has established programs for short-term issuance of commercial paper in the Swedish and US markets and short-term credit agreements, e.g. bank overdrafts and money market loans.</w:t>
      </w:r>
    </w:p>
    <w:p w14:paraId="669F3E53"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xml:space="preserve">To ensure diversification of debt maturities, no more than 20% of the Autoliv Group’s total debt may mature the next 12 months, unless such maturities (in excess of 20%) are covered by unutilized committed credit facilities with maturity in excess of 12 months. Per December 31, 2021, 17% corresponding to $346 million of the Autoliv Group’s total debt had maturity less than 12 months. This amount was fully covered by unutilized committed credit facilities with maturity in excess of 12 months. </w:t>
      </w:r>
    </w:p>
    <w:p w14:paraId="0626E7E6"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CAPITAL STRUCTURE AND CREDIT RATING</w:t>
      </w:r>
    </w:p>
    <w:p w14:paraId="1D9B22B2"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The overall objective relating to Autoliv’s target capital structure and credit rating is to provide the Company with sufficient flexibility to manage the inherent risks and cyclicality in Autoliv’s business and allow the Company to realize strategic opportunities and fund growth initiatives while creating shareholder value.</w:t>
      </w:r>
    </w:p>
    <w:p w14:paraId="638ECCB8"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Autoliv is committed to maintain a “strong investment grade credit rating." As of December 31, 2021, the Company had a long-term credit rating from S&amp;P Global Ratings (“S&amp;P”) of BBB.</w:t>
      </w:r>
    </w:p>
    <w:p w14:paraId="7850A8AD"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The amount of interest-bearing debt held impacts the future financial flexibility as well as the credit rating. Management uses the non-U.S. GAAP measure “Leverage Ratio” to analyze the amount of debt the Company can incur under its debt policy. Management believes that this policy also provides guidance to credit and equity investors regarding the extent to which the Company would be prepared to leverage its operations. Autoliv’s long-term target for the leverage ratio (sum of net debt plus pension liabilities divided by EBITDA) is 1.0x with the aim to operate within the range of 0.5x to 1.5x. At December 31, 2021, the leverage ratio (non-U.S. GAAP measure, see calculation table below) was 1.2x. For details and calculation of leverage ratio, refer to the table below.</w:t>
      </w:r>
    </w:p>
    <w:p w14:paraId="4963DC06"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CALCULATION OF LEVERAGE RATIO (DOLLARS IN MILLIONS)</w:t>
      </w:r>
    </w:p>
    <w:p w14:paraId="16FCB0AB"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w:t>
      </w:r>
    </w:p>
    <w:tbl>
      <w:tblPr>
        <w:tblW w:w="20614" w:type="dxa"/>
        <w:tblCellSpacing w:w="15" w:type="dxa"/>
        <w:tblCellMar>
          <w:top w:w="15" w:type="dxa"/>
          <w:left w:w="15" w:type="dxa"/>
          <w:bottom w:w="15" w:type="dxa"/>
          <w:right w:w="15" w:type="dxa"/>
        </w:tblCellMar>
        <w:tblLook w:val="04A0" w:firstRow="1" w:lastRow="0" w:firstColumn="1" w:lastColumn="0" w:noHBand="0" w:noVBand="1"/>
      </w:tblPr>
      <w:tblGrid>
        <w:gridCol w:w="13587"/>
        <w:gridCol w:w="358"/>
        <w:gridCol w:w="275"/>
        <w:gridCol w:w="2696"/>
        <w:gridCol w:w="177"/>
        <w:gridCol w:w="358"/>
        <w:gridCol w:w="275"/>
        <w:gridCol w:w="2696"/>
        <w:gridCol w:w="192"/>
      </w:tblGrid>
      <w:tr w:rsidR="002F3D36" w:rsidRPr="002F3D36" w14:paraId="19A75A0B" w14:textId="77777777" w:rsidTr="002F3D36">
        <w:trPr>
          <w:tblCellSpacing w:w="15" w:type="dxa"/>
        </w:trPr>
        <w:tc>
          <w:tcPr>
            <w:tcW w:w="13564" w:type="dxa"/>
            <w:vAlign w:val="center"/>
            <w:hideMark/>
          </w:tcPr>
          <w:p w14:paraId="77124578" w14:textId="77777777" w:rsidR="002F3D36" w:rsidRPr="002F3D36" w:rsidRDefault="002F3D36" w:rsidP="002F3D36">
            <w:pPr>
              <w:widowControl/>
              <w:jc w:val="left"/>
              <w:rPr>
                <w:rFonts w:ascii="Times New Roman" w:eastAsia="宋体" w:hAnsi="Times New Roman" w:cs="Times New Roman"/>
                <w:color w:val="000000"/>
                <w:kern w:val="0"/>
                <w:sz w:val="20"/>
                <w:szCs w:val="20"/>
              </w:rPr>
            </w:pPr>
          </w:p>
        </w:tc>
        <w:tc>
          <w:tcPr>
            <w:tcW w:w="328" w:type="dxa"/>
            <w:vAlign w:val="center"/>
            <w:hideMark/>
          </w:tcPr>
          <w:p w14:paraId="12FFF306"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45" w:type="dxa"/>
            <w:vAlign w:val="center"/>
            <w:hideMark/>
          </w:tcPr>
          <w:p w14:paraId="001AEC59"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670" w:type="dxa"/>
            <w:vAlign w:val="center"/>
            <w:hideMark/>
          </w:tcPr>
          <w:p w14:paraId="23E9CA88"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47" w:type="dxa"/>
            <w:vAlign w:val="center"/>
            <w:hideMark/>
          </w:tcPr>
          <w:p w14:paraId="5B0B7FB9"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328" w:type="dxa"/>
            <w:vAlign w:val="center"/>
            <w:hideMark/>
          </w:tcPr>
          <w:p w14:paraId="632FCCE6"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45" w:type="dxa"/>
            <w:vAlign w:val="center"/>
            <w:hideMark/>
          </w:tcPr>
          <w:p w14:paraId="3BD47496"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670" w:type="dxa"/>
            <w:vAlign w:val="center"/>
            <w:hideMark/>
          </w:tcPr>
          <w:p w14:paraId="608980F2"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47" w:type="dxa"/>
            <w:vAlign w:val="center"/>
            <w:hideMark/>
          </w:tcPr>
          <w:p w14:paraId="1624B7AE" w14:textId="77777777" w:rsidR="002F3D36" w:rsidRPr="002F3D36" w:rsidRDefault="002F3D36" w:rsidP="002F3D36">
            <w:pPr>
              <w:widowControl/>
              <w:jc w:val="left"/>
              <w:rPr>
                <w:rFonts w:ascii="Times New Roman" w:eastAsia="Times New Roman" w:hAnsi="Times New Roman" w:cs="Times New Roman"/>
                <w:kern w:val="0"/>
                <w:sz w:val="20"/>
                <w:szCs w:val="20"/>
              </w:rPr>
            </w:pPr>
          </w:p>
        </w:tc>
      </w:tr>
      <w:tr w:rsidR="002F3D36" w:rsidRPr="002F3D36" w14:paraId="30E3F589" w14:textId="77777777" w:rsidTr="002F3D36">
        <w:trPr>
          <w:trHeight w:val="160"/>
          <w:tblCellSpacing w:w="15" w:type="dxa"/>
        </w:trPr>
        <w:tc>
          <w:tcPr>
            <w:tcW w:w="0" w:type="auto"/>
            <w:vAlign w:val="bottom"/>
            <w:hideMark/>
          </w:tcPr>
          <w:p w14:paraId="44360494" w14:textId="77777777" w:rsidR="002F3D36" w:rsidRPr="002F3D36" w:rsidRDefault="002F3D36" w:rsidP="002F3D36">
            <w:pPr>
              <w:widowControl/>
              <w:jc w:val="left"/>
              <w:rPr>
                <w:rFonts w:ascii="Times New Roman" w:eastAsia="微软雅黑" w:hAnsi="Times New Roman" w:cs="Times New Roman"/>
                <w:kern w:val="0"/>
                <w:sz w:val="22"/>
              </w:rPr>
            </w:pPr>
            <w:r w:rsidRPr="002F3D36">
              <w:rPr>
                <w:rFonts w:ascii="Arial" w:eastAsia="微软雅黑" w:hAnsi="Arial" w:cs="Arial"/>
                <w:kern w:val="0"/>
                <w:sz w:val="22"/>
              </w:rPr>
              <w:t> </w:t>
            </w:r>
          </w:p>
        </w:tc>
        <w:tc>
          <w:tcPr>
            <w:tcW w:w="0" w:type="auto"/>
            <w:vAlign w:val="bottom"/>
            <w:hideMark/>
          </w:tcPr>
          <w:p w14:paraId="675A7E86" w14:textId="77777777" w:rsidR="002F3D36" w:rsidRPr="002F3D36" w:rsidRDefault="002F3D36" w:rsidP="002F3D36">
            <w:pPr>
              <w:widowControl/>
              <w:jc w:val="left"/>
              <w:rPr>
                <w:rFonts w:ascii="Times New Roman" w:eastAsia="微软雅黑" w:hAnsi="Times New Roman" w:cs="Times New Roman"/>
                <w:kern w:val="0"/>
                <w:sz w:val="22"/>
              </w:rPr>
            </w:pPr>
            <w:r w:rsidRPr="002F3D36">
              <w:rPr>
                <w:rFonts w:ascii="Arial" w:eastAsia="微软雅黑" w:hAnsi="Arial" w:cs="Arial"/>
                <w:kern w:val="0"/>
                <w:sz w:val="22"/>
              </w:rPr>
              <w:t> </w:t>
            </w:r>
          </w:p>
        </w:tc>
        <w:tc>
          <w:tcPr>
            <w:tcW w:w="0" w:type="auto"/>
            <w:gridSpan w:val="6"/>
            <w:tcBorders>
              <w:bottom w:val="single" w:sz="4" w:space="0" w:color="000000"/>
            </w:tcBorders>
            <w:vAlign w:val="bottom"/>
            <w:hideMark/>
          </w:tcPr>
          <w:p w14:paraId="15B4D5F1"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b/>
                <w:bCs/>
                <w:color w:val="000000"/>
                <w:kern w:val="0"/>
                <w:sz w:val="16"/>
                <w:szCs w:val="16"/>
              </w:rPr>
              <w:t>December 31,</w:t>
            </w:r>
          </w:p>
        </w:tc>
        <w:tc>
          <w:tcPr>
            <w:tcW w:w="0" w:type="auto"/>
            <w:vAlign w:val="bottom"/>
            <w:hideMark/>
          </w:tcPr>
          <w:p w14:paraId="55802A4F"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r>
      <w:tr w:rsidR="002F3D36" w:rsidRPr="002F3D36" w14:paraId="5888A520" w14:textId="77777777" w:rsidTr="002F3D36">
        <w:trPr>
          <w:trHeight w:val="160"/>
          <w:tblCellSpacing w:w="15" w:type="dxa"/>
        </w:trPr>
        <w:tc>
          <w:tcPr>
            <w:tcW w:w="0" w:type="auto"/>
            <w:vAlign w:val="bottom"/>
            <w:hideMark/>
          </w:tcPr>
          <w:p w14:paraId="344F64A2"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vAlign w:val="bottom"/>
            <w:hideMark/>
          </w:tcPr>
          <w:p w14:paraId="64D468DA" w14:textId="77777777" w:rsidR="002F3D36" w:rsidRPr="002F3D36" w:rsidRDefault="002F3D36" w:rsidP="002F3D36">
            <w:pPr>
              <w:widowControl/>
              <w:jc w:val="left"/>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gridSpan w:val="2"/>
            <w:tcBorders>
              <w:bottom w:val="single" w:sz="4" w:space="0" w:color="000000"/>
            </w:tcBorders>
            <w:vAlign w:val="bottom"/>
            <w:hideMark/>
          </w:tcPr>
          <w:p w14:paraId="43C75068"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b/>
                <w:bCs/>
                <w:color w:val="000000"/>
                <w:kern w:val="0"/>
                <w:sz w:val="16"/>
                <w:szCs w:val="16"/>
              </w:rPr>
              <w:t>2021</w:t>
            </w:r>
          </w:p>
        </w:tc>
        <w:tc>
          <w:tcPr>
            <w:tcW w:w="0" w:type="auto"/>
            <w:vAlign w:val="bottom"/>
            <w:hideMark/>
          </w:tcPr>
          <w:p w14:paraId="50647E1F"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vAlign w:val="bottom"/>
            <w:hideMark/>
          </w:tcPr>
          <w:p w14:paraId="3A474B05" w14:textId="77777777" w:rsidR="002F3D36" w:rsidRPr="002F3D36" w:rsidRDefault="002F3D36" w:rsidP="002F3D36">
            <w:pPr>
              <w:widowControl/>
              <w:jc w:val="left"/>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gridSpan w:val="2"/>
            <w:tcBorders>
              <w:bottom w:val="single" w:sz="4" w:space="0" w:color="000000"/>
            </w:tcBorders>
            <w:vAlign w:val="bottom"/>
            <w:hideMark/>
          </w:tcPr>
          <w:p w14:paraId="5C15DDE6"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b/>
                <w:bCs/>
                <w:color w:val="000000"/>
                <w:kern w:val="0"/>
                <w:sz w:val="16"/>
                <w:szCs w:val="16"/>
              </w:rPr>
              <w:t>2020</w:t>
            </w:r>
          </w:p>
        </w:tc>
        <w:tc>
          <w:tcPr>
            <w:tcW w:w="0" w:type="auto"/>
            <w:vAlign w:val="bottom"/>
            <w:hideMark/>
          </w:tcPr>
          <w:p w14:paraId="4DEEADA6"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r>
      <w:tr w:rsidR="002F3D36" w:rsidRPr="002F3D36" w14:paraId="5A0B2482" w14:textId="77777777" w:rsidTr="002F3D36">
        <w:trPr>
          <w:trHeight w:val="180"/>
          <w:tblCellSpacing w:w="15" w:type="dxa"/>
        </w:trPr>
        <w:tc>
          <w:tcPr>
            <w:tcW w:w="0" w:type="auto"/>
            <w:hideMark/>
          </w:tcPr>
          <w:p w14:paraId="0D33A51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Net debt</w:t>
            </w:r>
            <w:r w:rsidRPr="002F3D36">
              <w:rPr>
                <w:rFonts w:ascii="Arial" w:eastAsia="微软雅黑" w:hAnsi="Arial" w:cs="Arial"/>
                <w:color w:val="000000"/>
                <w:kern w:val="0"/>
                <w:sz w:val="12"/>
                <w:szCs w:val="12"/>
              </w:rPr>
              <w:t>1)</w:t>
            </w:r>
          </w:p>
        </w:tc>
        <w:tc>
          <w:tcPr>
            <w:tcW w:w="0" w:type="auto"/>
            <w:vAlign w:val="bottom"/>
            <w:hideMark/>
          </w:tcPr>
          <w:p w14:paraId="1150ABB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5ED733F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vAlign w:val="bottom"/>
            <w:hideMark/>
          </w:tcPr>
          <w:p w14:paraId="00F23B78"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1,052</w:t>
            </w:r>
          </w:p>
        </w:tc>
        <w:tc>
          <w:tcPr>
            <w:tcW w:w="0" w:type="auto"/>
            <w:vAlign w:val="bottom"/>
            <w:hideMark/>
          </w:tcPr>
          <w:p w14:paraId="67E013C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1A649BE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20BED37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vAlign w:val="bottom"/>
            <w:hideMark/>
          </w:tcPr>
          <w:p w14:paraId="53C2C263"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1,214</w:t>
            </w:r>
          </w:p>
        </w:tc>
        <w:tc>
          <w:tcPr>
            <w:tcW w:w="0" w:type="auto"/>
            <w:vAlign w:val="bottom"/>
            <w:hideMark/>
          </w:tcPr>
          <w:p w14:paraId="71A8211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53F36231" w14:textId="77777777" w:rsidTr="002F3D36">
        <w:trPr>
          <w:trHeight w:val="180"/>
          <w:tblCellSpacing w:w="15" w:type="dxa"/>
        </w:trPr>
        <w:tc>
          <w:tcPr>
            <w:tcW w:w="0" w:type="auto"/>
            <w:shd w:val="clear" w:color="auto" w:fill="CFF0FC"/>
            <w:hideMark/>
          </w:tcPr>
          <w:p w14:paraId="78847A7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Pension liabilities</w:t>
            </w:r>
          </w:p>
        </w:tc>
        <w:tc>
          <w:tcPr>
            <w:tcW w:w="0" w:type="auto"/>
            <w:shd w:val="clear" w:color="auto" w:fill="CFF0FC"/>
            <w:vAlign w:val="bottom"/>
            <w:hideMark/>
          </w:tcPr>
          <w:p w14:paraId="0D5A64D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shd w:val="clear" w:color="auto" w:fill="CFF0FC"/>
            <w:vAlign w:val="bottom"/>
            <w:hideMark/>
          </w:tcPr>
          <w:p w14:paraId="5FDB8F0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shd w:val="clear" w:color="auto" w:fill="CFF0FC"/>
            <w:vAlign w:val="bottom"/>
            <w:hideMark/>
          </w:tcPr>
          <w:p w14:paraId="0509FFB8"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197</w:t>
            </w:r>
          </w:p>
        </w:tc>
        <w:tc>
          <w:tcPr>
            <w:tcW w:w="0" w:type="auto"/>
            <w:shd w:val="clear" w:color="auto" w:fill="CFF0FC"/>
            <w:vAlign w:val="bottom"/>
            <w:hideMark/>
          </w:tcPr>
          <w:p w14:paraId="6BA3EDF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0AECF87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shd w:val="clear" w:color="auto" w:fill="CFF0FC"/>
            <w:vAlign w:val="bottom"/>
            <w:hideMark/>
          </w:tcPr>
          <w:p w14:paraId="4003ED7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shd w:val="clear" w:color="auto" w:fill="CFF0FC"/>
            <w:vAlign w:val="bottom"/>
            <w:hideMark/>
          </w:tcPr>
          <w:p w14:paraId="71BA46C5"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248</w:t>
            </w:r>
          </w:p>
        </w:tc>
        <w:tc>
          <w:tcPr>
            <w:tcW w:w="0" w:type="auto"/>
            <w:shd w:val="clear" w:color="auto" w:fill="CFF0FC"/>
            <w:vAlign w:val="bottom"/>
            <w:hideMark/>
          </w:tcPr>
          <w:p w14:paraId="1239F18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11ECAF51" w14:textId="77777777" w:rsidTr="002F3D36">
        <w:trPr>
          <w:trHeight w:val="180"/>
          <w:tblCellSpacing w:w="15" w:type="dxa"/>
        </w:trPr>
        <w:tc>
          <w:tcPr>
            <w:tcW w:w="0" w:type="auto"/>
            <w:hideMark/>
          </w:tcPr>
          <w:p w14:paraId="3B0ADAB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Debt per the Policy</w:t>
            </w:r>
          </w:p>
        </w:tc>
        <w:tc>
          <w:tcPr>
            <w:tcW w:w="0" w:type="auto"/>
            <w:vAlign w:val="bottom"/>
            <w:hideMark/>
          </w:tcPr>
          <w:p w14:paraId="2A74EA4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624BA8A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0B924E90"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1,248</w:t>
            </w:r>
          </w:p>
        </w:tc>
        <w:tc>
          <w:tcPr>
            <w:tcW w:w="0" w:type="auto"/>
            <w:vAlign w:val="bottom"/>
            <w:hideMark/>
          </w:tcPr>
          <w:p w14:paraId="06DCA4C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59A9740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54D50A4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0BF94368"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1,462</w:t>
            </w:r>
          </w:p>
        </w:tc>
        <w:tc>
          <w:tcPr>
            <w:tcW w:w="0" w:type="auto"/>
            <w:vAlign w:val="bottom"/>
            <w:hideMark/>
          </w:tcPr>
          <w:p w14:paraId="749BA3E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6B90D350" w14:textId="77777777" w:rsidTr="002F3D36">
        <w:trPr>
          <w:tblCellSpacing w:w="15" w:type="dxa"/>
        </w:trPr>
        <w:tc>
          <w:tcPr>
            <w:tcW w:w="0" w:type="auto"/>
            <w:shd w:val="clear" w:color="auto" w:fill="CFF0FC"/>
            <w:hideMark/>
          </w:tcPr>
          <w:p w14:paraId="400E5F6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026F26B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gridSpan w:val="2"/>
            <w:shd w:val="clear" w:color="auto" w:fill="CFF0FC"/>
            <w:vAlign w:val="bottom"/>
            <w:hideMark/>
          </w:tcPr>
          <w:p w14:paraId="7D2C558C"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28DAE8BB"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711F04B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gridSpan w:val="2"/>
            <w:shd w:val="clear" w:color="auto" w:fill="CFF0FC"/>
            <w:vAlign w:val="bottom"/>
            <w:hideMark/>
          </w:tcPr>
          <w:p w14:paraId="4E046520"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19A860A8"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24A2D080" w14:textId="77777777" w:rsidTr="002F3D36">
        <w:trPr>
          <w:trHeight w:val="180"/>
          <w:tblCellSpacing w:w="15" w:type="dxa"/>
        </w:trPr>
        <w:tc>
          <w:tcPr>
            <w:tcW w:w="0" w:type="auto"/>
            <w:hideMark/>
          </w:tcPr>
          <w:p w14:paraId="2E078C7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Net income</w:t>
            </w:r>
            <w:r w:rsidRPr="002F3D36">
              <w:rPr>
                <w:rFonts w:ascii="Arial" w:eastAsia="微软雅黑" w:hAnsi="Arial" w:cs="Arial"/>
                <w:color w:val="000000"/>
                <w:kern w:val="0"/>
                <w:sz w:val="12"/>
                <w:szCs w:val="12"/>
              </w:rPr>
              <w:t>2)</w:t>
            </w:r>
          </w:p>
        </w:tc>
        <w:tc>
          <w:tcPr>
            <w:tcW w:w="0" w:type="auto"/>
            <w:vAlign w:val="bottom"/>
            <w:hideMark/>
          </w:tcPr>
          <w:p w14:paraId="72A37F9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056210E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1E2F5A57"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437</w:t>
            </w:r>
          </w:p>
        </w:tc>
        <w:tc>
          <w:tcPr>
            <w:tcW w:w="0" w:type="auto"/>
            <w:vAlign w:val="bottom"/>
            <w:hideMark/>
          </w:tcPr>
          <w:p w14:paraId="19A98F1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18E2B31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4BFCE4A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3FDD9598"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188</w:t>
            </w:r>
          </w:p>
        </w:tc>
        <w:tc>
          <w:tcPr>
            <w:tcW w:w="0" w:type="auto"/>
            <w:vAlign w:val="bottom"/>
            <w:hideMark/>
          </w:tcPr>
          <w:p w14:paraId="32C0AC6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29E9FFD4" w14:textId="77777777" w:rsidTr="002F3D36">
        <w:trPr>
          <w:trHeight w:val="180"/>
          <w:tblCellSpacing w:w="15" w:type="dxa"/>
        </w:trPr>
        <w:tc>
          <w:tcPr>
            <w:tcW w:w="0" w:type="auto"/>
            <w:shd w:val="clear" w:color="auto" w:fill="CFF0FC"/>
            <w:hideMark/>
          </w:tcPr>
          <w:p w14:paraId="1525734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Income taxes</w:t>
            </w:r>
            <w:r w:rsidRPr="002F3D36">
              <w:rPr>
                <w:rFonts w:ascii="Arial" w:eastAsia="微软雅黑" w:hAnsi="Arial" w:cs="Arial"/>
                <w:color w:val="000000"/>
                <w:kern w:val="0"/>
                <w:sz w:val="12"/>
                <w:szCs w:val="12"/>
              </w:rPr>
              <w:t>2)</w:t>
            </w:r>
          </w:p>
        </w:tc>
        <w:tc>
          <w:tcPr>
            <w:tcW w:w="0" w:type="auto"/>
            <w:shd w:val="clear" w:color="auto" w:fill="CFF0FC"/>
            <w:vAlign w:val="bottom"/>
            <w:hideMark/>
          </w:tcPr>
          <w:p w14:paraId="58C3334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5393A44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621318EE"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177</w:t>
            </w:r>
          </w:p>
        </w:tc>
        <w:tc>
          <w:tcPr>
            <w:tcW w:w="0" w:type="auto"/>
            <w:shd w:val="clear" w:color="auto" w:fill="CFF0FC"/>
            <w:vAlign w:val="bottom"/>
            <w:hideMark/>
          </w:tcPr>
          <w:p w14:paraId="11B03F1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317082D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44590C4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2739289C"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103</w:t>
            </w:r>
          </w:p>
        </w:tc>
        <w:tc>
          <w:tcPr>
            <w:tcW w:w="0" w:type="auto"/>
            <w:shd w:val="clear" w:color="auto" w:fill="CFF0FC"/>
            <w:vAlign w:val="bottom"/>
            <w:hideMark/>
          </w:tcPr>
          <w:p w14:paraId="56D7A53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2E9E863C" w14:textId="77777777" w:rsidTr="002F3D36">
        <w:trPr>
          <w:trHeight w:val="180"/>
          <w:tblCellSpacing w:w="15" w:type="dxa"/>
        </w:trPr>
        <w:tc>
          <w:tcPr>
            <w:tcW w:w="0" w:type="auto"/>
            <w:hideMark/>
          </w:tcPr>
          <w:p w14:paraId="1108417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Interest expense, net</w:t>
            </w:r>
            <w:r w:rsidRPr="002F3D36">
              <w:rPr>
                <w:rFonts w:ascii="Arial" w:eastAsia="微软雅黑" w:hAnsi="Arial" w:cs="Arial"/>
                <w:color w:val="000000"/>
                <w:kern w:val="0"/>
                <w:sz w:val="12"/>
                <w:szCs w:val="12"/>
              </w:rPr>
              <w:t>2,3)</w:t>
            </w:r>
          </w:p>
        </w:tc>
        <w:tc>
          <w:tcPr>
            <w:tcW w:w="0" w:type="auto"/>
            <w:vAlign w:val="bottom"/>
            <w:hideMark/>
          </w:tcPr>
          <w:p w14:paraId="04C4E0E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0FF3DF5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19CD0BDE"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57</w:t>
            </w:r>
          </w:p>
        </w:tc>
        <w:tc>
          <w:tcPr>
            <w:tcW w:w="0" w:type="auto"/>
            <w:vAlign w:val="bottom"/>
            <w:hideMark/>
          </w:tcPr>
          <w:p w14:paraId="6A4CFAA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2638723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5E82A5D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5521C8C1"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68</w:t>
            </w:r>
          </w:p>
        </w:tc>
        <w:tc>
          <w:tcPr>
            <w:tcW w:w="0" w:type="auto"/>
            <w:vAlign w:val="bottom"/>
            <w:hideMark/>
          </w:tcPr>
          <w:p w14:paraId="0C1F7A2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3A12349B" w14:textId="77777777" w:rsidTr="002F3D36">
        <w:trPr>
          <w:trHeight w:val="180"/>
          <w:tblCellSpacing w:w="15" w:type="dxa"/>
        </w:trPr>
        <w:tc>
          <w:tcPr>
            <w:tcW w:w="0" w:type="auto"/>
            <w:shd w:val="clear" w:color="auto" w:fill="CFF0FC"/>
            <w:hideMark/>
          </w:tcPr>
          <w:p w14:paraId="129071A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Other non-operating items, net</w:t>
            </w:r>
            <w:r w:rsidRPr="002F3D36">
              <w:rPr>
                <w:rFonts w:ascii="Arial" w:eastAsia="微软雅黑" w:hAnsi="Arial" w:cs="Arial"/>
                <w:color w:val="000000"/>
                <w:kern w:val="0"/>
                <w:sz w:val="12"/>
                <w:szCs w:val="12"/>
              </w:rPr>
              <w:t>2)</w:t>
            </w:r>
          </w:p>
        </w:tc>
        <w:tc>
          <w:tcPr>
            <w:tcW w:w="0" w:type="auto"/>
            <w:shd w:val="clear" w:color="auto" w:fill="CFF0FC"/>
            <w:vAlign w:val="bottom"/>
            <w:hideMark/>
          </w:tcPr>
          <w:p w14:paraId="4A64126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7C23600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742889A4"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7</w:t>
            </w:r>
          </w:p>
        </w:tc>
        <w:tc>
          <w:tcPr>
            <w:tcW w:w="0" w:type="auto"/>
            <w:shd w:val="clear" w:color="auto" w:fill="CFF0FC"/>
            <w:vAlign w:val="bottom"/>
            <w:hideMark/>
          </w:tcPr>
          <w:p w14:paraId="52355E5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647078D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49D865A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0DC1D068"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25</w:t>
            </w:r>
          </w:p>
        </w:tc>
        <w:tc>
          <w:tcPr>
            <w:tcW w:w="0" w:type="auto"/>
            <w:shd w:val="clear" w:color="auto" w:fill="CFF0FC"/>
            <w:vAlign w:val="bottom"/>
            <w:hideMark/>
          </w:tcPr>
          <w:p w14:paraId="5F64D37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41661E3E" w14:textId="77777777" w:rsidTr="002F3D36">
        <w:trPr>
          <w:trHeight w:val="180"/>
          <w:tblCellSpacing w:w="15" w:type="dxa"/>
        </w:trPr>
        <w:tc>
          <w:tcPr>
            <w:tcW w:w="0" w:type="auto"/>
            <w:hideMark/>
          </w:tcPr>
          <w:p w14:paraId="6779021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Income from equity method investments</w:t>
            </w:r>
            <w:r w:rsidRPr="002F3D36">
              <w:rPr>
                <w:rFonts w:ascii="Arial" w:eastAsia="微软雅黑" w:hAnsi="Arial" w:cs="Arial"/>
                <w:color w:val="000000"/>
                <w:kern w:val="0"/>
                <w:sz w:val="12"/>
                <w:szCs w:val="12"/>
              </w:rPr>
              <w:t>2)</w:t>
            </w:r>
          </w:p>
        </w:tc>
        <w:tc>
          <w:tcPr>
            <w:tcW w:w="0" w:type="auto"/>
            <w:vAlign w:val="bottom"/>
            <w:hideMark/>
          </w:tcPr>
          <w:p w14:paraId="2852EA4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0FF2742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635F6F4F"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(3</w:t>
            </w:r>
          </w:p>
        </w:tc>
        <w:tc>
          <w:tcPr>
            <w:tcW w:w="0" w:type="auto"/>
            <w:vAlign w:val="bottom"/>
            <w:hideMark/>
          </w:tcPr>
          <w:p w14:paraId="5F3E13C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vAlign w:val="bottom"/>
            <w:hideMark/>
          </w:tcPr>
          <w:p w14:paraId="6B8A5AB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35C7F88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53951972"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(2</w:t>
            </w:r>
          </w:p>
        </w:tc>
        <w:tc>
          <w:tcPr>
            <w:tcW w:w="0" w:type="auto"/>
            <w:vAlign w:val="bottom"/>
            <w:hideMark/>
          </w:tcPr>
          <w:p w14:paraId="19FE072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r>
      <w:tr w:rsidR="002F3D36" w:rsidRPr="002F3D36" w14:paraId="3C31571F" w14:textId="77777777" w:rsidTr="002F3D36">
        <w:trPr>
          <w:trHeight w:val="180"/>
          <w:tblCellSpacing w:w="15" w:type="dxa"/>
        </w:trPr>
        <w:tc>
          <w:tcPr>
            <w:tcW w:w="0" w:type="auto"/>
            <w:shd w:val="clear" w:color="auto" w:fill="CFF0FC"/>
            <w:hideMark/>
          </w:tcPr>
          <w:p w14:paraId="05A302A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Depreciation and amortization of intangibles</w:t>
            </w:r>
            <w:r w:rsidRPr="002F3D36">
              <w:rPr>
                <w:rFonts w:ascii="Arial" w:eastAsia="微软雅黑" w:hAnsi="Arial" w:cs="Arial"/>
                <w:color w:val="000000"/>
                <w:kern w:val="0"/>
                <w:sz w:val="12"/>
                <w:szCs w:val="12"/>
              </w:rPr>
              <w:t>2)</w:t>
            </w:r>
          </w:p>
        </w:tc>
        <w:tc>
          <w:tcPr>
            <w:tcW w:w="0" w:type="auto"/>
            <w:shd w:val="clear" w:color="auto" w:fill="CFF0FC"/>
            <w:vAlign w:val="bottom"/>
            <w:hideMark/>
          </w:tcPr>
          <w:p w14:paraId="59A950C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4F8CBE2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6567D288"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394</w:t>
            </w:r>
          </w:p>
        </w:tc>
        <w:tc>
          <w:tcPr>
            <w:tcW w:w="0" w:type="auto"/>
            <w:shd w:val="clear" w:color="auto" w:fill="CFF0FC"/>
            <w:vAlign w:val="bottom"/>
            <w:hideMark/>
          </w:tcPr>
          <w:p w14:paraId="5B04889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57F9EDB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2A224B6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00B426F6"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371</w:t>
            </w:r>
          </w:p>
        </w:tc>
        <w:tc>
          <w:tcPr>
            <w:tcW w:w="0" w:type="auto"/>
            <w:shd w:val="clear" w:color="auto" w:fill="CFF0FC"/>
            <w:vAlign w:val="bottom"/>
            <w:hideMark/>
          </w:tcPr>
          <w:p w14:paraId="1A474BB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5780F8D1" w14:textId="77777777" w:rsidTr="002F3D36">
        <w:trPr>
          <w:trHeight w:val="180"/>
          <w:tblCellSpacing w:w="15" w:type="dxa"/>
        </w:trPr>
        <w:tc>
          <w:tcPr>
            <w:tcW w:w="0" w:type="auto"/>
            <w:hideMark/>
          </w:tcPr>
          <w:p w14:paraId="4BE80DD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lastRenderedPageBreak/>
              <w:t>Capacity alignments costs and antitrust related matters</w:t>
            </w:r>
            <w:r w:rsidRPr="002F3D36">
              <w:rPr>
                <w:rFonts w:ascii="Arial" w:eastAsia="微软雅黑" w:hAnsi="Arial" w:cs="Arial"/>
                <w:color w:val="000000"/>
                <w:kern w:val="0"/>
                <w:sz w:val="12"/>
                <w:szCs w:val="12"/>
              </w:rPr>
              <w:t>2)</w:t>
            </w:r>
          </w:p>
        </w:tc>
        <w:tc>
          <w:tcPr>
            <w:tcW w:w="0" w:type="auto"/>
            <w:vAlign w:val="bottom"/>
            <w:hideMark/>
          </w:tcPr>
          <w:p w14:paraId="20682E3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vAlign w:val="bottom"/>
            <w:hideMark/>
          </w:tcPr>
          <w:p w14:paraId="57C22C3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vAlign w:val="bottom"/>
            <w:hideMark/>
          </w:tcPr>
          <w:p w14:paraId="4F27A002"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8</w:t>
            </w:r>
          </w:p>
        </w:tc>
        <w:tc>
          <w:tcPr>
            <w:tcW w:w="0" w:type="auto"/>
            <w:vAlign w:val="bottom"/>
            <w:hideMark/>
          </w:tcPr>
          <w:p w14:paraId="3E325EF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2D73103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vAlign w:val="bottom"/>
            <w:hideMark/>
          </w:tcPr>
          <w:p w14:paraId="3240DA1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vAlign w:val="bottom"/>
            <w:hideMark/>
          </w:tcPr>
          <w:p w14:paraId="7CFB0688"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99</w:t>
            </w:r>
          </w:p>
        </w:tc>
        <w:tc>
          <w:tcPr>
            <w:tcW w:w="0" w:type="auto"/>
            <w:vAlign w:val="bottom"/>
            <w:hideMark/>
          </w:tcPr>
          <w:p w14:paraId="4536845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5A0E1C9F" w14:textId="77777777" w:rsidTr="002F3D36">
        <w:trPr>
          <w:trHeight w:val="180"/>
          <w:tblCellSpacing w:w="15" w:type="dxa"/>
        </w:trPr>
        <w:tc>
          <w:tcPr>
            <w:tcW w:w="0" w:type="auto"/>
            <w:shd w:val="clear" w:color="auto" w:fill="CFF0FC"/>
            <w:hideMark/>
          </w:tcPr>
          <w:p w14:paraId="09D64EA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EBITDA per the Policy (Adjusted EBITDA)</w:t>
            </w:r>
          </w:p>
        </w:tc>
        <w:tc>
          <w:tcPr>
            <w:tcW w:w="0" w:type="auto"/>
            <w:shd w:val="clear" w:color="auto" w:fill="CFF0FC"/>
            <w:vAlign w:val="bottom"/>
            <w:hideMark/>
          </w:tcPr>
          <w:p w14:paraId="7D93551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18356FE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w:t>
            </w:r>
          </w:p>
        </w:tc>
        <w:tc>
          <w:tcPr>
            <w:tcW w:w="0" w:type="auto"/>
            <w:shd w:val="clear" w:color="auto" w:fill="CFF0FC"/>
            <w:vAlign w:val="bottom"/>
            <w:hideMark/>
          </w:tcPr>
          <w:p w14:paraId="55131BFA"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1,077</w:t>
            </w:r>
          </w:p>
        </w:tc>
        <w:tc>
          <w:tcPr>
            <w:tcW w:w="0" w:type="auto"/>
            <w:shd w:val="clear" w:color="auto" w:fill="CFF0FC"/>
            <w:vAlign w:val="bottom"/>
            <w:hideMark/>
          </w:tcPr>
          <w:p w14:paraId="592539F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042D5AA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5AFC5D3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w:t>
            </w:r>
          </w:p>
        </w:tc>
        <w:tc>
          <w:tcPr>
            <w:tcW w:w="0" w:type="auto"/>
            <w:shd w:val="clear" w:color="auto" w:fill="CFF0FC"/>
            <w:vAlign w:val="bottom"/>
            <w:hideMark/>
          </w:tcPr>
          <w:p w14:paraId="1E8FD913"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852</w:t>
            </w:r>
          </w:p>
        </w:tc>
        <w:tc>
          <w:tcPr>
            <w:tcW w:w="0" w:type="auto"/>
            <w:shd w:val="clear" w:color="auto" w:fill="CFF0FC"/>
            <w:vAlign w:val="bottom"/>
            <w:hideMark/>
          </w:tcPr>
          <w:p w14:paraId="0F87713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306A4FA0" w14:textId="77777777" w:rsidTr="002F3D36">
        <w:trPr>
          <w:trHeight w:val="180"/>
          <w:tblCellSpacing w:w="15" w:type="dxa"/>
        </w:trPr>
        <w:tc>
          <w:tcPr>
            <w:tcW w:w="0" w:type="auto"/>
            <w:hideMark/>
          </w:tcPr>
          <w:p w14:paraId="6A6CE5F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Leverage ratio</w:t>
            </w:r>
          </w:p>
        </w:tc>
        <w:tc>
          <w:tcPr>
            <w:tcW w:w="0" w:type="auto"/>
            <w:vAlign w:val="bottom"/>
            <w:hideMark/>
          </w:tcPr>
          <w:p w14:paraId="6EBF054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313A58C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266B7D37"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1.2</w:t>
            </w:r>
          </w:p>
        </w:tc>
        <w:tc>
          <w:tcPr>
            <w:tcW w:w="0" w:type="auto"/>
            <w:vAlign w:val="bottom"/>
            <w:hideMark/>
          </w:tcPr>
          <w:p w14:paraId="04AF7B0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5B1073E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213BE22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1160B018"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1.7</w:t>
            </w:r>
          </w:p>
        </w:tc>
        <w:tc>
          <w:tcPr>
            <w:tcW w:w="0" w:type="auto"/>
            <w:vAlign w:val="bottom"/>
            <w:hideMark/>
          </w:tcPr>
          <w:p w14:paraId="455030B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bl>
    <w:p w14:paraId="797D70DB"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6"/>
          <w:szCs w:val="16"/>
        </w:rPr>
        <w:t xml:space="preserve">1) Net debt is short- and long-term debt and debt-related derivatives less cash and cash equivalents (non-U.S. GAAP measure). </w:t>
      </w:r>
    </w:p>
    <w:p w14:paraId="5C5F898D"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6"/>
          <w:szCs w:val="16"/>
        </w:rPr>
        <w:t xml:space="preserve">2) Latest 12 months. </w:t>
      </w:r>
    </w:p>
    <w:p w14:paraId="582CDA23"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6"/>
          <w:szCs w:val="16"/>
        </w:rPr>
        <w:t>3) Interest expense, net is interest expense including cost for extinguishment of debt, if any, less interest income.</w:t>
      </w:r>
    </w:p>
    <w:p w14:paraId="4BB94A7B" w14:textId="77777777" w:rsidR="002F3D36" w:rsidRPr="002F3D36" w:rsidRDefault="002F3D36" w:rsidP="002F3D36">
      <w:pPr>
        <w:widowControl/>
        <w:ind w:hanging="581"/>
        <w:rPr>
          <w:rFonts w:ascii="Times New Roman" w:eastAsia="宋体" w:hAnsi="Times New Roman" w:cs="Times New Roman"/>
          <w:color w:val="000000"/>
          <w:kern w:val="0"/>
          <w:sz w:val="20"/>
          <w:szCs w:val="20"/>
        </w:rPr>
      </w:pPr>
      <w:r w:rsidRPr="002F3D36">
        <w:rPr>
          <w:rFonts w:ascii="Arial" w:eastAsia="宋体" w:hAnsi="Arial" w:cs="Arial"/>
          <w:color w:val="000000"/>
          <w:kern w:val="0"/>
          <w:sz w:val="16"/>
          <w:szCs w:val="16"/>
        </w:rPr>
        <w:t> </w:t>
      </w:r>
    </w:p>
    <w:p w14:paraId="1E6B1B64" w14:textId="77777777" w:rsidR="002F3D36" w:rsidRPr="002F3D36" w:rsidRDefault="002F3D36" w:rsidP="002F3D36">
      <w:pPr>
        <w:widowControl/>
        <w:jc w:val="left"/>
        <w:rPr>
          <w:rFonts w:ascii="Times New Roman" w:eastAsia="宋体" w:hAnsi="Times New Roman" w:cs="Times New Roman"/>
          <w:color w:val="000000"/>
          <w:kern w:val="0"/>
          <w:sz w:val="20"/>
          <w:szCs w:val="20"/>
        </w:rPr>
      </w:pPr>
      <w:r w:rsidRPr="002F3D36">
        <w:rPr>
          <w:rFonts w:ascii="Times New Roman" w:eastAsia="宋体" w:hAnsi="Times New Roman" w:cs="Times New Roman"/>
          <w:color w:val="000000"/>
          <w:kern w:val="0"/>
          <w:sz w:val="20"/>
          <w:szCs w:val="20"/>
        </w:rPr>
        <w:t> </w:t>
      </w:r>
    </w:p>
    <w:p w14:paraId="0E06827B" w14:textId="77777777" w:rsidR="002F3D36" w:rsidRPr="002F3D36" w:rsidRDefault="002F3D36" w:rsidP="002F3D36">
      <w:pPr>
        <w:widowControl/>
        <w:spacing w:before="240"/>
        <w:jc w:val="center"/>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50</w:t>
      </w:r>
    </w:p>
    <w:p w14:paraId="2AC8502C" w14:textId="77777777" w:rsidR="002F3D36" w:rsidRPr="002F3D36" w:rsidRDefault="002F3D36" w:rsidP="002F3D36">
      <w:pPr>
        <w:widowControl/>
        <w:jc w:val="left"/>
        <w:rPr>
          <w:rFonts w:ascii="宋体" w:eastAsia="宋体" w:hAnsi="宋体" w:cs="宋体"/>
          <w:kern w:val="0"/>
          <w:sz w:val="24"/>
          <w:szCs w:val="24"/>
        </w:rPr>
      </w:pPr>
      <w:r w:rsidRPr="002F3D36">
        <w:rPr>
          <w:rFonts w:ascii="宋体" w:eastAsia="宋体" w:hAnsi="宋体" w:cs="宋体"/>
          <w:kern w:val="0"/>
          <w:sz w:val="24"/>
          <w:szCs w:val="24"/>
        </w:rPr>
        <w:pict w14:anchorId="1919DB89">
          <v:rect id="_x0000_i1077" style="width:0;height:1.5pt" o:hralign="center" o:hrstd="t" o:hrnoshade="t" o:hr="t" fillcolor="black" stroked="f"/>
        </w:pict>
      </w:r>
    </w:p>
    <w:p w14:paraId="61B87742" w14:textId="77777777" w:rsidR="002F3D36" w:rsidRPr="002F3D36" w:rsidRDefault="002F3D36" w:rsidP="002F3D36">
      <w:pPr>
        <w:widowControl/>
        <w:spacing w:line="20" w:lineRule="atLeast"/>
        <w:jc w:val="left"/>
        <w:rPr>
          <w:rFonts w:ascii="Times New Roman" w:eastAsia="宋体" w:hAnsi="Times New Roman" w:cs="Times New Roman"/>
          <w:color w:val="000000"/>
          <w:kern w:val="0"/>
          <w:sz w:val="20"/>
          <w:szCs w:val="20"/>
        </w:rPr>
      </w:pPr>
      <w:r w:rsidRPr="002F3D36">
        <w:rPr>
          <w:rFonts w:ascii="Arial" w:eastAsia="宋体" w:hAnsi="Arial" w:cs="Arial"/>
          <w:color w:val="000000"/>
          <w:kern w:val="0"/>
          <w:sz w:val="2"/>
          <w:szCs w:val="2"/>
        </w:rPr>
        <w:t> </w:t>
      </w:r>
    </w:p>
    <w:p w14:paraId="7CC3FF8E" w14:textId="77777777" w:rsidR="002F3D36" w:rsidRPr="002F3D36" w:rsidRDefault="002F3D36" w:rsidP="002F3D36">
      <w:pPr>
        <w:widowControl/>
        <w:spacing w:before="18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CREDIT RISK IN FINANCIAL MARKETS</w:t>
      </w:r>
    </w:p>
    <w:p w14:paraId="062FEFF6"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Credit risk refers to the risk of a financial counterparty being unable to fulfill an agreed-upon obligation.</w:t>
      </w:r>
    </w:p>
    <w:p w14:paraId="78157021"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In the Company’s financial operations, credit risk arises when cash is deposited with banks and when entering into forward exchange agreements, swap contracts or other financial instruments.</w:t>
      </w:r>
    </w:p>
    <w:p w14:paraId="697B91EE"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The policy of the Company is to work with banks that have a high credit rating and that participate in Autoliv’s financing.</w:t>
      </w:r>
    </w:p>
    <w:p w14:paraId="449A3FB0"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To further reduce credit risk, deposits and financial instruments can only be entered into with core banks up to a calculated risk amount of $200 million per bank for banks rated A- or above and up to $50 million for banks rated BBB+. In addition, deposits can be made in U.S. and Swedish government short-term notes and certain AAA rated money market funds, as approved by the Company’s Board of Directors. At December 31, 2021, the Company held $579 million in AAA rated money market funds.</w:t>
      </w:r>
    </w:p>
    <w:p w14:paraId="6C8A0FD0"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IMPAIRMENT RISK</w:t>
      </w:r>
    </w:p>
    <w:p w14:paraId="078D8658"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Impairment risk refers to the risk that the Company will write down a material amount of its goodwill of close to $1.4 billion as of December 31, 2021. This risk is assessed at least annually in the fourth quarter each year when the Company performs its impairment testing.</w:t>
      </w:r>
    </w:p>
    <w:p w14:paraId="5B67811C"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In 2021, the Company performed a quantitative impairment testing by calculating the fair value of its goodwill. The estimated fair market value of goodwill is determined by the discounted cash flow method. The Company discounts projected operating cash flows using its weighted average cost of capital. Estimating the fair value requires the Company to make judgments about appropriate discount rates, growth rates, relevant comparable company earnings multiples and the amount and timing of expected future cash flows.</w:t>
      </w:r>
    </w:p>
    <w:p w14:paraId="2CD0F048"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It has been concluded that presently the Company is not “at risk” of failing the goodwill impairment test. However, there can be no assurance that goodwill will not be impaired due to future significant declines in LVP, due to the Company's technologies or products becoming obsolete or for any other reason. The Company could also acquire companies where goodwill could turn out to be less resilient to deteriorations in external conditions. See also discussion under Goodwill and Intangible Assets in Note 2 and Note 10 to the Consolidated Financial Statements included herein.</w:t>
      </w:r>
    </w:p>
    <w:p w14:paraId="669EBD37"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22"/>
        </w:rPr>
        <w:lastRenderedPageBreak/>
        <w:t>Item 8. Financial Statements and Supplementary Data</w:t>
      </w:r>
    </w:p>
    <w:p w14:paraId="72CDD69F"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The Consolidated Balance Sheets of Autoliv as of December 31, 2021 and 2020 and the Consolidated Statements of Income, Comprehensive Income, Cash Flows and Total Equity for each of the three years in the period ended December 31, 2021, the Notes to the Consolidated Financial Statements, and the Reports of the Independent Registered Public Accounting Firm are included below.</w:t>
      </w:r>
    </w:p>
    <w:p w14:paraId="5DAF8453"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All of the schedules specified under Regulation S-X to be provided by Autoliv have been omitted either because they are not applicable, are not required or the information required is included in the financial statements or notes thereto.</w:t>
      </w:r>
    </w:p>
    <w:p w14:paraId="31745A04" w14:textId="77777777" w:rsidR="002F3D36" w:rsidRPr="002F3D36" w:rsidRDefault="002F3D36" w:rsidP="002F3D36">
      <w:pPr>
        <w:widowControl/>
        <w:spacing w:before="240"/>
        <w:jc w:val="center"/>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51</w:t>
      </w:r>
    </w:p>
    <w:p w14:paraId="57AE1A94" w14:textId="77777777" w:rsidR="002F3D36" w:rsidRPr="002F3D36" w:rsidRDefault="002F3D36" w:rsidP="002F3D36">
      <w:pPr>
        <w:widowControl/>
        <w:jc w:val="left"/>
        <w:rPr>
          <w:rFonts w:ascii="宋体" w:eastAsia="宋体" w:hAnsi="宋体" w:cs="宋体"/>
          <w:kern w:val="0"/>
          <w:sz w:val="24"/>
          <w:szCs w:val="24"/>
        </w:rPr>
      </w:pPr>
      <w:r w:rsidRPr="002F3D36">
        <w:rPr>
          <w:rFonts w:ascii="宋体" w:eastAsia="宋体" w:hAnsi="宋体" w:cs="宋体"/>
          <w:kern w:val="0"/>
          <w:sz w:val="24"/>
          <w:szCs w:val="24"/>
        </w:rPr>
        <w:pict w14:anchorId="1007D676">
          <v:rect id="_x0000_i1078" style="width:0;height:1.5pt" o:hralign="center" o:hrstd="t" o:hrnoshade="t" o:hr="t" fillcolor="black" stroked="f"/>
        </w:pict>
      </w:r>
    </w:p>
    <w:p w14:paraId="4D3E7269" w14:textId="77777777" w:rsidR="002F3D36" w:rsidRPr="002F3D36" w:rsidRDefault="002F3D36" w:rsidP="002F3D36">
      <w:pPr>
        <w:widowControl/>
        <w:spacing w:line="20" w:lineRule="atLeast"/>
        <w:jc w:val="left"/>
        <w:rPr>
          <w:rFonts w:ascii="Times New Roman" w:eastAsia="宋体" w:hAnsi="Times New Roman" w:cs="Times New Roman"/>
          <w:color w:val="000000"/>
          <w:kern w:val="0"/>
          <w:sz w:val="20"/>
          <w:szCs w:val="20"/>
        </w:rPr>
      </w:pPr>
      <w:r w:rsidRPr="002F3D36">
        <w:rPr>
          <w:rFonts w:ascii="Arial" w:eastAsia="宋体" w:hAnsi="Arial" w:cs="Arial"/>
          <w:color w:val="000000"/>
          <w:kern w:val="0"/>
          <w:sz w:val="2"/>
          <w:szCs w:val="2"/>
        </w:rPr>
        <w:t> </w:t>
      </w:r>
    </w:p>
    <w:p w14:paraId="6FB80D65" w14:textId="77777777" w:rsidR="002F3D36" w:rsidRPr="002F3D36" w:rsidRDefault="002F3D36" w:rsidP="002F3D36">
      <w:pPr>
        <w:widowControl/>
        <w:jc w:val="center"/>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22"/>
        </w:rPr>
        <w:t>Report of Independent Registered Public Accounting Firm</w:t>
      </w:r>
    </w:p>
    <w:p w14:paraId="02E6C113" w14:textId="77777777" w:rsidR="002F3D36" w:rsidRPr="002F3D36" w:rsidRDefault="002F3D36" w:rsidP="002F3D36">
      <w:pPr>
        <w:widowControl/>
        <w:spacing w:before="2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To the Shareholders and the Board of Directors of Autoliv, Inc.</w:t>
      </w:r>
    </w:p>
    <w:p w14:paraId="6989A03C"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2"/>
          <w:szCs w:val="12"/>
        </w:rPr>
        <w:t> </w:t>
      </w:r>
    </w:p>
    <w:p w14:paraId="5FD50FB0"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w:t>
      </w:r>
    </w:p>
    <w:p w14:paraId="0BC7C761"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 xml:space="preserve">Opinion on the Financial Statements </w:t>
      </w:r>
    </w:p>
    <w:p w14:paraId="0A38920F"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We have audited the accompanying consolidated balance sheets of Autoliv, Inc. (the Company) as of December 31, 2021 and 2020, the related consolidated statements of income, comprehensive income, total equity and cash flows for each of the three years in the period ended December 31, 2021, and the related notes (collectively referred to as the “consolidated financial statements”). In our opinion, the consolidated financial statements present fairly, in all material respects, the financial position of the Company at December 31, 2021 and 2020, and the results of its operations and its cash flows for each of the three years in the period ended December 31, 2021, in conformity with U.S. generally accepted accounting principles.</w:t>
      </w:r>
    </w:p>
    <w:p w14:paraId="3747F74E"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We also have audited, in accordance with the standards of the Public Company Accounting Oversight Board (United States) (PCAOB), the Company's internal control over financial reporting as of December 31, 2021, based on criteria established in Internal Control-Integrated Framework issued by the Committee of Sponsoring Organizations of the Treadway Commission (2013 framework) and our report dated February 22, 2022 expressed an unqualified opinion thereon.</w:t>
      </w:r>
    </w:p>
    <w:p w14:paraId="5EE74B78"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 xml:space="preserve">Basis for Opinion </w:t>
      </w:r>
    </w:p>
    <w:p w14:paraId="6A471627"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These financial statements are the responsibility of the Company's management. Our responsibility is to express an opinion on the Company’s financial statements based on our audits. We are a public accounting firm registered with the PCAOB and are required to be independent with respect to the Company in accordance with the U.S. federal securities laws and the applicable rules and regulations of the Securities and Exchange Commission and the PCAOB.</w:t>
      </w:r>
    </w:p>
    <w:p w14:paraId="4429D506"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xml:space="preserve">We conducted our audits in accordance with the standards of the PCAOB. Those standards require that we plan and perform the audit to obtain reasonable assurance about whether the financial statements are free of material misstatement, whether due to error or fraud. Our audits included performing procedures to assess the risks of material misstatement of the financial statements, whether due to error or fraud, and </w:t>
      </w:r>
      <w:r w:rsidRPr="002F3D36">
        <w:rPr>
          <w:rFonts w:ascii="Arial" w:eastAsia="宋体" w:hAnsi="Arial" w:cs="Arial"/>
          <w:color w:val="000000"/>
          <w:kern w:val="0"/>
          <w:sz w:val="18"/>
          <w:szCs w:val="18"/>
        </w:rPr>
        <w:lastRenderedPageBreak/>
        <w:t>performing procedures that respond to those risks. Such procedures included examining, on a test basis, evidence regarding the amounts and disclosures in the financial statements. Our audits also included evaluating the accounting principles used and significant estimates made by management, as well as evaluating the overall presentation of the financial statements. We believe that our audits provide a reasonable basis for our opinion.</w:t>
      </w:r>
    </w:p>
    <w:p w14:paraId="13DE0E84"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Critical Audit Matters</w:t>
      </w:r>
    </w:p>
    <w:p w14:paraId="48DF8E6E"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The critical audit matters communicated below are matters arising from the current period audit of the financial statements that were communicated or required to be communicated to the audit committee and that: (1) relate to accounts or disclosures that are material to the financial statements and (2) involved especially challenging, subjective, or complex judgments. The communication of critical audit matters does not alter in any way our opinion on the consolidated financial statements, taken as a whole, and we are not, by communicating the critical audit matters below, providing separate opinions on the critical audit matters or on the accounts or disclosures to which they relate.</w:t>
      </w:r>
    </w:p>
    <w:p w14:paraId="4367FFCE"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Times New Roman" w:eastAsia="宋体" w:hAnsi="Times New Roman" w:cs="Times New Roman"/>
          <w:color w:val="000000"/>
          <w:kern w:val="0"/>
          <w:sz w:val="20"/>
          <w:szCs w:val="20"/>
        </w:rPr>
        <w:t> </w:t>
      </w:r>
    </w:p>
    <w:p w14:paraId="07CD669E" w14:textId="77777777" w:rsidR="002F3D36" w:rsidRPr="002F3D36" w:rsidRDefault="002F3D36" w:rsidP="002F3D36">
      <w:pPr>
        <w:widowControl/>
        <w:spacing w:before="240"/>
        <w:jc w:val="center"/>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52</w:t>
      </w:r>
    </w:p>
    <w:p w14:paraId="6DE67AA3" w14:textId="77777777" w:rsidR="002F3D36" w:rsidRPr="002F3D36" w:rsidRDefault="002F3D36" w:rsidP="002F3D36">
      <w:pPr>
        <w:widowControl/>
        <w:jc w:val="left"/>
        <w:rPr>
          <w:rFonts w:ascii="宋体" w:eastAsia="宋体" w:hAnsi="宋体" w:cs="宋体"/>
          <w:kern w:val="0"/>
          <w:sz w:val="24"/>
          <w:szCs w:val="24"/>
        </w:rPr>
      </w:pPr>
      <w:r w:rsidRPr="002F3D36">
        <w:rPr>
          <w:rFonts w:ascii="宋体" w:eastAsia="宋体" w:hAnsi="宋体" w:cs="宋体"/>
          <w:kern w:val="0"/>
          <w:sz w:val="24"/>
          <w:szCs w:val="24"/>
        </w:rPr>
        <w:pict w14:anchorId="17BB2F7B">
          <v:rect id="_x0000_i1079" style="width:0;height:1.5pt" o:hralign="center" o:hrstd="t" o:hrnoshade="t" o:hr="t" fillcolor="black" stroked="f"/>
        </w:pict>
      </w:r>
    </w:p>
    <w:p w14:paraId="3DFBA4BE" w14:textId="77777777" w:rsidR="002F3D36" w:rsidRPr="002F3D36" w:rsidRDefault="002F3D36" w:rsidP="002F3D36">
      <w:pPr>
        <w:widowControl/>
        <w:spacing w:line="20" w:lineRule="atLeast"/>
        <w:jc w:val="left"/>
        <w:rPr>
          <w:rFonts w:ascii="Times New Roman" w:eastAsia="宋体" w:hAnsi="Times New Roman" w:cs="Times New Roman"/>
          <w:color w:val="000000"/>
          <w:kern w:val="0"/>
          <w:sz w:val="20"/>
          <w:szCs w:val="20"/>
        </w:rPr>
      </w:pPr>
      <w:r w:rsidRPr="002F3D36">
        <w:rPr>
          <w:rFonts w:ascii="Arial" w:eastAsia="宋体" w:hAnsi="Arial" w:cs="Arial"/>
          <w:color w:val="000000"/>
          <w:kern w:val="0"/>
          <w:sz w:val="2"/>
          <w:szCs w:val="2"/>
        </w:rPr>
        <w:t> </w:t>
      </w:r>
    </w:p>
    <w:tbl>
      <w:tblPr>
        <w:tblW w:w="20614" w:type="dxa"/>
        <w:tblCellSpacing w:w="15" w:type="dxa"/>
        <w:tblCellMar>
          <w:top w:w="15" w:type="dxa"/>
          <w:left w:w="15" w:type="dxa"/>
          <w:bottom w:w="15" w:type="dxa"/>
          <w:right w:w="15" w:type="dxa"/>
        </w:tblCellMar>
        <w:tblLook w:val="04A0" w:firstRow="1" w:lastRow="0" w:firstColumn="1" w:lastColumn="0" w:noHBand="0" w:noVBand="1"/>
      </w:tblPr>
      <w:tblGrid>
        <w:gridCol w:w="2069"/>
        <w:gridCol w:w="398"/>
        <w:gridCol w:w="18147"/>
      </w:tblGrid>
      <w:tr w:rsidR="002F3D36" w:rsidRPr="002F3D36" w14:paraId="7B6632A2" w14:textId="77777777" w:rsidTr="002F3D36">
        <w:trPr>
          <w:tblCellSpacing w:w="15" w:type="dxa"/>
        </w:trPr>
        <w:tc>
          <w:tcPr>
            <w:tcW w:w="2906" w:type="dxa"/>
            <w:vAlign w:val="center"/>
            <w:hideMark/>
          </w:tcPr>
          <w:p w14:paraId="79EBEBA8" w14:textId="77777777" w:rsidR="002F3D36" w:rsidRPr="002F3D36" w:rsidRDefault="002F3D36" w:rsidP="002F3D36">
            <w:pPr>
              <w:widowControl/>
              <w:jc w:val="left"/>
              <w:rPr>
                <w:rFonts w:ascii="Times New Roman" w:eastAsia="宋体" w:hAnsi="Times New Roman" w:cs="Times New Roman"/>
                <w:color w:val="000000"/>
                <w:kern w:val="0"/>
                <w:sz w:val="20"/>
                <w:szCs w:val="20"/>
              </w:rPr>
            </w:pPr>
          </w:p>
        </w:tc>
        <w:tc>
          <w:tcPr>
            <w:tcW w:w="545" w:type="dxa"/>
            <w:vAlign w:val="center"/>
            <w:hideMark/>
          </w:tcPr>
          <w:p w14:paraId="6ABC75AE"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7073" w:type="dxa"/>
            <w:vAlign w:val="center"/>
            <w:hideMark/>
          </w:tcPr>
          <w:p w14:paraId="5AFB728B" w14:textId="77777777" w:rsidR="002F3D36" w:rsidRPr="002F3D36" w:rsidRDefault="002F3D36" w:rsidP="002F3D36">
            <w:pPr>
              <w:widowControl/>
              <w:jc w:val="left"/>
              <w:rPr>
                <w:rFonts w:ascii="Times New Roman" w:eastAsia="Times New Roman" w:hAnsi="Times New Roman" w:cs="Times New Roman"/>
                <w:kern w:val="0"/>
                <w:sz w:val="20"/>
                <w:szCs w:val="20"/>
              </w:rPr>
            </w:pPr>
          </w:p>
        </w:tc>
      </w:tr>
      <w:tr w:rsidR="002F3D36" w:rsidRPr="002F3D36" w14:paraId="3D067B51" w14:textId="77777777" w:rsidTr="002F3D36">
        <w:trPr>
          <w:trHeight w:val="180"/>
          <w:tblCellSpacing w:w="15" w:type="dxa"/>
        </w:trPr>
        <w:tc>
          <w:tcPr>
            <w:tcW w:w="0" w:type="auto"/>
            <w:hideMark/>
          </w:tcPr>
          <w:p w14:paraId="1AB15F86" w14:textId="77777777" w:rsidR="002F3D36" w:rsidRPr="002F3D36" w:rsidRDefault="002F3D36" w:rsidP="002F3D36">
            <w:pPr>
              <w:widowControl/>
              <w:spacing w:line="0" w:lineRule="auto"/>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21AA5619" w14:textId="77777777" w:rsidR="002F3D36" w:rsidRPr="002F3D36" w:rsidRDefault="002F3D36" w:rsidP="002F3D36">
            <w:pPr>
              <w:widowControl/>
              <w:spacing w:after="240" w:line="0" w:lineRule="auto"/>
              <w:ind w:right="69"/>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1EB5BC53" w14:textId="77777777" w:rsidR="002F3D36" w:rsidRPr="002F3D36" w:rsidRDefault="002F3D36" w:rsidP="002F3D36">
            <w:pPr>
              <w:widowControl/>
              <w:spacing w:line="0" w:lineRule="auto"/>
              <w:rPr>
                <w:rFonts w:ascii="Times New Roman" w:eastAsia="微软雅黑" w:hAnsi="Times New Roman" w:cs="Times New Roman"/>
                <w:kern w:val="0"/>
                <w:sz w:val="18"/>
                <w:szCs w:val="18"/>
              </w:rPr>
            </w:pPr>
            <w:r w:rsidRPr="002F3D36">
              <w:rPr>
                <w:rFonts w:ascii="Arial" w:eastAsia="微软雅黑" w:hAnsi="Arial" w:cs="Arial"/>
                <w:b/>
                <w:bCs/>
                <w:i/>
                <w:iCs/>
                <w:color w:val="000000"/>
                <w:kern w:val="0"/>
                <w:sz w:val="18"/>
                <w:szCs w:val="18"/>
              </w:rPr>
              <w:t>Revenue recognition – Variable consideration</w:t>
            </w:r>
          </w:p>
        </w:tc>
      </w:tr>
      <w:tr w:rsidR="002F3D36" w:rsidRPr="002F3D36" w14:paraId="2EFD246F" w14:textId="77777777" w:rsidTr="002F3D36">
        <w:trPr>
          <w:trHeight w:val="180"/>
          <w:tblCellSpacing w:w="15" w:type="dxa"/>
        </w:trPr>
        <w:tc>
          <w:tcPr>
            <w:tcW w:w="0" w:type="auto"/>
            <w:hideMark/>
          </w:tcPr>
          <w:p w14:paraId="3CB5B0FC" w14:textId="77777777" w:rsidR="002F3D36" w:rsidRPr="002F3D36" w:rsidRDefault="002F3D36" w:rsidP="002F3D36">
            <w:pPr>
              <w:widowControl/>
              <w:spacing w:line="0" w:lineRule="auto"/>
              <w:jc w:val="left"/>
              <w:rPr>
                <w:rFonts w:ascii="Times New Roman" w:eastAsia="微软雅黑" w:hAnsi="Times New Roman" w:cs="Times New Roman"/>
                <w:kern w:val="0"/>
                <w:sz w:val="18"/>
                <w:szCs w:val="18"/>
              </w:rPr>
            </w:pPr>
            <w:r w:rsidRPr="002F3D36">
              <w:rPr>
                <w:rFonts w:ascii="Arial" w:eastAsia="微软雅黑" w:hAnsi="Arial" w:cs="Arial"/>
                <w:i/>
                <w:iCs/>
                <w:color w:val="000000"/>
                <w:kern w:val="0"/>
                <w:sz w:val="18"/>
                <w:szCs w:val="18"/>
              </w:rPr>
              <w:t xml:space="preserve">Description of the </w:t>
            </w:r>
            <w:r w:rsidRPr="002F3D36">
              <w:rPr>
                <w:rFonts w:ascii="Arial" w:eastAsia="微软雅黑" w:hAnsi="Arial" w:cs="Arial"/>
                <w:i/>
                <w:iCs/>
                <w:color w:val="000000"/>
                <w:kern w:val="0"/>
                <w:sz w:val="18"/>
                <w:szCs w:val="18"/>
              </w:rPr>
              <w:br/>
              <w:t>Matter</w:t>
            </w:r>
          </w:p>
        </w:tc>
        <w:tc>
          <w:tcPr>
            <w:tcW w:w="0" w:type="auto"/>
            <w:hideMark/>
          </w:tcPr>
          <w:p w14:paraId="2153963B" w14:textId="77777777" w:rsidR="002F3D36" w:rsidRPr="002F3D36" w:rsidRDefault="002F3D36" w:rsidP="002F3D36">
            <w:pPr>
              <w:widowControl/>
              <w:spacing w:after="240" w:line="0" w:lineRule="auto"/>
              <w:ind w:right="69"/>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1EB71161" w14:textId="77777777" w:rsidR="002F3D36" w:rsidRPr="002F3D36" w:rsidRDefault="002F3D36" w:rsidP="002F3D36">
            <w:pPr>
              <w:widowControl/>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 xml:space="preserve">As discussed in Note 2 to the consolidated financial statements, the Company measures revenue based on consideration specified in a contract with a customer, adjusted for any variable consideration. Variability in consideration typically results from price concessions. The estimated amount of variable consideration that will be received by the Company is based on assumptions that include historical experience and trends, management’s assessment of the probable outcome of its negotiations with customers and anticipated future pricing strategies. Estimating variable consideration to be received requires significant judgments by management that affect the amount of revenue recorded in the financial statements. </w:t>
            </w:r>
          </w:p>
          <w:p w14:paraId="702275B3" w14:textId="77777777" w:rsidR="002F3D36" w:rsidRPr="002F3D36" w:rsidRDefault="002F3D36" w:rsidP="002F3D36">
            <w:pPr>
              <w:widowControl/>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p w14:paraId="750A4E75" w14:textId="77777777" w:rsidR="002F3D36" w:rsidRPr="002F3D36" w:rsidRDefault="002F3D36" w:rsidP="002F3D36">
            <w:pPr>
              <w:widowControl/>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 xml:space="preserve">Auditing the amount of variable consideration expected to be received was complex because of the uncertainty inherent in the factors discussed above that management uses in its calculations. </w:t>
            </w:r>
          </w:p>
          <w:p w14:paraId="2770D737" w14:textId="77777777" w:rsidR="002F3D36" w:rsidRPr="002F3D36" w:rsidRDefault="002F3D36" w:rsidP="002F3D36">
            <w:pPr>
              <w:widowControl/>
              <w:spacing w:line="0" w:lineRule="auto"/>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6B618118" w14:textId="77777777" w:rsidTr="002F3D36">
        <w:trPr>
          <w:trHeight w:val="180"/>
          <w:tblCellSpacing w:w="15" w:type="dxa"/>
        </w:trPr>
        <w:tc>
          <w:tcPr>
            <w:tcW w:w="0" w:type="auto"/>
            <w:hideMark/>
          </w:tcPr>
          <w:p w14:paraId="406B8CCB" w14:textId="77777777" w:rsidR="002F3D36" w:rsidRPr="002F3D36" w:rsidRDefault="002F3D36" w:rsidP="002F3D36">
            <w:pPr>
              <w:widowControl/>
              <w:spacing w:line="0" w:lineRule="auto"/>
              <w:jc w:val="left"/>
              <w:rPr>
                <w:rFonts w:ascii="Times New Roman" w:eastAsia="微软雅黑" w:hAnsi="Times New Roman" w:cs="Times New Roman"/>
                <w:kern w:val="0"/>
                <w:sz w:val="18"/>
                <w:szCs w:val="18"/>
              </w:rPr>
            </w:pPr>
            <w:r w:rsidRPr="002F3D36">
              <w:rPr>
                <w:rFonts w:ascii="Arial" w:eastAsia="微软雅黑" w:hAnsi="Arial" w:cs="Arial"/>
                <w:i/>
                <w:iCs/>
                <w:color w:val="000000"/>
                <w:kern w:val="0"/>
                <w:sz w:val="18"/>
                <w:szCs w:val="18"/>
              </w:rPr>
              <w:t xml:space="preserve">How We </w:t>
            </w:r>
            <w:r w:rsidRPr="002F3D36">
              <w:rPr>
                <w:rFonts w:ascii="Arial" w:eastAsia="微软雅黑" w:hAnsi="Arial" w:cs="Arial"/>
                <w:i/>
                <w:iCs/>
                <w:color w:val="000000"/>
                <w:kern w:val="0"/>
                <w:sz w:val="18"/>
                <w:szCs w:val="18"/>
              </w:rPr>
              <w:br/>
              <w:t xml:space="preserve">Addressed the </w:t>
            </w:r>
            <w:r w:rsidRPr="002F3D36">
              <w:rPr>
                <w:rFonts w:ascii="Arial" w:eastAsia="微软雅黑" w:hAnsi="Arial" w:cs="Arial"/>
                <w:i/>
                <w:iCs/>
                <w:color w:val="000000"/>
                <w:kern w:val="0"/>
                <w:sz w:val="18"/>
                <w:szCs w:val="18"/>
              </w:rPr>
              <w:br/>
              <w:t>Matter in Our Audit</w:t>
            </w:r>
          </w:p>
        </w:tc>
        <w:tc>
          <w:tcPr>
            <w:tcW w:w="0" w:type="auto"/>
            <w:hideMark/>
          </w:tcPr>
          <w:p w14:paraId="790512BF" w14:textId="77777777" w:rsidR="002F3D36" w:rsidRPr="002F3D36" w:rsidRDefault="002F3D36" w:rsidP="002F3D36">
            <w:pPr>
              <w:widowControl/>
              <w:spacing w:after="240" w:line="0" w:lineRule="auto"/>
              <w:ind w:right="69"/>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52AD22C5" w14:textId="77777777" w:rsidR="002F3D36" w:rsidRPr="002F3D36" w:rsidRDefault="002F3D36" w:rsidP="002F3D36">
            <w:pPr>
              <w:widowControl/>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We obtained an understanding, evaluated the design, and tested the operating effectiveness of internal controls related to variable consideration, including controls related to management’s review of ongoing negotiations with customers.</w:t>
            </w:r>
          </w:p>
          <w:p w14:paraId="571BC34B" w14:textId="77777777" w:rsidR="002F3D36" w:rsidRPr="002F3D36" w:rsidRDefault="002F3D36" w:rsidP="002F3D36">
            <w:pPr>
              <w:widowControl/>
              <w:spacing w:line="0" w:lineRule="auto"/>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p w14:paraId="5F200B61" w14:textId="77777777" w:rsidR="002F3D36" w:rsidRPr="002F3D36" w:rsidRDefault="002F3D36" w:rsidP="002F3D36">
            <w:pPr>
              <w:widowControl/>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 xml:space="preserve">To test the estimated amount of variable consideration expected to be received, our audit procedures included, among others, evaluating the Company’s estimation methodology and testing the significant factors used in the calculations, as discussed above. These procedures included obtaining information from management and sales department representatives who were responsible for negotiations with customers to assess the reasonableness of assumptions related to variable considerations relative to current negotiations. We evaluated the Company’s ability to estimate by comparing actual results to previous estimates and judgments made by management. We also performed journal entry testing focused on unusual and manual entries affecting revenue and on entries that could be indicative of price concessions that may not have been considered in the Company’s assumptions and calculations. </w:t>
            </w:r>
          </w:p>
        </w:tc>
      </w:tr>
    </w:tbl>
    <w:p w14:paraId="16A27566" w14:textId="77777777" w:rsidR="002F3D36" w:rsidRPr="002F3D36" w:rsidRDefault="002F3D36" w:rsidP="002F3D36">
      <w:pPr>
        <w:widowControl/>
        <w:jc w:val="left"/>
        <w:rPr>
          <w:rFonts w:ascii="Times New Roman" w:eastAsia="宋体" w:hAnsi="Times New Roman" w:cs="Times New Roman"/>
          <w:color w:val="000000"/>
          <w:kern w:val="0"/>
          <w:sz w:val="20"/>
          <w:szCs w:val="20"/>
        </w:rPr>
      </w:pPr>
      <w:r w:rsidRPr="002F3D36">
        <w:rPr>
          <w:rFonts w:ascii="Times New Roman" w:eastAsia="宋体" w:hAnsi="Times New Roman" w:cs="Times New Roman"/>
          <w:color w:val="000000"/>
          <w:kern w:val="0"/>
          <w:sz w:val="20"/>
          <w:szCs w:val="20"/>
        </w:rPr>
        <w:t> </w:t>
      </w:r>
    </w:p>
    <w:p w14:paraId="717E914F" w14:textId="77777777" w:rsidR="002F3D36" w:rsidRPr="002F3D36" w:rsidRDefault="002F3D36" w:rsidP="002F3D36">
      <w:pPr>
        <w:widowControl/>
        <w:spacing w:before="240"/>
        <w:jc w:val="center"/>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53</w:t>
      </w:r>
    </w:p>
    <w:p w14:paraId="1F9979F0" w14:textId="77777777" w:rsidR="002F3D36" w:rsidRPr="002F3D36" w:rsidRDefault="002F3D36" w:rsidP="002F3D36">
      <w:pPr>
        <w:widowControl/>
        <w:jc w:val="left"/>
        <w:rPr>
          <w:rFonts w:ascii="宋体" w:eastAsia="宋体" w:hAnsi="宋体" w:cs="宋体"/>
          <w:kern w:val="0"/>
          <w:sz w:val="24"/>
          <w:szCs w:val="24"/>
        </w:rPr>
      </w:pPr>
      <w:r w:rsidRPr="002F3D36">
        <w:rPr>
          <w:rFonts w:ascii="宋体" w:eastAsia="宋体" w:hAnsi="宋体" w:cs="宋体"/>
          <w:kern w:val="0"/>
          <w:sz w:val="24"/>
          <w:szCs w:val="24"/>
        </w:rPr>
        <w:pict w14:anchorId="03194785">
          <v:rect id="_x0000_i1080" style="width:0;height:1.5pt" o:hralign="center" o:hrstd="t" o:hrnoshade="t" o:hr="t" fillcolor="black" stroked="f"/>
        </w:pict>
      </w:r>
    </w:p>
    <w:p w14:paraId="5DE7B7F0" w14:textId="77777777" w:rsidR="002F3D36" w:rsidRPr="002F3D36" w:rsidRDefault="002F3D36" w:rsidP="002F3D36">
      <w:pPr>
        <w:widowControl/>
        <w:spacing w:line="20" w:lineRule="atLeast"/>
        <w:jc w:val="left"/>
        <w:rPr>
          <w:rFonts w:ascii="Times New Roman" w:eastAsia="宋体" w:hAnsi="Times New Roman" w:cs="Times New Roman"/>
          <w:color w:val="000000"/>
          <w:kern w:val="0"/>
          <w:sz w:val="20"/>
          <w:szCs w:val="20"/>
        </w:rPr>
      </w:pPr>
      <w:r w:rsidRPr="002F3D36">
        <w:rPr>
          <w:rFonts w:ascii="Arial" w:eastAsia="宋体" w:hAnsi="Arial" w:cs="Arial"/>
          <w:color w:val="000000"/>
          <w:kern w:val="0"/>
          <w:sz w:val="2"/>
          <w:szCs w:val="2"/>
        </w:rPr>
        <w:t> </w:t>
      </w:r>
    </w:p>
    <w:p w14:paraId="1D886488" w14:textId="77777777" w:rsidR="002F3D36" w:rsidRPr="002F3D36" w:rsidRDefault="002F3D36" w:rsidP="002F3D36">
      <w:pPr>
        <w:widowControl/>
        <w:jc w:val="left"/>
        <w:rPr>
          <w:rFonts w:ascii="Times New Roman" w:eastAsia="宋体" w:hAnsi="Times New Roman" w:cs="Times New Roman"/>
          <w:color w:val="000000"/>
          <w:kern w:val="0"/>
          <w:sz w:val="20"/>
          <w:szCs w:val="20"/>
        </w:rPr>
      </w:pPr>
      <w:r w:rsidRPr="002F3D36">
        <w:rPr>
          <w:rFonts w:ascii="Times New Roman" w:eastAsia="宋体" w:hAnsi="Times New Roman" w:cs="Times New Roman"/>
          <w:color w:val="000000"/>
          <w:kern w:val="0"/>
          <w:sz w:val="20"/>
          <w:szCs w:val="20"/>
        </w:rPr>
        <w:t> </w:t>
      </w:r>
    </w:p>
    <w:tbl>
      <w:tblPr>
        <w:tblW w:w="20614" w:type="dxa"/>
        <w:tblCellSpacing w:w="15" w:type="dxa"/>
        <w:tblCellMar>
          <w:top w:w="15" w:type="dxa"/>
          <w:left w:w="15" w:type="dxa"/>
          <w:bottom w:w="15" w:type="dxa"/>
          <w:right w:w="15" w:type="dxa"/>
        </w:tblCellMar>
        <w:tblLook w:val="04A0" w:firstRow="1" w:lastRow="0" w:firstColumn="1" w:lastColumn="0" w:noHBand="0" w:noVBand="1"/>
      </w:tblPr>
      <w:tblGrid>
        <w:gridCol w:w="2069"/>
        <w:gridCol w:w="398"/>
        <w:gridCol w:w="18147"/>
      </w:tblGrid>
      <w:tr w:rsidR="002F3D36" w:rsidRPr="002F3D36" w14:paraId="37044B13" w14:textId="77777777" w:rsidTr="002F3D36">
        <w:trPr>
          <w:tblCellSpacing w:w="15" w:type="dxa"/>
        </w:trPr>
        <w:tc>
          <w:tcPr>
            <w:tcW w:w="2906" w:type="dxa"/>
            <w:vAlign w:val="center"/>
            <w:hideMark/>
          </w:tcPr>
          <w:p w14:paraId="14856FEE" w14:textId="77777777" w:rsidR="002F3D36" w:rsidRPr="002F3D36" w:rsidRDefault="002F3D36" w:rsidP="002F3D36">
            <w:pPr>
              <w:widowControl/>
              <w:jc w:val="left"/>
              <w:rPr>
                <w:rFonts w:ascii="Times New Roman" w:eastAsia="宋体" w:hAnsi="Times New Roman" w:cs="Times New Roman"/>
                <w:color w:val="000000"/>
                <w:kern w:val="0"/>
                <w:sz w:val="20"/>
                <w:szCs w:val="20"/>
              </w:rPr>
            </w:pPr>
          </w:p>
        </w:tc>
        <w:tc>
          <w:tcPr>
            <w:tcW w:w="545" w:type="dxa"/>
            <w:vAlign w:val="center"/>
            <w:hideMark/>
          </w:tcPr>
          <w:p w14:paraId="5E23AB9E"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7073" w:type="dxa"/>
            <w:vAlign w:val="center"/>
            <w:hideMark/>
          </w:tcPr>
          <w:p w14:paraId="197BA20B" w14:textId="77777777" w:rsidR="002F3D36" w:rsidRPr="002F3D36" w:rsidRDefault="002F3D36" w:rsidP="002F3D36">
            <w:pPr>
              <w:widowControl/>
              <w:jc w:val="left"/>
              <w:rPr>
                <w:rFonts w:ascii="Times New Roman" w:eastAsia="Times New Roman" w:hAnsi="Times New Roman" w:cs="Times New Roman"/>
                <w:kern w:val="0"/>
                <w:sz w:val="20"/>
                <w:szCs w:val="20"/>
              </w:rPr>
            </w:pPr>
          </w:p>
        </w:tc>
      </w:tr>
      <w:tr w:rsidR="002F3D36" w:rsidRPr="002F3D36" w14:paraId="2D1ECB8E" w14:textId="77777777" w:rsidTr="002F3D36">
        <w:trPr>
          <w:trHeight w:val="180"/>
          <w:tblCellSpacing w:w="15" w:type="dxa"/>
        </w:trPr>
        <w:tc>
          <w:tcPr>
            <w:tcW w:w="0" w:type="auto"/>
            <w:hideMark/>
          </w:tcPr>
          <w:p w14:paraId="3AC0F1E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170C9770" w14:textId="77777777" w:rsidR="002F3D36" w:rsidRPr="002F3D36" w:rsidRDefault="002F3D36" w:rsidP="002F3D36">
            <w:pPr>
              <w:widowControl/>
              <w:spacing w:after="240"/>
              <w:ind w:right="69"/>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591A74D5" w14:textId="77777777" w:rsidR="002F3D36" w:rsidRPr="002F3D36" w:rsidRDefault="002F3D36" w:rsidP="002F3D36">
            <w:pPr>
              <w:widowControl/>
              <w:spacing w:line="260" w:lineRule="atLeas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p w14:paraId="670104B7" w14:textId="77777777" w:rsidR="002F3D36" w:rsidRPr="002F3D36" w:rsidRDefault="002F3D36" w:rsidP="002F3D36">
            <w:pPr>
              <w:widowControl/>
              <w:spacing w:line="260" w:lineRule="atLeast"/>
              <w:rPr>
                <w:rFonts w:ascii="Times New Roman" w:eastAsia="微软雅黑" w:hAnsi="Times New Roman" w:cs="Times New Roman"/>
                <w:kern w:val="0"/>
                <w:sz w:val="18"/>
                <w:szCs w:val="18"/>
              </w:rPr>
            </w:pPr>
            <w:r w:rsidRPr="002F3D36">
              <w:rPr>
                <w:rFonts w:ascii="Arial" w:eastAsia="微软雅黑" w:hAnsi="Arial" w:cs="Arial"/>
                <w:b/>
                <w:bCs/>
                <w:i/>
                <w:iCs/>
                <w:color w:val="000000"/>
                <w:kern w:val="0"/>
                <w:sz w:val="18"/>
                <w:szCs w:val="18"/>
              </w:rPr>
              <w:t>Product recalls</w:t>
            </w:r>
          </w:p>
        </w:tc>
      </w:tr>
      <w:tr w:rsidR="002F3D36" w:rsidRPr="002F3D36" w14:paraId="353EC767" w14:textId="77777777" w:rsidTr="002F3D36">
        <w:trPr>
          <w:trHeight w:val="180"/>
          <w:tblCellSpacing w:w="15" w:type="dxa"/>
        </w:trPr>
        <w:tc>
          <w:tcPr>
            <w:tcW w:w="0" w:type="auto"/>
            <w:hideMark/>
          </w:tcPr>
          <w:p w14:paraId="1173CFB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i/>
                <w:iCs/>
                <w:color w:val="000000"/>
                <w:kern w:val="0"/>
                <w:sz w:val="18"/>
                <w:szCs w:val="18"/>
              </w:rPr>
              <w:t xml:space="preserve">Description of the </w:t>
            </w:r>
            <w:r w:rsidRPr="002F3D36">
              <w:rPr>
                <w:rFonts w:ascii="Arial" w:eastAsia="微软雅黑" w:hAnsi="Arial" w:cs="Arial"/>
                <w:i/>
                <w:iCs/>
                <w:color w:val="000000"/>
                <w:kern w:val="0"/>
                <w:sz w:val="18"/>
                <w:szCs w:val="18"/>
              </w:rPr>
              <w:br/>
              <w:t>Matter</w:t>
            </w:r>
          </w:p>
        </w:tc>
        <w:tc>
          <w:tcPr>
            <w:tcW w:w="0" w:type="auto"/>
            <w:hideMark/>
          </w:tcPr>
          <w:p w14:paraId="22F4841C" w14:textId="77777777" w:rsidR="002F3D36" w:rsidRPr="002F3D36" w:rsidRDefault="002F3D36" w:rsidP="002F3D36">
            <w:pPr>
              <w:widowControl/>
              <w:spacing w:after="240"/>
              <w:ind w:right="69"/>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197CFDD7" w14:textId="77777777" w:rsidR="002F3D36" w:rsidRPr="002F3D36" w:rsidRDefault="002F3D36" w:rsidP="002F3D36">
            <w:pPr>
              <w:widowControl/>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 xml:space="preserve">As discussed in Notes 2 and 12 to the consolidated financial statements, the Company is exposed to product liability claims in the event its products fail to perform as represented and such failure results, or is alleged to result, in bodily injury, and/or property damage or other loss. The Company records liabilities for product recalls when probable claims are identified and when it is possible to reasonably estimate costs. Actual costs incurred could differ </w:t>
            </w:r>
            <w:r w:rsidRPr="002F3D36">
              <w:rPr>
                <w:rFonts w:ascii="Arial" w:eastAsia="微软雅黑" w:hAnsi="Arial" w:cs="Arial"/>
                <w:color w:val="000000"/>
                <w:kern w:val="0"/>
                <w:sz w:val="18"/>
                <w:szCs w:val="18"/>
              </w:rPr>
              <w:lastRenderedPageBreak/>
              <w:t xml:space="preserve">from the amounts estimated, requiring adjustments to these reserves in future periods. Provisions for product recalls are estimated based on the expected cost of replacing the product and the customer’s cost of carrying out the recall, which is affected by the number of vehicles subject to recall and the cost of labor and materials to remove and replace the defective product. </w:t>
            </w:r>
          </w:p>
          <w:p w14:paraId="6B22E883" w14:textId="77777777" w:rsidR="002F3D36" w:rsidRPr="002F3D36" w:rsidRDefault="002F3D36" w:rsidP="002F3D36">
            <w:pPr>
              <w:widowControl/>
              <w:spacing w:before="120"/>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 xml:space="preserve">Auditing the product recall liabilities was complex due to the uncertainty inherent in the assumptions and estimates management uses to calculate these liability balances. These significant assumptions and estimates include the nature, likelihood, timing, and anticipated cost of known and potential claims. </w:t>
            </w:r>
          </w:p>
        </w:tc>
      </w:tr>
      <w:tr w:rsidR="002F3D36" w:rsidRPr="002F3D36" w14:paraId="092F462D" w14:textId="77777777" w:rsidTr="002F3D36">
        <w:trPr>
          <w:trHeight w:val="180"/>
          <w:tblCellSpacing w:w="15" w:type="dxa"/>
        </w:trPr>
        <w:tc>
          <w:tcPr>
            <w:tcW w:w="0" w:type="auto"/>
            <w:hideMark/>
          </w:tcPr>
          <w:p w14:paraId="44747DC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lastRenderedPageBreak/>
              <w:t> </w:t>
            </w:r>
          </w:p>
          <w:p w14:paraId="440A207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i/>
                <w:iCs/>
                <w:color w:val="000000"/>
                <w:kern w:val="0"/>
                <w:sz w:val="18"/>
                <w:szCs w:val="18"/>
              </w:rPr>
              <w:t xml:space="preserve">How We </w:t>
            </w:r>
            <w:r w:rsidRPr="002F3D36">
              <w:rPr>
                <w:rFonts w:ascii="Arial" w:eastAsia="微软雅黑" w:hAnsi="Arial" w:cs="Arial"/>
                <w:i/>
                <w:iCs/>
                <w:color w:val="000000"/>
                <w:kern w:val="0"/>
                <w:sz w:val="18"/>
                <w:szCs w:val="18"/>
              </w:rPr>
              <w:br/>
              <w:t xml:space="preserve">Addressed the </w:t>
            </w:r>
            <w:r w:rsidRPr="002F3D36">
              <w:rPr>
                <w:rFonts w:ascii="Arial" w:eastAsia="微软雅黑" w:hAnsi="Arial" w:cs="Arial"/>
                <w:i/>
                <w:iCs/>
                <w:color w:val="000000"/>
                <w:kern w:val="0"/>
                <w:sz w:val="18"/>
                <w:szCs w:val="18"/>
              </w:rPr>
              <w:br/>
              <w:t>Matter in Our Audit</w:t>
            </w:r>
          </w:p>
        </w:tc>
        <w:tc>
          <w:tcPr>
            <w:tcW w:w="0" w:type="auto"/>
            <w:hideMark/>
          </w:tcPr>
          <w:p w14:paraId="538B977F" w14:textId="77777777" w:rsidR="002F3D36" w:rsidRPr="002F3D36" w:rsidRDefault="002F3D36" w:rsidP="002F3D36">
            <w:pPr>
              <w:widowControl/>
              <w:spacing w:after="240"/>
              <w:ind w:right="69"/>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2D3FB410" w14:textId="77777777" w:rsidR="002F3D36" w:rsidRPr="002F3D36" w:rsidRDefault="002F3D36" w:rsidP="002F3D36">
            <w:pPr>
              <w:widowControl/>
              <w:spacing w:before="240"/>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 xml:space="preserve">We obtained an understanding, evaluated the design, and tested the operating effectiveness of internal controls over the Company’s product recall process, including controls related to management’s review of the estimation calculations and significant assumptions discussed above. </w:t>
            </w:r>
          </w:p>
          <w:p w14:paraId="7FEB83E1" w14:textId="77777777" w:rsidR="002F3D36" w:rsidRPr="002F3D36" w:rsidRDefault="002F3D36" w:rsidP="002F3D36">
            <w:pPr>
              <w:widowControl/>
              <w:spacing w:before="120"/>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 xml:space="preserve">To test product recall liabilities, our audit procedures included, among others, evaluating the Company’s estimation methodology and testing the significant assumptions discussed above. We obtained information from Company personnel who are responsible for monitoring the status of product recalls with customers to assess the reasonableness of assumptions used. We evaluated the Company’s ability to estimate by comparing actual results to previous estimates and judgments made by management. We also obtained letters from the Company’s external legal counsel addressing material claims against the Company, if any, and examined relevant third-party automotive safety regulatory information to identify potential unrecorded product recall liabilities. </w:t>
            </w:r>
          </w:p>
        </w:tc>
      </w:tr>
    </w:tbl>
    <w:p w14:paraId="75A3F480" w14:textId="77777777" w:rsidR="002F3D36" w:rsidRPr="002F3D36" w:rsidRDefault="002F3D36" w:rsidP="002F3D36">
      <w:pPr>
        <w:widowControl/>
        <w:spacing w:line="260" w:lineRule="atLeast"/>
        <w:rPr>
          <w:rFonts w:ascii="Times New Roman" w:eastAsia="宋体" w:hAnsi="Times New Roman" w:cs="Times New Roman"/>
          <w:color w:val="000000"/>
          <w:kern w:val="0"/>
          <w:sz w:val="20"/>
          <w:szCs w:val="20"/>
        </w:rPr>
      </w:pPr>
      <w:r w:rsidRPr="002F3D36">
        <w:rPr>
          <w:rFonts w:ascii="Arial" w:eastAsia="宋体" w:hAnsi="Arial" w:cs="Arial"/>
          <w:color w:val="000000"/>
          <w:kern w:val="0"/>
          <w:sz w:val="8"/>
          <w:szCs w:val="8"/>
        </w:rPr>
        <w:t> </w:t>
      </w:r>
    </w:p>
    <w:p w14:paraId="2DE7CFA2"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0"/>
          <w:szCs w:val="10"/>
        </w:rPr>
        <w:t> </w:t>
      </w:r>
    </w:p>
    <w:tbl>
      <w:tblPr>
        <w:tblW w:w="10719" w:type="dxa"/>
        <w:tblCellSpacing w:w="15" w:type="dxa"/>
        <w:tblCellMar>
          <w:top w:w="15" w:type="dxa"/>
          <w:left w:w="15" w:type="dxa"/>
          <w:bottom w:w="15" w:type="dxa"/>
          <w:right w:w="15" w:type="dxa"/>
        </w:tblCellMar>
        <w:tblLook w:val="04A0" w:firstRow="1" w:lastRow="0" w:firstColumn="1" w:lastColumn="0" w:noHBand="0" w:noVBand="1"/>
      </w:tblPr>
      <w:tblGrid>
        <w:gridCol w:w="10719"/>
      </w:tblGrid>
      <w:tr w:rsidR="002F3D36" w:rsidRPr="002F3D36" w14:paraId="1672AA6E" w14:textId="77777777" w:rsidTr="002F3D36">
        <w:trPr>
          <w:tblCellSpacing w:w="15" w:type="dxa"/>
        </w:trPr>
        <w:tc>
          <w:tcPr>
            <w:tcW w:w="10689" w:type="dxa"/>
            <w:vAlign w:val="center"/>
            <w:hideMark/>
          </w:tcPr>
          <w:p w14:paraId="31153A84" w14:textId="77777777" w:rsidR="002F3D36" w:rsidRPr="002F3D36" w:rsidRDefault="002F3D36" w:rsidP="002F3D36">
            <w:pPr>
              <w:widowControl/>
              <w:jc w:val="left"/>
              <w:rPr>
                <w:rFonts w:ascii="Times New Roman" w:eastAsia="宋体" w:hAnsi="Times New Roman" w:cs="Times New Roman"/>
                <w:color w:val="000000"/>
                <w:kern w:val="0"/>
                <w:sz w:val="20"/>
                <w:szCs w:val="20"/>
              </w:rPr>
            </w:pPr>
          </w:p>
        </w:tc>
      </w:tr>
      <w:tr w:rsidR="002F3D36" w:rsidRPr="002F3D36" w14:paraId="67B3E1ED" w14:textId="77777777" w:rsidTr="002F3D36">
        <w:trPr>
          <w:trHeight w:val="389"/>
          <w:tblCellSpacing w:w="15" w:type="dxa"/>
        </w:trPr>
        <w:tc>
          <w:tcPr>
            <w:tcW w:w="0" w:type="auto"/>
            <w:hideMark/>
          </w:tcPr>
          <w:p w14:paraId="4800F49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/s/ Ernst &amp; Young AB</w:t>
            </w:r>
          </w:p>
        </w:tc>
      </w:tr>
      <w:tr w:rsidR="002F3D36" w:rsidRPr="002F3D36" w14:paraId="3539F674" w14:textId="77777777" w:rsidTr="002F3D36">
        <w:trPr>
          <w:trHeight w:val="590"/>
          <w:tblCellSpacing w:w="15" w:type="dxa"/>
        </w:trPr>
        <w:tc>
          <w:tcPr>
            <w:tcW w:w="0" w:type="auto"/>
            <w:hideMark/>
          </w:tcPr>
          <w:p w14:paraId="7AEF2D37" w14:textId="77777777" w:rsidR="002F3D36" w:rsidRPr="002F3D36" w:rsidRDefault="002F3D36" w:rsidP="002F3D36">
            <w:pPr>
              <w:widowControl/>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p w14:paraId="44A69B4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We have served as the Company´s auditor since 1984.</w:t>
            </w:r>
          </w:p>
          <w:p w14:paraId="46A0D0C8" w14:textId="77777777" w:rsidR="002F3D36" w:rsidRPr="002F3D36" w:rsidRDefault="002F3D36" w:rsidP="002F3D36">
            <w:pPr>
              <w:widowControl/>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p w14:paraId="22767382" w14:textId="77777777" w:rsidR="002F3D36" w:rsidRPr="002F3D36" w:rsidRDefault="002F3D36" w:rsidP="002F3D36">
            <w:pPr>
              <w:widowControl/>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Stockholm, Sweden</w:t>
            </w:r>
          </w:p>
        </w:tc>
      </w:tr>
      <w:tr w:rsidR="002F3D36" w:rsidRPr="002F3D36" w14:paraId="0EC87E1D" w14:textId="77777777" w:rsidTr="002F3D36">
        <w:trPr>
          <w:trHeight w:val="216"/>
          <w:tblCellSpacing w:w="15" w:type="dxa"/>
        </w:trPr>
        <w:tc>
          <w:tcPr>
            <w:tcW w:w="0" w:type="auto"/>
            <w:hideMark/>
          </w:tcPr>
          <w:p w14:paraId="0BB08AC6" w14:textId="77777777" w:rsidR="002F3D36" w:rsidRPr="002F3D36" w:rsidRDefault="002F3D36" w:rsidP="002F3D36">
            <w:pPr>
              <w:widowControl/>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February 22, 2022</w:t>
            </w:r>
          </w:p>
        </w:tc>
      </w:tr>
    </w:tbl>
    <w:p w14:paraId="3C9ACA25"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Times New Roman" w:eastAsia="宋体" w:hAnsi="Times New Roman" w:cs="Times New Roman"/>
          <w:color w:val="000000"/>
          <w:kern w:val="0"/>
          <w:sz w:val="20"/>
          <w:szCs w:val="20"/>
        </w:rPr>
        <w:t> </w:t>
      </w:r>
    </w:p>
    <w:p w14:paraId="1949BC58" w14:textId="77777777" w:rsidR="002F3D36" w:rsidRPr="002F3D36" w:rsidRDefault="002F3D36" w:rsidP="002F3D36">
      <w:pPr>
        <w:widowControl/>
        <w:spacing w:before="240"/>
        <w:jc w:val="center"/>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54</w:t>
      </w:r>
    </w:p>
    <w:p w14:paraId="3CCB39B6" w14:textId="77777777" w:rsidR="002F3D36" w:rsidRPr="002F3D36" w:rsidRDefault="002F3D36" w:rsidP="002F3D36">
      <w:pPr>
        <w:widowControl/>
        <w:jc w:val="left"/>
        <w:rPr>
          <w:rFonts w:ascii="宋体" w:eastAsia="宋体" w:hAnsi="宋体" w:cs="宋体"/>
          <w:kern w:val="0"/>
          <w:sz w:val="24"/>
          <w:szCs w:val="24"/>
        </w:rPr>
      </w:pPr>
      <w:r w:rsidRPr="002F3D36">
        <w:rPr>
          <w:rFonts w:ascii="宋体" w:eastAsia="宋体" w:hAnsi="宋体" w:cs="宋体"/>
          <w:kern w:val="0"/>
          <w:sz w:val="24"/>
          <w:szCs w:val="24"/>
        </w:rPr>
        <w:pict w14:anchorId="7BD977E1">
          <v:rect id="_x0000_i1081" style="width:0;height:1.5pt" o:hralign="center" o:hrstd="t" o:hrnoshade="t" o:hr="t" fillcolor="black" stroked="f"/>
        </w:pict>
      </w:r>
    </w:p>
    <w:p w14:paraId="5B71C85E" w14:textId="77777777" w:rsidR="002F3D36" w:rsidRPr="002F3D36" w:rsidRDefault="002F3D36" w:rsidP="002F3D36">
      <w:pPr>
        <w:widowControl/>
        <w:spacing w:line="20" w:lineRule="atLeast"/>
        <w:jc w:val="left"/>
        <w:rPr>
          <w:rFonts w:ascii="Times New Roman" w:eastAsia="宋体" w:hAnsi="Times New Roman" w:cs="Times New Roman"/>
          <w:color w:val="000000"/>
          <w:kern w:val="0"/>
          <w:sz w:val="20"/>
          <w:szCs w:val="20"/>
        </w:rPr>
      </w:pPr>
      <w:r w:rsidRPr="002F3D36">
        <w:rPr>
          <w:rFonts w:ascii="Arial" w:eastAsia="宋体" w:hAnsi="Arial" w:cs="Arial"/>
          <w:color w:val="000000"/>
          <w:kern w:val="0"/>
          <w:sz w:val="2"/>
          <w:szCs w:val="2"/>
        </w:rPr>
        <w:t> </w:t>
      </w:r>
    </w:p>
    <w:p w14:paraId="3720A267" w14:textId="77777777" w:rsidR="002F3D36" w:rsidRPr="002F3D36" w:rsidRDefault="002F3D36" w:rsidP="002F3D36">
      <w:pPr>
        <w:widowControl/>
        <w:jc w:val="center"/>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22"/>
        </w:rPr>
        <w:t>Report of Independent Registered Public Accounting Firm</w:t>
      </w:r>
    </w:p>
    <w:p w14:paraId="7A03249A" w14:textId="77777777" w:rsidR="002F3D36" w:rsidRPr="002F3D36" w:rsidRDefault="002F3D36" w:rsidP="002F3D36">
      <w:pPr>
        <w:widowControl/>
        <w:spacing w:before="2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To the Shareholders and the Board of Directors of Autoliv, Inc.</w:t>
      </w:r>
    </w:p>
    <w:p w14:paraId="65A02A52"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2"/>
          <w:szCs w:val="12"/>
        </w:rPr>
        <w:t> </w:t>
      </w:r>
    </w:p>
    <w:p w14:paraId="4C8467BA"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 xml:space="preserve">Opinion on Internal Control over Financial Reporting </w:t>
      </w:r>
    </w:p>
    <w:p w14:paraId="0E8C1F8B"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We have audited Autoliv, Inc.’s internal control over financial reporting as of December 31, 2021, based on criteria established in Internal Control—Integrated Framework issued by the Committee of Sponsoring Organizations of the Treadway Commission (2013 framework) (the COSO criteria). In our opinion, Autoliv, Inc. (the Company) maintained, in all material respects, effective internal control over financial reporting as of December 31, 2021, based on the COSO criteria.</w:t>
      </w:r>
    </w:p>
    <w:p w14:paraId="30A2CA39" w14:textId="77777777" w:rsidR="002F3D36" w:rsidRPr="002F3D36" w:rsidRDefault="002F3D36" w:rsidP="002F3D36">
      <w:pPr>
        <w:widowControl/>
        <w:spacing w:before="24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We also have audited, in accordance with the standards of the Public Company Accounting Oversight Board (United States) (PCAOB), the consolidated balance sheets of the Company as of December 31, 2021 and 2020, the related consolidated statements of income, comprehensive income, total equity and cash flows for each of the three years in the period ended December 31, 2021, and the related notes and our report dated February 22, 2022 expressed an unqualified opinion thereon.</w:t>
      </w:r>
    </w:p>
    <w:p w14:paraId="7034C56B"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 xml:space="preserve">Basis for Opinion </w:t>
      </w:r>
    </w:p>
    <w:p w14:paraId="33869C79"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lastRenderedPageBreak/>
        <w:t>The Company’s management is responsible for maintaining effective internal control over financial reporting and for its assessment of the effectiveness of internal control over financial reporting included in the accompanying Management’s Report on Internal Control over Financial Reporting. Our responsibility is to express an opinion on the Company’s internal control over financial reporting based on our audit. We are a public accounting firm registered with the PCAOB and are required to be independent with respect to the Company in accordance with the U.S. federal securities laws and the applicable rules and regulations of the Securities and Exchange Commission and the PCAOB.</w:t>
      </w:r>
    </w:p>
    <w:p w14:paraId="4E2D9883" w14:textId="77777777" w:rsidR="002F3D36" w:rsidRPr="002F3D36" w:rsidRDefault="002F3D36" w:rsidP="002F3D36">
      <w:pPr>
        <w:widowControl/>
        <w:spacing w:before="24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xml:space="preserve">We conducted our audit in accordance with the standards of the PCAOB. Those standards require that we plan and perform the audit to obtain reasonable assurance about whether effective internal control over financial reporting was maintained in all material respects. </w:t>
      </w:r>
    </w:p>
    <w:p w14:paraId="4640A92A" w14:textId="77777777" w:rsidR="002F3D36" w:rsidRPr="002F3D36" w:rsidRDefault="002F3D36" w:rsidP="002F3D36">
      <w:pPr>
        <w:widowControl/>
        <w:spacing w:before="24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Our audit included obtaining an understanding of internal control over financial reporting, assessing the risk that a material weakness exists, testing and evaluating the design and operating effectiveness of internal control based on the assessed risk, and performing such other procedures as we considered necessary in the circumstances. We believe that our audit provides a reasonable basis for our opinion.</w:t>
      </w:r>
    </w:p>
    <w:p w14:paraId="39A6865A"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 xml:space="preserve">Definition and Limitations of Internal Control Over Financial Reporting </w:t>
      </w:r>
    </w:p>
    <w:p w14:paraId="447CF938"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A company’s internal control over financial reporting is a process designed to provide reasonable assurance regarding the reliability of financial reporting and the preparation of financial statements for external purposes in accordance with generally accepted accounting principles. A company’s internal control over financial reporting includes those policies and procedures that (1) pertain to the maintenance of records that, in reasonable detail, accurately and fairly reflect the transactions and dispositions of the assets of the company; (2) provide reasonable assurance that transactions are recorded as necessary to permit preparation of financial statements in accordance with generally accepted accounting principles, and that receipts and expenditures of the company are being made only in accordance with authorizations of management and directors of the company; and (3) provide reasonable assurance regarding prevention or timely detection of unauthorized acquisition, use, or disposition of the company’s assets that could have a material effect on the financial statements.</w:t>
      </w:r>
    </w:p>
    <w:p w14:paraId="0971C0F9" w14:textId="77777777" w:rsidR="002F3D36" w:rsidRPr="002F3D36" w:rsidRDefault="002F3D36" w:rsidP="002F3D36">
      <w:pPr>
        <w:widowControl/>
        <w:spacing w:before="24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xml:space="preserve">Because of its inherent limitations, internal control over financial reporting may not prevent or detect misstatements. Also, projections of any evaluation of effectiveness to future periods are subject to the risk that controls may become inadequate because of changes in conditions, or that the degree of compliance with the policies or procedures may deteriorate. </w:t>
      </w:r>
    </w:p>
    <w:p w14:paraId="6C04CBF3"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w:t>
      </w:r>
    </w:p>
    <w:p w14:paraId="0F110BA9" w14:textId="77777777" w:rsidR="002F3D36" w:rsidRPr="002F3D36" w:rsidRDefault="002F3D36" w:rsidP="002F3D36">
      <w:pPr>
        <w:widowControl/>
        <w:jc w:val="left"/>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/s/ Ernst &amp; Young AB</w:t>
      </w:r>
    </w:p>
    <w:tbl>
      <w:tblPr>
        <w:tblW w:w="9276" w:type="dxa"/>
        <w:tblCellSpacing w:w="15" w:type="dxa"/>
        <w:tblCellMar>
          <w:top w:w="15" w:type="dxa"/>
          <w:left w:w="15" w:type="dxa"/>
          <w:bottom w:w="15" w:type="dxa"/>
          <w:right w:w="15" w:type="dxa"/>
        </w:tblCellMar>
        <w:tblLook w:val="04A0" w:firstRow="1" w:lastRow="0" w:firstColumn="1" w:lastColumn="0" w:noHBand="0" w:noVBand="1"/>
      </w:tblPr>
      <w:tblGrid>
        <w:gridCol w:w="4564"/>
        <w:gridCol w:w="166"/>
        <w:gridCol w:w="4546"/>
      </w:tblGrid>
      <w:tr w:rsidR="002F3D36" w:rsidRPr="002F3D36" w14:paraId="7F252474" w14:textId="77777777" w:rsidTr="002F3D36">
        <w:trPr>
          <w:tblCellSpacing w:w="15" w:type="dxa"/>
        </w:trPr>
        <w:tc>
          <w:tcPr>
            <w:tcW w:w="4533" w:type="dxa"/>
            <w:vAlign w:val="center"/>
            <w:hideMark/>
          </w:tcPr>
          <w:p w14:paraId="1BF918E8" w14:textId="77777777" w:rsidR="002F3D36" w:rsidRPr="002F3D36" w:rsidRDefault="002F3D36" w:rsidP="002F3D36">
            <w:pPr>
              <w:widowControl/>
              <w:jc w:val="left"/>
              <w:rPr>
                <w:rFonts w:ascii="Times New Roman" w:eastAsia="宋体" w:hAnsi="Times New Roman" w:cs="Times New Roman"/>
                <w:color w:val="000000"/>
                <w:kern w:val="0"/>
                <w:sz w:val="20"/>
                <w:szCs w:val="20"/>
              </w:rPr>
            </w:pPr>
          </w:p>
        </w:tc>
        <w:tc>
          <w:tcPr>
            <w:tcW w:w="136" w:type="dxa"/>
            <w:vAlign w:val="center"/>
            <w:hideMark/>
          </w:tcPr>
          <w:p w14:paraId="3E3D2CD6"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4518" w:type="dxa"/>
            <w:vAlign w:val="center"/>
            <w:hideMark/>
          </w:tcPr>
          <w:p w14:paraId="4BEDDC31" w14:textId="77777777" w:rsidR="002F3D36" w:rsidRPr="002F3D36" w:rsidRDefault="002F3D36" w:rsidP="002F3D36">
            <w:pPr>
              <w:widowControl/>
              <w:jc w:val="left"/>
              <w:rPr>
                <w:rFonts w:ascii="Times New Roman" w:eastAsia="Times New Roman" w:hAnsi="Times New Roman" w:cs="Times New Roman"/>
                <w:kern w:val="0"/>
                <w:sz w:val="20"/>
                <w:szCs w:val="20"/>
              </w:rPr>
            </w:pPr>
          </w:p>
        </w:tc>
      </w:tr>
      <w:tr w:rsidR="002F3D36" w:rsidRPr="002F3D36" w14:paraId="5D9AEE85" w14:textId="77777777" w:rsidTr="002F3D36">
        <w:trPr>
          <w:trHeight w:val="180"/>
          <w:tblCellSpacing w:w="15" w:type="dxa"/>
        </w:trPr>
        <w:tc>
          <w:tcPr>
            <w:tcW w:w="0" w:type="auto"/>
            <w:hideMark/>
          </w:tcPr>
          <w:p w14:paraId="4EF4827B" w14:textId="77777777" w:rsidR="002F3D36" w:rsidRPr="002F3D36" w:rsidRDefault="002F3D36" w:rsidP="002F3D36">
            <w:pPr>
              <w:widowControl/>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p w14:paraId="153E8AC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Stockholm, Sweden</w:t>
            </w:r>
          </w:p>
        </w:tc>
        <w:tc>
          <w:tcPr>
            <w:tcW w:w="0" w:type="auto"/>
            <w:hideMark/>
          </w:tcPr>
          <w:p w14:paraId="1B5E522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0C81761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5C1489F0" w14:textId="77777777" w:rsidTr="002F3D36">
        <w:trPr>
          <w:trHeight w:val="180"/>
          <w:tblCellSpacing w:w="15" w:type="dxa"/>
        </w:trPr>
        <w:tc>
          <w:tcPr>
            <w:tcW w:w="0" w:type="auto"/>
            <w:hideMark/>
          </w:tcPr>
          <w:p w14:paraId="1BBD52B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February 22, 2022</w:t>
            </w:r>
          </w:p>
        </w:tc>
        <w:tc>
          <w:tcPr>
            <w:tcW w:w="0" w:type="auto"/>
            <w:hideMark/>
          </w:tcPr>
          <w:p w14:paraId="4919F2C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0383385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bl>
    <w:p w14:paraId="1AFCA876"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Times New Roman" w:eastAsia="宋体" w:hAnsi="Times New Roman" w:cs="Times New Roman"/>
          <w:color w:val="000000"/>
          <w:kern w:val="0"/>
          <w:sz w:val="20"/>
          <w:szCs w:val="20"/>
        </w:rPr>
        <w:t> </w:t>
      </w:r>
    </w:p>
    <w:p w14:paraId="69D77C66" w14:textId="77777777" w:rsidR="002F3D36" w:rsidRPr="002F3D36" w:rsidRDefault="002F3D36" w:rsidP="002F3D36">
      <w:pPr>
        <w:widowControl/>
        <w:spacing w:before="240"/>
        <w:jc w:val="center"/>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55</w:t>
      </w:r>
    </w:p>
    <w:p w14:paraId="0ACC447A" w14:textId="77777777" w:rsidR="002F3D36" w:rsidRPr="002F3D36" w:rsidRDefault="002F3D36" w:rsidP="002F3D36">
      <w:pPr>
        <w:widowControl/>
        <w:jc w:val="left"/>
        <w:rPr>
          <w:rFonts w:ascii="宋体" w:eastAsia="宋体" w:hAnsi="宋体" w:cs="宋体"/>
          <w:kern w:val="0"/>
          <w:sz w:val="24"/>
          <w:szCs w:val="24"/>
        </w:rPr>
      </w:pPr>
      <w:r w:rsidRPr="002F3D36">
        <w:rPr>
          <w:rFonts w:ascii="宋体" w:eastAsia="宋体" w:hAnsi="宋体" w:cs="宋体"/>
          <w:kern w:val="0"/>
          <w:sz w:val="24"/>
          <w:szCs w:val="24"/>
        </w:rPr>
        <w:pict w14:anchorId="60D8E647">
          <v:rect id="_x0000_i1082" style="width:0;height:1.5pt" o:hralign="center" o:hrstd="t" o:hrnoshade="t" o:hr="t" fillcolor="black" stroked="f"/>
        </w:pict>
      </w:r>
    </w:p>
    <w:p w14:paraId="596BB39E" w14:textId="77777777" w:rsidR="002F3D36" w:rsidRPr="002F3D36" w:rsidRDefault="002F3D36" w:rsidP="002F3D36">
      <w:pPr>
        <w:widowControl/>
        <w:spacing w:line="20" w:lineRule="atLeast"/>
        <w:jc w:val="left"/>
        <w:rPr>
          <w:rFonts w:ascii="Times New Roman" w:eastAsia="宋体" w:hAnsi="Times New Roman" w:cs="Times New Roman"/>
          <w:color w:val="000000"/>
          <w:kern w:val="0"/>
          <w:sz w:val="20"/>
          <w:szCs w:val="20"/>
        </w:rPr>
      </w:pPr>
      <w:r w:rsidRPr="002F3D36">
        <w:rPr>
          <w:rFonts w:ascii="Arial" w:eastAsia="宋体" w:hAnsi="Arial" w:cs="Arial"/>
          <w:color w:val="000000"/>
          <w:kern w:val="0"/>
          <w:sz w:val="2"/>
          <w:szCs w:val="2"/>
        </w:rPr>
        <w:t> </w:t>
      </w:r>
    </w:p>
    <w:p w14:paraId="13D69030"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22"/>
        </w:rPr>
        <w:lastRenderedPageBreak/>
        <w:t>Consolidated Statements of Income</w:t>
      </w:r>
    </w:p>
    <w:p w14:paraId="29664879" w14:textId="77777777" w:rsidR="002F3D36" w:rsidRPr="002F3D36" w:rsidRDefault="002F3D36" w:rsidP="002F3D36">
      <w:pPr>
        <w:widowControl/>
        <w:jc w:val="left"/>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w:t>
      </w:r>
    </w:p>
    <w:tbl>
      <w:tblPr>
        <w:tblW w:w="20614" w:type="dxa"/>
        <w:tblCellSpacing w:w="15" w:type="dxa"/>
        <w:tblCellMar>
          <w:top w:w="15" w:type="dxa"/>
          <w:left w:w="15" w:type="dxa"/>
          <w:bottom w:w="15" w:type="dxa"/>
          <w:right w:w="15" w:type="dxa"/>
        </w:tblCellMar>
        <w:tblLook w:val="04A0" w:firstRow="1" w:lastRow="0" w:firstColumn="1" w:lastColumn="0" w:noHBand="0" w:noVBand="1"/>
      </w:tblPr>
      <w:tblGrid>
        <w:gridCol w:w="10202"/>
        <w:gridCol w:w="371"/>
        <w:gridCol w:w="2175"/>
        <w:gridCol w:w="371"/>
        <w:gridCol w:w="276"/>
        <w:gridCol w:w="1810"/>
        <w:gridCol w:w="175"/>
        <w:gridCol w:w="371"/>
        <w:gridCol w:w="276"/>
        <w:gridCol w:w="1783"/>
        <w:gridCol w:w="179"/>
        <w:gridCol w:w="371"/>
        <w:gridCol w:w="276"/>
        <w:gridCol w:w="1783"/>
        <w:gridCol w:w="195"/>
      </w:tblGrid>
      <w:tr w:rsidR="002F3D36" w:rsidRPr="002F3D36" w14:paraId="1485C552" w14:textId="77777777" w:rsidTr="002F3D36">
        <w:trPr>
          <w:tblCellSpacing w:w="15" w:type="dxa"/>
        </w:trPr>
        <w:tc>
          <w:tcPr>
            <w:tcW w:w="10175" w:type="dxa"/>
            <w:vAlign w:val="center"/>
            <w:hideMark/>
          </w:tcPr>
          <w:p w14:paraId="53F704ED" w14:textId="77777777" w:rsidR="002F3D36" w:rsidRPr="002F3D36" w:rsidRDefault="002F3D36" w:rsidP="002F3D36">
            <w:pPr>
              <w:widowControl/>
              <w:jc w:val="left"/>
              <w:rPr>
                <w:rFonts w:ascii="Times New Roman" w:eastAsia="宋体" w:hAnsi="Times New Roman" w:cs="Times New Roman"/>
                <w:color w:val="000000"/>
                <w:kern w:val="0"/>
                <w:sz w:val="20"/>
                <w:szCs w:val="20"/>
              </w:rPr>
            </w:pPr>
          </w:p>
        </w:tc>
        <w:tc>
          <w:tcPr>
            <w:tcW w:w="342" w:type="dxa"/>
            <w:vAlign w:val="center"/>
            <w:hideMark/>
          </w:tcPr>
          <w:p w14:paraId="4684D010"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148" w:type="dxa"/>
            <w:vAlign w:val="center"/>
            <w:hideMark/>
          </w:tcPr>
          <w:p w14:paraId="702ED917"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342" w:type="dxa"/>
            <w:vAlign w:val="center"/>
            <w:hideMark/>
          </w:tcPr>
          <w:p w14:paraId="504B3B0B"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46" w:type="dxa"/>
            <w:vAlign w:val="center"/>
            <w:hideMark/>
          </w:tcPr>
          <w:p w14:paraId="71250037"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783" w:type="dxa"/>
            <w:vAlign w:val="center"/>
            <w:hideMark/>
          </w:tcPr>
          <w:p w14:paraId="33863B69"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45" w:type="dxa"/>
            <w:vAlign w:val="center"/>
            <w:hideMark/>
          </w:tcPr>
          <w:p w14:paraId="3FA207AE"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342" w:type="dxa"/>
            <w:vAlign w:val="center"/>
            <w:hideMark/>
          </w:tcPr>
          <w:p w14:paraId="460D8490"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46" w:type="dxa"/>
            <w:vAlign w:val="center"/>
            <w:hideMark/>
          </w:tcPr>
          <w:p w14:paraId="0FA366CD"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755" w:type="dxa"/>
            <w:vAlign w:val="center"/>
            <w:hideMark/>
          </w:tcPr>
          <w:p w14:paraId="0AAB7BD3"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49" w:type="dxa"/>
            <w:vAlign w:val="center"/>
            <w:hideMark/>
          </w:tcPr>
          <w:p w14:paraId="6FBA0DB7"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342" w:type="dxa"/>
            <w:vAlign w:val="center"/>
            <w:hideMark/>
          </w:tcPr>
          <w:p w14:paraId="4FAD0AEF"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46" w:type="dxa"/>
            <w:vAlign w:val="center"/>
            <w:hideMark/>
          </w:tcPr>
          <w:p w14:paraId="3C894A91"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755" w:type="dxa"/>
            <w:vAlign w:val="center"/>
            <w:hideMark/>
          </w:tcPr>
          <w:p w14:paraId="79FE6B0C"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50" w:type="dxa"/>
            <w:vAlign w:val="center"/>
            <w:hideMark/>
          </w:tcPr>
          <w:p w14:paraId="305DAB6A" w14:textId="77777777" w:rsidR="002F3D36" w:rsidRPr="002F3D36" w:rsidRDefault="002F3D36" w:rsidP="002F3D36">
            <w:pPr>
              <w:widowControl/>
              <w:jc w:val="left"/>
              <w:rPr>
                <w:rFonts w:ascii="Times New Roman" w:eastAsia="Times New Roman" w:hAnsi="Times New Roman" w:cs="Times New Roman"/>
                <w:kern w:val="0"/>
                <w:sz w:val="20"/>
                <w:szCs w:val="20"/>
              </w:rPr>
            </w:pPr>
          </w:p>
        </w:tc>
      </w:tr>
      <w:tr w:rsidR="002F3D36" w:rsidRPr="002F3D36" w14:paraId="7448B676" w14:textId="77777777" w:rsidTr="002F3D36">
        <w:trPr>
          <w:trHeight w:val="160"/>
          <w:tblCellSpacing w:w="15" w:type="dxa"/>
        </w:trPr>
        <w:tc>
          <w:tcPr>
            <w:tcW w:w="0" w:type="auto"/>
            <w:vAlign w:val="bottom"/>
            <w:hideMark/>
          </w:tcPr>
          <w:p w14:paraId="6AEF9D06"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vAlign w:val="bottom"/>
            <w:hideMark/>
          </w:tcPr>
          <w:p w14:paraId="0567DEE7" w14:textId="77777777" w:rsidR="002F3D36" w:rsidRPr="002F3D36" w:rsidRDefault="002F3D36" w:rsidP="002F3D36">
            <w:pPr>
              <w:widowControl/>
              <w:jc w:val="left"/>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vAlign w:val="bottom"/>
            <w:hideMark/>
          </w:tcPr>
          <w:p w14:paraId="7CDEF0CC"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vAlign w:val="bottom"/>
            <w:hideMark/>
          </w:tcPr>
          <w:p w14:paraId="0FC8BABF" w14:textId="77777777" w:rsidR="002F3D36" w:rsidRPr="002F3D36" w:rsidRDefault="002F3D36" w:rsidP="002F3D36">
            <w:pPr>
              <w:widowControl/>
              <w:jc w:val="left"/>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gridSpan w:val="10"/>
            <w:tcBorders>
              <w:bottom w:val="single" w:sz="4" w:space="0" w:color="000000"/>
            </w:tcBorders>
            <w:vAlign w:val="bottom"/>
            <w:hideMark/>
          </w:tcPr>
          <w:p w14:paraId="22B0F5F3"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b/>
                <w:bCs/>
                <w:color w:val="000000"/>
                <w:kern w:val="0"/>
                <w:sz w:val="16"/>
                <w:szCs w:val="16"/>
              </w:rPr>
              <w:t>Years ended December 31</w:t>
            </w:r>
          </w:p>
        </w:tc>
        <w:tc>
          <w:tcPr>
            <w:tcW w:w="0" w:type="auto"/>
            <w:vAlign w:val="bottom"/>
            <w:hideMark/>
          </w:tcPr>
          <w:p w14:paraId="79D82678"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r>
      <w:tr w:rsidR="002F3D36" w:rsidRPr="002F3D36" w14:paraId="42F9F709" w14:textId="77777777" w:rsidTr="002F3D36">
        <w:trPr>
          <w:trHeight w:val="160"/>
          <w:tblCellSpacing w:w="15" w:type="dxa"/>
        </w:trPr>
        <w:tc>
          <w:tcPr>
            <w:tcW w:w="0" w:type="auto"/>
            <w:vAlign w:val="bottom"/>
            <w:hideMark/>
          </w:tcPr>
          <w:p w14:paraId="248CCA39" w14:textId="77777777" w:rsidR="002F3D36" w:rsidRPr="002F3D36" w:rsidRDefault="002F3D36" w:rsidP="002F3D36">
            <w:pPr>
              <w:widowControl/>
              <w:jc w:val="left"/>
              <w:rPr>
                <w:rFonts w:ascii="Times New Roman" w:eastAsia="微软雅黑" w:hAnsi="Times New Roman" w:cs="Times New Roman"/>
                <w:kern w:val="0"/>
                <w:sz w:val="16"/>
                <w:szCs w:val="16"/>
              </w:rPr>
            </w:pPr>
            <w:r w:rsidRPr="002F3D36">
              <w:rPr>
                <w:rFonts w:ascii="Arial" w:eastAsia="微软雅黑" w:hAnsi="Arial" w:cs="Arial"/>
                <w:b/>
                <w:bCs/>
                <w:color w:val="000000"/>
                <w:kern w:val="0"/>
                <w:sz w:val="16"/>
                <w:szCs w:val="16"/>
                <w:u w:val="single"/>
              </w:rPr>
              <w:t>(DOLLARS AND SHARES IN MILLIONS, EXCEPT PER SHARE DATA)</w:t>
            </w:r>
          </w:p>
        </w:tc>
        <w:tc>
          <w:tcPr>
            <w:tcW w:w="0" w:type="auto"/>
            <w:vAlign w:val="bottom"/>
            <w:hideMark/>
          </w:tcPr>
          <w:p w14:paraId="4836C233" w14:textId="77777777" w:rsidR="002F3D36" w:rsidRPr="002F3D36" w:rsidRDefault="002F3D36" w:rsidP="002F3D36">
            <w:pPr>
              <w:widowControl/>
              <w:jc w:val="left"/>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vAlign w:val="bottom"/>
            <w:hideMark/>
          </w:tcPr>
          <w:p w14:paraId="77C50207"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vAlign w:val="bottom"/>
            <w:hideMark/>
          </w:tcPr>
          <w:p w14:paraId="5BEBCF23" w14:textId="77777777" w:rsidR="002F3D36" w:rsidRPr="002F3D36" w:rsidRDefault="002F3D36" w:rsidP="002F3D36">
            <w:pPr>
              <w:widowControl/>
              <w:jc w:val="left"/>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gridSpan w:val="2"/>
            <w:tcBorders>
              <w:bottom w:val="single" w:sz="4" w:space="0" w:color="000000"/>
            </w:tcBorders>
            <w:vAlign w:val="bottom"/>
            <w:hideMark/>
          </w:tcPr>
          <w:p w14:paraId="007650A7"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b/>
                <w:bCs/>
                <w:color w:val="000000"/>
                <w:kern w:val="0"/>
                <w:sz w:val="16"/>
                <w:szCs w:val="16"/>
              </w:rPr>
              <w:t>2021</w:t>
            </w:r>
          </w:p>
        </w:tc>
        <w:tc>
          <w:tcPr>
            <w:tcW w:w="0" w:type="auto"/>
            <w:vAlign w:val="bottom"/>
            <w:hideMark/>
          </w:tcPr>
          <w:p w14:paraId="5600CF76"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vAlign w:val="bottom"/>
            <w:hideMark/>
          </w:tcPr>
          <w:p w14:paraId="7823D5EE" w14:textId="77777777" w:rsidR="002F3D36" w:rsidRPr="002F3D36" w:rsidRDefault="002F3D36" w:rsidP="002F3D36">
            <w:pPr>
              <w:widowControl/>
              <w:jc w:val="left"/>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gridSpan w:val="2"/>
            <w:tcBorders>
              <w:bottom w:val="single" w:sz="4" w:space="0" w:color="000000"/>
            </w:tcBorders>
            <w:vAlign w:val="bottom"/>
            <w:hideMark/>
          </w:tcPr>
          <w:p w14:paraId="11D2FEA1"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b/>
                <w:bCs/>
                <w:color w:val="000000"/>
                <w:kern w:val="0"/>
                <w:sz w:val="16"/>
                <w:szCs w:val="16"/>
              </w:rPr>
              <w:t>2020</w:t>
            </w:r>
          </w:p>
        </w:tc>
        <w:tc>
          <w:tcPr>
            <w:tcW w:w="0" w:type="auto"/>
            <w:vAlign w:val="bottom"/>
            <w:hideMark/>
          </w:tcPr>
          <w:p w14:paraId="667F2101"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vAlign w:val="bottom"/>
            <w:hideMark/>
          </w:tcPr>
          <w:p w14:paraId="36221E3F" w14:textId="77777777" w:rsidR="002F3D36" w:rsidRPr="002F3D36" w:rsidRDefault="002F3D36" w:rsidP="002F3D36">
            <w:pPr>
              <w:widowControl/>
              <w:jc w:val="left"/>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gridSpan w:val="2"/>
            <w:tcBorders>
              <w:bottom w:val="single" w:sz="4" w:space="0" w:color="000000"/>
            </w:tcBorders>
            <w:vAlign w:val="bottom"/>
            <w:hideMark/>
          </w:tcPr>
          <w:p w14:paraId="55EF2C87"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b/>
                <w:bCs/>
                <w:color w:val="000000"/>
                <w:kern w:val="0"/>
                <w:sz w:val="16"/>
                <w:szCs w:val="16"/>
              </w:rPr>
              <w:t>2019</w:t>
            </w:r>
          </w:p>
        </w:tc>
        <w:tc>
          <w:tcPr>
            <w:tcW w:w="0" w:type="auto"/>
            <w:vAlign w:val="bottom"/>
            <w:hideMark/>
          </w:tcPr>
          <w:p w14:paraId="538C287C"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r>
      <w:tr w:rsidR="002F3D36" w:rsidRPr="002F3D36" w14:paraId="3A0FCA02" w14:textId="77777777" w:rsidTr="002F3D36">
        <w:trPr>
          <w:trHeight w:val="180"/>
          <w:tblCellSpacing w:w="15" w:type="dxa"/>
        </w:trPr>
        <w:tc>
          <w:tcPr>
            <w:tcW w:w="0" w:type="auto"/>
            <w:shd w:val="clear" w:color="auto" w:fill="CFF0FC"/>
            <w:hideMark/>
          </w:tcPr>
          <w:p w14:paraId="0A86F3E2" w14:textId="77777777" w:rsidR="002F3D36" w:rsidRPr="002F3D36" w:rsidRDefault="002F3D36" w:rsidP="002F3D36">
            <w:pPr>
              <w:widowControl/>
              <w:jc w:val="left"/>
              <w:rPr>
                <w:rFonts w:ascii="Times New Roman" w:eastAsia="微软雅黑" w:hAnsi="Times New Roman" w:cs="Times New Roman"/>
                <w:kern w:val="0"/>
                <w:sz w:val="20"/>
                <w:szCs w:val="20"/>
              </w:rPr>
            </w:pPr>
            <w:r w:rsidRPr="002F3D36">
              <w:rPr>
                <w:rFonts w:ascii="Arial" w:eastAsia="微软雅黑" w:hAnsi="Arial" w:cs="Arial"/>
                <w:b/>
                <w:bCs/>
                <w:color w:val="000000"/>
                <w:kern w:val="0"/>
                <w:sz w:val="18"/>
                <w:szCs w:val="18"/>
              </w:rPr>
              <w:t>Net sales</w:t>
            </w:r>
          </w:p>
        </w:tc>
        <w:tc>
          <w:tcPr>
            <w:tcW w:w="0" w:type="auto"/>
            <w:shd w:val="clear" w:color="auto" w:fill="CFF0FC"/>
            <w:vAlign w:val="bottom"/>
            <w:hideMark/>
          </w:tcPr>
          <w:p w14:paraId="7646CFE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15A20671"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Note 20</w:t>
            </w:r>
          </w:p>
        </w:tc>
        <w:tc>
          <w:tcPr>
            <w:tcW w:w="0" w:type="auto"/>
            <w:shd w:val="clear" w:color="auto" w:fill="CFF0FC"/>
            <w:vAlign w:val="bottom"/>
            <w:hideMark/>
          </w:tcPr>
          <w:p w14:paraId="03DDE1E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72307EB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w:t>
            </w:r>
          </w:p>
        </w:tc>
        <w:tc>
          <w:tcPr>
            <w:tcW w:w="0" w:type="auto"/>
            <w:shd w:val="clear" w:color="auto" w:fill="CFF0FC"/>
            <w:vAlign w:val="bottom"/>
            <w:hideMark/>
          </w:tcPr>
          <w:p w14:paraId="4979E881"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b/>
                <w:bCs/>
                <w:color w:val="000000"/>
                <w:kern w:val="0"/>
                <w:sz w:val="18"/>
                <w:szCs w:val="18"/>
              </w:rPr>
              <w:t>8,230</w:t>
            </w:r>
          </w:p>
        </w:tc>
        <w:tc>
          <w:tcPr>
            <w:tcW w:w="0" w:type="auto"/>
            <w:shd w:val="clear" w:color="auto" w:fill="CFF0FC"/>
            <w:vAlign w:val="bottom"/>
            <w:hideMark/>
          </w:tcPr>
          <w:p w14:paraId="64D9755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0577EB6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648E322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w:t>
            </w:r>
          </w:p>
        </w:tc>
        <w:tc>
          <w:tcPr>
            <w:tcW w:w="0" w:type="auto"/>
            <w:shd w:val="clear" w:color="auto" w:fill="CFF0FC"/>
            <w:vAlign w:val="bottom"/>
            <w:hideMark/>
          </w:tcPr>
          <w:p w14:paraId="3E278977"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b/>
                <w:bCs/>
                <w:color w:val="000000"/>
                <w:kern w:val="0"/>
                <w:sz w:val="18"/>
                <w:szCs w:val="18"/>
              </w:rPr>
              <w:t>7,447</w:t>
            </w:r>
          </w:p>
        </w:tc>
        <w:tc>
          <w:tcPr>
            <w:tcW w:w="0" w:type="auto"/>
            <w:shd w:val="clear" w:color="auto" w:fill="CFF0FC"/>
            <w:vAlign w:val="bottom"/>
            <w:hideMark/>
          </w:tcPr>
          <w:p w14:paraId="0DD17F0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3902555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29905D0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w:t>
            </w:r>
          </w:p>
        </w:tc>
        <w:tc>
          <w:tcPr>
            <w:tcW w:w="0" w:type="auto"/>
            <w:shd w:val="clear" w:color="auto" w:fill="CFF0FC"/>
            <w:vAlign w:val="bottom"/>
            <w:hideMark/>
          </w:tcPr>
          <w:p w14:paraId="224E4D8F"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b/>
                <w:bCs/>
                <w:color w:val="000000"/>
                <w:kern w:val="0"/>
                <w:sz w:val="18"/>
                <w:szCs w:val="18"/>
              </w:rPr>
              <w:t>8,548</w:t>
            </w:r>
          </w:p>
        </w:tc>
        <w:tc>
          <w:tcPr>
            <w:tcW w:w="0" w:type="auto"/>
            <w:shd w:val="clear" w:color="auto" w:fill="CFF0FC"/>
            <w:vAlign w:val="bottom"/>
            <w:hideMark/>
          </w:tcPr>
          <w:p w14:paraId="3102234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7C29195D" w14:textId="77777777" w:rsidTr="002F3D36">
        <w:trPr>
          <w:trHeight w:val="180"/>
          <w:tblCellSpacing w:w="15" w:type="dxa"/>
        </w:trPr>
        <w:tc>
          <w:tcPr>
            <w:tcW w:w="0" w:type="auto"/>
            <w:hideMark/>
          </w:tcPr>
          <w:p w14:paraId="0AC5948F" w14:textId="77777777" w:rsidR="002F3D36" w:rsidRPr="002F3D36" w:rsidRDefault="002F3D36" w:rsidP="002F3D36">
            <w:pPr>
              <w:widowControl/>
              <w:jc w:val="lef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Cost of sales</w:t>
            </w:r>
          </w:p>
        </w:tc>
        <w:tc>
          <w:tcPr>
            <w:tcW w:w="0" w:type="auto"/>
            <w:vAlign w:val="bottom"/>
            <w:hideMark/>
          </w:tcPr>
          <w:p w14:paraId="58E0DFA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45F1023A"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49EF4EE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vAlign w:val="bottom"/>
            <w:hideMark/>
          </w:tcPr>
          <w:p w14:paraId="7CB1BF1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vAlign w:val="bottom"/>
            <w:hideMark/>
          </w:tcPr>
          <w:p w14:paraId="49FDB046"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(6,719</w:t>
            </w:r>
          </w:p>
        </w:tc>
        <w:tc>
          <w:tcPr>
            <w:tcW w:w="0" w:type="auto"/>
            <w:vAlign w:val="bottom"/>
            <w:hideMark/>
          </w:tcPr>
          <w:p w14:paraId="2460474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vAlign w:val="bottom"/>
            <w:hideMark/>
          </w:tcPr>
          <w:p w14:paraId="1C9AF3B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vAlign w:val="bottom"/>
            <w:hideMark/>
          </w:tcPr>
          <w:p w14:paraId="7F85730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vAlign w:val="bottom"/>
            <w:hideMark/>
          </w:tcPr>
          <w:p w14:paraId="3D9B87F3"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(6,201</w:t>
            </w:r>
          </w:p>
        </w:tc>
        <w:tc>
          <w:tcPr>
            <w:tcW w:w="0" w:type="auto"/>
            <w:vAlign w:val="bottom"/>
            <w:hideMark/>
          </w:tcPr>
          <w:p w14:paraId="12BB410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vAlign w:val="bottom"/>
            <w:hideMark/>
          </w:tcPr>
          <w:p w14:paraId="34BA9BE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vAlign w:val="bottom"/>
            <w:hideMark/>
          </w:tcPr>
          <w:p w14:paraId="75FB0DF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vAlign w:val="bottom"/>
            <w:hideMark/>
          </w:tcPr>
          <w:p w14:paraId="3B545111"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(6,963</w:t>
            </w:r>
          </w:p>
        </w:tc>
        <w:tc>
          <w:tcPr>
            <w:tcW w:w="0" w:type="auto"/>
            <w:vAlign w:val="bottom"/>
            <w:hideMark/>
          </w:tcPr>
          <w:p w14:paraId="2CB6CED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r>
      <w:tr w:rsidR="002F3D36" w:rsidRPr="002F3D36" w14:paraId="38110606" w14:textId="77777777" w:rsidTr="002F3D36">
        <w:trPr>
          <w:trHeight w:val="180"/>
          <w:tblCellSpacing w:w="15" w:type="dxa"/>
        </w:trPr>
        <w:tc>
          <w:tcPr>
            <w:tcW w:w="0" w:type="auto"/>
            <w:shd w:val="clear" w:color="auto" w:fill="CFF0FC"/>
            <w:hideMark/>
          </w:tcPr>
          <w:p w14:paraId="4FBF052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Gross profit</w:t>
            </w:r>
          </w:p>
        </w:tc>
        <w:tc>
          <w:tcPr>
            <w:tcW w:w="0" w:type="auto"/>
            <w:shd w:val="clear" w:color="auto" w:fill="CFF0FC"/>
            <w:vAlign w:val="bottom"/>
            <w:hideMark/>
          </w:tcPr>
          <w:p w14:paraId="6E34EF6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7FD0F42B"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0E3406D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7CF72B4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31439C48"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b/>
                <w:bCs/>
                <w:color w:val="000000"/>
                <w:kern w:val="0"/>
                <w:sz w:val="18"/>
                <w:szCs w:val="18"/>
              </w:rPr>
              <w:t>1,511</w:t>
            </w:r>
          </w:p>
        </w:tc>
        <w:tc>
          <w:tcPr>
            <w:tcW w:w="0" w:type="auto"/>
            <w:shd w:val="clear" w:color="auto" w:fill="CFF0FC"/>
            <w:vAlign w:val="bottom"/>
            <w:hideMark/>
          </w:tcPr>
          <w:p w14:paraId="09CF423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6F2BD31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7F4E833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020C5E5A"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b/>
                <w:bCs/>
                <w:color w:val="000000"/>
                <w:kern w:val="0"/>
                <w:sz w:val="18"/>
                <w:szCs w:val="18"/>
              </w:rPr>
              <w:t>1,247</w:t>
            </w:r>
          </w:p>
        </w:tc>
        <w:tc>
          <w:tcPr>
            <w:tcW w:w="0" w:type="auto"/>
            <w:shd w:val="clear" w:color="auto" w:fill="CFF0FC"/>
            <w:vAlign w:val="bottom"/>
            <w:hideMark/>
          </w:tcPr>
          <w:p w14:paraId="2F8C4AE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34237B0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5034BCD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123CC458"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b/>
                <w:bCs/>
                <w:color w:val="000000"/>
                <w:kern w:val="0"/>
                <w:sz w:val="18"/>
                <w:szCs w:val="18"/>
              </w:rPr>
              <w:t>1,584</w:t>
            </w:r>
          </w:p>
        </w:tc>
        <w:tc>
          <w:tcPr>
            <w:tcW w:w="0" w:type="auto"/>
            <w:shd w:val="clear" w:color="auto" w:fill="CFF0FC"/>
            <w:vAlign w:val="bottom"/>
            <w:hideMark/>
          </w:tcPr>
          <w:p w14:paraId="404527B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11010535" w14:textId="77777777" w:rsidTr="002F3D36">
        <w:trPr>
          <w:trHeight w:val="180"/>
          <w:tblCellSpacing w:w="15" w:type="dxa"/>
        </w:trPr>
        <w:tc>
          <w:tcPr>
            <w:tcW w:w="0" w:type="auto"/>
            <w:hideMark/>
          </w:tcPr>
          <w:p w14:paraId="0020E1A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Selling, general and administrative expenses</w:t>
            </w:r>
          </w:p>
        </w:tc>
        <w:tc>
          <w:tcPr>
            <w:tcW w:w="0" w:type="auto"/>
            <w:vAlign w:val="bottom"/>
            <w:hideMark/>
          </w:tcPr>
          <w:p w14:paraId="087DBCD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5AC1DFD7"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5AB5269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72975F0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342665E4"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(432</w:t>
            </w:r>
          </w:p>
        </w:tc>
        <w:tc>
          <w:tcPr>
            <w:tcW w:w="0" w:type="auto"/>
            <w:vAlign w:val="bottom"/>
            <w:hideMark/>
          </w:tcPr>
          <w:p w14:paraId="401FB28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vAlign w:val="bottom"/>
            <w:hideMark/>
          </w:tcPr>
          <w:p w14:paraId="1B10783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61E10FB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1225376D"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(389</w:t>
            </w:r>
          </w:p>
        </w:tc>
        <w:tc>
          <w:tcPr>
            <w:tcW w:w="0" w:type="auto"/>
            <w:vAlign w:val="bottom"/>
            <w:hideMark/>
          </w:tcPr>
          <w:p w14:paraId="38CC16C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vAlign w:val="bottom"/>
            <w:hideMark/>
          </w:tcPr>
          <w:p w14:paraId="0893BE3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26F62F7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4D877AAA"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(399</w:t>
            </w:r>
          </w:p>
        </w:tc>
        <w:tc>
          <w:tcPr>
            <w:tcW w:w="0" w:type="auto"/>
            <w:vAlign w:val="bottom"/>
            <w:hideMark/>
          </w:tcPr>
          <w:p w14:paraId="6179997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r>
      <w:tr w:rsidR="002F3D36" w:rsidRPr="002F3D36" w14:paraId="57A2111C" w14:textId="77777777" w:rsidTr="002F3D36">
        <w:trPr>
          <w:trHeight w:val="180"/>
          <w:tblCellSpacing w:w="15" w:type="dxa"/>
        </w:trPr>
        <w:tc>
          <w:tcPr>
            <w:tcW w:w="0" w:type="auto"/>
            <w:shd w:val="clear" w:color="auto" w:fill="CFF0FC"/>
            <w:hideMark/>
          </w:tcPr>
          <w:p w14:paraId="6F3184B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Research, development and engineering expenses, net</w:t>
            </w:r>
          </w:p>
        </w:tc>
        <w:tc>
          <w:tcPr>
            <w:tcW w:w="0" w:type="auto"/>
            <w:shd w:val="clear" w:color="auto" w:fill="CFF0FC"/>
            <w:vAlign w:val="bottom"/>
            <w:hideMark/>
          </w:tcPr>
          <w:p w14:paraId="59BD3EB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4C1CC5FB"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06E4088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7528BEF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37322CD2"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(391</w:t>
            </w:r>
          </w:p>
        </w:tc>
        <w:tc>
          <w:tcPr>
            <w:tcW w:w="0" w:type="auto"/>
            <w:shd w:val="clear" w:color="auto" w:fill="CFF0FC"/>
            <w:vAlign w:val="bottom"/>
            <w:hideMark/>
          </w:tcPr>
          <w:p w14:paraId="1AEE452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shd w:val="clear" w:color="auto" w:fill="CFF0FC"/>
            <w:vAlign w:val="bottom"/>
            <w:hideMark/>
          </w:tcPr>
          <w:p w14:paraId="41DF292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293B9EE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6F4BF1E9"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(376</w:t>
            </w:r>
          </w:p>
        </w:tc>
        <w:tc>
          <w:tcPr>
            <w:tcW w:w="0" w:type="auto"/>
            <w:shd w:val="clear" w:color="auto" w:fill="CFF0FC"/>
            <w:vAlign w:val="bottom"/>
            <w:hideMark/>
          </w:tcPr>
          <w:p w14:paraId="4F8C6A5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shd w:val="clear" w:color="auto" w:fill="CFF0FC"/>
            <w:vAlign w:val="bottom"/>
            <w:hideMark/>
          </w:tcPr>
          <w:p w14:paraId="58D928D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1E0146C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3206203B"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(406</w:t>
            </w:r>
          </w:p>
        </w:tc>
        <w:tc>
          <w:tcPr>
            <w:tcW w:w="0" w:type="auto"/>
            <w:shd w:val="clear" w:color="auto" w:fill="CFF0FC"/>
            <w:vAlign w:val="bottom"/>
            <w:hideMark/>
          </w:tcPr>
          <w:p w14:paraId="300F57A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r>
      <w:tr w:rsidR="002F3D36" w:rsidRPr="002F3D36" w14:paraId="2FDA947C" w14:textId="77777777" w:rsidTr="002F3D36">
        <w:trPr>
          <w:trHeight w:val="180"/>
          <w:tblCellSpacing w:w="15" w:type="dxa"/>
        </w:trPr>
        <w:tc>
          <w:tcPr>
            <w:tcW w:w="0" w:type="auto"/>
            <w:hideMark/>
          </w:tcPr>
          <w:p w14:paraId="7F77338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Amortization of intangibles</w:t>
            </w:r>
          </w:p>
        </w:tc>
        <w:tc>
          <w:tcPr>
            <w:tcW w:w="0" w:type="auto"/>
            <w:vAlign w:val="bottom"/>
            <w:hideMark/>
          </w:tcPr>
          <w:p w14:paraId="1B01233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15B0554A"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Note 10</w:t>
            </w:r>
          </w:p>
        </w:tc>
        <w:tc>
          <w:tcPr>
            <w:tcW w:w="0" w:type="auto"/>
            <w:vAlign w:val="bottom"/>
            <w:hideMark/>
          </w:tcPr>
          <w:p w14:paraId="28C4B1B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1CE30F1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4DC72CD0"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(10</w:t>
            </w:r>
          </w:p>
        </w:tc>
        <w:tc>
          <w:tcPr>
            <w:tcW w:w="0" w:type="auto"/>
            <w:vAlign w:val="bottom"/>
            <w:hideMark/>
          </w:tcPr>
          <w:p w14:paraId="6D0F15A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vAlign w:val="bottom"/>
            <w:hideMark/>
          </w:tcPr>
          <w:p w14:paraId="76BDBB2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67C2603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26F25170"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(10</w:t>
            </w:r>
          </w:p>
        </w:tc>
        <w:tc>
          <w:tcPr>
            <w:tcW w:w="0" w:type="auto"/>
            <w:vAlign w:val="bottom"/>
            <w:hideMark/>
          </w:tcPr>
          <w:p w14:paraId="392AEA4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vAlign w:val="bottom"/>
            <w:hideMark/>
          </w:tcPr>
          <w:p w14:paraId="3E6ADFF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251FD53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51434C76"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(12</w:t>
            </w:r>
          </w:p>
        </w:tc>
        <w:tc>
          <w:tcPr>
            <w:tcW w:w="0" w:type="auto"/>
            <w:vAlign w:val="bottom"/>
            <w:hideMark/>
          </w:tcPr>
          <w:p w14:paraId="1DD92E8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r>
      <w:tr w:rsidR="002F3D36" w:rsidRPr="002F3D36" w14:paraId="2B109777" w14:textId="77777777" w:rsidTr="002F3D36">
        <w:trPr>
          <w:trHeight w:val="180"/>
          <w:tblCellSpacing w:w="15" w:type="dxa"/>
        </w:trPr>
        <w:tc>
          <w:tcPr>
            <w:tcW w:w="0" w:type="auto"/>
            <w:shd w:val="clear" w:color="auto" w:fill="CFF0FC"/>
            <w:hideMark/>
          </w:tcPr>
          <w:p w14:paraId="6F7F2FA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Other income (expense), net</w:t>
            </w:r>
          </w:p>
        </w:tc>
        <w:tc>
          <w:tcPr>
            <w:tcW w:w="0" w:type="auto"/>
            <w:shd w:val="clear" w:color="auto" w:fill="CFF0FC"/>
            <w:vAlign w:val="bottom"/>
            <w:hideMark/>
          </w:tcPr>
          <w:p w14:paraId="7D5465B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29CE4EE2"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Notes 11, 17</w:t>
            </w:r>
          </w:p>
        </w:tc>
        <w:tc>
          <w:tcPr>
            <w:tcW w:w="0" w:type="auto"/>
            <w:shd w:val="clear" w:color="auto" w:fill="CFF0FC"/>
            <w:vAlign w:val="bottom"/>
            <w:hideMark/>
          </w:tcPr>
          <w:p w14:paraId="6AB4F94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shd w:val="clear" w:color="auto" w:fill="CFF0FC"/>
            <w:vAlign w:val="bottom"/>
            <w:hideMark/>
          </w:tcPr>
          <w:p w14:paraId="3BCB4BE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shd w:val="clear" w:color="auto" w:fill="CFF0FC"/>
            <w:vAlign w:val="bottom"/>
            <w:hideMark/>
          </w:tcPr>
          <w:p w14:paraId="012C4247"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(3</w:t>
            </w:r>
          </w:p>
        </w:tc>
        <w:tc>
          <w:tcPr>
            <w:tcW w:w="0" w:type="auto"/>
            <w:shd w:val="clear" w:color="auto" w:fill="CFF0FC"/>
            <w:vAlign w:val="bottom"/>
            <w:hideMark/>
          </w:tcPr>
          <w:p w14:paraId="19F7515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shd w:val="clear" w:color="auto" w:fill="CFF0FC"/>
            <w:vAlign w:val="bottom"/>
            <w:hideMark/>
          </w:tcPr>
          <w:p w14:paraId="3FF8759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shd w:val="clear" w:color="auto" w:fill="CFF0FC"/>
            <w:vAlign w:val="bottom"/>
            <w:hideMark/>
          </w:tcPr>
          <w:p w14:paraId="39C4C27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shd w:val="clear" w:color="auto" w:fill="CFF0FC"/>
            <w:vAlign w:val="bottom"/>
            <w:hideMark/>
          </w:tcPr>
          <w:p w14:paraId="4C644643"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(90</w:t>
            </w:r>
          </w:p>
        </w:tc>
        <w:tc>
          <w:tcPr>
            <w:tcW w:w="0" w:type="auto"/>
            <w:shd w:val="clear" w:color="auto" w:fill="CFF0FC"/>
            <w:vAlign w:val="bottom"/>
            <w:hideMark/>
          </w:tcPr>
          <w:p w14:paraId="3DE850A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shd w:val="clear" w:color="auto" w:fill="CFF0FC"/>
            <w:vAlign w:val="bottom"/>
            <w:hideMark/>
          </w:tcPr>
          <w:p w14:paraId="146C02F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shd w:val="clear" w:color="auto" w:fill="CFF0FC"/>
            <w:vAlign w:val="bottom"/>
            <w:hideMark/>
          </w:tcPr>
          <w:p w14:paraId="0EBAC32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shd w:val="clear" w:color="auto" w:fill="CFF0FC"/>
            <w:vAlign w:val="bottom"/>
            <w:hideMark/>
          </w:tcPr>
          <w:p w14:paraId="2DDE8272"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(43</w:t>
            </w:r>
          </w:p>
        </w:tc>
        <w:tc>
          <w:tcPr>
            <w:tcW w:w="0" w:type="auto"/>
            <w:shd w:val="clear" w:color="auto" w:fill="CFF0FC"/>
            <w:vAlign w:val="bottom"/>
            <w:hideMark/>
          </w:tcPr>
          <w:p w14:paraId="4C3F14D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r>
      <w:tr w:rsidR="002F3D36" w:rsidRPr="002F3D36" w14:paraId="156577A0" w14:textId="77777777" w:rsidTr="002F3D36">
        <w:trPr>
          <w:trHeight w:val="180"/>
          <w:tblCellSpacing w:w="15" w:type="dxa"/>
        </w:trPr>
        <w:tc>
          <w:tcPr>
            <w:tcW w:w="0" w:type="auto"/>
            <w:hideMark/>
          </w:tcPr>
          <w:p w14:paraId="368F6BA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Operating income</w:t>
            </w:r>
          </w:p>
        </w:tc>
        <w:tc>
          <w:tcPr>
            <w:tcW w:w="0" w:type="auto"/>
            <w:vAlign w:val="bottom"/>
            <w:hideMark/>
          </w:tcPr>
          <w:p w14:paraId="37219AB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1F394F66"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74A7CBA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643BB59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61B1E3BA"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b/>
                <w:bCs/>
                <w:color w:val="000000"/>
                <w:kern w:val="0"/>
                <w:sz w:val="18"/>
                <w:szCs w:val="18"/>
              </w:rPr>
              <w:t>675</w:t>
            </w:r>
          </w:p>
        </w:tc>
        <w:tc>
          <w:tcPr>
            <w:tcW w:w="0" w:type="auto"/>
            <w:vAlign w:val="bottom"/>
            <w:hideMark/>
          </w:tcPr>
          <w:p w14:paraId="007A452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6DBC39F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6909A80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3280095B"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b/>
                <w:bCs/>
                <w:color w:val="000000"/>
                <w:kern w:val="0"/>
                <w:sz w:val="18"/>
                <w:szCs w:val="18"/>
              </w:rPr>
              <w:t>382</w:t>
            </w:r>
          </w:p>
        </w:tc>
        <w:tc>
          <w:tcPr>
            <w:tcW w:w="0" w:type="auto"/>
            <w:vAlign w:val="bottom"/>
            <w:hideMark/>
          </w:tcPr>
          <w:p w14:paraId="74F3C8B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4767FA7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7B003C9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5321176A"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b/>
                <w:bCs/>
                <w:color w:val="000000"/>
                <w:kern w:val="0"/>
                <w:sz w:val="18"/>
                <w:szCs w:val="18"/>
              </w:rPr>
              <w:t>726</w:t>
            </w:r>
          </w:p>
        </w:tc>
        <w:tc>
          <w:tcPr>
            <w:tcW w:w="0" w:type="auto"/>
            <w:vAlign w:val="bottom"/>
            <w:hideMark/>
          </w:tcPr>
          <w:p w14:paraId="378C1DF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7C7ECD6A" w14:textId="77777777" w:rsidTr="002F3D36">
        <w:trPr>
          <w:trHeight w:val="180"/>
          <w:tblCellSpacing w:w="15" w:type="dxa"/>
        </w:trPr>
        <w:tc>
          <w:tcPr>
            <w:tcW w:w="0" w:type="auto"/>
            <w:shd w:val="clear" w:color="auto" w:fill="CFF0FC"/>
            <w:hideMark/>
          </w:tcPr>
          <w:p w14:paraId="70AAFD2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Income from equity method investment</w:t>
            </w:r>
          </w:p>
        </w:tc>
        <w:tc>
          <w:tcPr>
            <w:tcW w:w="0" w:type="auto"/>
            <w:shd w:val="clear" w:color="auto" w:fill="CFF0FC"/>
            <w:vAlign w:val="bottom"/>
            <w:hideMark/>
          </w:tcPr>
          <w:p w14:paraId="6ABDCA2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0E0235D5"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Note 8</w:t>
            </w:r>
          </w:p>
        </w:tc>
        <w:tc>
          <w:tcPr>
            <w:tcW w:w="0" w:type="auto"/>
            <w:shd w:val="clear" w:color="auto" w:fill="CFF0FC"/>
            <w:vAlign w:val="bottom"/>
            <w:hideMark/>
          </w:tcPr>
          <w:p w14:paraId="05D7EE2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47D8AD8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5E85FFF0"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3</w:t>
            </w:r>
          </w:p>
        </w:tc>
        <w:tc>
          <w:tcPr>
            <w:tcW w:w="0" w:type="auto"/>
            <w:shd w:val="clear" w:color="auto" w:fill="CFF0FC"/>
            <w:vAlign w:val="bottom"/>
            <w:hideMark/>
          </w:tcPr>
          <w:p w14:paraId="55B8899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2383DCF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14C0F1E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490C3222"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2</w:t>
            </w:r>
          </w:p>
        </w:tc>
        <w:tc>
          <w:tcPr>
            <w:tcW w:w="0" w:type="auto"/>
            <w:shd w:val="clear" w:color="auto" w:fill="CFF0FC"/>
            <w:vAlign w:val="bottom"/>
            <w:hideMark/>
          </w:tcPr>
          <w:p w14:paraId="73EC23A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4521C88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3C17399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62082493"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2</w:t>
            </w:r>
          </w:p>
        </w:tc>
        <w:tc>
          <w:tcPr>
            <w:tcW w:w="0" w:type="auto"/>
            <w:shd w:val="clear" w:color="auto" w:fill="CFF0FC"/>
            <w:vAlign w:val="bottom"/>
            <w:hideMark/>
          </w:tcPr>
          <w:p w14:paraId="6D6FFE6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3E71B514" w14:textId="77777777" w:rsidTr="002F3D36">
        <w:trPr>
          <w:trHeight w:val="180"/>
          <w:tblCellSpacing w:w="15" w:type="dxa"/>
        </w:trPr>
        <w:tc>
          <w:tcPr>
            <w:tcW w:w="0" w:type="auto"/>
            <w:hideMark/>
          </w:tcPr>
          <w:p w14:paraId="279B573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Interest income</w:t>
            </w:r>
          </w:p>
        </w:tc>
        <w:tc>
          <w:tcPr>
            <w:tcW w:w="0" w:type="auto"/>
            <w:vAlign w:val="bottom"/>
            <w:hideMark/>
          </w:tcPr>
          <w:p w14:paraId="0D6DAEA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43D0FB34"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4341D3E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4F6A3E5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39E6AD7B"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4</w:t>
            </w:r>
          </w:p>
        </w:tc>
        <w:tc>
          <w:tcPr>
            <w:tcW w:w="0" w:type="auto"/>
            <w:vAlign w:val="bottom"/>
            <w:hideMark/>
          </w:tcPr>
          <w:p w14:paraId="619A16A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6F64161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6DB0D2F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339925D1"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5</w:t>
            </w:r>
          </w:p>
        </w:tc>
        <w:tc>
          <w:tcPr>
            <w:tcW w:w="0" w:type="auto"/>
            <w:vAlign w:val="bottom"/>
            <w:hideMark/>
          </w:tcPr>
          <w:p w14:paraId="154C9AA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36D6607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5940C1D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2458A5C1"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4</w:t>
            </w:r>
          </w:p>
        </w:tc>
        <w:tc>
          <w:tcPr>
            <w:tcW w:w="0" w:type="auto"/>
            <w:vAlign w:val="bottom"/>
            <w:hideMark/>
          </w:tcPr>
          <w:p w14:paraId="77DB986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4A62E448" w14:textId="77777777" w:rsidTr="002F3D36">
        <w:trPr>
          <w:trHeight w:val="180"/>
          <w:tblCellSpacing w:w="15" w:type="dxa"/>
        </w:trPr>
        <w:tc>
          <w:tcPr>
            <w:tcW w:w="0" w:type="auto"/>
            <w:shd w:val="clear" w:color="auto" w:fill="CFF0FC"/>
            <w:hideMark/>
          </w:tcPr>
          <w:p w14:paraId="2B3C933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Interest expense</w:t>
            </w:r>
          </w:p>
        </w:tc>
        <w:tc>
          <w:tcPr>
            <w:tcW w:w="0" w:type="auto"/>
            <w:shd w:val="clear" w:color="auto" w:fill="CFF0FC"/>
            <w:vAlign w:val="bottom"/>
            <w:hideMark/>
          </w:tcPr>
          <w:p w14:paraId="4DE85B6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66066D21"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Note 13</w:t>
            </w:r>
          </w:p>
        </w:tc>
        <w:tc>
          <w:tcPr>
            <w:tcW w:w="0" w:type="auto"/>
            <w:shd w:val="clear" w:color="auto" w:fill="CFF0FC"/>
            <w:vAlign w:val="bottom"/>
            <w:hideMark/>
          </w:tcPr>
          <w:p w14:paraId="1F95837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45E195C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7A3C689B"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(60</w:t>
            </w:r>
          </w:p>
        </w:tc>
        <w:tc>
          <w:tcPr>
            <w:tcW w:w="0" w:type="auto"/>
            <w:shd w:val="clear" w:color="auto" w:fill="CFF0FC"/>
            <w:vAlign w:val="bottom"/>
            <w:hideMark/>
          </w:tcPr>
          <w:p w14:paraId="7A85F6A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shd w:val="clear" w:color="auto" w:fill="CFF0FC"/>
            <w:vAlign w:val="bottom"/>
            <w:hideMark/>
          </w:tcPr>
          <w:p w14:paraId="005501C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5831C1F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07EA69E3"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(73</w:t>
            </w:r>
          </w:p>
        </w:tc>
        <w:tc>
          <w:tcPr>
            <w:tcW w:w="0" w:type="auto"/>
            <w:shd w:val="clear" w:color="auto" w:fill="CFF0FC"/>
            <w:vAlign w:val="bottom"/>
            <w:hideMark/>
          </w:tcPr>
          <w:p w14:paraId="46ECECD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shd w:val="clear" w:color="auto" w:fill="CFF0FC"/>
            <w:vAlign w:val="bottom"/>
            <w:hideMark/>
          </w:tcPr>
          <w:p w14:paraId="0A463FC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440AA3E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673F3F4B"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(70</w:t>
            </w:r>
          </w:p>
        </w:tc>
        <w:tc>
          <w:tcPr>
            <w:tcW w:w="0" w:type="auto"/>
            <w:shd w:val="clear" w:color="auto" w:fill="CFF0FC"/>
            <w:vAlign w:val="bottom"/>
            <w:hideMark/>
          </w:tcPr>
          <w:p w14:paraId="006C00A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r>
      <w:tr w:rsidR="002F3D36" w:rsidRPr="002F3D36" w14:paraId="27A31F85" w14:textId="77777777" w:rsidTr="002F3D36">
        <w:trPr>
          <w:trHeight w:val="180"/>
          <w:tblCellSpacing w:w="15" w:type="dxa"/>
        </w:trPr>
        <w:tc>
          <w:tcPr>
            <w:tcW w:w="0" w:type="auto"/>
            <w:hideMark/>
          </w:tcPr>
          <w:p w14:paraId="4EDC8C8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Other non-operating items, net</w:t>
            </w:r>
          </w:p>
        </w:tc>
        <w:tc>
          <w:tcPr>
            <w:tcW w:w="0" w:type="auto"/>
            <w:vAlign w:val="bottom"/>
            <w:hideMark/>
          </w:tcPr>
          <w:p w14:paraId="7E07EB5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10DC2959"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692AEC6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vAlign w:val="bottom"/>
            <w:hideMark/>
          </w:tcPr>
          <w:p w14:paraId="2EBC510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vAlign w:val="bottom"/>
            <w:hideMark/>
          </w:tcPr>
          <w:p w14:paraId="097CA3E7"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(7</w:t>
            </w:r>
          </w:p>
        </w:tc>
        <w:tc>
          <w:tcPr>
            <w:tcW w:w="0" w:type="auto"/>
            <w:vAlign w:val="bottom"/>
            <w:hideMark/>
          </w:tcPr>
          <w:p w14:paraId="0DA8972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vAlign w:val="bottom"/>
            <w:hideMark/>
          </w:tcPr>
          <w:p w14:paraId="17BBA2E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vAlign w:val="bottom"/>
            <w:hideMark/>
          </w:tcPr>
          <w:p w14:paraId="1464B1A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vAlign w:val="bottom"/>
            <w:hideMark/>
          </w:tcPr>
          <w:p w14:paraId="75FF8584"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(25</w:t>
            </w:r>
          </w:p>
        </w:tc>
        <w:tc>
          <w:tcPr>
            <w:tcW w:w="0" w:type="auto"/>
            <w:vAlign w:val="bottom"/>
            <w:hideMark/>
          </w:tcPr>
          <w:p w14:paraId="66B207D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vAlign w:val="bottom"/>
            <w:hideMark/>
          </w:tcPr>
          <w:p w14:paraId="56E3E31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vAlign w:val="bottom"/>
            <w:hideMark/>
          </w:tcPr>
          <w:p w14:paraId="7F8B488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vAlign w:val="bottom"/>
            <w:hideMark/>
          </w:tcPr>
          <w:p w14:paraId="1D6A9A8B"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(14</w:t>
            </w:r>
          </w:p>
        </w:tc>
        <w:tc>
          <w:tcPr>
            <w:tcW w:w="0" w:type="auto"/>
            <w:vAlign w:val="bottom"/>
            <w:hideMark/>
          </w:tcPr>
          <w:p w14:paraId="1DB79A3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r>
      <w:tr w:rsidR="002F3D36" w:rsidRPr="002F3D36" w14:paraId="413BF3B2" w14:textId="77777777" w:rsidTr="002F3D36">
        <w:trPr>
          <w:trHeight w:val="180"/>
          <w:tblCellSpacing w:w="15" w:type="dxa"/>
        </w:trPr>
        <w:tc>
          <w:tcPr>
            <w:tcW w:w="0" w:type="auto"/>
            <w:shd w:val="clear" w:color="auto" w:fill="CFF0FC"/>
            <w:hideMark/>
          </w:tcPr>
          <w:p w14:paraId="37FD035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Income before income taxes</w:t>
            </w:r>
          </w:p>
        </w:tc>
        <w:tc>
          <w:tcPr>
            <w:tcW w:w="0" w:type="auto"/>
            <w:shd w:val="clear" w:color="auto" w:fill="CFF0FC"/>
            <w:vAlign w:val="bottom"/>
            <w:hideMark/>
          </w:tcPr>
          <w:p w14:paraId="0076DCA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6AFBD2A6"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59CD1E4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2D100F8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5C3026D9"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b/>
                <w:bCs/>
                <w:color w:val="000000"/>
                <w:kern w:val="0"/>
                <w:sz w:val="18"/>
                <w:szCs w:val="18"/>
              </w:rPr>
              <w:t>614</w:t>
            </w:r>
          </w:p>
        </w:tc>
        <w:tc>
          <w:tcPr>
            <w:tcW w:w="0" w:type="auto"/>
            <w:shd w:val="clear" w:color="auto" w:fill="CFF0FC"/>
            <w:vAlign w:val="bottom"/>
            <w:hideMark/>
          </w:tcPr>
          <w:p w14:paraId="3E4F424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01AD6EEA"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7584BC6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003DB55D"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b/>
                <w:bCs/>
                <w:color w:val="000000"/>
                <w:kern w:val="0"/>
                <w:sz w:val="18"/>
                <w:szCs w:val="18"/>
              </w:rPr>
              <w:t>291</w:t>
            </w:r>
          </w:p>
        </w:tc>
        <w:tc>
          <w:tcPr>
            <w:tcW w:w="0" w:type="auto"/>
            <w:shd w:val="clear" w:color="auto" w:fill="CFF0FC"/>
            <w:vAlign w:val="bottom"/>
            <w:hideMark/>
          </w:tcPr>
          <w:p w14:paraId="5A635C7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30DF3D7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7F45C63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32D2DAFE"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b/>
                <w:bCs/>
                <w:color w:val="000000"/>
                <w:kern w:val="0"/>
                <w:sz w:val="18"/>
                <w:szCs w:val="18"/>
              </w:rPr>
              <w:t>648</w:t>
            </w:r>
          </w:p>
        </w:tc>
        <w:tc>
          <w:tcPr>
            <w:tcW w:w="0" w:type="auto"/>
            <w:shd w:val="clear" w:color="auto" w:fill="CFF0FC"/>
            <w:vAlign w:val="bottom"/>
            <w:hideMark/>
          </w:tcPr>
          <w:p w14:paraId="5E280B0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6EB6E36C" w14:textId="77777777" w:rsidTr="002F3D36">
        <w:trPr>
          <w:trHeight w:val="180"/>
          <w:tblCellSpacing w:w="15" w:type="dxa"/>
        </w:trPr>
        <w:tc>
          <w:tcPr>
            <w:tcW w:w="0" w:type="auto"/>
            <w:hideMark/>
          </w:tcPr>
          <w:p w14:paraId="3400B99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Income tax expense</w:t>
            </w:r>
          </w:p>
        </w:tc>
        <w:tc>
          <w:tcPr>
            <w:tcW w:w="0" w:type="auto"/>
            <w:vAlign w:val="bottom"/>
            <w:hideMark/>
          </w:tcPr>
          <w:p w14:paraId="1ADC01F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05431D3F"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Note 5</w:t>
            </w:r>
          </w:p>
        </w:tc>
        <w:tc>
          <w:tcPr>
            <w:tcW w:w="0" w:type="auto"/>
            <w:vAlign w:val="bottom"/>
            <w:hideMark/>
          </w:tcPr>
          <w:p w14:paraId="7AC5B12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vAlign w:val="bottom"/>
            <w:hideMark/>
          </w:tcPr>
          <w:p w14:paraId="0D2B33D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vAlign w:val="bottom"/>
            <w:hideMark/>
          </w:tcPr>
          <w:p w14:paraId="4D716C64"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(177</w:t>
            </w:r>
          </w:p>
        </w:tc>
        <w:tc>
          <w:tcPr>
            <w:tcW w:w="0" w:type="auto"/>
            <w:vAlign w:val="bottom"/>
            <w:hideMark/>
          </w:tcPr>
          <w:p w14:paraId="135820A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vAlign w:val="bottom"/>
            <w:hideMark/>
          </w:tcPr>
          <w:p w14:paraId="36E8945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vAlign w:val="bottom"/>
            <w:hideMark/>
          </w:tcPr>
          <w:p w14:paraId="138F648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vAlign w:val="bottom"/>
            <w:hideMark/>
          </w:tcPr>
          <w:p w14:paraId="7F10A592"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(103</w:t>
            </w:r>
          </w:p>
        </w:tc>
        <w:tc>
          <w:tcPr>
            <w:tcW w:w="0" w:type="auto"/>
            <w:vAlign w:val="bottom"/>
            <w:hideMark/>
          </w:tcPr>
          <w:p w14:paraId="3CACCF0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vAlign w:val="bottom"/>
            <w:hideMark/>
          </w:tcPr>
          <w:p w14:paraId="4C8ECBC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vAlign w:val="bottom"/>
            <w:hideMark/>
          </w:tcPr>
          <w:p w14:paraId="1D2B9C4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vAlign w:val="bottom"/>
            <w:hideMark/>
          </w:tcPr>
          <w:p w14:paraId="2D164E18"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(186</w:t>
            </w:r>
          </w:p>
        </w:tc>
        <w:tc>
          <w:tcPr>
            <w:tcW w:w="0" w:type="auto"/>
            <w:vAlign w:val="bottom"/>
            <w:hideMark/>
          </w:tcPr>
          <w:p w14:paraId="4BBEB87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r>
      <w:tr w:rsidR="002F3D36" w:rsidRPr="002F3D36" w14:paraId="4A63944D" w14:textId="77777777" w:rsidTr="002F3D36">
        <w:trPr>
          <w:trHeight w:val="180"/>
          <w:tblCellSpacing w:w="15" w:type="dxa"/>
        </w:trPr>
        <w:tc>
          <w:tcPr>
            <w:tcW w:w="0" w:type="auto"/>
            <w:shd w:val="clear" w:color="auto" w:fill="CFF0FC"/>
            <w:hideMark/>
          </w:tcPr>
          <w:p w14:paraId="793FA9A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Net income</w:t>
            </w:r>
          </w:p>
        </w:tc>
        <w:tc>
          <w:tcPr>
            <w:tcW w:w="0" w:type="auto"/>
            <w:shd w:val="clear" w:color="auto" w:fill="CFF0FC"/>
            <w:vAlign w:val="bottom"/>
            <w:hideMark/>
          </w:tcPr>
          <w:p w14:paraId="1A5C82F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6A1873ED"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4724282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5125774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255E869D"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b/>
                <w:bCs/>
                <w:color w:val="000000"/>
                <w:kern w:val="0"/>
                <w:sz w:val="18"/>
                <w:szCs w:val="18"/>
              </w:rPr>
              <w:t>437</w:t>
            </w:r>
          </w:p>
        </w:tc>
        <w:tc>
          <w:tcPr>
            <w:tcW w:w="0" w:type="auto"/>
            <w:shd w:val="clear" w:color="auto" w:fill="CFF0FC"/>
            <w:vAlign w:val="bottom"/>
            <w:hideMark/>
          </w:tcPr>
          <w:p w14:paraId="365EED0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72B7338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793FA42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1989EA67"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b/>
                <w:bCs/>
                <w:color w:val="000000"/>
                <w:kern w:val="0"/>
                <w:sz w:val="18"/>
                <w:szCs w:val="18"/>
              </w:rPr>
              <w:t>188</w:t>
            </w:r>
          </w:p>
        </w:tc>
        <w:tc>
          <w:tcPr>
            <w:tcW w:w="0" w:type="auto"/>
            <w:shd w:val="clear" w:color="auto" w:fill="CFF0FC"/>
            <w:vAlign w:val="bottom"/>
            <w:hideMark/>
          </w:tcPr>
          <w:p w14:paraId="5AF230B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1844626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1280F06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77935C1B"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b/>
                <w:bCs/>
                <w:color w:val="000000"/>
                <w:kern w:val="0"/>
                <w:sz w:val="18"/>
                <w:szCs w:val="18"/>
              </w:rPr>
              <w:t>463</w:t>
            </w:r>
          </w:p>
        </w:tc>
        <w:tc>
          <w:tcPr>
            <w:tcW w:w="0" w:type="auto"/>
            <w:shd w:val="clear" w:color="auto" w:fill="CFF0FC"/>
            <w:vAlign w:val="bottom"/>
            <w:hideMark/>
          </w:tcPr>
          <w:p w14:paraId="6B417CF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1D17D1FF" w14:textId="77777777" w:rsidTr="002F3D36">
        <w:trPr>
          <w:trHeight w:val="180"/>
          <w:tblCellSpacing w:w="15" w:type="dxa"/>
        </w:trPr>
        <w:tc>
          <w:tcPr>
            <w:tcW w:w="0" w:type="auto"/>
            <w:hideMark/>
          </w:tcPr>
          <w:p w14:paraId="693D2AF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Less: Net income attributable to non-controlling interest</w:t>
            </w:r>
          </w:p>
        </w:tc>
        <w:tc>
          <w:tcPr>
            <w:tcW w:w="0" w:type="auto"/>
            <w:vAlign w:val="bottom"/>
            <w:hideMark/>
          </w:tcPr>
          <w:p w14:paraId="6AA5E2C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78FABE97"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466EAB2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vAlign w:val="bottom"/>
            <w:hideMark/>
          </w:tcPr>
          <w:p w14:paraId="1EA9D52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vAlign w:val="bottom"/>
            <w:hideMark/>
          </w:tcPr>
          <w:p w14:paraId="74634A60"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2</w:t>
            </w:r>
          </w:p>
        </w:tc>
        <w:tc>
          <w:tcPr>
            <w:tcW w:w="0" w:type="auto"/>
            <w:vAlign w:val="bottom"/>
            <w:hideMark/>
          </w:tcPr>
          <w:p w14:paraId="202945D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6A68A0B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vAlign w:val="bottom"/>
            <w:hideMark/>
          </w:tcPr>
          <w:p w14:paraId="4AEA905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vAlign w:val="bottom"/>
            <w:hideMark/>
          </w:tcPr>
          <w:p w14:paraId="23B0C0E9"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1</w:t>
            </w:r>
          </w:p>
        </w:tc>
        <w:tc>
          <w:tcPr>
            <w:tcW w:w="0" w:type="auto"/>
            <w:vAlign w:val="bottom"/>
            <w:hideMark/>
          </w:tcPr>
          <w:p w14:paraId="4EE579E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54830CF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vAlign w:val="bottom"/>
            <w:hideMark/>
          </w:tcPr>
          <w:p w14:paraId="4294CBA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vAlign w:val="bottom"/>
            <w:hideMark/>
          </w:tcPr>
          <w:p w14:paraId="6155856E"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1</w:t>
            </w:r>
          </w:p>
        </w:tc>
        <w:tc>
          <w:tcPr>
            <w:tcW w:w="0" w:type="auto"/>
            <w:vAlign w:val="bottom"/>
            <w:hideMark/>
          </w:tcPr>
          <w:p w14:paraId="28ECBCE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162A97B5" w14:textId="77777777" w:rsidTr="002F3D36">
        <w:trPr>
          <w:trHeight w:val="180"/>
          <w:tblCellSpacing w:w="15" w:type="dxa"/>
        </w:trPr>
        <w:tc>
          <w:tcPr>
            <w:tcW w:w="0" w:type="auto"/>
            <w:shd w:val="clear" w:color="auto" w:fill="CFF0FC"/>
            <w:hideMark/>
          </w:tcPr>
          <w:p w14:paraId="35DFE29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Net income attributable to controlling interest</w:t>
            </w:r>
          </w:p>
        </w:tc>
        <w:tc>
          <w:tcPr>
            <w:tcW w:w="0" w:type="auto"/>
            <w:shd w:val="clear" w:color="auto" w:fill="CFF0FC"/>
            <w:vAlign w:val="bottom"/>
            <w:hideMark/>
          </w:tcPr>
          <w:p w14:paraId="6904116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5C1D24EA"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651E063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4BE04FD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w:t>
            </w:r>
          </w:p>
        </w:tc>
        <w:tc>
          <w:tcPr>
            <w:tcW w:w="0" w:type="auto"/>
            <w:shd w:val="clear" w:color="auto" w:fill="CFF0FC"/>
            <w:vAlign w:val="bottom"/>
            <w:hideMark/>
          </w:tcPr>
          <w:p w14:paraId="77636389"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b/>
                <w:bCs/>
                <w:color w:val="000000"/>
                <w:kern w:val="0"/>
                <w:sz w:val="18"/>
                <w:szCs w:val="18"/>
              </w:rPr>
              <w:t>435</w:t>
            </w:r>
          </w:p>
        </w:tc>
        <w:tc>
          <w:tcPr>
            <w:tcW w:w="0" w:type="auto"/>
            <w:shd w:val="clear" w:color="auto" w:fill="CFF0FC"/>
            <w:vAlign w:val="bottom"/>
            <w:hideMark/>
          </w:tcPr>
          <w:p w14:paraId="3AEE71B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688D1F2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08F19C7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w:t>
            </w:r>
          </w:p>
        </w:tc>
        <w:tc>
          <w:tcPr>
            <w:tcW w:w="0" w:type="auto"/>
            <w:shd w:val="clear" w:color="auto" w:fill="CFF0FC"/>
            <w:vAlign w:val="bottom"/>
            <w:hideMark/>
          </w:tcPr>
          <w:p w14:paraId="380C9E5B"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b/>
                <w:bCs/>
                <w:color w:val="000000"/>
                <w:kern w:val="0"/>
                <w:sz w:val="18"/>
                <w:szCs w:val="18"/>
              </w:rPr>
              <w:t>187</w:t>
            </w:r>
          </w:p>
        </w:tc>
        <w:tc>
          <w:tcPr>
            <w:tcW w:w="0" w:type="auto"/>
            <w:shd w:val="clear" w:color="auto" w:fill="CFF0FC"/>
            <w:vAlign w:val="bottom"/>
            <w:hideMark/>
          </w:tcPr>
          <w:p w14:paraId="5723DF1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1631C9D3"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0F18690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w:t>
            </w:r>
          </w:p>
        </w:tc>
        <w:tc>
          <w:tcPr>
            <w:tcW w:w="0" w:type="auto"/>
            <w:shd w:val="clear" w:color="auto" w:fill="CFF0FC"/>
            <w:vAlign w:val="bottom"/>
            <w:hideMark/>
          </w:tcPr>
          <w:p w14:paraId="36825FC1"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b/>
                <w:bCs/>
                <w:color w:val="000000"/>
                <w:kern w:val="0"/>
                <w:sz w:val="18"/>
                <w:szCs w:val="18"/>
              </w:rPr>
              <w:t>462</w:t>
            </w:r>
          </w:p>
        </w:tc>
        <w:tc>
          <w:tcPr>
            <w:tcW w:w="0" w:type="auto"/>
            <w:shd w:val="clear" w:color="auto" w:fill="CFF0FC"/>
            <w:vAlign w:val="bottom"/>
            <w:hideMark/>
          </w:tcPr>
          <w:p w14:paraId="42A02EA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50961402" w14:textId="77777777" w:rsidTr="002F3D36">
        <w:trPr>
          <w:tblCellSpacing w:w="15" w:type="dxa"/>
        </w:trPr>
        <w:tc>
          <w:tcPr>
            <w:tcW w:w="0" w:type="auto"/>
            <w:hideMark/>
          </w:tcPr>
          <w:p w14:paraId="7B0AC8D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67C7513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6482BF75"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06F7D29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gridSpan w:val="2"/>
            <w:vAlign w:val="bottom"/>
            <w:hideMark/>
          </w:tcPr>
          <w:p w14:paraId="6C575BBF"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6E67AD9D"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1A7C4A5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gridSpan w:val="2"/>
            <w:vAlign w:val="bottom"/>
            <w:hideMark/>
          </w:tcPr>
          <w:p w14:paraId="2D3D7BAC"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2ABE3D91"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5F4CB379"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gridSpan w:val="2"/>
            <w:vAlign w:val="bottom"/>
            <w:hideMark/>
          </w:tcPr>
          <w:p w14:paraId="1C8E13F5"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11A0602B"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1D0E6D27" w14:textId="77777777" w:rsidTr="002F3D36">
        <w:trPr>
          <w:trHeight w:val="180"/>
          <w:tblCellSpacing w:w="15" w:type="dxa"/>
        </w:trPr>
        <w:tc>
          <w:tcPr>
            <w:tcW w:w="0" w:type="auto"/>
            <w:shd w:val="clear" w:color="auto" w:fill="CFF0FC"/>
            <w:hideMark/>
          </w:tcPr>
          <w:p w14:paraId="288A680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Earnings per share - basic</w:t>
            </w:r>
            <w:r w:rsidRPr="002F3D36">
              <w:rPr>
                <w:rFonts w:ascii="Arial" w:eastAsia="微软雅黑" w:hAnsi="Arial" w:cs="Arial"/>
                <w:color w:val="000000"/>
                <w:kern w:val="0"/>
                <w:sz w:val="12"/>
                <w:szCs w:val="12"/>
              </w:rPr>
              <w:t>1)</w:t>
            </w:r>
          </w:p>
        </w:tc>
        <w:tc>
          <w:tcPr>
            <w:tcW w:w="0" w:type="auto"/>
            <w:shd w:val="clear" w:color="auto" w:fill="CFF0FC"/>
            <w:vAlign w:val="bottom"/>
            <w:hideMark/>
          </w:tcPr>
          <w:p w14:paraId="60C552B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0D043571"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7582F18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3B790B8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shd w:val="clear" w:color="auto" w:fill="CFF0FC"/>
            <w:vAlign w:val="bottom"/>
            <w:hideMark/>
          </w:tcPr>
          <w:p w14:paraId="2DBC3680"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4.97</w:t>
            </w:r>
          </w:p>
        </w:tc>
        <w:tc>
          <w:tcPr>
            <w:tcW w:w="0" w:type="auto"/>
            <w:shd w:val="clear" w:color="auto" w:fill="CFF0FC"/>
            <w:vAlign w:val="bottom"/>
            <w:hideMark/>
          </w:tcPr>
          <w:p w14:paraId="28839B0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5BDF1CC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1960ECB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shd w:val="clear" w:color="auto" w:fill="CFF0FC"/>
            <w:vAlign w:val="bottom"/>
            <w:hideMark/>
          </w:tcPr>
          <w:p w14:paraId="366524AF"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2.14</w:t>
            </w:r>
          </w:p>
        </w:tc>
        <w:tc>
          <w:tcPr>
            <w:tcW w:w="0" w:type="auto"/>
            <w:shd w:val="clear" w:color="auto" w:fill="CFF0FC"/>
            <w:vAlign w:val="bottom"/>
            <w:hideMark/>
          </w:tcPr>
          <w:p w14:paraId="613D140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7F3560AC"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3DCA9F6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shd w:val="clear" w:color="auto" w:fill="CFF0FC"/>
            <w:vAlign w:val="bottom"/>
            <w:hideMark/>
          </w:tcPr>
          <w:p w14:paraId="2152AC4E"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5.29</w:t>
            </w:r>
          </w:p>
        </w:tc>
        <w:tc>
          <w:tcPr>
            <w:tcW w:w="0" w:type="auto"/>
            <w:shd w:val="clear" w:color="auto" w:fill="CFF0FC"/>
            <w:vAlign w:val="bottom"/>
            <w:hideMark/>
          </w:tcPr>
          <w:p w14:paraId="7BA8FD6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2BA9C928" w14:textId="77777777" w:rsidTr="002F3D36">
        <w:trPr>
          <w:trHeight w:val="180"/>
          <w:tblCellSpacing w:w="15" w:type="dxa"/>
        </w:trPr>
        <w:tc>
          <w:tcPr>
            <w:tcW w:w="0" w:type="auto"/>
            <w:hideMark/>
          </w:tcPr>
          <w:p w14:paraId="4D7E3A1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 xml:space="preserve">Earnings per share - diluted </w:t>
            </w:r>
            <w:r w:rsidRPr="002F3D36">
              <w:rPr>
                <w:rFonts w:ascii="Arial" w:eastAsia="微软雅黑" w:hAnsi="Arial" w:cs="Arial"/>
                <w:color w:val="000000"/>
                <w:kern w:val="0"/>
                <w:sz w:val="12"/>
                <w:szCs w:val="12"/>
              </w:rPr>
              <w:t>1)</w:t>
            </w:r>
          </w:p>
        </w:tc>
        <w:tc>
          <w:tcPr>
            <w:tcW w:w="0" w:type="auto"/>
            <w:vAlign w:val="bottom"/>
            <w:hideMark/>
          </w:tcPr>
          <w:p w14:paraId="7E86BA9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11B27028"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058574E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6BE217C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vAlign w:val="bottom"/>
            <w:hideMark/>
          </w:tcPr>
          <w:p w14:paraId="5BB836E4"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4.96</w:t>
            </w:r>
          </w:p>
        </w:tc>
        <w:tc>
          <w:tcPr>
            <w:tcW w:w="0" w:type="auto"/>
            <w:vAlign w:val="bottom"/>
            <w:hideMark/>
          </w:tcPr>
          <w:p w14:paraId="451EA8D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443F0130" w14:textId="77777777" w:rsidR="002F3D36" w:rsidRPr="002F3D36" w:rsidRDefault="002F3D36" w:rsidP="002F3D36">
            <w:pPr>
              <w:widowControl/>
              <w:jc w:val="left"/>
              <w:rPr>
                <w:rFonts w:ascii="Times New Roman" w:eastAsia="微软雅黑" w:hAnsi="Times New Roman" w:cs="Times New Roman"/>
                <w:kern w:val="0"/>
                <w:sz w:val="22"/>
              </w:rPr>
            </w:pPr>
            <w:r w:rsidRPr="002F3D36">
              <w:rPr>
                <w:rFonts w:ascii="Arial" w:eastAsia="微软雅黑" w:hAnsi="Arial" w:cs="Arial"/>
                <w:kern w:val="0"/>
                <w:sz w:val="22"/>
              </w:rPr>
              <w:t> </w:t>
            </w:r>
          </w:p>
        </w:tc>
        <w:tc>
          <w:tcPr>
            <w:tcW w:w="0" w:type="auto"/>
            <w:vAlign w:val="bottom"/>
            <w:hideMark/>
          </w:tcPr>
          <w:p w14:paraId="401D6F2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vAlign w:val="bottom"/>
            <w:hideMark/>
          </w:tcPr>
          <w:p w14:paraId="443EB191"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2.14</w:t>
            </w:r>
          </w:p>
        </w:tc>
        <w:tc>
          <w:tcPr>
            <w:tcW w:w="0" w:type="auto"/>
            <w:vAlign w:val="bottom"/>
            <w:hideMark/>
          </w:tcPr>
          <w:p w14:paraId="342EE59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06298FA5" w14:textId="77777777" w:rsidR="002F3D36" w:rsidRPr="002F3D36" w:rsidRDefault="002F3D36" w:rsidP="002F3D36">
            <w:pPr>
              <w:widowControl/>
              <w:jc w:val="left"/>
              <w:rPr>
                <w:rFonts w:ascii="Times New Roman" w:eastAsia="微软雅黑" w:hAnsi="Times New Roman" w:cs="Times New Roman"/>
                <w:kern w:val="0"/>
                <w:sz w:val="22"/>
              </w:rPr>
            </w:pPr>
            <w:r w:rsidRPr="002F3D36">
              <w:rPr>
                <w:rFonts w:ascii="Arial" w:eastAsia="微软雅黑" w:hAnsi="Arial" w:cs="Arial"/>
                <w:kern w:val="0"/>
                <w:sz w:val="22"/>
              </w:rPr>
              <w:t> </w:t>
            </w:r>
          </w:p>
        </w:tc>
        <w:tc>
          <w:tcPr>
            <w:tcW w:w="0" w:type="auto"/>
            <w:vAlign w:val="bottom"/>
            <w:hideMark/>
          </w:tcPr>
          <w:p w14:paraId="0378679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vAlign w:val="bottom"/>
            <w:hideMark/>
          </w:tcPr>
          <w:p w14:paraId="3D2BAE21"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5.29</w:t>
            </w:r>
          </w:p>
        </w:tc>
        <w:tc>
          <w:tcPr>
            <w:tcW w:w="0" w:type="auto"/>
            <w:vAlign w:val="bottom"/>
            <w:hideMark/>
          </w:tcPr>
          <w:p w14:paraId="4FC3F56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21A4D7A7" w14:textId="77777777" w:rsidTr="002F3D36">
        <w:trPr>
          <w:tblCellSpacing w:w="15" w:type="dxa"/>
        </w:trPr>
        <w:tc>
          <w:tcPr>
            <w:tcW w:w="0" w:type="auto"/>
            <w:vAlign w:val="bottom"/>
            <w:hideMark/>
          </w:tcPr>
          <w:p w14:paraId="2B96D67A" w14:textId="77777777" w:rsidR="002F3D36" w:rsidRPr="002F3D36" w:rsidRDefault="002F3D36" w:rsidP="002F3D36">
            <w:pPr>
              <w:widowControl/>
              <w:jc w:val="left"/>
              <w:rPr>
                <w:rFonts w:ascii="Times New Roman" w:eastAsia="微软雅黑" w:hAnsi="Times New Roman" w:cs="Times New Roman"/>
                <w:kern w:val="0"/>
                <w:sz w:val="22"/>
              </w:rPr>
            </w:pPr>
            <w:r w:rsidRPr="002F3D36">
              <w:rPr>
                <w:rFonts w:ascii="Arial" w:eastAsia="微软雅黑" w:hAnsi="Arial" w:cs="Arial"/>
                <w:kern w:val="0"/>
                <w:sz w:val="22"/>
              </w:rPr>
              <w:t> </w:t>
            </w:r>
          </w:p>
        </w:tc>
        <w:tc>
          <w:tcPr>
            <w:tcW w:w="0" w:type="auto"/>
            <w:vAlign w:val="bottom"/>
            <w:hideMark/>
          </w:tcPr>
          <w:p w14:paraId="54AEE315" w14:textId="77777777" w:rsidR="002F3D36" w:rsidRPr="002F3D36" w:rsidRDefault="002F3D36" w:rsidP="002F3D36">
            <w:pPr>
              <w:widowControl/>
              <w:jc w:val="left"/>
              <w:rPr>
                <w:rFonts w:ascii="Times New Roman" w:eastAsia="微软雅黑" w:hAnsi="Times New Roman" w:cs="Times New Roman"/>
                <w:kern w:val="0"/>
                <w:sz w:val="22"/>
              </w:rPr>
            </w:pPr>
            <w:r w:rsidRPr="002F3D36">
              <w:rPr>
                <w:rFonts w:ascii="Arial" w:eastAsia="微软雅黑" w:hAnsi="Arial" w:cs="Arial"/>
                <w:kern w:val="0"/>
                <w:sz w:val="22"/>
              </w:rPr>
              <w:t> </w:t>
            </w:r>
          </w:p>
        </w:tc>
        <w:tc>
          <w:tcPr>
            <w:tcW w:w="0" w:type="auto"/>
            <w:vAlign w:val="bottom"/>
            <w:hideMark/>
          </w:tcPr>
          <w:p w14:paraId="544A7186" w14:textId="77777777" w:rsidR="002F3D36" w:rsidRPr="002F3D36" w:rsidRDefault="002F3D36" w:rsidP="002F3D36">
            <w:pPr>
              <w:widowControl/>
              <w:jc w:val="left"/>
              <w:rPr>
                <w:rFonts w:ascii="Times New Roman" w:eastAsia="微软雅黑" w:hAnsi="Times New Roman" w:cs="Times New Roman"/>
                <w:kern w:val="0"/>
                <w:sz w:val="22"/>
              </w:rPr>
            </w:pPr>
            <w:r w:rsidRPr="002F3D36">
              <w:rPr>
                <w:rFonts w:ascii="Arial" w:eastAsia="微软雅黑" w:hAnsi="Arial" w:cs="Arial"/>
                <w:kern w:val="0"/>
                <w:sz w:val="22"/>
              </w:rPr>
              <w:t> </w:t>
            </w:r>
          </w:p>
        </w:tc>
        <w:tc>
          <w:tcPr>
            <w:tcW w:w="0" w:type="auto"/>
            <w:vAlign w:val="bottom"/>
            <w:hideMark/>
          </w:tcPr>
          <w:p w14:paraId="46F1F3CD" w14:textId="77777777" w:rsidR="002F3D36" w:rsidRPr="002F3D36" w:rsidRDefault="002F3D36" w:rsidP="002F3D36">
            <w:pPr>
              <w:widowControl/>
              <w:jc w:val="left"/>
              <w:rPr>
                <w:rFonts w:ascii="Times New Roman" w:eastAsia="微软雅黑" w:hAnsi="Times New Roman" w:cs="Times New Roman"/>
                <w:kern w:val="0"/>
                <w:sz w:val="22"/>
              </w:rPr>
            </w:pPr>
            <w:r w:rsidRPr="002F3D36">
              <w:rPr>
                <w:rFonts w:ascii="Arial" w:eastAsia="微软雅黑" w:hAnsi="Arial" w:cs="Arial"/>
                <w:kern w:val="0"/>
                <w:sz w:val="22"/>
              </w:rPr>
              <w:t> </w:t>
            </w:r>
          </w:p>
        </w:tc>
        <w:tc>
          <w:tcPr>
            <w:tcW w:w="0" w:type="auto"/>
            <w:gridSpan w:val="2"/>
            <w:vAlign w:val="bottom"/>
            <w:hideMark/>
          </w:tcPr>
          <w:p w14:paraId="4B22DC4F" w14:textId="77777777" w:rsidR="002F3D36" w:rsidRPr="002F3D36" w:rsidRDefault="002F3D36" w:rsidP="002F3D36">
            <w:pPr>
              <w:widowControl/>
              <w:jc w:val="left"/>
              <w:rPr>
                <w:rFonts w:ascii="Times New Roman" w:eastAsia="微软雅黑" w:hAnsi="Times New Roman" w:cs="Times New Roman"/>
                <w:kern w:val="0"/>
                <w:sz w:val="22"/>
              </w:rPr>
            </w:pPr>
            <w:r w:rsidRPr="002F3D36">
              <w:rPr>
                <w:rFonts w:ascii="Arial" w:eastAsia="微软雅黑" w:hAnsi="Arial" w:cs="Arial"/>
                <w:kern w:val="0"/>
                <w:sz w:val="22"/>
              </w:rPr>
              <w:t> </w:t>
            </w:r>
          </w:p>
        </w:tc>
        <w:tc>
          <w:tcPr>
            <w:tcW w:w="0" w:type="auto"/>
            <w:vAlign w:val="bottom"/>
            <w:hideMark/>
          </w:tcPr>
          <w:p w14:paraId="136A9E90" w14:textId="77777777" w:rsidR="002F3D36" w:rsidRPr="002F3D36" w:rsidRDefault="002F3D36" w:rsidP="002F3D36">
            <w:pPr>
              <w:widowControl/>
              <w:jc w:val="left"/>
              <w:rPr>
                <w:rFonts w:ascii="Times New Roman" w:eastAsia="微软雅黑" w:hAnsi="Times New Roman" w:cs="Times New Roman"/>
                <w:kern w:val="0"/>
                <w:sz w:val="22"/>
              </w:rPr>
            </w:pPr>
            <w:r w:rsidRPr="002F3D36">
              <w:rPr>
                <w:rFonts w:ascii="Arial" w:eastAsia="微软雅黑" w:hAnsi="Arial" w:cs="Arial"/>
                <w:kern w:val="0"/>
                <w:sz w:val="22"/>
              </w:rPr>
              <w:t> </w:t>
            </w:r>
          </w:p>
        </w:tc>
        <w:tc>
          <w:tcPr>
            <w:tcW w:w="0" w:type="auto"/>
            <w:vAlign w:val="bottom"/>
            <w:hideMark/>
          </w:tcPr>
          <w:p w14:paraId="7C51C84F" w14:textId="77777777" w:rsidR="002F3D36" w:rsidRPr="002F3D36" w:rsidRDefault="002F3D36" w:rsidP="002F3D36">
            <w:pPr>
              <w:widowControl/>
              <w:jc w:val="left"/>
              <w:rPr>
                <w:rFonts w:ascii="Times New Roman" w:eastAsia="微软雅黑" w:hAnsi="Times New Roman" w:cs="Times New Roman"/>
                <w:kern w:val="0"/>
                <w:sz w:val="22"/>
              </w:rPr>
            </w:pPr>
            <w:r w:rsidRPr="002F3D36">
              <w:rPr>
                <w:rFonts w:ascii="Arial" w:eastAsia="微软雅黑" w:hAnsi="Arial" w:cs="Arial"/>
                <w:kern w:val="0"/>
                <w:sz w:val="22"/>
              </w:rPr>
              <w:t> </w:t>
            </w:r>
          </w:p>
        </w:tc>
        <w:tc>
          <w:tcPr>
            <w:tcW w:w="0" w:type="auto"/>
            <w:gridSpan w:val="2"/>
            <w:vAlign w:val="bottom"/>
            <w:hideMark/>
          </w:tcPr>
          <w:p w14:paraId="687E8245" w14:textId="77777777" w:rsidR="002F3D36" w:rsidRPr="002F3D36" w:rsidRDefault="002F3D36" w:rsidP="002F3D36">
            <w:pPr>
              <w:widowControl/>
              <w:jc w:val="left"/>
              <w:rPr>
                <w:rFonts w:ascii="Times New Roman" w:eastAsia="微软雅黑" w:hAnsi="Times New Roman" w:cs="Times New Roman"/>
                <w:kern w:val="0"/>
                <w:sz w:val="22"/>
              </w:rPr>
            </w:pPr>
            <w:r w:rsidRPr="002F3D36">
              <w:rPr>
                <w:rFonts w:ascii="Arial" w:eastAsia="微软雅黑" w:hAnsi="Arial" w:cs="Arial"/>
                <w:kern w:val="0"/>
                <w:sz w:val="22"/>
              </w:rPr>
              <w:t> </w:t>
            </w:r>
          </w:p>
        </w:tc>
        <w:tc>
          <w:tcPr>
            <w:tcW w:w="0" w:type="auto"/>
            <w:vAlign w:val="bottom"/>
            <w:hideMark/>
          </w:tcPr>
          <w:p w14:paraId="58588FC5" w14:textId="77777777" w:rsidR="002F3D36" w:rsidRPr="002F3D36" w:rsidRDefault="002F3D36" w:rsidP="002F3D36">
            <w:pPr>
              <w:widowControl/>
              <w:jc w:val="left"/>
              <w:rPr>
                <w:rFonts w:ascii="Times New Roman" w:eastAsia="微软雅黑" w:hAnsi="Times New Roman" w:cs="Times New Roman"/>
                <w:kern w:val="0"/>
                <w:sz w:val="22"/>
              </w:rPr>
            </w:pPr>
            <w:r w:rsidRPr="002F3D36">
              <w:rPr>
                <w:rFonts w:ascii="Arial" w:eastAsia="微软雅黑" w:hAnsi="Arial" w:cs="Arial"/>
                <w:kern w:val="0"/>
                <w:sz w:val="22"/>
              </w:rPr>
              <w:t> </w:t>
            </w:r>
          </w:p>
        </w:tc>
        <w:tc>
          <w:tcPr>
            <w:tcW w:w="0" w:type="auto"/>
            <w:vAlign w:val="bottom"/>
            <w:hideMark/>
          </w:tcPr>
          <w:p w14:paraId="58905853" w14:textId="77777777" w:rsidR="002F3D36" w:rsidRPr="002F3D36" w:rsidRDefault="002F3D36" w:rsidP="002F3D36">
            <w:pPr>
              <w:widowControl/>
              <w:jc w:val="left"/>
              <w:rPr>
                <w:rFonts w:ascii="Times New Roman" w:eastAsia="微软雅黑" w:hAnsi="Times New Roman" w:cs="Times New Roman"/>
                <w:kern w:val="0"/>
                <w:sz w:val="22"/>
              </w:rPr>
            </w:pPr>
            <w:r w:rsidRPr="002F3D36">
              <w:rPr>
                <w:rFonts w:ascii="Arial" w:eastAsia="微软雅黑" w:hAnsi="Arial" w:cs="Arial"/>
                <w:kern w:val="0"/>
                <w:sz w:val="22"/>
              </w:rPr>
              <w:t> </w:t>
            </w:r>
          </w:p>
        </w:tc>
        <w:tc>
          <w:tcPr>
            <w:tcW w:w="0" w:type="auto"/>
            <w:gridSpan w:val="2"/>
            <w:vAlign w:val="bottom"/>
            <w:hideMark/>
          </w:tcPr>
          <w:p w14:paraId="3499473D" w14:textId="77777777" w:rsidR="002F3D36" w:rsidRPr="002F3D36" w:rsidRDefault="002F3D36" w:rsidP="002F3D36">
            <w:pPr>
              <w:widowControl/>
              <w:jc w:val="left"/>
              <w:rPr>
                <w:rFonts w:ascii="Times New Roman" w:eastAsia="微软雅黑" w:hAnsi="Times New Roman" w:cs="Times New Roman"/>
                <w:kern w:val="0"/>
                <w:sz w:val="22"/>
              </w:rPr>
            </w:pPr>
            <w:r w:rsidRPr="002F3D36">
              <w:rPr>
                <w:rFonts w:ascii="Arial" w:eastAsia="微软雅黑" w:hAnsi="Arial" w:cs="Arial"/>
                <w:kern w:val="0"/>
                <w:sz w:val="22"/>
              </w:rPr>
              <w:t> </w:t>
            </w:r>
          </w:p>
        </w:tc>
        <w:tc>
          <w:tcPr>
            <w:tcW w:w="0" w:type="auto"/>
            <w:vAlign w:val="bottom"/>
            <w:hideMark/>
          </w:tcPr>
          <w:p w14:paraId="774EB5E4" w14:textId="77777777" w:rsidR="002F3D36" w:rsidRPr="002F3D36" w:rsidRDefault="002F3D36" w:rsidP="002F3D36">
            <w:pPr>
              <w:widowControl/>
              <w:jc w:val="left"/>
              <w:rPr>
                <w:rFonts w:ascii="Times New Roman" w:eastAsia="微软雅黑" w:hAnsi="Times New Roman" w:cs="Times New Roman"/>
                <w:kern w:val="0"/>
                <w:sz w:val="22"/>
              </w:rPr>
            </w:pPr>
            <w:r w:rsidRPr="002F3D36">
              <w:rPr>
                <w:rFonts w:ascii="Arial" w:eastAsia="微软雅黑" w:hAnsi="Arial" w:cs="Arial"/>
                <w:kern w:val="0"/>
                <w:sz w:val="22"/>
              </w:rPr>
              <w:t> </w:t>
            </w:r>
          </w:p>
        </w:tc>
      </w:tr>
      <w:tr w:rsidR="002F3D36" w:rsidRPr="002F3D36" w14:paraId="271310A0" w14:textId="77777777" w:rsidTr="002F3D36">
        <w:trPr>
          <w:trHeight w:val="180"/>
          <w:tblCellSpacing w:w="15" w:type="dxa"/>
        </w:trPr>
        <w:tc>
          <w:tcPr>
            <w:tcW w:w="0" w:type="auto"/>
            <w:shd w:val="clear" w:color="auto" w:fill="CFF0FC"/>
            <w:vAlign w:val="bottom"/>
            <w:hideMark/>
          </w:tcPr>
          <w:p w14:paraId="4BF1E3D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Weighted average number of shares outstanding, net of</w:t>
            </w:r>
            <w:r w:rsidRPr="002F3D36">
              <w:rPr>
                <w:rFonts w:ascii="Arial" w:eastAsia="微软雅黑" w:hAnsi="Arial" w:cs="Arial"/>
                <w:b/>
                <w:bCs/>
                <w:color w:val="000000"/>
                <w:kern w:val="0"/>
                <w:sz w:val="18"/>
                <w:szCs w:val="18"/>
              </w:rPr>
              <w:br/>
              <w:t>   treasury shares (in millions)</w:t>
            </w:r>
          </w:p>
        </w:tc>
        <w:tc>
          <w:tcPr>
            <w:tcW w:w="0" w:type="auto"/>
            <w:shd w:val="clear" w:color="auto" w:fill="CFF0FC"/>
            <w:vAlign w:val="bottom"/>
            <w:hideMark/>
          </w:tcPr>
          <w:p w14:paraId="19BE24C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2E954A7F"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3057B51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2FCA193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7736ADEB"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b/>
                <w:bCs/>
                <w:color w:val="000000"/>
                <w:kern w:val="0"/>
                <w:sz w:val="18"/>
                <w:szCs w:val="18"/>
              </w:rPr>
              <w:t>87.5</w:t>
            </w:r>
          </w:p>
        </w:tc>
        <w:tc>
          <w:tcPr>
            <w:tcW w:w="0" w:type="auto"/>
            <w:shd w:val="clear" w:color="auto" w:fill="CFF0FC"/>
            <w:vAlign w:val="bottom"/>
            <w:hideMark/>
          </w:tcPr>
          <w:p w14:paraId="07BB072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2D0D7972"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78F8D8F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7DA756CF"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b/>
                <w:bCs/>
                <w:color w:val="000000"/>
                <w:kern w:val="0"/>
                <w:sz w:val="18"/>
                <w:szCs w:val="18"/>
              </w:rPr>
              <w:t>87.3</w:t>
            </w:r>
          </w:p>
        </w:tc>
        <w:tc>
          <w:tcPr>
            <w:tcW w:w="0" w:type="auto"/>
            <w:shd w:val="clear" w:color="auto" w:fill="CFF0FC"/>
            <w:vAlign w:val="bottom"/>
            <w:hideMark/>
          </w:tcPr>
          <w:p w14:paraId="17BA4B7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60EF0A32"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4D670FC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05D64468"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b/>
                <w:bCs/>
                <w:color w:val="000000"/>
                <w:kern w:val="0"/>
                <w:sz w:val="18"/>
                <w:szCs w:val="18"/>
              </w:rPr>
              <w:t>87.2</w:t>
            </w:r>
          </w:p>
        </w:tc>
        <w:tc>
          <w:tcPr>
            <w:tcW w:w="0" w:type="auto"/>
            <w:shd w:val="clear" w:color="auto" w:fill="CFF0FC"/>
            <w:vAlign w:val="bottom"/>
            <w:hideMark/>
          </w:tcPr>
          <w:p w14:paraId="080AF2D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040A36AE" w14:textId="77777777" w:rsidTr="002F3D36">
        <w:trPr>
          <w:trHeight w:val="180"/>
          <w:tblCellSpacing w:w="15" w:type="dxa"/>
        </w:trPr>
        <w:tc>
          <w:tcPr>
            <w:tcW w:w="0" w:type="auto"/>
            <w:vAlign w:val="bottom"/>
            <w:hideMark/>
          </w:tcPr>
          <w:p w14:paraId="2171A0E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Weighted average number of shares outstanding, assuming</w:t>
            </w:r>
            <w:r w:rsidRPr="002F3D36">
              <w:rPr>
                <w:rFonts w:ascii="Arial" w:eastAsia="微软雅黑" w:hAnsi="Arial" w:cs="Arial"/>
                <w:b/>
                <w:bCs/>
                <w:color w:val="000000"/>
                <w:kern w:val="0"/>
                <w:sz w:val="18"/>
                <w:szCs w:val="18"/>
              </w:rPr>
              <w:br/>
              <w:t>   dilution and net of treasury shares (in millions)</w:t>
            </w:r>
          </w:p>
        </w:tc>
        <w:tc>
          <w:tcPr>
            <w:tcW w:w="0" w:type="auto"/>
            <w:vAlign w:val="bottom"/>
            <w:hideMark/>
          </w:tcPr>
          <w:p w14:paraId="1F3631B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7D1DAF49"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76DA8F1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39B10E4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587E4D74"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b/>
                <w:bCs/>
                <w:color w:val="000000"/>
                <w:kern w:val="0"/>
                <w:sz w:val="18"/>
                <w:szCs w:val="18"/>
              </w:rPr>
              <w:t>87.7</w:t>
            </w:r>
          </w:p>
        </w:tc>
        <w:tc>
          <w:tcPr>
            <w:tcW w:w="0" w:type="auto"/>
            <w:vAlign w:val="bottom"/>
            <w:hideMark/>
          </w:tcPr>
          <w:p w14:paraId="006E3EC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206BE1EA"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65C6A4A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10A67292"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b/>
                <w:bCs/>
                <w:color w:val="000000"/>
                <w:kern w:val="0"/>
                <w:sz w:val="18"/>
                <w:szCs w:val="18"/>
              </w:rPr>
              <w:t>87.5</w:t>
            </w:r>
          </w:p>
        </w:tc>
        <w:tc>
          <w:tcPr>
            <w:tcW w:w="0" w:type="auto"/>
            <w:vAlign w:val="bottom"/>
            <w:hideMark/>
          </w:tcPr>
          <w:p w14:paraId="5C85FE2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1B738046"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390CC51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39F0C32A"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b/>
                <w:bCs/>
                <w:color w:val="000000"/>
                <w:kern w:val="0"/>
                <w:sz w:val="18"/>
                <w:szCs w:val="18"/>
              </w:rPr>
              <w:t>87.4</w:t>
            </w:r>
          </w:p>
        </w:tc>
        <w:tc>
          <w:tcPr>
            <w:tcW w:w="0" w:type="auto"/>
            <w:vAlign w:val="bottom"/>
            <w:hideMark/>
          </w:tcPr>
          <w:p w14:paraId="647BFF9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4C4382DB" w14:textId="77777777" w:rsidTr="002F3D36">
        <w:trPr>
          <w:tblCellSpacing w:w="15" w:type="dxa"/>
        </w:trPr>
        <w:tc>
          <w:tcPr>
            <w:tcW w:w="0" w:type="auto"/>
            <w:shd w:val="clear" w:color="auto" w:fill="CFF0FC"/>
            <w:hideMark/>
          </w:tcPr>
          <w:p w14:paraId="16E0625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392A699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2B22B874"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6E0AFCC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gridSpan w:val="2"/>
            <w:shd w:val="clear" w:color="auto" w:fill="CFF0FC"/>
            <w:vAlign w:val="bottom"/>
            <w:hideMark/>
          </w:tcPr>
          <w:p w14:paraId="368F3DF3"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304851D8"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617898A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gridSpan w:val="2"/>
            <w:shd w:val="clear" w:color="auto" w:fill="CFF0FC"/>
            <w:vAlign w:val="bottom"/>
            <w:hideMark/>
          </w:tcPr>
          <w:p w14:paraId="6A84CF3A"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040EC362"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456A3BE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gridSpan w:val="2"/>
            <w:shd w:val="clear" w:color="auto" w:fill="CFF0FC"/>
            <w:vAlign w:val="bottom"/>
            <w:hideMark/>
          </w:tcPr>
          <w:p w14:paraId="1787DFD6"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52A2D7F4"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2B769F7F" w14:textId="77777777" w:rsidTr="002F3D36">
        <w:trPr>
          <w:trHeight w:val="180"/>
          <w:tblCellSpacing w:w="15" w:type="dxa"/>
        </w:trPr>
        <w:tc>
          <w:tcPr>
            <w:tcW w:w="0" w:type="auto"/>
            <w:vAlign w:val="bottom"/>
            <w:hideMark/>
          </w:tcPr>
          <w:p w14:paraId="54FFF5E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Cash dividend per share - declared</w:t>
            </w:r>
          </w:p>
        </w:tc>
        <w:tc>
          <w:tcPr>
            <w:tcW w:w="0" w:type="auto"/>
            <w:vAlign w:val="bottom"/>
            <w:hideMark/>
          </w:tcPr>
          <w:p w14:paraId="7A88AF4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68B8F7E7"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1B0B534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1C86960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w:t>
            </w:r>
          </w:p>
        </w:tc>
        <w:tc>
          <w:tcPr>
            <w:tcW w:w="0" w:type="auto"/>
            <w:vAlign w:val="bottom"/>
            <w:hideMark/>
          </w:tcPr>
          <w:p w14:paraId="723625BD"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b/>
                <w:bCs/>
                <w:color w:val="000000"/>
                <w:kern w:val="0"/>
                <w:sz w:val="18"/>
                <w:szCs w:val="18"/>
              </w:rPr>
              <w:t>1.88</w:t>
            </w:r>
          </w:p>
        </w:tc>
        <w:tc>
          <w:tcPr>
            <w:tcW w:w="0" w:type="auto"/>
            <w:vAlign w:val="bottom"/>
            <w:hideMark/>
          </w:tcPr>
          <w:p w14:paraId="2252C16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5BD1EB6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1F3F97B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w:t>
            </w:r>
          </w:p>
        </w:tc>
        <w:tc>
          <w:tcPr>
            <w:tcW w:w="0" w:type="auto"/>
            <w:vAlign w:val="bottom"/>
            <w:hideMark/>
          </w:tcPr>
          <w:p w14:paraId="65AD3401"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b/>
                <w:bCs/>
                <w:color w:val="000000"/>
                <w:kern w:val="0"/>
                <w:sz w:val="18"/>
                <w:szCs w:val="18"/>
              </w:rPr>
              <w:t>—</w:t>
            </w:r>
          </w:p>
        </w:tc>
        <w:tc>
          <w:tcPr>
            <w:tcW w:w="0" w:type="auto"/>
            <w:vAlign w:val="bottom"/>
            <w:hideMark/>
          </w:tcPr>
          <w:p w14:paraId="40B0FE5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611AA36D"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55FC798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w:t>
            </w:r>
          </w:p>
        </w:tc>
        <w:tc>
          <w:tcPr>
            <w:tcW w:w="0" w:type="auto"/>
            <w:vAlign w:val="bottom"/>
            <w:hideMark/>
          </w:tcPr>
          <w:p w14:paraId="51CFA761"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b/>
                <w:bCs/>
                <w:color w:val="000000"/>
                <w:kern w:val="0"/>
                <w:sz w:val="18"/>
                <w:szCs w:val="18"/>
              </w:rPr>
              <w:t>2.48</w:t>
            </w:r>
          </w:p>
        </w:tc>
        <w:tc>
          <w:tcPr>
            <w:tcW w:w="0" w:type="auto"/>
            <w:vAlign w:val="bottom"/>
            <w:hideMark/>
          </w:tcPr>
          <w:p w14:paraId="265524E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1642A629" w14:textId="77777777" w:rsidTr="002F3D36">
        <w:trPr>
          <w:trHeight w:val="180"/>
          <w:tblCellSpacing w:w="15" w:type="dxa"/>
        </w:trPr>
        <w:tc>
          <w:tcPr>
            <w:tcW w:w="0" w:type="auto"/>
            <w:shd w:val="clear" w:color="auto" w:fill="CFF0FC"/>
            <w:hideMark/>
          </w:tcPr>
          <w:p w14:paraId="00D1873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Cash dividend per share - paid</w:t>
            </w:r>
          </w:p>
        </w:tc>
        <w:tc>
          <w:tcPr>
            <w:tcW w:w="0" w:type="auto"/>
            <w:shd w:val="clear" w:color="auto" w:fill="CFF0FC"/>
            <w:vAlign w:val="bottom"/>
            <w:hideMark/>
          </w:tcPr>
          <w:p w14:paraId="013DAFD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368F7092"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37DE6F7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6B67BC7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w:t>
            </w:r>
          </w:p>
        </w:tc>
        <w:tc>
          <w:tcPr>
            <w:tcW w:w="0" w:type="auto"/>
            <w:shd w:val="clear" w:color="auto" w:fill="CFF0FC"/>
            <w:vAlign w:val="bottom"/>
            <w:hideMark/>
          </w:tcPr>
          <w:p w14:paraId="05B6FC74"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b/>
                <w:bCs/>
                <w:color w:val="000000"/>
                <w:kern w:val="0"/>
                <w:sz w:val="18"/>
                <w:szCs w:val="18"/>
              </w:rPr>
              <w:t>1.88</w:t>
            </w:r>
          </w:p>
        </w:tc>
        <w:tc>
          <w:tcPr>
            <w:tcW w:w="0" w:type="auto"/>
            <w:shd w:val="clear" w:color="auto" w:fill="CFF0FC"/>
            <w:vAlign w:val="bottom"/>
            <w:hideMark/>
          </w:tcPr>
          <w:p w14:paraId="57FF972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03558E2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043C2F3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w:t>
            </w:r>
          </w:p>
        </w:tc>
        <w:tc>
          <w:tcPr>
            <w:tcW w:w="0" w:type="auto"/>
            <w:shd w:val="clear" w:color="auto" w:fill="CFF0FC"/>
            <w:vAlign w:val="bottom"/>
            <w:hideMark/>
          </w:tcPr>
          <w:p w14:paraId="13ECF74D"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b/>
                <w:bCs/>
                <w:color w:val="000000"/>
                <w:kern w:val="0"/>
                <w:sz w:val="18"/>
                <w:szCs w:val="18"/>
              </w:rPr>
              <w:t>0.62</w:t>
            </w:r>
          </w:p>
        </w:tc>
        <w:tc>
          <w:tcPr>
            <w:tcW w:w="0" w:type="auto"/>
            <w:shd w:val="clear" w:color="auto" w:fill="CFF0FC"/>
            <w:vAlign w:val="bottom"/>
            <w:hideMark/>
          </w:tcPr>
          <w:p w14:paraId="04D80B0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6F2C056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06D71B0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w:t>
            </w:r>
          </w:p>
        </w:tc>
        <w:tc>
          <w:tcPr>
            <w:tcW w:w="0" w:type="auto"/>
            <w:shd w:val="clear" w:color="auto" w:fill="CFF0FC"/>
            <w:vAlign w:val="bottom"/>
            <w:hideMark/>
          </w:tcPr>
          <w:p w14:paraId="0535A036"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b/>
                <w:bCs/>
                <w:color w:val="000000"/>
                <w:kern w:val="0"/>
                <w:sz w:val="18"/>
                <w:szCs w:val="18"/>
              </w:rPr>
              <w:t>2.48</w:t>
            </w:r>
          </w:p>
        </w:tc>
        <w:tc>
          <w:tcPr>
            <w:tcW w:w="0" w:type="auto"/>
            <w:shd w:val="clear" w:color="auto" w:fill="CFF0FC"/>
            <w:vAlign w:val="bottom"/>
            <w:hideMark/>
          </w:tcPr>
          <w:p w14:paraId="754FECF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bl>
    <w:p w14:paraId="15ED3210" w14:textId="77777777" w:rsidR="002F3D36" w:rsidRPr="002F3D36" w:rsidRDefault="002F3D36" w:rsidP="002F3D36">
      <w:pPr>
        <w:widowControl/>
        <w:jc w:val="left"/>
        <w:rPr>
          <w:rFonts w:ascii="Times New Roman" w:eastAsia="宋体" w:hAnsi="Times New Roman" w:cs="Times New Roman"/>
          <w:color w:val="000000"/>
          <w:kern w:val="0"/>
          <w:sz w:val="20"/>
          <w:szCs w:val="20"/>
        </w:rPr>
      </w:pPr>
      <w:r w:rsidRPr="002F3D36">
        <w:rPr>
          <w:rFonts w:ascii="Arial" w:eastAsia="宋体" w:hAnsi="Arial" w:cs="Arial"/>
          <w:color w:val="000000"/>
          <w:kern w:val="0"/>
          <w:sz w:val="24"/>
          <w:szCs w:val="24"/>
        </w:rPr>
        <w:t> </w:t>
      </w:r>
    </w:p>
    <w:p w14:paraId="47A64802"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See Notes to the Consolidated Financial Statements.</w:t>
      </w:r>
    </w:p>
    <w:p w14:paraId="51255768"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2"/>
          <w:szCs w:val="12"/>
        </w:rPr>
        <w:t> </w:t>
      </w:r>
    </w:p>
    <w:p w14:paraId="20971317"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6"/>
          <w:szCs w:val="16"/>
        </w:rPr>
        <w:t>1) Participating share awards with the right to receive dividend equivalents are (under the two class method) excluded from the earnings per share calculation (see Note 21 in this Annual Report).</w:t>
      </w:r>
    </w:p>
    <w:p w14:paraId="5EC418D1" w14:textId="77777777" w:rsidR="002F3D36" w:rsidRPr="002F3D36" w:rsidRDefault="002F3D36" w:rsidP="002F3D36">
      <w:pPr>
        <w:widowControl/>
        <w:spacing w:before="240"/>
        <w:jc w:val="center"/>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56</w:t>
      </w:r>
    </w:p>
    <w:p w14:paraId="23F9045C" w14:textId="77777777" w:rsidR="002F3D36" w:rsidRPr="002F3D36" w:rsidRDefault="002F3D36" w:rsidP="002F3D36">
      <w:pPr>
        <w:widowControl/>
        <w:jc w:val="left"/>
        <w:rPr>
          <w:rFonts w:ascii="宋体" w:eastAsia="宋体" w:hAnsi="宋体" w:cs="宋体"/>
          <w:kern w:val="0"/>
          <w:sz w:val="24"/>
          <w:szCs w:val="24"/>
        </w:rPr>
      </w:pPr>
      <w:r w:rsidRPr="002F3D36">
        <w:rPr>
          <w:rFonts w:ascii="宋体" w:eastAsia="宋体" w:hAnsi="宋体" w:cs="宋体"/>
          <w:kern w:val="0"/>
          <w:sz w:val="24"/>
          <w:szCs w:val="24"/>
        </w:rPr>
        <w:lastRenderedPageBreak/>
        <w:pict w14:anchorId="7C072627">
          <v:rect id="_x0000_i1083" style="width:0;height:1.5pt" o:hralign="center" o:hrstd="t" o:hrnoshade="t" o:hr="t" fillcolor="black" stroked="f"/>
        </w:pict>
      </w:r>
    </w:p>
    <w:p w14:paraId="23290F9F" w14:textId="77777777" w:rsidR="002F3D36" w:rsidRPr="002F3D36" w:rsidRDefault="002F3D36" w:rsidP="002F3D36">
      <w:pPr>
        <w:widowControl/>
        <w:spacing w:line="20" w:lineRule="atLeast"/>
        <w:jc w:val="left"/>
        <w:rPr>
          <w:rFonts w:ascii="Times New Roman" w:eastAsia="宋体" w:hAnsi="Times New Roman" w:cs="Times New Roman"/>
          <w:color w:val="000000"/>
          <w:kern w:val="0"/>
          <w:sz w:val="20"/>
          <w:szCs w:val="20"/>
        </w:rPr>
      </w:pPr>
      <w:r w:rsidRPr="002F3D36">
        <w:rPr>
          <w:rFonts w:ascii="Arial" w:eastAsia="宋体" w:hAnsi="Arial" w:cs="Arial"/>
          <w:color w:val="000000"/>
          <w:kern w:val="0"/>
          <w:sz w:val="2"/>
          <w:szCs w:val="2"/>
        </w:rPr>
        <w:t> </w:t>
      </w:r>
    </w:p>
    <w:p w14:paraId="79490433"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22"/>
        </w:rPr>
        <w:t>Consolidated Statements of Comprehensive Income</w:t>
      </w:r>
    </w:p>
    <w:p w14:paraId="013316A3" w14:textId="77777777" w:rsidR="002F3D36" w:rsidRPr="002F3D36" w:rsidRDefault="002F3D36" w:rsidP="002F3D36">
      <w:pPr>
        <w:widowControl/>
        <w:jc w:val="left"/>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w:t>
      </w:r>
    </w:p>
    <w:tbl>
      <w:tblPr>
        <w:tblW w:w="20614" w:type="dxa"/>
        <w:tblCellSpacing w:w="15" w:type="dxa"/>
        <w:tblCellMar>
          <w:top w:w="15" w:type="dxa"/>
          <w:left w:w="15" w:type="dxa"/>
          <w:bottom w:w="15" w:type="dxa"/>
          <w:right w:w="15" w:type="dxa"/>
        </w:tblCellMar>
        <w:tblLook w:val="04A0" w:firstRow="1" w:lastRow="0" w:firstColumn="1" w:lastColumn="0" w:noHBand="0" w:noVBand="1"/>
      </w:tblPr>
      <w:tblGrid>
        <w:gridCol w:w="13254"/>
        <w:gridCol w:w="347"/>
        <w:gridCol w:w="276"/>
        <w:gridCol w:w="1664"/>
        <w:gridCol w:w="176"/>
        <w:gridCol w:w="348"/>
        <w:gridCol w:w="277"/>
        <w:gridCol w:w="1636"/>
        <w:gridCol w:w="179"/>
        <w:gridCol w:w="348"/>
        <w:gridCol w:w="277"/>
        <w:gridCol w:w="1636"/>
        <w:gridCol w:w="196"/>
      </w:tblGrid>
      <w:tr w:rsidR="002F3D36" w:rsidRPr="002F3D36" w14:paraId="3B90CEEC" w14:textId="77777777" w:rsidTr="002F3D36">
        <w:trPr>
          <w:tblCellSpacing w:w="15" w:type="dxa"/>
        </w:trPr>
        <w:tc>
          <w:tcPr>
            <w:tcW w:w="13230" w:type="dxa"/>
            <w:vAlign w:val="center"/>
            <w:hideMark/>
          </w:tcPr>
          <w:p w14:paraId="1FF8134E" w14:textId="77777777" w:rsidR="002F3D36" w:rsidRPr="002F3D36" w:rsidRDefault="002F3D36" w:rsidP="002F3D36">
            <w:pPr>
              <w:widowControl/>
              <w:jc w:val="left"/>
              <w:rPr>
                <w:rFonts w:ascii="Times New Roman" w:eastAsia="宋体" w:hAnsi="Times New Roman" w:cs="Times New Roman"/>
                <w:color w:val="000000"/>
                <w:kern w:val="0"/>
                <w:sz w:val="20"/>
                <w:szCs w:val="20"/>
              </w:rPr>
            </w:pPr>
          </w:p>
        </w:tc>
        <w:tc>
          <w:tcPr>
            <w:tcW w:w="318" w:type="dxa"/>
            <w:vAlign w:val="center"/>
            <w:hideMark/>
          </w:tcPr>
          <w:p w14:paraId="0B0951A3"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47" w:type="dxa"/>
            <w:vAlign w:val="center"/>
            <w:hideMark/>
          </w:tcPr>
          <w:p w14:paraId="7F8D7EF7"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636" w:type="dxa"/>
            <w:vAlign w:val="center"/>
            <w:hideMark/>
          </w:tcPr>
          <w:p w14:paraId="724CBA62"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46" w:type="dxa"/>
            <w:vAlign w:val="center"/>
            <w:hideMark/>
          </w:tcPr>
          <w:p w14:paraId="0497325F"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318" w:type="dxa"/>
            <w:vAlign w:val="center"/>
            <w:hideMark/>
          </w:tcPr>
          <w:p w14:paraId="3774283A"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47" w:type="dxa"/>
            <w:vAlign w:val="center"/>
            <w:hideMark/>
          </w:tcPr>
          <w:p w14:paraId="7E37F802"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608" w:type="dxa"/>
            <w:vAlign w:val="center"/>
            <w:hideMark/>
          </w:tcPr>
          <w:p w14:paraId="443254BF"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49" w:type="dxa"/>
            <w:vAlign w:val="center"/>
            <w:hideMark/>
          </w:tcPr>
          <w:p w14:paraId="59E9EC24"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318" w:type="dxa"/>
            <w:vAlign w:val="center"/>
            <w:hideMark/>
          </w:tcPr>
          <w:p w14:paraId="7E15093A"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47" w:type="dxa"/>
            <w:vAlign w:val="center"/>
            <w:hideMark/>
          </w:tcPr>
          <w:p w14:paraId="080FE258"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608" w:type="dxa"/>
            <w:vAlign w:val="center"/>
            <w:hideMark/>
          </w:tcPr>
          <w:p w14:paraId="646B0F93"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51" w:type="dxa"/>
            <w:vAlign w:val="center"/>
            <w:hideMark/>
          </w:tcPr>
          <w:p w14:paraId="7A4170C9" w14:textId="77777777" w:rsidR="002F3D36" w:rsidRPr="002F3D36" w:rsidRDefault="002F3D36" w:rsidP="002F3D36">
            <w:pPr>
              <w:widowControl/>
              <w:jc w:val="left"/>
              <w:rPr>
                <w:rFonts w:ascii="Times New Roman" w:eastAsia="Times New Roman" w:hAnsi="Times New Roman" w:cs="Times New Roman"/>
                <w:kern w:val="0"/>
                <w:sz w:val="20"/>
                <w:szCs w:val="20"/>
              </w:rPr>
            </w:pPr>
          </w:p>
        </w:tc>
      </w:tr>
      <w:tr w:rsidR="002F3D36" w:rsidRPr="002F3D36" w14:paraId="115F8B99" w14:textId="77777777" w:rsidTr="002F3D36">
        <w:trPr>
          <w:trHeight w:val="160"/>
          <w:tblCellSpacing w:w="15" w:type="dxa"/>
        </w:trPr>
        <w:tc>
          <w:tcPr>
            <w:tcW w:w="0" w:type="auto"/>
            <w:vAlign w:val="bottom"/>
            <w:hideMark/>
          </w:tcPr>
          <w:p w14:paraId="3D5F0FF9"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vAlign w:val="bottom"/>
            <w:hideMark/>
          </w:tcPr>
          <w:p w14:paraId="02F48DF1" w14:textId="77777777" w:rsidR="002F3D36" w:rsidRPr="002F3D36" w:rsidRDefault="002F3D36" w:rsidP="002F3D36">
            <w:pPr>
              <w:widowControl/>
              <w:jc w:val="left"/>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gridSpan w:val="10"/>
            <w:tcBorders>
              <w:bottom w:val="single" w:sz="4" w:space="0" w:color="000000"/>
            </w:tcBorders>
            <w:vAlign w:val="bottom"/>
            <w:hideMark/>
          </w:tcPr>
          <w:p w14:paraId="7AF5F8CA"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b/>
                <w:bCs/>
                <w:color w:val="000000"/>
                <w:kern w:val="0"/>
                <w:sz w:val="16"/>
                <w:szCs w:val="16"/>
              </w:rPr>
              <w:t>Years ended December 31</w:t>
            </w:r>
          </w:p>
        </w:tc>
        <w:tc>
          <w:tcPr>
            <w:tcW w:w="0" w:type="auto"/>
            <w:vAlign w:val="bottom"/>
            <w:hideMark/>
          </w:tcPr>
          <w:p w14:paraId="49565DF6"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r>
      <w:tr w:rsidR="002F3D36" w:rsidRPr="002F3D36" w14:paraId="0731423D" w14:textId="77777777" w:rsidTr="002F3D36">
        <w:trPr>
          <w:trHeight w:val="160"/>
          <w:tblCellSpacing w:w="15" w:type="dxa"/>
        </w:trPr>
        <w:tc>
          <w:tcPr>
            <w:tcW w:w="0" w:type="auto"/>
            <w:vAlign w:val="bottom"/>
            <w:hideMark/>
          </w:tcPr>
          <w:p w14:paraId="197B2F45" w14:textId="77777777" w:rsidR="002F3D36" w:rsidRPr="002F3D36" w:rsidRDefault="002F3D36" w:rsidP="002F3D36">
            <w:pPr>
              <w:widowControl/>
              <w:jc w:val="left"/>
              <w:rPr>
                <w:rFonts w:ascii="Times New Roman" w:eastAsia="微软雅黑" w:hAnsi="Times New Roman" w:cs="Times New Roman"/>
                <w:kern w:val="0"/>
                <w:sz w:val="16"/>
                <w:szCs w:val="16"/>
              </w:rPr>
            </w:pPr>
            <w:r w:rsidRPr="002F3D36">
              <w:rPr>
                <w:rFonts w:ascii="Arial" w:eastAsia="微软雅黑" w:hAnsi="Arial" w:cs="Arial"/>
                <w:b/>
                <w:bCs/>
                <w:color w:val="000000"/>
                <w:kern w:val="0"/>
                <w:sz w:val="16"/>
                <w:szCs w:val="16"/>
                <w:u w:val="single"/>
              </w:rPr>
              <w:t>(DOLLARS IN MILLIONS)</w:t>
            </w:r>
          </w:p>
        </w:tc>
        <w:tc>
          <w:tcPr>
            <w:tcW w:w="0" w:type="auto"/>
            <w:vAlign w:val="bottom"/>
            <w:hideMark/>
          </w:tcPr>
          <w:p w14:paraId="25D136DF" w14:textId="77777777" w:rsidR="002F3D36" w:rsidRPr="002F3D36" w:rsidRDefault="002F3D36" w:rsidP="002F3D36">
            <w:pPr>
              <w:widowControl/>
              <w:jc w:val="left"/>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gridSpan w:val="2"/>
            <w:tcBorders>
              <w:bottom w:val="single" w:sz="4" w:space="0" w:color="000000"/>
            </w:tcBorders>
            <w:vAlign w:val="bottom"/>
            <w:hideMark/>
          </w:tcPr>
          <w:p w14:paraId="6632C374"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b/>
                <w:bCs/>
                <w:color w:val="000000"/>
                <w:kern w:val="0"/>
                <w:sz w:val="16"/>
                <w:szCs w:val="16"/>
              </w:rPr>
              <w:t>2021</w:t>
            </w:r>
          </w:p>
        </w:tc>
        <w:tc>
          <w:tcPr>
            <w:tcW w:w="0" w:type="auto"/>
            <w:vAlign w:val="bottom"/>
            <w:hideMark/>
          </w:tcPr>
          <w:p w14:paraId="44812D0E"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vAlign w:val="bottom"/>
            <w:hideMark/>
          </w:tcPr>
          <w:p w14:paraId="2AAA4BDA" w14:textId="77777777" w:rsidR="002F3D36" w:rsidRPr="002F3D36" w:rsidRDefault="002F3D36" w:rsidP="002F3D36">
            <w:pPr>
              <w:widowControl/>
              <w:jc w:val="left"/>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gridSpan w:val="2"/>
            <w:tcBorders>
              <w:bottom w:val="single" w:sz="4" w:space="0" w:color="000000"/>
            </w:tcBorders>
            <w:vAlign w:val="bottom"/>
            <w:hideMark/>
          </w:tcPr>
          <w:p w14:paraId="622CB4E6"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b/>
                <w:bCs/>
                <w:color w:val="000000"/>
                <w:kern w:val="0"/>
                <w:sz w:val="16"/>
                <w:szCs w:val="16"/>
              </w:rPr>
              <w:t>2020</w:t>
            </w:r>
          </w:p>
        </w:tc>
        <w:tc>
          <w:tcPr>
            <w:tcW w:w="0" w:type="auto"/>
            <w:vAlign w:val="bottom"/>
            <w:hideMark/>
          </w:tcPr>
          <w:p w14:paraId="6824B910"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vAlign w:val="bottom"/>
            <w:hideMark/>
          </w:tcPr>
          <w:p w14:paraId="63DC8F06" w14:textId="77777777" w:rsidR="002F3D36" w:rsidRPr="002F3D36" w:rsidRDefault="002F3D36" w:rsidP="002F3D36">
            <w:pPr>
              <w:widowControl/>
              <w:jc w:val="left"/>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gridSpan w:val="2"/>
            <w:tcBorders>
              <w:bottom w:val="single" w:sz="4" w:space="0" w:color="000000"/>
            </w:tcBorders>
            <w:vAlign w:val="bottom"/>
            <w:hideMark/>
          </w:tcPr>
          <w:p w14:paraId="1F67CED2"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b/>
                <w:bCs/>
                <w:color w:val="000000"/>
                <w:kern w:val="0"/>
                <w:sz w:val="16"/>
                <w:szCs w:val="16"/>
              </w:rPr>
              <w:t>2019</w:t>
            </w:r>
          </w:p>
        </w:tc>
        <w:tc>
          <w:tcPr>
            <w:tcW w:w="0" w:type="auto"/>
            <w:vAlign w:val="bottom"/>
            <w:hideMark/>
          </w:tcPr>
          <w:p w14:paraId="6C760882"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r>
      <w:tr w:rsidR="002F3D36" w:rsidRPr="002F3D36" w14:paraId="7EF4D08C" w14:textId="77777777" w:rsidTr="002F3D36">
        <w:trPr>
          <w:trHeight w:val="180"/>
          <w:tblCellSpacing w:w="15" w:type="dxa"/>
        </w:trPr>
        <w:tc>
          <w:tcPr>
            <w:tcW w:w="0" w:type="auto"/>
            <w:shd w:val="clear" w:color="auto" w:fill="CFF0FC"/>
            <w:hideMark/>
          </w:tcPr>
          <w:p w14:paraId="07C6DDE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Net income</w:t>
            </w:r>
          </w:p>
        </w:tc>
        <w:tc>
          <w:tcPr>
            <w:tcW w:w="0" w:type="auto"/>
            <w:shd w:val="clear" w:color="auto" w:fill="CFF0FC"/>
            <w:vAlign w:val="bottom"/>
            <w:hideMark/>
          </w:tcPr>
          <w:p w14:paraId="733C96A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766D52E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w:t>
            </w:r>
          </w:p>
        </w:tc>
        <w:tc>
          <w:tcPr>
            <w:tcW w:w="0" w:type="auto"/>
            <w:shd w:val="clear" w:color="auto" w:fill="CFF0FC"/>
            <w:vAlign w:val="bottom"/>
            <w:hideMark/>
          </w:tcPr>
          <w:p w14:paraId="5B130D1C"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b/>
                <w:bCs/>
                <w:color w:val="000000"/>
                <w:kern w:val="0"/>
                <w:sz w:val="18"/>
                <w:szCs w:val="18"/>
              </w:rPr>
              <w:t>437</w:t>
            </w:r>
          </w:p>
        </w:tc>
        <w:tc>
          <w:tcPr>
            <w:tcW w:w="0" w:type="auto"/>
            <w:shd w:val="clear" w:color="auto" w:fill="CFF0FC"/>
            <w:vAlign w:val="bottom"/>
            <w:hideMark/>
          </w:tcPr>
          <w:p w14:paraId="04EAE23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41F5E35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111EC49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w:t>
            </w:r>
          </w:p>
        </w:tc>
        <w:tc>
          <w:tcPr>
            <w:tcW w:w="0" w:type="auto"/>
            <w:shd w:val="clear" w:color="auto" w:fill="CFF0FC"/>
            <w:vAlign w:val="bottom"/>
            <w:hideMark/>
          </w:tcPr>
          <w:p w14:paraId="64689BBC"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b/>
                <w:bCs/>
                <w:color w:val="000000"/>
                <w:kern w:val="0"/>
                <w:sz w:val="18"/>
                <w:szCs w:val="18"/>
              </w:rPr>
              <w:t>188</w:t>
            </w:r>
          </w:p>
        </w:tc>
        <w:tc>
          <w:tcPr>
            <w:tcW w:w="0" w:type="auto"/>
            <w:shd w:val="clear" w:color="auto" w:fill="CFF0FC"/>
            <w:vAlign w:val="bottom"/>
            <w:hideMark/>
          </w:tcPr>
          <w:p w14:paraId="1C2B750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4A367A4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26FE71C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w:t>
            </w:r>
          </w:p>
        </w:tc>
        <w:tc>
          <w:tcPr>
            <w:tcW w:w="0" w:type="auto"/>
            <w:shd w:val="clear" w:color="auto" w:fill="CFF0FC"/>
            <w:vAlign w:val="bottom"/>
            <w:hideMark/>
          </w:tcPr>
          <w:p w14:paraId="0A5FB3AA"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b/>
                <w:bCs/>
                <w:color w:val="000000"/>
                <w:kern w:val="0"/>
                <w:sz w:val="18"/>
                <w:szCs w:val="18"/>
              </w:rPr>
              <w:t>463</w:t>
            </w:r>
          </w:p>
        </w:tc>
        <w:tc>
          <w:tcPr>
            <w:tcW w:w="0" w:type="auto"/>
            <w:shd w:val="clear" w:color="auto" w:fill="CFF0FC"/>
            <w:vAlign w:val="bottom"/>
            <w:hideMark/>
          </w:tcPr>
          <w:p w14:paraId="147C487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02769FD5" w14:textId="77777777" w:rsidTr="002F3D36">
        <w:trPr>
          <w:trHeight w:val="180"/>
          <w:tblCellSpacing w:w="15" w:type="dxa"/>
        </w:trPr>
        <w:tc>
          <w:tcPr>
            <w:tcW w:w="0" w:type="auto"/>
            <w:hideMark/>
          </w:tcPr>
          <w:p w14:paraId="10F18A7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i/>
                <w:iCs/>
                <w:color w:val="000000"/>
                <w:kern w:val="0"/>
                <w:sz w:val="18"/>
                <w:szCs w:val="18"/>
              </w:rPr>
              <w:t>Other comprehensive (loss) income before tax:</w:t>
            </w:r>
          </w:p>
        </w:tc>
        <w:tc>
          <w:tcPr>
            <w:tcW w:w="0" w:type="auto"/>
            <w:vAlign w:val="bottom"/>
            <w:hideMark/>
          </w:tcPr>
          <w:p w14:paraId="1D59B79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gridSpan w:val="2"/>
            <w:vAlign w:val="bottom"/>
            <w:hideMark/>
          </w:tcPr>
          <w:p w14:paraId="15E51D2F"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119D5B2F"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5CBFDC0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gridSpan w:val="2"/>
            <w:vAlign w:val="bottom"/>
            <w:hideMark/>
          </w:tcPr>
          <w:p w14:paraId="476832EF"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0376DE7C"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0241DE7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gridSpan w:val="2"/>
            <w:vAlign w:val="bottom"/>
            <w:hideMark/>
          </w:tcPr>
          <w:p w14:paraId="34013807"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2DCF3D7D"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601906AF" w14:textId="77777777" w:rsidTr="002F3D36">
        <w:trPr>
          <w:trHeight w:val="180"/>
          <w:tblCellSpacing w:w="15" w:type="dxa"/>
        </w:trPr>
        <w:tc>
          <w:tcPr>
            <w:tcW w:w="0" w:type="auto"/>
            <w:shd w:val="clear" w:color="auto" w:fill="CFF0FC"/>
            <w:hideMark/>
          </w:tcPr>
          <w:p w14:paraId="1BDE636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Change in cumulative translation adjustments</w:t>
            </w:r>
          </w:p>
        </w:tc>
        <w:tc>
          <w:tcPr>
            <w:tcW w:w="0" w:type="auto"/>
            <w:shd w:val="clear" w:color="auto" w:fill="CFF0FC"/>
            <w:vAlign w:val="bottom"/>
            <w:hideMark/>
          </w:tcPr>
          <w:p w14:paraId="3D993D8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3AD9D78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522E496F"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(86</w:t>
            </w:r>
          </w:p>
        </w:tc>
        <w:tc>
          <w:tcPr>
            <w:tcW w:w="0" w:type="auto"/>
            <w:shd w:val="clear" w:color="auto" w:fill="CFF0FC"/>
            <w:vAlign w:val="bottom"/>
            <w:hideMark/>
          </w:tcPr>
          <w:p w14:paraId="54C3F6A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shd w:val="clear" w:color="auto" w:fill="CFF0FC"/>
            <w:vAlign w:val="bottom"/>
            <w:hideMark/>
          </w:tcPr>
          <w:p w14:paraId="7CDB0C0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7A69902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3ECC351C"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97</w:t>
            </w:r>
          </w:p>
        </w:tc>
        <w:tc>
          <w:tcPr>
            <w:tcW w:w="0" w:type="auto"/>
            <w:shd w:val="clear" w:color="auto" w:fill="CFF0FC"/>
            <w:vAlign w:val="bottom"/>
            <w:hideMark/>
          </w:tcPr>
          <w:p w14:paraId="3B1E404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129493C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68F4E9D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16BAD231"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2</w:t>
            </w:r>
          </w:p>
        </w:tc>
        <w:tc>
          <w:tcPr>
            <w:tcW w:w="0" w:type="auto"/>
            <w:shd w:val="clear" w:color="auto" w:fill="CFF0FC"/>
            <w:vAlign w:val="bottom"/>
            <w:hideMark/>
          </w:tcPr>
          <w:p w14:paraId="181E5E6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09DA875E" w14:textId="77777777" w:rsidTr="002F3D36">
        <w:trPr>
          <w:trHeight w:val="180"/>
          <w:tblCellSpacing w:w="15" w:type="dxa"/>
        </w:trPr>
        <w:tc>
          <w:tcPr>
            <w:tcW w:w="0" w:type="auto"/>
            <w:hideMark/>
          </w:tcPr>
          <w:p w14:paraId="3B22634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Net change in unrealized components of defined benefit plans</w:t>
            </w:r>
          </w:p>
        </w:tc>
        <w:tc>
          <w:tcPr>
            <w:tcW w:w="0" w:type="auto"/>
            <w:vAlign w:val="bottom"/>
            <w:hideMark/>
          </w:tcPr>
          <w:p w14:paraId="314796B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vAlign w:val="bottom"/>
            <w:hideMark/>
          </w:tcPr>
          <w:p w14:paraId="226E21A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vAlign w:val="bottom"/>
            <w:hideMark/>
          </w:tcPr>
          <w:p w14:paraId="760EEE51"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37</w:t>
            </w:r>
          </w:p>
        </w:tc>
        <w:tc>
          <w:tcPr>
            <w:tcW w:w="0" w:type="auto"/>
            <w:vAlign w:val="bottom"/>
            <w:hideMark/>
          </w:tcPr>
          <w:p w14:paraId="35D99F0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78B67DE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vAlign w:val="bottom"/>
            <w:hideMark/>
          </w:tcPr>
          <w:p w14:paraId="0C09B14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vAlign w:val="bottom"/>
            <w:hideMark/>
          </w:tcPr>
          <w:p w14:paraId="6AE2FC62"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8</w:t>
            </w:r>
          </w:p>
        </w:tc>
        <w:tc>
          <w:tcPr>
            <w:tcW w:w="0" w:type="auto"/>
            <w:vAlign w:val="bottom"/>
            <w:hideMark/>
          </w:tcPr>
          <w:p w14:paraId="20F924A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10FFE79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vAlign w:val="bottom"/>
            <w:hideMark/>
          </w:tcPr>
          <w:p w14:paraId="4465872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vAlign w:val="bottom"/>
            <w:hideMark/>
          </w:tcPr>
          <w:p w14:paraId="05FE5BC1"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(35</w:t>
            </w:r>
          </w:p>
        </w:tc>
        <w:tc>
          <w:tcPr>
            <w:tcW w:w="0" w:type="auto"/>
            <w:vAlign w:val="bottom"/>
            <w:hideMark/>
          </w:tcPr>
          <w:p w14:paraId="0A12AF4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r>
      <w:tr w:rsidR="002F3D36" w:rsidRPr="002F3D36" w14:paraId="6009E5FC" w14:textId="77777777" w:rsidTr="002F3D36">
        <w:trPr>
          <w:trHeight w:val="180"/>
          <w:tblCellSpacing w:w="15" w:type="dxa"/>
        </w:trPr>
        <w:tc>
          <w:tcPr>
            <w:tcW w:w="0" w:type="auto"/>
            <w:shd w:val="clear" w:color="auto" w:fill="CFF0FC"/>
            <w:hideMark/>
          </w:tcPr>
          <w:p w14:paraId="1F87D57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Other comprehensive (loss) income, before tax</w:t>
            </w:r>
          </w:p>
        </w:tc>
        <w:tc>
          <w:tcPr>
            <w:tcW w:w="0" w:type="auto"/>
            <w:shd w:val="clear" w:color="auto" w:fill="CFF0FC"/>
            <w:vAlign w:val="bottom"/>
            <w:hideMark/>
          </w:tcPr>
          <w:p w14:paraId="39146E6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5FDB2B4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7618D4F4"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b/>
                <w:bCs/>
                <w:color w:val="000000"/>
                <w:kern w:val="0"/>
                <w:sz w:val="18"/>
                <w:szCs w:val="18"/>
              </w:rPr>
              <w:t>(49</w:t>
            </w:r>
          </w:p>
        </w:tc>
        <w:tc>
          <w:tcPr>
            <w:tcW w:w="0" w:type="auto"/>
            <w:shd w:val="clear" w:color="auto" w:fill="CFF0FC"/>
            <w:vAlign w:val="bottom"/>
            <w:hideMark/>
          </w:tcPr>
          <w:p w14:paraId="31AE866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w:t>
            </w:r>
          </w:p>
        </w:tc>
        <w:tc>
          <w:tcPr>
            <w:tcW w:w="0" w:type="auto"/>
            <w:shd w:val="clear" w:color="auto" w:fill="CFF0FC"/>
            <w:vAlign w:val="bottom"/>
            <w:hideMark/>
          </w:tcPr>
          <w:p w14:paraId="0F662D4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5DE2CD4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60EB4077"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b/>
                <w:bCs/>
                <w:color w:val="000000"/>
                <w:kern w:val="0"/>
                <w:sz w:val="18"/>
                <w:szCs w:val="18"/>
              </w:rPr>
              <w:t>104</w:t>
            </w:r>
          </w:p>
        </w:tc>
        <w:tc>
          <w:tcPr>
            <w:tcW w:w="0" w:type="auto"/>
            <w:shd w:val="clear" w:color="auto" w:fill="CFF0FC"/>
            <w:vAlign w:val="bottom"/>
            <w:hideMark/>
          </w:tcPr>
          <w:p w14:paraId="3C14FD3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0C439EC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192EB95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30892D47"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b/>
                <w:bCs/>
                <w:color w:val="000000"/>
                <w:kern w:val="0"/>
                <w:sz w:val="18"/>
                <w:szCs w:val="18"/>
              </w:rPr>
              <w:t>(33</w:t>
            </w:r>
          </w:p>
        </w:tc>
        <w:tc>
          <w:tcPr>
            <w:tcW w:w="0" w:type="auto"/>
            <w:shd w:val="clear" w:color="auto" w:fill="CFF0FC"/>
            <w:vAlign w:val="bottom"/>
            <w:hideMark/>
          </w:tcPr>
          <w:p w14:paraId="199ABB2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w:t>
            </w:r>
          </w:p>
        </w:tc>
      </w:tr>
      <w:tr w:rsidR="002F3D36" w:rsidRPr="002F3D36" w14:paraId="376D90A3" w14:textId="77777777" w:rsidTr="002F3D36">
        <w:trPr>
          <w:trHeight w:val="180"/>
          <w:tblCellSpacing w:w="15" w:type="dxa"/>
        </w:trPr>
        <w:tc>
          <w:tcPr>
            <w:tcW w:w="0" w:type="auto"/>
            <w:hideMark/>
          </w:tcPr>
          <w:p w14:paraId="76C8DE3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Tax effect allocated to other comprehensive (loss) income</w:t>
            </w:r>
          </w:p>
        </w:tc>
        <w:tc>
          <w:tcPr>
            <w:tcW w:w="0" w:type="auto"/>
            <w:vAlign w:val="bottom"/>
            <w:hideMark/>
          </w:tcPr>
          <w:p w14:paraId="1301025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vAlign w:val="bottom"/>
            <w:hideMark/>
          </w:tcPr>
          <w:p w14:paraId="28C3F69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vAlign w:val="bottom"/>
            <w:hideMark/>
          </w:tcPr>
          <w:p w14:paraId="00D89631"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(11</w:t>
            </w:r>
          </w:p>
        </w:tc>
        <w:tc>
          <w:tcPr>
            <w:tcW w:w="0" w:type="auto"/>
            <w:vAlign w:val="bottom"/>
            <w:hideMark/>
          </w:tcPr>
          <w:p w14:paraId="10068F4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vAlign w:val="bottom"/>
            <w:hideMark/>
          </w:tcPr>
          <w:p w14:paraId="66B3301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vAlign w:val="bottom"/>
            <w:hideMark/>
          </w:tcPr>
          <w:p w14:paraId="0349E36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vAlign w:val="bottom"/>
            <w:hideMark/>
          </w:tcPr>
          <w:p w14:paraId="44A4AE65"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(2</w:t>
            </w:r>
          </w:p>
        </w:tc>
        <w:tc>
          <w:tcPr>
            <w:tcW w:w="0" w:type="auto"/>
            <w:vAlign w:val="bottom"/>
            <w:hideMark/>
          </w:tcPr>
          <w:p w14:paraId="7CC32E5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vAlign w:val="bottom"/>
            <w:hideMark/>
          </w:tcPr>
          <w:p w14:paraId="66D57B5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vAlign w:val="bottom"/>
            <w:hideMark/>
          </w:tcPr>
          <w:p w14:paraId="26E8F02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vAlign w:val="bottom"/>
            <w:hideMark/>
          </w:tcPr>
          <w:p w14:paraId="5151C934"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7</w:t>
            </w:r>
          </w:p>
        </w:tc>
        <w:tc>
          <w:tcPr>
            <w:tcW w:w="0" w:type="auto"/>
            <w:vAlign w:val="bottom"/>
            <w:hideMark/>
          </w:tcPr>
          <w:p w14:paraId="49A0C33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14AFD3AD" w14:textId="77777777" w:rsidTr="002F3D36">
        <w:trPr>
          <w:trHeight w:val="180"/>
          <w:tblCellSpacing w:w="15" w:type="dxa"/>
        </w:trPr>
        <w:tc>
          <w:tcPr>
            <w:tcW w:w="0" w:type="auto"/>
            <w:shd w:val="clear" w:color="auto" w:fill="CFF0FC"/>
            <w:hideMark/>
          </w:tcPr>
          <w:p w14:paraId="0152828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Other comprehensive (loss) income, net of tax</w:t>
            </w:r>
          </w:p>
        </w:tc>
        <w:tc>
          <w:tcPr>
            <w:tcW w:w="0" w:type="auto"/>
            <w:shd w:val="clear" w:color="auto" w:fill="CFF0FC"/>
            <w:vAlign w:val="bottom"/>
            <w:hideMark/>
          </w:tcPr>
          <w:p w14:paraId="5566293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4B4726D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03A952C9"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b/>
                <w:bCs/>
                <w:color w:val="000000"/>
                <w:kern w:val="0"/>
                <w:sz w:val="18"/>
                <w:szCs w:val="18"/>
              </w:rPr>
              <w:t>(60</w:t>
            </w:r>
          </w:p>
        </w:tc>
        <w:tc>
          <w:tcPr>
            <w:tcW w:w="0" w:type="auto"/>
            <w:shd w:val="clear" w:color="auto" w:fill="CFF0FC"/>
            <w:vAlign w:val="bottom"/>
            <w:hideMark/>
          </w:tcPr>
          <w:p w14:paraId="11D98C3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w:t>
            </w:r>
          </w:p>
        </w:tc>
        <w:tc>
          <w:tcPr>
            <w:tcW w:w="0" w:type="auto"/>
            <w:shd w:val="clear" w:color="auto" w:fill="CFF0FC"/>
            <w:vAlign w:val="bottom"/>
            <w:hideMark/>
          </w:tcPr>
          <w:p w14:paraId="61E5C1D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464B6D5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56AD8614"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b/>
                <w:bCs/>
                <w:color w:val="000000"/>
                <w:kern w:val="0"/>
                <w:sz w:val="18"/>
                <w:szCs w:val="18"/>
              </w:rPr>
              <w:t>103</w:t>
            </w:r>
          </w:p>
        </w:tc>
        <w:tc>
          <w:tcPr>
            <w:tcW w:w="0" w:type="auto"/>
            <w:shd w:val="clear" w:color="auto" w:fill="CFF0FC"/>
            <w:vAlign w:val="bottom"/>
            <w:hideMark/>
          </w:tcPr>
          <w:p w14:paraId="59FD9C4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716263E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669E9F2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6E4BA082"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b/>
                <w:bCs/>
                <w:color w:val="000000"/>
                <w:kern w:val="0"/>
                <w:sz w:val="18"/>
                <w:szCs w:val="18"/>
              </w:rPr>
              <w:t>(26</w:t>
            </w:r>
          </w:p>
        </w:tc>
        <w:tc>
          <w:tcPr>
            <w:tcW w:w="0" w:type="auto"/>
            <w:shd w:val="clear" w:color="auto" w:fill="CFF0FC"/>
            <w:vAlign w:val="bottom"/>
            <w:hideMark/>
          </w:tcPr>
          <w:p w14:paraId="66598E2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w:t>
            </w:r>
          </w:p>
        </w:tc>
      </w:tr>
      <w:tr w:rsidR="002F3D36" w:rsidRPr="002F3D36" w14:paraId="351FC8B0" w14:textId="77777777" w:rsidTr="002F3D36">
        <w:trPr>
          <w:trHeight w:val="180"/>
          <w:tblCellSpacing w:w="15" w:type="dxa"/>
        </w:trPr>
        <w:tc>
          <w:tcPr>
            <w:tcW w:w="0" w:type="auto"/>
            <w:hideMark/>
          </w:tcPr>
          <w:p w14:paraId="3858555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Comprehensive income</w:t>
            </w:r>
          </w:p>
        </w:tc>
        <w:tc>
          <w:tcPr>
            <w:tcW w:w="0" w:type="auto"/>
            <w:vAlign w:val="bottom"/>
            <w:hideMark/>
          </w:tcPr>
          <w:p w14:paraId="2FCE94A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23292D9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7DC70E23"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b/>
                <w:bCs/>
                <w:color w:val="000000"/>
                <w:kern w:val="0"/>
                <w:sz w:val="18"/>
                <w:szCs w:val="18"/>
              </w:rPr>
              <w:t>377</w:t>
            </w:r>
          </w:p>
        </w:tc>
        <w:tc>
          <w:tcPr>
            <w:tcW w:w="0" w:type="auto"/>
            <w:vAlign w:val="bottom"/>
            <w:hideMark/>
          </w:tcPr>
          <w:p w14:paraId="5876407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4B93D08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00B28BF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5CB0C89D"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b/>
                <w:bCs/>
                <w:color w:val="000000"/>
                <w:kern w:val="0"/>
                <w:sz w:val="18"/>
                <w:szCs w:val="18"/>
              </w:rPr>
              <w:t>291</w:t>
            </w:r>
          </w:p>
        </w:tc>
        <w:tc>
          <w:tcPr>
            <w:tcW w:w="0" w:type="auto"/>
            <w:vAlign w:val="bottom"/>
            <w:hideMark/>
          </w:tcPr>
          <w:p w14:paraId="050D243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6433874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27DAAB0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0AE10B43"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b/>
                <w:bCs/>
                <w:color w:val="000000"/>
                <w:kern w:val="0"/>
                <w:sz w:val="18"/>
                <w:szCs w:val="18"/>
              </w:rPr>
              <w:t>437</w:t>
            </w:r>
          </w:p>
        </w:tc>
        <w:tc>
          <w:tcPr>
            <w:tcW w:w="0" w:type="auto"/>
            <w:vAlign w:val="bottom"/>
            <w:hideMark/>
          </w:tcPr>
          <w:p w14:paraId="7679AE4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18D786C6" w14:textId="77777777" w:rsidTr="002F3D36">
        <w:trPr>
          <w:trHeight w:val="180"/>
          <w:tblCellSpacing w:w="15" w:type="dxa"/>
        </w:trPr>
        <w:tc>
          <w:tcPr>
            <w:tcW w:w="0" w:type="auto"/>
            <w:shd w:val="clear" w:color="auto" w:fill="CFF0FC"/>
            <w:hideMark/>
          </w:tcPr>
          <w:p w14:paraId="1F62DB2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Less: Comprehensive income attributable to non-controlling interest</w:t>
            </w:r>
          </w:p>
        </w:tc>
        <w:tc>
          <w:tcPr>
            <w:tcW w:w="0" w:type="auto"/>
            <w:shd w:val="clear" w:color="auto" w:fill="CFF0FC"/>
            <w:vAlign w:val="bottom"/>
            <w:hideMark/>
          </w:tcPr>
          <w:p w14:paraId="2E7F6C5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shd w:val="clear" w:color="auto" w:fill="CFF0FC"/>
            <w:vAlign w:val="bottom"/>
            <w:hideMark/>
          </w:tcPr>
          <w:p w14:paraId="696C56B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shd w:val="clear" w:color="auto" w:fill="CFF0FC"/>
            <w:vAlign w:val="bottom"/>
            <w:hideMark/>
          </w:tcPr>
          <w:p w14:paraId="7C488AA4"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2</w:t>
            </w:r>
          </w:p>
        </w:tc>
        <w:tc>
          <w:tcPr>
            <w:tcW w:w="0" w:type="auto"/>
            <w:shd w:val="clear" w:color="auto" w:fill="CFF0FC"/>
            <w:vAlign w:val="bottom"/>
            <w:hideMark/>
          </w:tcPr>
          <w:p w14:paraId="05FBAAB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22D01E8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shd w:val="clear" w:color="auto" w:fill="CFF0FC"/>
            <w:vAlign w:val="bottom"/>
            <w:hideMark/>
          </w:tcPr>
          <w:p w14:paraId="253096F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shd w:val="clear" w:color="auto" w:fill="CFF0FC"/>
            <w:vAlign w:val="bottom"/>
            <w:hideMark/>
          </w:tcPr>
          <w:p w14:paraId="541C1463"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2</w:t>
            </w:r>
          </w:p>
        </w:tc>
        <w:tc>
          <w:tcPr>
            <w:tcW w:w="0" w:type="auto"/>
            <w:shd w:val="clear" w:color="auto" w:fill="CFF0FC"/>
            <w:vAlign w:val="bottom"/>
            <w:hideMark/>
          </w:tcPr>
          <w:p w14:paraId="5446FC9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4254486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shd w:val="clear" w:color="auto" w:fill="CFF0FC"/>
            <w:vAlign w:val="bottom"/>
            <w:hideMark/>
          </w:tcPr>
          <w:p w14:paraId="366974D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shd w:val="clear" w:color="auto" w:fill="CFF0FC"/>
            <w:vAlign w:val="bottom"/>
            <w:hideMark/>
          </w:tcPr>
          <w:p w14:paraId="06B3965A"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1</w:t>
            </w:r>
          </w:p>
        </w:tc>
        <w:tc>
          <w:tcPr>
            <w:tcW w:w="0" w:type="auto"/>
            <w:shd w:val="clear" w:color="auto" w:fill="CFF0FC"/>
            <w:vAlign w:val="bottom"/>
            <w:hideMark/>
          </w:tcPr>
          <w:p w14:paraId="329BAA0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38EC4595" w14:textId="77777777" w:rsidTr="002F3D36">
        <w:trPr>
          <w:trHeight w:val="180"/>
          <w:tblCellSpacing w:w="15" w:type="dxa"/>
        </w:trPr>
        <w:tc>
          <w:tcPr>
            <w:tcW w:w="0" w:type="auto"/>
            <w:hideMark/>
          </w:tcPr>
          <w:p w14:paraId="1F5A097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Comprehensive income attributable to controlling interest</w:t>
            </w:r>
          </w:p>
        </w:tc>
        <w:tc>
          <w:tcPr>
            <w:tcW w:w="0" w:type="auto"/>
            <w:vAlign w:val="bottom"/>
            <w:hideMark/>
          </w:tcPr>
          <w:p w14:paraId="5C28C74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2372EF5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w:t>
            </w:r>
          </w:p>
        </w:tc>
        <w:tc>
          <w:tcPr>
            <w:tcW w:w="0" w:type="auto"/>
            <w:vAlign w:val="bottom"/>
            <w:hideMark/>
          </w:tcPr>
          <w:p w14:paraId="0B5423E3"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b/>
                <w:bCs/>
                <w:color w:val="000000"/>
                <w:kern w:val="0"/>
                <w:sz w:val="18"/>
                <w:szCs w:val="18"/>
              </w:rPr>
              <w:t>375</w:t>
            </w:r>
          </w:p>
        </w:tc>
        <w:tc>
          <w:tcPr>
            <w:tcW w:w="0" w:type="auto"/>
            <w:vAlign w:val="bottom"/>
            <w:hideMark/>
          </w:tcPr>
          <w:p w14:paraId="35F1820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0D16E43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423F0F3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w:t>
            </w:r>
          </w:p>
        </w:tc>
        <w:tc>
          <w:tcPr>
            <w:tcW w:w="0" w:type="auto"/>
            <w:vAlign w:val="bottom"/>
            <w:hideMark/>
          </w:tcPr>
          <w:p w14:paraId="08379204"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b/>
                <w:bCs/>
                <w:color w:val="000000"/>
                <w:kern w:val="0"/>
                <w:sz w:val="18"/>
                <w:szCs w:val="18"/>
              </w:rPr>
              <w:t>289</w:t>
            </w:r>
          </w:p>
        </w:tc>
        <w:tc>
          <w:tcPr>
            <w:tcW w:w="0" w:type="auto"/>
            <w:vAlign w:val="bottom"/>
            <w:hideMark/>
          </w:tcPr>
          <w:p w14:paraId="56E95F8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52034B4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636B152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w:t>
            </w:r>
          </w:p>
        </w:tc>
        <w:tc>
          <w:tcPr>
            <w:tcW w:w="0" w:type="auto"/>
            <w:vAlign w:val="bottom"/>
            <w:hideMark/>
          </w:tcPr>
          <w:p w14:paraId="1E17E592"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b/>
                <w:bCs/>
                <w:color w:val="000000"/>
                <w:kern w:val="0"/>
                <w:sz w:val="18"/>
                <w:szCs w:val="18"/>
              </w:rPr>
              <w:t>436</w:t>
            </w:r>
          </w:p>
        </w:tc>
        <w:tc>
          <w:tcPr>
            <w:tcW w:w="0" w:type="auto"/>
            <w:vAlign w:val="bottom"/>
            <w:hideMark/>
          </w:tcPr>
          <w:p w14:paraId="15CEC87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bl>
    <w:p w14:paraId="5B363740"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w:t>
      </w:r>
    </w:p>
    <w:p w14:paraId="49F26F16"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See Notes to the Consolidated Financial Statements.</w:t>
      </w:r>
    </w:p>
    <w:p w14:paraId="749C7ADA"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Times New Roman" w:eastAsia="宋体" w:hAnsi="Times New Roman" w:cs="Times New Roman"/>
          <w:color w:val="000000"/>
          <w:kern w:val="0"/>
          <w:sz w:val="20"/>
          <w:szCs w:val="20"/>
        </w:rPr>
        <w:t> </w:t>
      </w:r>
    </w:p>
    <w:p w14:paraId="3221F18F" w14:textId="77777777" w:rsidR="002F3D36" w:rsidRPr="002F3D36" w:rsidRDefault="002F3D36" w:rsidP="002F3D36">
      <w:pPr>
        <w:widowControl/>
        <w:spacing w:before="240"/>
        <w:jc w:val="center"/>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57</w:t>
      </w:r>
    </w:p>
    <w:p w14:paraId="5B3CD83C" w14:textId="77777777" w:rsidR="002F3D36" w:rsidRPr="002F3D36" w:rsidRDefault="002F3D36" w:rsidP="002F3D36">
      <w:pPr>
        <w:widowControl/>
        <w:jc w:val="left"/>
        <w:rPr>
          <w:rFonts w:ascii="宋体" w:eastAsia="宋体" w:hAnsi="宋体" w:cs="宋体"/>
          <w:kern w:val="0"/>
          <w:sz w:val="24"/>
          <w:szCs w:val="24"/>
        </w:rPr>
      </w:pPr>
      <w:r w:rsidRPr="002F3D36">
        <w:rPr>
          <w:rFonts w:ascii="宋体" w:eastAsia="宋体" w:hAnsi="宋体" w:cs="宋体"/>
          <w:kern w:val="0"/>
          <w:sz w:val="24"/>
          <w:szCs w:val="24"/>
        </w:rPr>
        <w:pict w14:anchorId="394FA9BE">
          <v:rect id="_x0000_i1084" style="width:0;height:1.5pt" o:hralign="center" o:hrstd="t" o:hrnoshade="t" o:hr="t" fillcolor="black" stroked="f"/>
        </w:pict>
      </w:r>
    </w:p>
    <w:p w14:paraId="4840551B" w14:textId="77777777" w:rsidR="002F3D36" w:rsidRPr="002F3D36" w:rsidRDefault="002F3D36" w:rsidP="002F3D36">
      <w:pPr>
        <w:widowControl/>
        <w:spacing w:line="20" w:lineRule="atLeast"/>
        <w:jc w:val="left"/>
        <w:rPr>
          <w:rFonts w:ascii="Times New Roman" w:eastAsia="宋体" w:hAnsi="Times New Roman" w:cs="Times New Roman"/>
          <w:color w:val="000000"/>
          <w:kern w:val="0"/>
          <w:sz w:val="20"/>
          <w:szCs w:val="20"/>
        </w:rPr>
      </w:pPr>
      <w:r w:rsidRPr="002F3D36">
        <w:rPr>
          <w:rFonts w:ascii="Arial" w:eastAsia="宋体" w:hAnsi="Arial" w:cs="Arial"/>
          <w:color w:val="000000"/>
          <w:kern w:val="0"/>
          <w:sz w:val="2"/>
          <w:szCs w:val="2"/>
        </w:rPr>
        <w:t> </w:t>
      </w:r>
    </w:p>
    <w:p w14:paraId="670DC872"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22"/>
        </w:rPr>
        <w:t>Consolidated Balance Sheets</w:t>
      </w:r>
    </w:p>
    <w:p w14:paraId="16CF9CE0"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w:t>
      </w:r>
    </w:p>
    <w:tbl>
      <w:tblPr>
        <w:tblW w:w="20614" w:type="dxa"/>
        <w:tblCellSpacing w:w="15" w:type="dxa"/>
        <w:tblCellMar>
          <w:top w:w="15" w:type="dxa"/>
          <w:left w:w="15" w:type="dxa"/>
          <w:bottom w:w="15" w:type="dxa"/>
          <w:right w:w="15" w:type="dxa"/>
        </w:tblCellMar>
        <w:tblLook w:val="04A0" w:firstRow="1" w:lastRow="0" w:firstColumn="1" w:lastColumn="0" w:noHBand="0" w:noVBand="1"/>
      </w:tblPr>
      <w:tblGrid>
        <w:gridCol w:w="13290"/>
        <w:gridCol w:w="341"/>
        <w:gridCol w:w="2031"/>
        <w:gridCol w:w="342"/>
        <w:gridCol w:w="274"/>
        <w:gridCol w:w="1627"/>
        <w:gridCol w:w="225"/>
        <w:gridCol w:w="342"/>
        <w:gridCol w:w="274"/>
        <w:gridCol w:w="1627"/>
        <w:gridCol w:w="241"/>
      </w:tblGrid>
      <w:tr w:rsidR="002F3D36" w:rsidRPr="002F3D36" w14:paraId="730E65B5" w14:textId="77777777" w:rsidTr="002F3D36">
        <w:trPr>
          <w:tblCellSpacing w:w="15" w:type="dxa"/>
        </w:trPr>
        <w:tc>
          <w:tcPr>
            <w:tcW w:w="13268" w:type="dxa"/>
            <w:vAlign w:val="center"/>
            <w:hideMark/>
          </w:tcPr>
          <w:p w14:paraId="35C20096" w14:textId="77777777" w:rsidR="002F3D36" w:rsidRPr="002F3D36" w:rsidRDefault="002F3D36" w:rsidP="002F3D36">
            <w:pPr>
              <w:widowControl/>
              <w:jc w:val="left"/>
              <w:rPr>
                <w:rFonts w:ascii="Times New Roman" w:eastAsia="宋体" w:hAnsi="Times New Roman" w:cs="Times New Roman"/>
                <w:color w:val="000000"/>
                <w:kern w:val="0"/>
                <w:sz w:val="20"/>
                <w:szCs w:val="20"/>
              </w:rPr>
            </w:pPr>
          </w:p>
        </w:tc>
        <w:tc>
          <w:tcPr>
            <w:tcW w:w="312" w:type="dxa"/>
            <w:vAlign w:val="center"/>
            <w:hideMark/>
          </w:tcPr>
          <w:p w14:paraId="6E9D51B5"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004" w:type="dxa"/>
            <w:vAlign w:val="center"/>
            <w:hideMark/>
          </w:tcPr>
          <w:p w14:paraId="24547714"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312" w:type="dxa"/>
            <w:vAlign w:val="center"/>
            <w:hideMark/>
          </w:tcPr>
          <w:p w14:paraId="57690A83"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44" w:type="dxa"/>
            <w:vAlign w:val="center"/>
            <w:hideMark/>
          </w:tcPr>
          <w:p w14:paraId="73C53208"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599" w:type="dxa"/>
            <w:vAlign w:val="center"/>
            <w:hideMark/>
          </w:tcPr>
          <w:p w14:paraId="6F1D5311"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95" w:type="dxa"/>
            <w:vAlign w:val="center"/>
            <w:hideMark/>
          </w:tcPr>
          <w:p w14:paraId="53089E3F"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312" w:type="dxa"/>
            <w:vAlign w:val="center"/>
            <w:hideMark/>
          </w:tcPr>
          <w:p w14:paraId="0CABC675"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44" w:type="dxa"/>
            <w:vAlign w:val="center"/>
            <w:hideMark/>
          </w:tcPr>
          <w:p w14:paraId="34E93BBD"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599" w:type="dxa"/>
            <w:vAlign w:val="center"/>
            <w:hideMark/>
          </w:tcPr>
          <w:p w14:paraId="72A59534"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96" w:type="dxa"/>
            <w:vAlign w:val="center"/>
            <w:hideMark/>
          </w:tcPr>
          <w:p w14:paraId="5559DA09" w14:textId="77777777" w:rsidR="002F3D36" w:rsidRPr="002F3D36" w:rsidRDefault="002F3D36" w:rsidP="002F3D36">
            <w:pPr>
              <w:widowControl/>
              <w:jc w:val="left"/>
              <w:rPr>
                <w:rFonts w:ascii="Times New Roman" w:eastAsia="Times New Roman" w:hAnsi="Times New Roman" w:cs="Times New Roman"/>
                <w:kern w:val="0"/>
                <w:sz w:val="20"/>
                <w:szCs w:val="20"/>
              </w:rPr>
            </w:pPr>
          </w:p>
        </w:tc>
      </w:tr>
      <w:tr w:rsidR="002F3D36" w:rsidRPr="002F3D36" w14:paraId="2E9C09E7" w14:textId="77777777" w:rsidTr="002F3D36">
        <w:trPr>
          <w:trHeight w:val="160"/>
          <w:tblCellSpacing w:w="15" w:type="dxa"/>
        </w:trPr>
        <w:tc>
          <w:tcPr>
            <w:tcW w:w="0" w:type="auto"/>
            <w:vAlign w:val="bottom"/>
            <w:hideMark/>
          </w:tcPr>
          <w:p w14:paraId="0A60B3D0"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vAlign w:val="bottom"/>
            <w:hideMark/>
          </w:tcPr>
          <w:p w14:paraId="3ADEEB22" w14:textId="77777777" w:rsidR="002F3D36" w:rsidRPr="002F3D36" w:rsidRDefault="002F3D36" w:rsidP="002F3D36">
            <w:pPr>
              <w:widowControl/>
              <w:jc w:val="left"/>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vAlign w:val="bottom"/>
            <w:hideMark/>
          </w:tcPr>
          <w:p w14:paraId="14EF5683"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vAlign w:val="bottom"/>
            <w:hideMark/>
          </w:tcPr>
          <w:p w14:paraId="3CD6AD4A" w14:textId="77777777" w:rsidR="002F3D36" w:rsidRPr="002F3D36" w:rsidRDefault="002F3D36" w:rsidP="002F3D36">
            <w:pPr>
              <w:widowControl/>
              <w:jc w:val="left"/>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gridSpan w:val="6"/>
            <w:tcBorders>
              <w:bottom w:val="single" w:sz="4" w:space="0" w:color="000000"/>
            </w:tcBorders>
            <w:vAlign w:val="bottom"/>
            <w:hideMark/>
          </w:tcPr>
          <w:p w14:paraId="12C2D796"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b/>
                <w:bCs/>
                <w:color w:val="000000"/>
                <w:kern w:val="0"/>
                <w:sz w:val="16"/>
                <w:szCs w:val="16"/>
              </w:rPr>
              <w:t>At December 31</w:t>
            </w:r>
          </w:p>
        </w:tc>
        <w:tc>
          <w:tcPr>
            <w:tcW w:w="0" w:type="auto"/>
            <w:vAlign w:val="bottom"/>
            <w:hideMark/>
          </w:tcPr>
          <w:p w14:paraId="57D557F4"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r>
      <w:tr w:rsidR="002F3D36" w:rsidRPr="002F3D36" w14:paraId="5153A604" w14:textId="77777777" w:rsidTr="002F3D36">
        <w:trPr>
          <w:trHeight w:val="160"/>
          <w:tblCellSpacing w:w="15" w:type="dxa"/>
        </w:trPr>
        <w:tc>
          <w:tcPr>
            <w:tcW w:w="0" w:type="auto"/>
            <w:vAlign w:val="bottom"/>
            <w:hideMark/>
          </w:tcPr>
          <w:p w14:paraId="3334A9BA" w14:textId="77777777" w:rsidR="002F3D36" w:rsidRPr="002F3D36" w:rsidRDefault="002F3D36" w:rsidP="002F3D36">
            <w:pPr>
              <w:widowControl/>
              <w:jc w:val="left"/>
              <w:rPr>
                <w:rFonts w:ascii="Times New Roman" w:eastAsia="微软雅黑" w:hAnsi="Times New Roman" w:cs="Times New Roman"/>
                <w:kern w:val="0"/>
                <w:sz w:val="16"/>
                <w:szCs w:val="16"/>
              </w:rPr>
            </w:pPr>
            <w:r w:rsidRPr="002F3D36">
              <w:rPr>
                <w:rFonts w:ascii="Arial" w:eastAsia="微软雅黑" w:hAnsi="Arial" w:cs="Arial"/>
                <w:b/>
                <w:bCs/>
                <w:color w:val="000000"/>
                <w:kern w:val="0"/>
                <w:sz w:val="16"/>
                <w:szCs w:val="16"/>
                <w:u w:val="single"/>
              </w:rPr>
              <w:t>(DOLLARS AND SHARES IN MILLIONS)</w:t>
            </w:r>
          </w:p>
        </w:tc>
        <w:tc>
          <w:tcPr>
            <w:tcW w:w="0" w:type="auto"/>
            <w:vAlign w:val="bottom"/>
            <w:hideMark/>
          </w:tcPr>
          <w:p w14:paraId="06601100" w14:textId="77777777" w:rsidR="002F3D36" w:rsidRPr="002F3D36" w:rsidRDefault="002F3D36" w:rsidP="002F3D36">
            <w:pPr>
              <w:widowControl/>
              <w:jc w:val="left"/>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vAlign w:val="bottom"/>
            <w:hideMark/>
          </w:tcPr>
          <w:p w14:paraId="2E78EAF8"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vAlign w:val="bottom"/>
            <w:hideMark/>
          </w:tcPr>
          <w:p w14:paraId="6FDAE7E2" w14:textId="77777777" w:rsidR="002F3D36" w:rsidRPr="002F3D36" w:rsidRDefault="002F3D36" w:rsidP="002F3D36">
            <w:pPr>
              <w:widowControl/>
              <w:jc w:val="left"/>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gridSpan w:val="2"/>
            <w:tcBorders>
              <w:bottom w:val="single" w:sz="4" w:space="0" w:color="000000"/>
            </w:tcBorders>
            <w:vAlign w:val="bottom"/>
            <w:hideMark/>
          </w:tcPr>
          <w:p w14:paraId="3BFEC75B"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b/>
                <w:bCs/>
                <w:color w:val="000000"/>
                <w:kern w:val="0"/>
                <w:sz w:val="16"/>
                <w:szCs w:val="16"/>
              </w:rPr>
              <w:t>2021</w:t>
            </w:r>
          </w:p>
        </w:tc>
        <w:tc>
          <w:tcPr>
            <w:tcW w:w="0" w:type="auto"/>
            <w:vAlign w:val="bottom"/>
            <w:hideMark/>
          </w:tcPr>
          <w:p w14:paraId="3832CA72"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vAlign w:val="bottom"/>
            <w:hideMark/>
          </w:tcPr>
          <w:p w14:paraId="0F8D4FD5" w14:textId="77777777" w:rsidR="002F3D36" w:rsidRPr="002F3D36" w:rsidRDefault="002F3D36" w:rsidP="002F3D36">
            <w:pPr>
              <w:widowControl/>
              <w:jc w:val="left"/>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gridSpan w:val="2"/>
            <w:tcBorders>
              <w:bottom w:val="single" w:sz="4" w:space="0" w:color="000000"/>
            </w:tcBorders>
            <w:vAlign w:val="bottom"/>
            <w:hideMark/>
          </w:tcPr>
          <w:p w14:paraId="3B3C5EBE"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b/>
                <w:bCs/>
                <w:color w:val="000000"/>
                <w:kern w:val="0"/>
                <w:sz w:val="16"/>
                <w:szCs w:val="16"/>
              </w:rPr>
              <w:t>2020</w:t>
            </w:r>
          </w:p>
        </w:tc>
        <w:tc>
          <w:tcPr>
            <w:tcW w:w="0" w:type="auto"/>
            <w:vAlign w:val="bottom"/>
            <w:hideMark/>
          </w:tcPr>
          <w:p w14:paraId="160B79FD"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r>
      <w:tr w:rsidR="002F3D36" w:rsidRPr="002F3D36" w14:paraId="36C039D5" w14:textId="77777777" w:rsidTr="002F3D36">
        <w:trPr>
          <w:trHeight w:val="180"/>
          <w:tblCellSpacing w:w="15" w:type="dxa"/>
        </w:trPr>
        <w:tc>
          <w:tcPr>
            <w:tcW w:w="0" w:type="auto"/>
            <w:shd w:val="clear" w:color="auto" w:fill="CFF0FC"/>
            <w:vAlign w:val="bottom"/>
            <w:hideMark/>
          </w:tcPr>
          <w:p w14:paraId="1114CFC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Assets</w:t>
            </w:r>
          </w:p>
        </w:tc>
        <w:tc>
          <w:tcPr>
            <w:tcW w:w="0" w:type="auto"/>
            <w:shd w:val="clear" w:color="auto" w:fill="CFF0FC"/>
            <w:vAlign w:val="bottom"/>
            <w:hideMark/>
          </w:tcPr>
          <w:p w14:paraId="6672F2F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62DF84A8"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33F1113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gridSpan w:val="2"/>
            <w:shd w:val="clear" w:color="auto" w:fill="CFF0FC"/>
            <w:vAlign w:val="bottom"/>
            <w:hideMark/>
          </w:tcPr>
          <w:p w14:paraId="422DA825"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6C986C61"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2E82B66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gridSpan w:val="2"/>
            <w:shd w:val="clear" w:color="auto" w:fill="CFF0FC"/>
            <w:vAlign w:val="bottom"/>
            <w:hideMark/>
          </w:tcPr>
          <w:p w14:paraId="679B8BDD"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55519B50"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7EFD3B42" w14:textId="77777777" w:rsidTr="002F3D36">
        <w:trPr>
          <w:trHeight w:val="180"/>
          <w:tblCellSpacing w:w="15" w:type="dxa"/>
        </w:trPr>
        <w:tc>
          <w:tcPr>
            <w:tcW w:w="0" w:type="auto"/>
            <w:vAlign w:val="bottom"/>
            <w:hideMark/>
          </w:tcPr>
          <w:p w14:paraId="07777E3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Cash and cash equivalents</w:t>
            </w:r>
          </w:p>
        </w:tc>
        <w:tc>
          <w:tcPr>
            <w:tcW w:w="0" w:type="auto"/>
            <w:vAlign w:val="bottom"/>
            <w:hideMark/>
          </w:tcPr>
          <w:p w14:paraId="0E30E12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043AC70D"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5DF2F97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4D5834F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vAlign w:val="bottom"/>
            <w:hideMark/>
          </w:tcPr>
          <w:p w14:paraId="4BF514E4"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969</w:t>
            </w:r>
          </w:p>
        </w:tc>
        <w:tc>
          <w:tcPr>
            <w:tcW w:w="0" w:type="auto"/>
            <w:vAlign w:val="bottom"/>
            <w:hideMark/>
          </w:tcPr>
          <w:p w14:paraId="142F3FE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73B348E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400174E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vAlign w:val="bottom"/>
            <w:hideMark/>
          </w:tcPr>
          <w:p w14:paraId="12EF9738"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1,178</w:t>
            </w:r>
          </w:p>
        </w:tc>
        <w:tc>
          <w:tcPr>
            <w:tcW w:w="0" w:type="auto"/>
            <w:vAlign w:val="bottom"/>
            <w:hideMark/>
          </w:tcPr>
          <w:p w14:paraId="0C89012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4768D0ED" w14:textId="77777777" w:rsidTr="002F3D36">
        <w:trPr>
          <w:trHeight w:val="180"/>
          <w:tblCellSpacing w:w="15" w:type="dxa"/>
        </w:trPr>
        <w:tc>
          <w:tcPr>
            <w:tcW w:w="0" w:type="auto"/>
            <w:shd w:val="clear" w:color="auto" w:fill="CFF0FC"/>
            <w:vAlign w:val="bottom"/>
            <w:hideMark/>
          </w:tcPr>
          <w:p w14:paraId="53D73ED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Receivables, net</w:t>
            </w:r>
          </w:p>
        </w:tc>
        <w:tc>
          <w:tcPr>
            <w:tcW w:w="0" w:type="auto"/>
            <w:shd w:val="clear" w:color="auto" w:fill="CFF0FC"/>
            <w:vAlign w:val="bottom"/>
            <w:hideMark/>
          </w:tcPr>
          <w:p w14:paraId="0393E06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5B15B99F"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Note 6</w:t>
            </w:r>
          </w:p>
        </w:tc>
        <w:tc>
          <w:tcPr>
            <w:tcW w:w="0" w:type="auto"/>
            <w:shd w:val="clear" w:color="auto" w:fill="CFF0FC"/>
            <w:vAlign w:val="bottom"/>
            <w:hideMark/>
          </w:tcPr>
          <w:p w14:paraId="6B7EE48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7E12BC4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2FCCEAF2"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1,699</w:t>
            </w:r>
          </w:p>
        </w:tc>
        <w:tc>
          <w:tcPr>
            <w:tcW w:w="0" w:type="auto"/>
            <w:shd w:val="clear" w:color="auto" w:fill="CFF0FC"/>
            <w:vAlign w:val="bottom"/>
            <w:hideMark/>
          </w:tcPr>
          <w:p w14:paraId="635E1DF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2CB003E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77920B0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38BE1D81"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1,820</w:t>
            </w:r>
          </w:p>
        </w:tc>
        <w:tc>
          <w:tcPr>
            <w:tcW w:w="0" w:type="auto"/>
            <w:shd w:val="clear" w:color="auto" w:fill="CFF0FC"/>
            <w:vAlign w:val="bottom"/>
            <w:hideMark/>
          </w:tcPr>
          <w:p w14:paraId="707EB16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3D88FB78" w14:textId="77777777" w:rsidTr="002F3D36">
        <w:trPr>
          <w:trHeight w:val="180"/>
          <w:tblCellSpacing w:w="15" w:type="dxa"/>
        </w:trPr>
        <w:tc>
          <w:tcPr>
            <w:tcW w:w="0" w:type="auto"/>
            <w:vAlign w:val="bottom"/>
            <w:hideMark/>
          </w:tcPr>
          <w:p w14:paraId="1B23EE8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Inventories, net</w:t>
            </w:r>
          </w:p>
        </w:tc>
        <w:tc>
          <w:tcPr>
            <w:tcW w:w="0" w:type="auto"/>
            <w:vAlign w:val="bottom"/>
            <w:hideMark/>
          </w:tcPr>
          <w:p w14:paraId="4C82E0D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53F7DD70"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Note 7</w:t>
            </w:r>
          </w:p>
        </w:tc>
        <w:tc>
          <w:tcPr>
            <w:tcW w:w="0" w:type="auto"/>
            <w:vAlign w:val="bottom"/>
            <w:hideMark/>
          </w:tcPr>
          <w:p w14:paraId="66F6E2E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286BDA9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4CAD9371"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777</w:t>
            </w:r>
          </w:p>
        </w:tc>
        <w:tc>
          <w:tcPr>
            <w:tcW w:w="0" w:type="auto"/>
            <w:vAlign w:val="bottom"/>
            <w:hideMark/>
          </w:tcPr>
          <w:p w14:paraId="39FE45E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6ACD297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5BBD16B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001E66BF"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798</w:t>
            </w:r>
          </w:p>
        </w:tc>
        <w:tc>
          <w:tcPr>
            <w:tcW w:w="0" w:type="auto"/>
            <w:vAlign w:val="bottom"/>
            <w:hideMark/>
          </w:tcPr>
          <w:p w14:paraId="29585A3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7129A104" w14:textId="77777777" w:rsidTr="002F3D36">
        <w:trPr>
          <w:trHeight w:val="180"/>
          <w:tblCellSpacing w:w="15" w:type="dxa"/>
        </w:trPr>
        <w:tc>
          <w:tcPr>
            <w:tcW w:w="0" w:type="auto"/>
            <w:shd w:val="clear" w:color="auto" w:fill="CFF0FC"/>
            <w:vAlign w:val="bottom"/>
            <w:hideMark/>
          </w:tcPr>
          <w:p w14:paraId="4B24018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Income tax receivable</w:t>
            </w:r>
          </w:p>
        </w:tc>
        <w:tc>
          <w:tcPr>
            <w:tcW w:w="0" w:type="auto"/>
            <w:shd w:val="clear" w:color="auto" w:fill="CFF0FC"/>
            <w:vAlign w:val="bottom"/>
            <w:hideMark/>
          </w:tcPr>
          <w:p w14:paraId="3F5ACD0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1978D94B"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4C34D1D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2163C6E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0BD3626B"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45</w:t>
            </w:r>
          </w:p>
        </w:tc>
        <w:tc>
          <w:tcPr>
            <w:tcW w:w="0" w:type="auto"/>
            <w:shd w:val="clear" w:color="auto" w:fill="CFF0FC"/>
            <w:vAlign w:val="bottom"/>
            <w:hideMark/>
          </w:tcPr>
          <w:p w14:paraId="4773611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305F738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58DF341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05DF4057"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44</w:t>
            </w:r>
          </w:p>
        </w:tc>
        <w:tc>
          <w:tcPr>
            <w:tcW w:w="0" w:type="auto"/>
            <w:shd w:val="clear" w:color="auto" w:fill="CFF0FC"/>
            <w:vAlign w:val="bottom"/>
            <w:hideMark/>
          </w:tcPr>
          <w:p w14:paraId="60B3EA1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23489482" w14:textId="77777777" w:rsidTr="002F3D36">
        <w:trPr>
          <w:trHeight w:val="180"/>
          <w:tblCellSpacing w:w="15" w:type="dxa"/>
        </w:trPr>
        <w:tc>
          <w:tcPr>
            <w:tcW w:w="0" w:type="auto"/>
            <w:vAlign w:val="bottom"/>
            <w:hideMark/>
          </w:tcPr>
          <w:p w14:paraId="65131D0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Prepaid expenses and accrued income</w:t>
            </w:r>
          </w:p>
        </w:tc>
        <w:tc>
          <w:tcPr>
            <w:tcW w:w="0" w:type="auto"/>
            <w:vAlign w:val="bottom"/>
            <w:hideMark/>
          </w:tcPr>
          <w:p w14:paraId="294D51B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1644877D"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5E0E8E1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6F6EE83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0CCF8596"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164</w:t>
            </w:r>
          </w:p>
        </w:tc>
        <w:tc>
          <w:tcPr>
            <w:tcW w:w="0" w:type="auto"/>
            <w:vAlign w:val="bottom"/>
            <w:hideMark/>
          </w:tcPr>
          <w:p w14:paraId="10448BD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30B62B8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57B07AC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28635952"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164</w:t>
            </w:r>
          </w:p>
        </w:tc>
        <w:tc>
          <w:tcPr>
            <w:tcW w:w="0" w:type="auto"/>
            <w:vAlign w:val="bottom"/>
            <w:hideMark/>
          </w:tcPr>
          <w:p w14:paraId="066672A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11252887" w14:textId="77777777" w:rsidTr="002F3D36">
        <w:trPr>
          <w:trHeight w:val="180"/>
          <w:tblCellSpacing w:w="15" w:type="dxa"/>
        </w:trPr>
        <w:tc>
          <w:tcPr>
            <w:tcW w:w="0" w:type="auto"/>
            <w:shd w:val="clear" w:color="auto" w:fill="CFF0FC"/>
            <w:vAlign w:val="bottom"/>
            <w:hideMark/>
          </w:tcPr>
          <w:p w14:paraId="3276090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Related party receivable</w:t>
            </w:r>
          </w:p>
        </w:tc>
        <w:tc>
          <w:tcPr>
            <w:tcW w:w="0" w:type="auto"/>
            <w:shd w:val="clear" w:color="auto" w:fill="CFF0FC"/>
            <w:vAlign w:val="bottom"/>
            <w:hideMark/>
          </w:tcPr>
          <w:p w14:paraId="75454E8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7EE2439E"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Note 19</w:t>
            </w:r>
          </w:p>
        </w:tc>
        <w:tc>
          <w:tcPr>
            <w:tcW w:w="0" w:type="auto"/>
            <w:shd w:val="clear" w:color="auto" w:fill="CFF0FC"/>
            <w:vAlign w:val="bottom"/>
            <w:hideMark/>
          </w:tcPr>
          <w:p w14:paraId="4948F59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0F03739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12750187"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1</w:t>
            </w:r>
          </w:p>
        </w:tc>
        <w:tc>
          <w:tcPr>
            <w:tcW w:w="0" w:type="auto"/>
            <w:shd w:val="clear" w:color="auto" w:fill="CFF0FC"/>
            <w:vAlign w:val="bottom"/>
            <w:hideMark/>
          </w:tcPr>
          <w:p w14:paraId="2DC863F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7BAF14D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06BEE1A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63E3BF5F"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2</w:t>
            </w:r>
          </w:p>
        </w:tc>
        <w:tc>
          <w:tcPr>
            <w:tcW w:w="0" w:type="auto"/>
            <w:shd w:val="clear" w:color="auto" w:fill="CFF0FC"/>
            <w:vAlign w:val="bottom"/>
            <w:hideMark/>
          </w:tcPr>
          <w:p w14:paraId="33319B7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368EDEA9" w14:textId="77777777" w:rsidTr="002F3D36">
        <w:trPr>
          <w:trHeight w:val="180"/>
          <w:tblCellSpacing w:w="15" w:type="dxa"/>
        </w:trPr>
        <w:tc>
          <w:tcPr>
            <w:tcW w:w="0" w:type="auto"/>
            <w:vAlign w:val="bottom"/>
            <w:hideMark/>
          </w:tcPr>
          <w:p w14:paraId="59907AC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Other current assets</w:t>
            </w:r>
          </w:p>
        </w:tc>
        <w:tc>
          <w:tcPr>
            <w:tcW w:w="0" w:type="auto"/>
            <w:vAlign w:val="bottom"/>
            <w:hideMark/>
          </w:tcPr>
          <w:p w14:paraId="16C3769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63AA6011"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Note 12, 17</w:t>
            </w:r>
          </w:p>
        </w:tc>
        <w:tc>
          <w:tcPr>
            <w:tcW w:w="0" w:type="auto"/>
            <w:vAlign w:val="bottom"/>
            <w:hideMark/>
          </w:tcPr>
          <w:p w14:paraId="1A344FC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vAlign w:val="bottom"/>
            <w:hideMark/>
          </w:tcPr>
          <w:p w14:paraId="63E4885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vAlign w:val="bottom"/>
            <w:hideMark/>
          </w:tcPr>
          <w:p w14:paraId="514E3FCD"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20</w:t>
            </w:r>
          </w:p>
        </w:tc>
        <w:tc>
          <w:tcPr>
            <w:tcW w:w="0" w:type="auto"/>
            <w:vAlign w:val="bottom"/>
            <w:hideMark/>
          </w:tcPr>
          <w:p w14:paraId="41F2740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0D5A71F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vAlign w:val="bottom"/>
            <w:hideMark/>
          </w:tcPr>
          <w:p w14:paraId="61D1B08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vAlign w:val="bottom"/>
            <w:hideMark/>
          </w:tcPr>
          <w:p w14:paraId="446EB2B7"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263</w:t>
            </w:r>
          </w:p>
        </w:tc>
        <w:tc>
          <w:tcPr>
            <w:tcW w:w="0" w:type="auto"/>
            <w:vAlign w:val="bottom"/>
            <w:hideMark/>
          </w:tcPr>
          <w:p w14:paraId="65CAF7B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21502B02" w14:textId="77777777" w:rsidTr="002F3D36">
        <w:trPr>
          <w:trHeight w:val="180"/>
          <w:tblCellSpacing w:w="15" w:type="dxa"/>
        </w:trPr>
        <w:tc>
          <w:tcPr>
            <w:tcW w:w="0" w:type="auto"/>
            <w:shd w:val="clear" w:color="auto" w:fill="CFF0FC"/>
            <w:vAlign w:val="bottom"/>
            <w:hideMark/>
          </w:tcPr>
          <w:p w14:paraId="2200BA6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Total current assets</w:t>
            </w:r>
          </w:p>
        </w:tc>
        <w:tc>
          <w:tcPr>
            <w:tcW w:w="0" w:type="auto"/>
            <w:shd w:val="clear" w:color="auto" w:fill="CFF0FC"/>
            <w:vAlign w:val="bottom"/>
            <w:hideMark/>
          </w:tcPr>
          <w:p w14:paraId="10FD014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5526C92C"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4C0088A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shd w:val="clear" w:color="auto" w:fill="CFF0FC"/>
            <w:vAlign w:val="bottom"/>
            <w:hideMark/>
          </w:tcPr>
          <w:p w14:paraId="4B876F8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shd w:val="clear" w:color="auto" w:fill="CFF0FC"/>
            <w:vAlign w:val="bottom"/>
            <w:hideMark/>
          </w:tcPr>
          <w:p w14:paraId="25CF1186"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b/>
                <w:bCs/>
                <w:color w:val="000000"/>
                <w:kern w:val="0"/>
                <w:sz w:val="18"/>
                <w:szCs w:val="18"/>
              </w:rPr>
              <w:t>3,675</w:t>
            </w:r>
          </w:p>
        </w:tc>
        <w:tc>
          <w:tcPr>
            <w:tcW w:w="0" w:type="auto"/>
            <w:shd w:val="clear" w:color="auto" w:fill="CFF0FC"/>
            <w:vAlign w:val="bottom"/>
            <w:hideMark/>
          </w:tcPr>
          <w:p w14:paraId="13DFF5F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11EC6FC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shd w:val="clear" w:color="auto" w:fill="CFF0FC"/>
            <w:vAlign w:val="bottom"/>
            <w:hideMark/>
          </w:tcPr>
          <w:p w14:paraId="36891E1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shd w:val="clear" w:color="auto" w:fill="CFF0FC"/>
            <w:vAlign w:val="bottom"/>
            <w:hideMark/>
          </w:tcPr>
          <w:p w14:paraId="4553B79D"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b/>
                <w:bCs/>
                <w:color w:val="000000"/>
                <w:kern w:val="0"/>
                <w:sz w:val="18"/>
                <w:szCs w:val="18"/>
              </w:rPr>
              <w:t>4,269</w:t>
            </w:r>
          </w:p>
        </w:tc>
        <w:tc>
          <w:tcPr>
            <w:tcW w:w="0" w:type="auto"/>
            <w:shd w:val="clear" w:color="auto" w:fill="CFF0FC"/>
            <w:vAlign w:val="bottom"/>
            <w:hideMark/>
          </w:tcPr>
          <w:p w14:paraId="37B7CD6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34E22AD9" w14:textId="77777777" w:rsidTr="002F3D36">
        <w:trPr>
          <w:trHeight w:val="180"/>
          <w:tblCellSpacing w:w="15" w:type="dxa"/>
        </w:trPr>
        <w:tc>
          <w:tcPr>
            <w:tcW w:w="0" w:type="auto"/>
            <w:vAlign w:val="bottom"/>
            <w:hideMark/>
          </w:tcPr>
          <w:p w14:paraId="1B8EBAD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Property, plant and equipment, net</w:t>
            </w:r>
          </w:p>
        </w:tc>
        <w:tc>
          <w:tcPr>
            <w:tcW w:w="0" w:type="auto"/>
            <w:vAlign w:val="bottom"/>
            <w:hideMark/>
          </w:tcPr>
          <w:p w14:paraId="4DA30FD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03A3925C"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Note 9</w:t>
            </w:r>
          </w:p>
        </w:tc>
        <w:tc>
          <w:tcPr>
            <w:tcW w:w="0" w:type="auto"/>
            <w:vAlign w:val="bottom"/>
            <w:hideMark/>
          </w:tcPr>
          <w:p w14:paraId="3532927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7028A34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620DF89F"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1,855</w:t>
            </w:r>
          </w:p>
        </w:tc>
        <w:tc>
          <w:tcPr>
            <w:tcW w:w="0" w:type="auto"/>
            <w:vAlign w:val="bottom"/>
            <w:hideMark/>
          </w:tcPr>
          <w:p w14:paraId="4D07CD6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3F5F692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4A52696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56A2FCB2"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1,869</w:t>
            </w:r>
          </w:p>
        </w:tc>
        <w:tc>
          <w:tcPr>
            <w:tcW w:w="0" w:type="auto"/>
            <w:vAlign w:val="bottom"/>
            <w:hideMark/>
          </w:tcPr>
          <w:p w14:paraId="45C515C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37151E4F" w14:textId="77777777" w:rsidTr="002F3D36">
        <w:trPr>
          <w:trHeight w:val="180"/>
          <w:tblCellSpacing w:w="15" w:type="dxa"/>
        </w:trPr>
        <w:tc>
          <w:tcPr>
            <w:tcW w:w="0" w:type="auto"/>
            <w:shd w:val="clear" w:color="auto" w:fill="CFF0FC"/>
            <w:vAlign w:val="bottom"/>
            <w:hideMark/>
          </w:tcPr>
          <w:p w14:paraId="6392845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Operating lease right-of-use assets</w:t>
            </w:r>
          </w:p>
        </w:tc>
        <w:tc>
          <w:tcPr>
            <w:tcW w:w="0" w:type="auto"/>
            <w:shd w:val="clear" w:color="auto" w:fill="CFF0FC"/>
            <w:vAlign w:val="bottom"/>
            <w:hideMark/>
          </w:tcPr>
          <w:p w14:paraId="06EC290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2CEF5540"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Note 3</w:t>
            </w:r>
          </w:p>
        </w:tc>
        <w:tc>
          <w:tcPr>
            <w:tcW w:w="0" w:type="auto"/>
            <w:shd w:val="clear" w:color="auto" w:fill="CFF0FC"/>
            <w:vAlign w:val="bottom"/>
            <w:hideMark/>
          </w:tcPr>
          <w:p w14:paraId="74A6525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2BB0ADA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340239AE"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132</w:t>
            </w:r>
          </w:p>
        </w:tc>
        <w:tc>
          <w:tcPr>
            <w:tcW w:w="0" w:type="auto"/>
            <w:shd w:val="clear" w:color="auto" w:fill="CFF0FC"/>
            <w:vAlign w:val="bottom"/>
            <w:hideMark/>
          </w:tcPr>
          <w:p w14:paraId="546B9E8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3FAD847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7EBFF13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2495D453"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141</w:t>
            </w:r>
          </w:p>
        </w:tc>
        <w:tc>
          <w:tcPr>
            <w:tcW w:w="0" w:type="auto"/>
            <w:shd w:val="clear" w:color="auto" w:fill="CFF0FC"/>
            <w:vAlign w:val="bottom"/>
            <w:hideMark/>
          </w:tcPr>
          <w:p w14:paraId="22FF4C0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093D2594" w14:textId="77777777" w:rsidTr="002F3D36">
        <w:trPr>
          <w:trHeight w:val="180"/>
          <w:tblCellSpacing w:w="15" w:type="dxa"/>
        </w:trPr>
        <w:tc>
          <w:tcPr>
            <w:tcW w:w="0" w:type="auto"/>
            <w:vAlign w:val="bottom"/>
            <w:hideMark/>
          </w:tcPr>
          <w:p w14:paraId="40388E2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Goodwill</w:t>
            </w:r>
          </w:p>
        </w:tc>
        <w:tc>
          <w:tcPr>
            <w:tcW w:w="0" w:type="auto"/>
            <w:vAlign w:val="bottom"/>
            <w:hideMark/>
          </w:tcPr>
          <w:p w14:paraId="54B20C4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4D8E4D78"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Note 10</w:t>
            </w:r>
          </w:p>
        </w:tc>
        <w:tc>
          <w:tcPr>
            <w:tcW w:w="0" w:type="auto"/>
            <w:vAlign w:val="bottom"/>
            <w:hideMark/>
          </w:tcPr>
          <w:p w14:paraId="673EE59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72FA820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0F5B653F"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1,387</w:t>
            </w:r>
          </w:p>
        </w:tc>
        <w:tc>
          <w:tcPr>
            <w:tcW w:w="0" w:type="auto"/>
            <w:vAlign w:val="bottom"/>
            <w:hideMark/>
          </w:tcPr>
          <w:p w14:paraId="4047CA9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1D33351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50882BA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12FEF139"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1,398</w:t>
            </w:r>
          </w:p>
        </w:tc>
        <w:tc>
          <w:tcPr>
            <w:tcW w:w="0" w:type="auto"/>
            <w:vAlign w:val="bottom"/>
            <w:hideMark/>
          </w:tcPr>
          <w:p w14:paraId="5978C57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77D04AFE" w14:textId="77777777" w:rsidTr="002F3D36">
        <w:trPr>
          <w:trHeight w:val="180"/>
          <w:tblCellSpacing w:w="15" w:type="dxa"/>
        </w:trPr>
        <w:tc>
          <w:tcPr>
            <w:tcW w:w="0" w:type="auto"/>
            <w:shd w:val="clear" w:color="auto" w:fill="CFF0FC"/>
            <w:vAlign w:val="bottom"/>
            <w:hideMark/>
          </w:tcPr>
          <w:p w14:paraId="09D7581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lastRenderedPageBreak/>
              <w:t>Intangible assets, net</w:t>
            </w:r>
          </w:p>
        </w:tc>
        <w:tc>
          <w:tcPr>
            <w:tcW w:w="0" w:type="auto"/>
            <w:shd w:val="clear" w:color="auto" w:fill="CFF0FC"/>
            <w:vAlign w:val="bottom"/>
            <w:hideMark/>
          </w:tcPr>
          <w:p w14:paraId="255B1C1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33522907"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Note 10</w:t>
            </w:r>
          </w:p>
        </w:tc>
        <w:tc>
          <w:tcPr>
            <w:tcW w:w="0" w:type="auto"/>
            <w:shd w:val="clear" w:color="auto" w:fill="CFF0FC"/>
            <w:vAlign w:val="bottom"/>
            <w:hideMark/>
          </w:tcPr>
          <w:p w14:paraId="71FCB6A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06F7041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4D65032E"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8</w:t>
            </w:r>
          </w:p>
        </w:tc>
        <w:tc>
          <w:tcPr>
            <w:tcW w:w="0" w:type="auto"/>
            <w:shd w:val="clear" w:color="auto" w:fill="CFF0FC"/>
            <w:vAlign w:val="bottom"/>
            <w:hideMark/>
          </w:tcPr>
          <w:p w14:paraId="3737DC3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7508286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550221D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4DD9718D"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14</w:t>
            </w:r>
          </w:p>
        </w:tc>
        <w:tc>
          <w:tcPr>
            <w:tcW w:w="0" w:type="auto"/>
            <w:shd w:val="clear" w:color="auto" w:fill="CFF0FC"/>
            <w:vAlign w:val="bottom"/>
            <w:hideMark/>
          </w:tcPr>
          <w:p w14:paraId="29E6016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51BB0CA4" w14:textId="77777777" w:rsidTr="002F3D36">
        <w:trPr>
          <w:trHeight w:val="180"/>
          <w:tblCellSpacing w:w="15" w:type="dxa"/>
        </w:trPr>
        <w:tc>
          <w:tcPr>
            <w:tcW w:w="0" w:type="auto"/>
            <w:vAlign w:val="bottom"/>
            <w:hideMark/>
          </w:tcPr>
          <w:p w14:paraId="0CD9E12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Other non-current assets</w:t>
            </w:r>
          </w:p>
        </w:tc>
        <w:tc>
          <w:tcPr>
            <w:tcW w:w="0" w:type="auto"/>
            <w:vAlign w:val="bottom"/>
            <w:hideMark/>
          </w:tcPr>
          <w:p w14:paraId="1DA001D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1E7473EC"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Note 8, 17</w:t>
            </w:r>
          </w:p>
        </w:tc>
        <w:tc>
          <w:tcPr>
            <w:tcW w:w="0" w:type="auto"/>
            <w:vAlign w:val="bottom"/>
            <w:hideMark/>
          </w:tcPr>
          <w:p w14:paraId="748FE92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vAlign w:val="bottom"/>
            <w:hideMark/>
          </w:tcPr>
          <w:p w14:paraId="4FF0041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vAlign w:val="bottom"/>
            <w:hideMark/>
          </w:tcPr>
          <w:p w14:paraId="45D8A890"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481</w:t>
            </w:r>
          </w:p>
        </w:tc>
        <w:tc>
          <w:tcPr>
            <w:tcW w:w="0" w:type="auto"/>
            <w:vAlign w:val="bottom"/>
            <w:hideMark/>
          </w:tcPr>
          <w:p w14:paraId="23C7727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357FAE2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vAlign w:val="bottom"/>
            <w:hideMark/>
          </w:tcPr>
          <w:p w14:paraId="7E49D7D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vAlign w:val="bottom"/>
            <w:hideMark/>
          </w:tcPr>
          <w:p w14:paraId="71EAA86C"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466</w:t>
            </w:r>
          </w:p>
        </w:tc>
        <w:tc>
          <w:tcPr>
            <w:tcW w:w="0" w:type="auto"/>
            <w:vAlign w:val="bottom"/>
            <w:hideMark/>
          </w:tcPr>
          <w:p w14:paraId="524C3C8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1404E5CC" w14:textId="77777777" w:rsidTr="002F3D36">
        <w:trPr>
          <w:trHeight w:val="180"/>
          <w:tblCellSpacing w:w="15" w:type="dxa"/>
        </w:trPr>
        <w:tc>
          <w:tcPr>
            <w:tcW w:w="0" w:type="auto"/>
            <w:shd w:val="clear" w:color="auto" w:fill="CFF0FC"/>
            <w:vAlign w:val="bottom"/>
            <w:hideMark/>
          </w:tcPr>
          <w:p w14:paraId="0FE0C44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Total assets</w:t>
            </w:r>
          </w:p>
        </w:tc>
        <w:tc>
          <w:tcPr>
            <w:tcW w:w="0" w:type="auto"/>
            <w:shd w:val="clear" w:color="auto" w:fill="CFF0FC"/>
            <w:vAlign w:val="bottom"/>
            <w:hideMark/>
          </w:tcPr>
          <w:p w14:paraId="3CD5887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66E1266E"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668C24B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shd w:val="clear" w:color="auto" w:fill="CFF0FC"/>
            <w:vAlign w:val="bottom"/>
            <w:hideMark/>
          </w:tcPr>
          <w:p w14:paraId="2968BF9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w:t>
            </w:r>
          </w:p>
        </w:tc>
        <w:tc>
          <w:tcPr>
            <w:tcW w:w="0" w:type="auto"/>
            <w:tcBorders>
              <w:bottom w:val="single" w:sz="4" w:space="0" w:color="000000"/>
            </w:tcBorders>
            <w:shd w:val="clear" w:color="auto" w:fill="CFF0FC"/>
            <w:vAlign w:val="bottom"/>
            <w:hideMark/>
          </w:tcPr>
          <w:p w14:paraId="328AF885"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b/>
                <w:bCs/>
                <w:color w:val="000000"/>
                <w:kern w:val="0"/>
                <w:sz w:val="18"/>
                <w:szCs w:val="18"/>
              </w:rPr>
              <w:t>7,537</w:t>
            </w:r>
          </w:p>
        </w:tc>
        <w:tc>
          <w:tcPr>
            <w:tcW w:w="0" w:type="auto"/>
            <w:shd w:val="clear" w:color="auto" w:fill="CFF0FC"/>
            <w:vAlign w:val="bottom"/>
            <w:hideMark/>
          </w:tcPr>
          <w:p w14:paraId="186CD90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22CF1C7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shd w:val="clear" w:color="auto" w:fill="CFF0FC"/>
            <w:vAlign w:val="bottom"/>
            <w:hideMark/>
          </w:tcPr>
          <w:p w14:paraId="7E84C8A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w:t>
            </w:r>
          </w:p>
        </w:tc>
        <w:tc>
          <w:tcPr>
            <w:tcW w:w="0" w:type="auto"/>
            <w:tcBorders>
              <w:bottom w:val="single" w:sz="4" w:space="0" w:color="000000"/>
            </w:tcBorders>
            <w:shd w:val="clear" w:color="auto" w:fill="CFF0FC"/>
            <w:vAlign w:val="bottom"/>
            <w:hideMark/>
          </w:tcPr>
          <w:p w14:paraId="4713191E"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b/>
                <w:bCs/>
                <w:color w:val="000000"/>
                <w:kern w:val="0"/>
                <w:sz w:val="18"/>
                <w:szCs w:val="18"/>
              </w:rPr>
              <w:t>8,157</w:t>
            </w:r>
          </w:p>
        </w:tc>
        <w:tc>
          <w:tcPr>
            <w:tcW w:w="0" w:type="auto"/>
            <w:shd w:val="clear" w:color="auto" w:fill="CFF0FC"/>
            <w:vAlign w:val="bottom"/>
            <w:hideMark/>
          </w:tcPr>
          <w:p w14:paraId="42B77B6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597CA04D" w14:textId="77777777" w:rsidTr="002F3D36">
        <w:trPr>
          <w:trHeight w:val="180"/>
          <w:tblCellSpacing w:w="15" w:type="dxa"/>
        </w:trPr>
        <w:tc>
          <w:tcPr>
            <w:tcW w:w="0" w:type="auto"/>
            <w:vAlign w:val="bottom"/>
            <w:hideMark/>
          </w:tcPr>
          <w:p w14:paraId="1AF0875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Liabilities and equity</w:t>
            </w:r>
          </w:p>
        </w:tc>
        <w:tc>
          <w:tcPr>
            <w:tcW w:w="0" w:type="auto"/>
            <w:vAlign w:val="bottom"/>
            <w:hideMark/>
          </w:tcPr>
          <w:p w14:paraId="18860D3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69B50E27"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61ECE9F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gridSpan w:val="2"/>
            <w:vAlign w:val="bottom"/>
            <w:hideMark/>
          </w:tcPr>
          <w:p w14:paraId="58D7EBD0"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6E7E70E9"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03BE9F7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gridSpan w:val="2"/>
            <w:vAlign w:val="bottom"/>
            <w:hideMark/>
          </w:tcPr>
          <w:p w14:paraId="42F98090"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78C5DB57"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23F8BC63" w14:textId="77777777" w:rsidTr="002F3D36">
        <w:trPr>
          <w:trHeight w:val="180"/>
          <w:tblCellSpacing w:w="15" w:type="dxa"/>
        </w:trPr>
        <w:tc>
          <w:tcPr>
            <w:tcW w:w="0" w:type="auto"/>
            <w:shd w:val="clear" w:color="auto" w:fill="CFF0FC"/>
            <w:vAlign w:val="bottom"/>
            <w:hideMark/>
          </w:tcPr>
          <w:p w14:paraId="1D1E820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Short-term debt</w:t>
            </w:r>
          </w:p>
        </w:tc>
        <w:tc>
          <w:tcPr>
            <w:tcW w:w="0" w:type="auto"/>
            <w:shd w:val="clear" w:color="auto" w:fill="CFF0FC"/>
            <w:vAlign w:val="bottom"/>
            <w:hideMark/>
          </w:tcPr>
          <w:p w14:paraId="366E975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4BB0ADCF"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Note 13</w:t>
            </w:r>
          </w:p>
        </w:tc>
        <w:tc>
          <w:tcPr>
            <w:tcW w:w="0" w:type="auto"/>
            <w:shd w:val="clear" w:color="auto" w:fill="CFF0FC"/>
            <w:vAlign w:val="bottom"/>
            <w:hideMark/>
          </w:tcPr>
          <w:p w14:paraId="5408C9C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70326AA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shd w:val="clear" w:color="auto" w:fill="CFF0FC"/>
            <w:vAlign w:val="bottom"/>
            <w:hideMark/>
          </w:tcPr>
          <w:p w14:paraId="593276D0"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346</w:t>
            </w:r>
          </w:p>
        </w:tc>
        <w:tc>
          <w:tcPr>
            <w:tcW w:w="0" w:type="auto"/>
            <w:shd w:val="clear" w:color="auto" w:fill="CFF0FC"/>
            <w:vAlign w:val="bottom"/>
            <w:hideMark/>
          </w:tcPr>
          <w:p w14:paraId="0004E40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56ABB70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149A72E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shd w:val="clear" w:color="auto" w:fill="CFF0FC"/>
            <w:vAlign w:val="bottom"/>
            <w:hideMark/>
          </w:tcPr>
          <w:p w14:paraId="0435B41A"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302</w:t>
            </w:r>
          </w:p>
        </w:tc>
        <w:tc>
          <w:tcPr>
            <w:tcW w:w="0" w:type="auto"/>
            <w:shd w:val="clear" w:color="auto" w:fill="CFF0FC"/>
            <w:vAlign w:val="bottom"/>
            <w:hideMark/>
          </w:tcPr>
          <w:p w14:paraId="1B4AE9D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2CB98455" w14:textId="77777777" w:rsidTr="002F3D36">
        <w:trPr>
          <w:trHeight w:val="180"/>
          <w:tblCellSpacing w:w="15" w:type="dxa"/>
        </w:trPr>
        <w:tc>
          <w:tcPr>
            <w:tcW w:w="0" w:type="auto"/>
            <w:vAlign w:val="bottom"/>
            <w:hideMark/>
          </w:tcPr>
          <w:p w14:paraId="185FE40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Accounts payable</w:t>
            </w:r>
          </w:p>
        </w:tc>
        <w:tc>
          <w:tcPr>
            <w:tcW w:w="0" w:type="auto"/>
            <w:vAlign w:val="bottom"/>
            <w:hideMark/>
          </w:tcPr>
          <w:p w14:paraId="31BCA88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2D993847"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6A10C65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209613E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38868160"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1,129</w:t>
            </w:r>
          </w:p>
        </w:tc>
        <w:tc>
          <w:tcPr>
            <w:tcW w:w="0" w:type="auto"/>
            <w:vAlign w:val="bottom"/>
            <w:hideMark/>
          </w:tcPr>
          <w:p w14:paraId="1B1E0E6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6B1B46A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1073631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35AC65B5"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1,227</w:t>
            </w:r>
          </w:p>
        </w:tc>
        <w:tc>
          <w:tcPr>
            <w:tcW w:w="0" w:type="auto"/>
            <w:vAlign w:val="bottom"/>
            <w:hideMark/>
          </w:tcPr>
          <w:p w14:paraId="31C6A52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7C425414" w14:textId="77777777" w:rsidTr="002F3D36">
        <w:trPr>
          <w:trHeight w:val="180"/>
          <w:tblCellSpacing w:w="15" w:type="dxa"/>
        </w:trPr>
        <w:tc>
          <w:tcPr>
            <w:tcW w:w="0" w:type="auto"/>
            <w:shd w:val="clear" w:color="auto" w:fill="CFF0FC"/>
            <w:vAlign w:val="bottom"/>
            <w:hideMark/>
          </w:tcPr>
          <w:p w14:paraId="6416843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Accrued expenses</w:t>
            </w:r>
          </w:p>
        </w:tc>
        <w:tc>
          <w:tcPr>
            <w:tcW w:w="0" w:type="auto"/>
            <w:shd w:val="clear" w:color="auto" w:fill="CFF0FC"/>
            <w:vAlign w:val="bottom"/>
            <w:hideMark/>
          </w:tcPr>
          <w:p w14:paraId="4EDA71C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2D4B52DB"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Notes 11, 12</w:t>
            </w:r>
          </w:p>
        </w:tc>
        <w:tc>
          <w:tcPr>
            <w:tcW w:w="0" w:type="auto"/>
            <w:shd w:val="clear" w:color="auto" w:fill="CFF0FC"/>
            <w:vAlign w:val="bottom"/>
            <w:hideMark/>
          </w:tcPr>
          <w:p w14:paraId="3DB66F8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1AE265D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7A68C47C"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987</w:t>
            </w:r>
          </w:p>
        </w:tc>
        <w:tc>
          <w:tcPr>
            <w:tcW w:w="0" w:type="auto"/>
            <w:shd w:val="clear" w:color="auto" w:fill="CFF0FC"/>
            <w:vAlign w:val="bottom"/>
            <w:hideMark/>
          </w:tcPr>
          <w:p w14:paraId="2046C6C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5644925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1FAEE97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143FA6F1"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1,260</w:t>
            </w:r>
          </w:p>
        </w:tc>
        <w:tc>
          <w:tcPr>
            <w:tcW w:w="0" w:type="auto"/>
            <w:shd w:val="clear" w:color="auto" w:fill="CFF0FC"/>
            <w:vAlign w:val="bottom"/>
            <w:hideMark/>
          </w:tcPr>
          <w:p w14:paraId="68F4392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1CFBDACA" w14:textId="77777777" w:rsidTr="002F3D36">
        <w:trPr>
          <w:trHeight w:val="180"/>
          <w:tblCellSpacing w:w="15" w:type="dxa"/>
        </w:trPr>
        <w:tc>
          <w:tcPr>
            <w:tcW w:w="0" w:type="auto"/>
            <w:vAlign w:val="bottom"/>
            <w:hideMark/>
          </w:tcPr>
          <w:p w14:paraId="17A0703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Related party liabilities</w:t>
            </w:r>
          </w:p>
        </w:tc>
        <w:tc>
          <w:tcPr>
            <w:tcW w:w="0" w:type="auto"/>
            <w:vAlign w:val="bottom"/>
            <w:hideMark/>
          </w:tcPr>
          <w:p w14:paraId="00FDA5A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1DC8CFF0"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Note 19</w:t>
            </w:r>
          </w:p>
        </w:tc>
        <w:tc>
          <w:tcPr>
            <w:tcW w:w="0" w:type="auto"/>
            <w:vAlign w:val="bottom"/>
            <w:hideMark/>
          </w:tcPr>
          <w:p w14:paraId="3BDDDC9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496561B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51638AFE"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24</w:t>
            </w:r>
          </w:p>
        </w:tc>
        <w:tc>
          <w:tcPr>
            <w:tcW w:w="0" w:type="auto"/>
            <w:vAlign w:val="bottom"/>
            <w:hideMark/>
          </w:tcPr>
          <w:p w14:paraId="72D80B5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6538C78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4E4A55B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14C7FE24"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38</w:t>
            </w:r>
          </w:p>
        </w:tc>
        <w:tc>
          <w:tcPr>
            <w:tcW w:w="0" w:type="auto"/>
            <w:vAlign w:val="bottom"/>
            <w:hideMark/>
          </w:tcPr>
          <w:p w14:paraId="576D73A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793E0B46" w14:textId="77777777" w:rsidTr="002F3D36">
        <w:trPr>
          <w:trHeight w:val="180"/>
          <w:tblCellSpacing w:w="15" w:type="dxa"/>
        </w:trPr>
        <w:tc>
          <w:tcPr>
            <w:tcW w:w="0" w:type="auto"/>
            <w:shd w:val="clear" w:color="auto" w:fill="CFF0FC"/>
            <w:vAlign w:val="bottom"/>
            <w:hideMark/>
          </w:tcPr>
          <w:p w14:paraId="0505458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Income tax payable</w:t>
            </w:r>
          </w:p>
        </w:tc>
        <w:tc>
          <w:tcPr>
            <w:tcW w:w="0" w:type="auto"/>
            <w:shd w:val="clear" w:color="auto" w:fill="CFF0FC"/>
            <w:vAlign w:val="bottom"/>
            <w:hideMark/>
          </w:tcPr>
          <w:p w14:paraId="36495D8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3796E0AF"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32367A1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6EF64FA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7A5B3D5E"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81</w:t>
            </w:r>
          </w:p>
        </w:tc>
        <w:tc>
          <w:tcPr>
            <w:tcW w:w="0" w:type="auto"/>
            <w:shd w:val="clear" w:color="auto" w:fill="CFF0FC"/>
            <w:vAlign w:val="bottom"/>
            <w:hideMark/>
          </w:tcPr>
          <w:p w14:paraId="194E2ED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6768CDE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3AAF9C7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7E1245A3"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97</w:t>
            </w:r>
          </w:p>
        </w:tc>
        <w:tc>
          <w:tcPr>
            <w:tcW w:w="0" w:type="auto"/>
            <w:shd w:val="clear" w:color="auto" w:fill="CFF0FC"/>
            <w:vAlign w:val="bottom"/>
            <w:hideMark/>
          </w:tcPr>
          <w:p w14:paraId="1E06783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24B9E124" w14:textId="77777777" w:rsidTr="002F3D36">
        <w:trPr>
          <w:trHeight w:val="180"/>
          <w:tblCellSpacing w:w="15" w:type="dxa"/>
        </w:trPr>
        <w:tc>
          <w:tcPr>
            <w:tcW w:w="0" w:type="auto"/>
            <w:vAlign w:val="bottom"/>
            <w:hideMark/>
          </w:tcPr>
          <w:p w14:paraId="5C4378F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Operating lease liabilities, current</w:t>
            </w:r>
          </w:p>
        </w:tc>
        <w:tc>
          <w:tcPr>
            <w:tcW w:w="0" w:type="auto"/>
            <w:vAlign w:val="bottom"/>
            <w:hideMark/>
          </w:tcPr>
          <w:p w14:paraId="23844B0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253E7D2C"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Note 3</w:t>
            </w:r>
          </w:p>
        </w:tc>
        <w:tc>
          <w:tcPr>
            <w:tcW w:w="0" w:type="auto"/>
            <w:vAlign w:val="bottom"/>
            <w:hideMark/>
          </w:tcPr>
          <w:p w14:paraId="6954B49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71A1A44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61282F4D"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38</w:t>
            </w:r>
          </w:p>
        </w:tc>
        <w:tc>
          <w:tcPr>
            <w:tcW w:w="0" w:type="auto"/>
            <w:vAlign w:val="bottom"/>
            <w:hideMark/>
          </w:tcPr>
          <w:p w14:paraId="5DAB926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1A1BABA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32949DF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0A7C5849"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37</w:t>
            </w:r>
          </w:p>
        </w:tc>
        <w:tc>
          <w:tcPr>
            <w:tcW w:w="0" w:type="auto"/>
            <w:vAlign w:val="bottom"/>
            <w:hideMark/>
          </w:tcPr>
          <w:p w14:paraId="5F53964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4A0EA19F" w14:textId="77777777" w:rsidTr="002F3D36">
        <w:trPr>
          <w:trHeight w:val="180"/>
          <w:tblCellSpacing w:w="15" w:type="dxa"/>
        </w:trPr>
        <w:tc>
          <w:tcPr>
            <w:tcW w:w="0" w:type="auto"/>
            <w:shd w:val="clear" w:color="auto" w:fill="CFF0FC"/>
            <w:vAlign w:val="bottom"/>
            <w:hideMark/>
          </w:tcPr>
          <w:p w14:paraId="09FEDB6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Other current liabilities</w:t>
            </w:r>
          </w:p>
        </w:tc>
        <w:tc>
          <w:tcPr>
            <w:tcW w:w="0" w:type="auto"/>
            <w:shd w:val="clear" w:color="auto" w:fill="CFF0FC"/>
            <w:vAlign w:val="bottom"/>
            <w:hideMark/>
          </w:tcPr>
          <w:p w14:paraId="1133B02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06FA52D7"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4C48C73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shd w:val="clear" w:color="auto" w:fill="CFF0FC"/>
            <w:vAlign w:val="bottom"/>
            <w:hideMark/>
          </w:tcPr>
          <w:p w14:paraId="1F0E686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shd w:val="clear" w:color="auto" w:fill="CFF0FC"/>
            <w:vAlign w:val="bottom"/>
            <w:hideMark/>
          </w:tcPr>
          <w:p w14:paraId="06C8542C"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216</w:t>
            </w:r>
          </w:p>
        </w:tc>
        <w:tc>
          <w:tcPr>
            <w:tcW w:w="0" w:type="auto"/>
            <w:shd w:val="clear" w:color="auto" w:fill="CFF0FC"/>
            <w:vAlign w:val="bottom"/>
            <w:hideMark/>
          </w:tcPr>
          <w:p w14:paraId="4E51CF2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3385340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shd w:val="clear" w:color="auto" w:fill="CFF0FC"/>
            <w:vAlign w:val="bottom"/>
            <w:hideMark/>
          </w:tcPr>
          <w:p w14:paraId="182AE6F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shd w:val="clear" w:color="auto" w:fill="CFF0FC"/>
            <w:vAlign w:val="bottom"/>
            <w:hideMark/>
          </w:tcPr>
          <w:p w14:paraId="40EB3818"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187</w:t>
            </w:r>
          </w:p>
        </w:tc>
        <w:tc>
          <w:tcPr>
            <w:tcW w:w="0" w:type="auto"/>
            <w:shd w:val="clear" w:color="auto" w:fill="CFF0FC"/>
            <w:vAlign w:val="bottom"/>
            <w:hideMark/>
          </w:tcPr>
          <w:p w14:paraId="1AD3CA8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2A674781" w14:textId="77777777" w:rsidTr="002F3D36">
        <w:trPr>
          <w:trHeight w:val="180"/>
          <w:tblCellSpacing w:w="15" w:type="dxa"/>
        </w:trPr>
        <w:tc>
          <w:tcPr>
            <w:tcW w:w="0" w:type="auto"/>
            <w:vAlign w:val="bottom"/>
            <w:hideMark/>
          </w:tcPr>
          <w:p w14:paraId="2E5B2A2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Total current liabilities</w:t>
            </w:r>
          </w:p>
        </w:tc>
        <w:tc>
          <w:tcPr>
            <w:tcW w:w="0" w:type="auto"/>
            <w:vAlign w:val="bottom"/>
            <w:hideMark/>
          </w:tcPr>
          <w:p w14:paraId="7A6CE86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3F1C3672"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38617F7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vAlign w:val="bottom"/>
            <w:hideMark/>
          </w:tcPr>
          <w:p w14:paraId="0F63E01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vAlign w:val="bottom"/>
            <w:hideMark/>
          </w:tcPr>
          <w:p w14:paraId="05985608"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b/>
                <w:bCs/>
                <w:color w:val="000000"/>
                <w:kern w:val="0"/>
                <w:sz w:val="18"/>
                <w:szCs w:val="18"/>
              </w:rPr>
              <w:t>2,821</w:t>
            </w:r>
          </w:p>
        </w:tc>
        <w:tc>
          <w:tcPr>
            <w:tcW w:w="0" w:type="auto"/>
            <w:vAlign w:val="bottom"/>
            <w:hideMark/>
          </w:tcPr>
          <w:p w14:paraId="4029209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04D2FBD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vAlign w:val="bottom"/>
            <w:hideMark/>
          </w:tcPr>
          <w:p w14:paraId="2D155F6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vAlign w:val="bottom"/>
            <w:hideMark/>
          </w:tcPr>
          <w:p w14:paraId="27F9872D"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b/>
                <w:bCs/>
                <w:color w:val="000000"/>
                <w:kern w:val="0"/>
                <w:sz w:val="18"/>
                <w:szCs w:val="18"/>
              </w:rPr>
              <w:t>3,147</w:t>
            </w:r>
          </w:p>
        </w:tc>
        <w:tc>
          <w:tcPr>
            <w:tcW w:w="0" w:type="auto"/>
            <w:vAlign w:val="bottom"/>
            <w:hideMark/>
          </w:tcPr>
          <w:p w14:paraId="2AC388E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0313E02A" w14:textId="77777777" w:rsidTr="002F3D36">
        <w:trPr>
          <w:trHeight w:val="180"/>
          <w:tblCellSpacing w:w="15" w:type="dxa"/>
        </w:trPr>
        <w:tc>
          <w:tcPr>
            <w:tcW w:w="0" w:type="auto"/>
            <w:shd w:val="clear" w:color="auto" w:fill="CFF0FC"/>
            <w:vAlign w:val="bottom"/>
            <w:hideMark/>
          </w:tcPr>
          <w:p w14:paraId="572EEDF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Long-term debt</w:t>
            </w:r>
          </w:p>
        </w:tc>
        <w:tc>
          <w:tcPr>
            <w:tcW w:w="0" w:type="auto"/>
            <w:shd w:val="clear" w:color="auto" w:fill="CFF0FC"/>
            <w:vAlign w:val="bottom"/>
            <w:hideMark/>
          </w:tcPr>
          <w:p w14:paraId="3E6AF45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282D8E5F"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Note 13</w:t>
            </w:r>
          </w:p>
        </w:tc>
        <w:tc>
          <w:tcPr>
            <w:tcW w:w="0" w:type="auto"/>
            <w:shd w:val="clear" w:color="auto" w:fill="CFF0FC"/>
            <w:vAlign w:val="bottom"/>
            <w:hideMark/>
          </w:tcPr>
          <w:p w14:paraId="76BB8C4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140181B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18DA487D"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1,662</w:t>
            </w:r>
          </w:p>
        </w:tc>
        <w:tc>
          <w:tcPr>
            <w:tcW w:w="0" w:type="auto"/>
            <w:shd w:val="clear" w:color="auto" w:fill="CFF0FC"/>
            <w:vAlign w:val="bottom"/>
            <w:hideMark/>
          </w:tcPr>
          <w:p w14:paraId="091B925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01C8FC0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167960C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498269AB"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2,110</w:t>
            </w:r>
          </w:p>
        </w:tc>
        <w:tc>
          <w:tcPr>
            <w:tcW w:w="0" w:type="auto"/>
            <w:shd w:val="clear" w:color="auto" w:fill="CFF0FC"/>
            <w:vAlign w:val="bottom"/>
            <w:hideMark/>
          </w:tcPr>
          <w:p w14:paraId="2B1C988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220A4419" w14:textId="77777777" w:rsidTr="002F3D36">
        <w:trPr>
          <w:trHeight w:val="180"/>
          <w:tblCellSpacing w:w="15" w:type="dxa"/>
        </w:trPr>
        <w:tc>
          <w:tcPr>
            <w:tcW w:w="0" w:type="auto"/>
            <w:vAlign w:val="bottom"/>
            <w:hideMark/>
          </w:tcPr>
          <w:p w14:paraId="2C8B676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Pension liability</w:t>
            </w:r>
          </w:p>
        </w:tc>
        <w:tc>
          <w:tcPr>
            <w:tcW w:w="0" w:type="auto"/>
            <w:vAlign w:val="bottom"/>
            <w:hideMark/>
          </w:tcPr>
          <w:p w14:paraId="7B0B94F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065ECCCF"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Note 18</w:t>
            </w:r>
          </w:p>
        </w:tc>
        <w:tc>
          <w:tcPr>
            <w:tcW w:w="0" w:type="auto"/>
            <w:vAlign w:val="bottom"/>
            <w:hideMark/>
          </w:tcPr>
          <w:p w14:paraId="7DE3C51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260CDD6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56973899"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197</w:t>
            </w:r>
          </w:p>
        </w:tc>
        <w:tc>
          <w:tcPr>
            <w:tcW w:w="0" w:type="auto"/>
            <w:vAlign w:val="bottom"/>
            <w:hideMark/>
          </w:tcPr>
          <w:p w14:paraId="0263208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2FE461F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678F290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7A2602C0"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248</w:t>
            </w:r>
          </w:p>
        </w:tc>
        <w:tc>
          <w:tcPr>
            <w:tcW w:w="0" w:type="auto"/>
            <w:vAlign w:val="bottom"/>
            <w:hideMark/>
          </w:tcPr>
          <w:p w14:paraId="1F4480B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4BD295D6" w14:textId="77777777" w:rsidTr="002F3D36">
        <w:trPr>
          <w:trHeight w:val="180"/>
          <w:tblCellSpacing w:w="15" w:type="dxa"/>
        </w:trPr>
        <w:tc>
          <w:tcPr>
            <w:tcW w:w="0" w:type="auto"/>
            <w:shd w:val="clear" w:color="auto" w:fill="CFF0FC"/>
            <w:vAlign w:val="bottom"/>
            <w:hideMark/>
          </w:tcPr>
          <w:p w14:paraId="7EE32A3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Operating lease liabilities, non-current</w:t>
            </w:r>
          </w:p>
        </w:tc>
        <w:tc>
          <w:tcPr>
            <w:tcW w:w="0" w:type="auto"/>
            <w:shd w:val="clear" w:color="auto" w:fill="CFF0FC"/>
            <w:vAlign w:val="bottom"/>
            <w:hideMark/>
          </w:tcPr>
          <w:p w14:paraId="6BD7E74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54D0AADE"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Note 3</w:t>
            </w:r>
          </w:p>
        </w:tc>
        <w:tc>
          <w:tcPr>
            <w:tcW w:w="0" w:type="auto"/>
            <w:shd w:val="clear" w:color="auto" w:fill="CFF0FC"/>
            <w:vAlign w:val="bottom"/>
            <w:hideMark/>
          </w:tcPr>
          <w:p w14:paraId="6437EE4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50BCD54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774F33E6"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94</w:t>
            </w:r>
          </w:p>
        </w:tc>
        <w:tc>
          <w:tcPr>
            <w:tcW w:w="0" w:type="auto"/>
            <w:shd w:val="clear" w:color="auto" w:fill="CFF0FC"/>
            <w:vAlign w:val="bottom"/>
            <w:hideMark/>
          </w:tcPr>
          <w:p w14:paraId="3486EB5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36FFABA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0968AB8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0F88A0E0"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103</w:t>
            </w:r>
          </w:p>
        </w:tc>
        <w:tc>
          <w:tcPr>
            <w:tcW w:w="0" w:type="auto"/>
            <w:shd w:val="clear" w:color="auto" w:fill="CFF0FC"/>
            <w:vAlign w:val="bottom"/>
            <w:hideMark/>
          </w:tcPr>
          <w:p w14:paraId="0790748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65967E22" w14:textId="77777777" w:rsidTr="002F3D36">
        <w:trPr>
          <w:trHeight w:val="180"/>
          <w:tblCellSpacing w:w="15" w:type="dxa"/>
        </w:trPr>
        <w:tc>
          <w:tcPr>
            <w:tcW w:w="0" w:type="auto"/>
            <w:vAlign w:val="bottom"/>
            <w:hideMark/>
          </w:tcPr>
          <w:p w14:paraId="68CB212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Other non-current liabilities</w:t>
            </w:r>
          </w:p>
        </w:tc>
        <w:tc>
          <w:tcPr>
            <w:tcW w:w="0" w:type="auto"/>
            <w:vAlign w:val="bottom"/>
            <w:hideMark/>
          </w:tcPr>
          <w:p w14:paraId="53C4FE3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475A2ECB"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69C20A4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vAlign w:val="bottom"/>
            <w:hideMark/>
          </w:tcPr>
          <w:p w14:paraId="5410E1D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vAlign w:val="bottom"/>
            <w:hideMark/>
          </w:tcPr>
          <w:p w14:paraId="26B3E638"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115</w:t>
            </w:r>
          </w:p>
        </w:tc>
        <w:tc>
          <w:tcPr>
            <w:tcW w:w="0" w:type="auto"/>
            <w:vAlign w:val="bottom"/>
            <w:hideMark/>
          </w:tcPr>
          <w:p w14:paraId="5E93BD4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64D0F27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vAlign w:val="bottom"/>
            <w:hideMark/>
          </w:tcPr>
          <w:p w14:paraId="3EF3408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vAlign w:val="bottom"/>
            <w:hideMark/>
          </w:tcPr>
          <w:p w14:paraId="14FF982C"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126</w:t>
            </w:r>
          </w:p>
        </w:tc>
        <w:tc>
          <w:tcPr>
            <w:tcW w:w="0" w:type="auto"/>
            <w:vAlign w:val="bottom"/>
            <w:hideMark/>
          </w:tcPr>
          <w:p w14:paraId="2C7D7FA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104C0077" w14:textId="77777777" w:rsidTr="002F3D36">
        <w:trPr>
          <w:trHeight w:val="180"/>
          <w:tblCellSpacing w:w="15" w:type="dxa"/>
        </w:trPr>
        <w:tc>
          <w:tcPr>
            <w:tcW w:w="0" w:type="auto"/>
            <w:shd w:val="clear" w:color="auto" w:fill="CFF0FC"/>
            <w:vAlign w:val="bottom"/>
            <w:hideMark/>
          </w:tcPr>
          <w:p w14:paraId="5971CA1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Total non-current liabilities</w:t>
            </w:r>
          </w:p>
        </w:tc>
        <w:tc>
          <w:tcPr>
            <w:tcW w:w="0" w:type="auto"/>
            <w:shd w:val="clear" w:color="auto" w:fill="CFF0FC"/>
            <w:vAlign w:val="bottom"/>
            <w:hideMark/>
          </w:tcPr>
          <w:p w14:paraId="7D63028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5A663437"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1DEDFD0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shd w:val="clear" w:color="auto" w:fill="CFF0FC"/>
            <w:vAlign w:val="bottom"/>
            <w:hideMark/>
          </w:tcPr>
          <w:p w14:paraId="4E1076E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shd w:val="clear" w:color="auto" w:fill="CFF0FC"/>
            <w:vAlign w:val="bottom"/>
            <w:hideMark/>
          </w:tcPr>
          <w:p w14:paraId="68ADED01"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b/>
                <w:bCs/>
                <w:color w:val="000000"/>
                <w:kern w:val="0"/>
                <w:sz w:val="18"/>
                <w:szCs w:val="18"/>
              </w:rPr>
              <w:t>2,067</w:t>
            </w:r>
          </w:p>
        </w:tc>
        <w:tc>
          <w:tcPr>
            <w:tcW w:w="0" w:type="auto"/>
            <w:shd w:val="clear" w:color="auto" w:fill="CFF0FC"/>
            <w:vAlign w:val="bottom"/>
            <w:hideMark/>
          </w:tcPr>
          <w:p w14:paraId="736A39F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4D3DD90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shd w:val="clear" w:color="auto" w:fill="CFF0FC"/>
            <w:vAlign w:val="bottom"/>
            <w:hideMark/>
          </w:tcPr>
          <w:p w14:paraId="58BC7CF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shd w:val="clear" w:color="auto" w:fill="CFF0FC"/>
            <w:vAlign w:val="bottom"/>
            <w:hideMark/>
          </w:tcPr>
          <w:p w14:paraId="52142218"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b/>
                <w:bCs/>
                <w:color w:val="000000"/>
                <w:kern w:val="0"/>
                <w:sz w:val="18"/>
                <w:szCs w:val="18"/>
              </w:rPr>
              <w:t>2,587</w:t>
            </w:r>
          </w:p>
        </w:tc>
        <w:tc>
          <w:tcPr>
            <w:tcW w:w="0" w:type="auto"/>
            <w:shd w:val="clear" w:color="auto" w:fill="CFF0FC"/>
            <w:vAlign w:val="bottom"/>
            <w:hideMark/>
          </w:tcPr>
          <w:p w14:paraId="696CDC4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65C945A5" w14:textId="77777777" w:rsidTr="002F3D36">
        <w:trPr>
          <w:trHeight w:val="180"/>
          <w:tblCellSpacing w:w="15" w:type="dxa"/>
        </w:trPr>
        <w:tc>
          <w:tcPr>
            <w:tcW w:w="0" w:type="auto"/>
            <w:vAlign w:val="bottom"/>
            <w:hideMark/>
          </w:tcPr>
          <w:p w14:paraId="4EBA9931" w14:textId="77777777" w:rsidR="002F3D36" w:rsidRPr="002F3D36" w:rsidRDefault="002F3D36" w:rsidP="002F3D36">
            <w:pPr>
              <w:widowControl/>
              <w:jc w:val="lef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Commitments and contingencies</w:t>
            </w:r>
          </w:p>
        </w:tc>
        <w:tc>
          <w:tcPr>
            <w:tcW w:w="0" w:type="auto"/>
            <w:vAlign w:val="bottom"/>
            <w:hideMark/>
          </w:tcPr>
          <w:p w14:paraId="6793BCF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29C583EF"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Note 17</w:t>
            </w:r>
          </w:p>
        </w:tc>
        <w:tc>
          <w:tcPr>
            <w:tcW w:w="0" w:type="auto"/>
            <w:vAlign w:val="bottom"/>
            <w:hideMark/>
          </w:tcPr>
          <w:p w14:paraId="19633BB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gridSpan w:val="2"/>
            <w:vAlign w:val="bottom"/>
            <w:hideMark/>
          </w:tcPr>
          <w:p w14:paraId="0EF7D2A6"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5458EFFD"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72FB93E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gridSpan w:val="2"/>
            <w:vAlign w:val="bottom"/>
            <w:hideMark/>
          </w:tcPr>
          <w:p w14:paraId="3865DA56"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3675F1C8"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40DF2DEE" w14:textId="77777777" w:rsidTr="002F3D36">
        <w:trPr>
          <w:trHeight w:val="180"/>
          <w:tblCellSpacing w:w="15" w:type="dxa"/>
        </w:trPr>
        <w:tc>
          <w:tcPr>
            <w:tcW w:w="0" w:type="auto"/>
            <w:shd w:val="clear" w:color="auto" w:fill="CFF0FC"/>
            <w:vAlign w:val="bottom"/>
            <w:hideMark/>
          </w:tcPr>
          <w:p w14:paraId="7581A96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Common stock</w:t>
            </w:r>
            <w:r w:rsidRPr="002F3D36">
              <w:rPr>
                <w:rFonts w:ascii="Arial" w:eastAsia="微软雅黑" w:hAnsi="Arial" w:cs="Arial"/>
                <w:color w:val="000000"/>
                <w:kern w:val="0"/>
                <w:sz w:val="12"/>
                <w:szCs w:val="12"/>
              </w:rPr>
              <w:t>1)</w:t>
            </w:r>
          </w:p>
        </w:tc>
        <w:tc>
          <w:tcPr>
            <w:tcW w:w="0" w:type="auto"/>
            <w:shd w:val="clear" w:color="auto" w:fill="CFF0FC"/>
            <w:vAlign w:val="bottom"/>
            <w:hideMark/>
          </w:tcPr>
          <w:p w14:paraId="0A4D965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5D8C3B20"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67C5201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106C76D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2C18965D"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103</w:t>
            </w:r>
          </w:p>
        </w:tc>
        <w:tc>
          <w:tcPr>
            <w:tcW w:w="0" w:type="auto"/>
            <w:shd w:val="clear" w:color="auto" w:fill="CFF0FC"/>
            <w:vAlign w:val="bottom"/>
            <w:hideMark/>
          </w:tcPr>
          <w:p w14:paraId="464D295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19384B0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1FA3CDA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6A160FCE"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103</w:t>
            </w:r>
          </w:p>
        </w:tc>
        <w:tc>
          <w:tcPr>
            <w:tcW w:w="0" w:type="auto"/>
            <w:shd w:val="clear" w:color="auto" w:fill="CFF0FC"/>
            <w:vAlign w:val="bottom"/>
            <w:hideMark/>
          </w:tcPr>
          <w:p w14:paraId="6B69473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7B0DF0B5" w14:textId="77777777" w:rsidTr="002F3D36">
        <w:trPr>
          <w:trHeight w:val="180"/>
          <w:tblCellSpacing w:w="15" w:type="dxa"/>
        </w:trPr>
        <w:tc>
          <w:tcPr>
            <w:tcW w:w="0" w:type="auto"/>
            <w:vAlign w:val="bottom"/>
            <w:hideMark/>
          </w:tcPr>
          <w:p w14:paraId="4CF1C89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Additional paid-in capital</w:t>
            </w:r>
          </w:p>
        </w:tc>
        <w:tc>
          <w:tcPr>
            <w:tcW w:w="0" w:type="auto"/>
            <w:vAlign w:val="bottom"/>
            <w:hideMark/>
          </w:tcPr>
          <w:p w14:paraId="72AA485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09A5FD83"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3FFB3E3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248EA39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0F26A902"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1,329</w:t>
            </w:r>
          </w:p>
        </w:tc>
        <w:tc>
          <w:tcPr>
            <w:tcW w:w="0" w:type="auto"/>
            <w:vAlign w:val="bottom"/>
            <w:hideMark/>
          </w:tcPr>
          <w:p w14:paraId="592E5A5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624C805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2BE36C8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4EC86837"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1,329</w:t>
            </w:r>
          </w:p>
        </w:tc>
        <w:tc>
          <w:tcPr>
            <w:tcW w:w="0" w:type="auto"/>
            <w:vAlign w:val="bottom"/>
            <w:hideMark/>
          </w:tcPr>
          <w:p w14:paraId="7952DDA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7BF840E5" w14:textId="77777777" w:rsidTr="002F3D36">
        <w:trPr>
          <w:trHeight w:val="180"/>
          <w:tblCellSpacing w:w="15" w:type="dxa"/>
        </w:trPr>
        <w:tc>
          <w:tcPr>
            <w:tcW w:w="0" w:type="auto"/>
            <w:shd w:val="clear" w:color="auto" w:fill="CFF0FC"/>
            <w:vAlign w:val="bottom"/>
            <w:hideMark/>
          </w:tcPr>
          <w:p w14:paraId="60D8540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Retained earnings</w:t>
            </w:r>
          </w:p>
        </w:tc>
        <w:tc>
          <w:tcPr>
            <w:tcW w:w="0" w:type="auto"/>
            <w:shd w:val="clear" w:color="auto" w:fill="CFF0FC"/>
            <w:vAlign w:val="bottom"/>
            <w:hideMark/>
          </w:tcPr>
          <w:p w14:paraId="661B74C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465B6B34"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3C2C883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1372E6D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3A0EDB23"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2,742</w:t>
            </w:r>
          </w:p>
        </w:tc>
        <w:tc>
          <w:tcPr>
            <w:tcW w:w="0" w:type="auto"/>
            <w:shd w:val="clear" w:color="auto" w:fill="CFF0FC"/>
            <w:vAlign w:val="bottom"/>
            <w:hideMark/>
          </w:tcPr>
          <w:p w14:paraId="66F9B26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143E918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3F60EB8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0437DEC7"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2,471</w:t>
            </w:r>
          </w:p>
        </w:tc>
        <w:tc>
          <w:tcPr>
            <w:tcW w:w="0" w:type="auto"/>
            <w:shd w:val="clear" w:color="auto" w:fill="CFF0FC"/>
            <w:vAlign w:val="bottom"/>
            <w:hideMark/>
          </w:tcPr>
          <w:p w14:paraId="6E6A382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3E6D1EBC" w14:textId="77777777" w:rsidTr="002F3D36">
        <w:trPr>
          <w:trHeight w:val="180"/>
          <w:tblCellSpacing w:w="15" w:type="dxa"/>
        </w:trPr>
        <w:tc>
          <w:tcPr>
            <w:tcW w:w="0" w:type="auto"/>
            <w:vAlign w:val="bottom"/>
            <w:hideMark/>
          </w:tcPr>
          <w:p w14:paraId="7DDE9B9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Accumulated other comprehensive loss</w:t>
            </w:r>
          </w:p>
        </w:tc>
        <w:tc>
          <w:tcPr>
            <w:tcW w:w="0" w:type="auto"/>
            <w:vAlign w:val="bottom"/>
            <w:hideMark/>
          </w:tcPr>
          <w:p w14:paraId="60038FD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03B26741"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Note 14</w:t>
            </w:r>
          </w:p>
        </w:tc>
        <w:tc>
          <w:tcPr>
            <w:tcW w:w="0" w:type="auto"/>
            <w:vAlign w:val="bottom"/>
            <w:hideMark/>
          </w:tcPr>
          <w:p w14:paraId="6E2FDFE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3DADC96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4F156E6E"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(408</w:t>
            </w:r>
          </w:p>
        </w:tc>
        <w:tc>
          <w:tcPr>
            <w:tcW w:w="0" w:type="auto"/>
            <w:vAlign w:val="bottom"/>
            <w:hideMark/>
          </w:tcPr>
          <w:p w14:paraId="043A5A4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vAlign w:val="bottom"/>
            <w:hideMark/>
          </w:tcPr>
          <w:p w14:paraId="4DA5902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63993EB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090855BE"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(347</w:t>
            </w:r>
          </w:p>
        </w:tc>
        <w:tc>
          <w:tcPr>
            <w:tcW w:w="0" w:type="auto"/>
            <w:vAlign w:val="bottom"/>
            <w:hideMark/>
          </w:tcPr>
          <w:p w14:paraId="1FCE0A4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r>
      <w:tr w:rsidR="002F3D36" w:rsidRPr="002F3D36" w14:paraId="29551D75" w14:textId="77777777" w:rsidTr="002F3D36">
        <w:trPr>
          <w:trHeight w:val="180"/>
          <w:tblCellSpacing w:w="15" w:type="dxa"/>
        </w:trPr>
        <w:tc>
          <w:tcPr>
            <w:tcW w:w="0" w:type="auto"/>
            <w:shd w:val="clear" w:color="auto" w:fill="CFF0FC"/>
            <w:vAlign w:val="bottom"/>
            <w:hideMark/>
          </w:tcPr>
          <w:p w14:paraId="7B40DD12" w14:textId="77777777" w:rsidR="002F3D36" w:rsidRPr="002F3D36" w:rsidRDefault="002F3D36" w:rsidP="002F3D36">
            <w:pPr>
              <w:widowControl/>
              <w:jc w:val="lef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Treasury stock (15.3 and 15.4 shares, respectively)</w:t>
            </w:r>
          </w:p>
        </w:tc>
        <w:tc>
          <w:tcPr>
            <w:tcW w:w="0" w:type="auto"/>
            <w:shd w:val="clear" w:color="auto" w:fill="CFF0FC"/>
            <w:vAlign w:val="bottom"/>
            <w:hideMark/>
          </w:tcPr>
          <w:p w14:paraId="026E066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51F7A768"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24DE176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shd w:val="clear" w:color="auto" w:fill="CFF0FC"/>
            <w:vAlign w:val="bottom"/>
            <w:hideMark/>
          </w:tcPr>
          <w:p w14:paraId="773493F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shd w:val="clear" w:color="auto" w:fill="CFF0FC"/>
            <w:vAlign w:val="bottom"/>
            <w:hideMark/>
          </w:tcPr>
          <w:p w14:paraId="371E85B7"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(1,133</w:t>
            </w:r>
          </w:p>
        </w:tc>
        <w:tc>
          <w:tcPr>
            <w:tcW w:w="0" w:type="auto"/>
            <w:shd w:val="clear" w:color="auto" w:fill="CFF0FC"/>
            <w:vAlign w:val="bottom"/>
            <w:hideMark/>
          </w:tcPr>
          <w:p w14:paraId="28FC7C7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shd w:val="clear" w:color="auto" w:fill="CFF0FC"/>
            <w:vAlign w:val="bottom"/>
            <w:hideMark/>
          </w:tcPr>
          <w:p w14:paraId="7940E4C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shd w:val="clear" w:color="auto" w:fill="CFF0FC"/>
            <w:vAlign w:val="bottom"/>
            <w:hideMark/>
          </w:tcPr>
          <w:p w14:paraId="4994D16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shd w:val="clear" w:color="auto" w:fill="CFF0FC"/>
            <w:vAlign w:val="bottom"/>
            <w:hideMark/>
          </w:tcPr>
          <w:p w14:paraId="6D3217AF"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(1,147</w:t>
            </w:r>
          </w:p>
        </w:tc>
        <w:tc>
          <w:tcPr>
            <w:tcW w:w="0" w:type="auto"/>
            <w:shd w:val="clear" w:color="auto" w:fill="CFF0FC"/>
            <w:vAlign w:val="bottom"/>
            <w:hideMark/>
          </w:tcPr>
          <w:p w14:paraId="35C3886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r>
      <w:tr w:rsidR="002F3D36" w:rsidRPr="002F3D36" w14:paraId="575A345F" w14:textId="77777777" w:rsidTr="002F3D36">
        <w:trPr>
          <w:trHeight w:val="180"/>
          <w:tblCellSpacing w:w="15" w:type="dxa"/>
        </w:trPr>
        <w:tc>
          <w:tcPr>
            <w:tcW w:w="0" w:type="auto"/>
            <w:vAlign w:val="bottom"/>
            <w:hideMark/>
          </w:tcPr>
          <w:p w14:paraId="4157C7E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Total controlling interest’s equity</w:t>
            </w:r>
          </w:p>
        </w:tc>
        <w:tc>
          <w:tcPr>
            <w:tcW w:w="0" w:type="auto"/>
            <w:vAlign w:val="bottom"/>
            <w:hideMark/>
          </w:tcPr>
          <w:p w14:paraId="5F9CBDC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1B2AA6B0"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4E49646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vAlign w:val="bottom"/>
            <w:hideMark/>
          </w:tcPr>
          <w:p w14:paraId="709DEC0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vAlign w:val="bottom"/>
            <w:hideMark/>
          </w:tcPr>
          <w:p w14:paraId="7573D6B9"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b/>
                <w:bCs/>
                <w:color w:val="000000"/>
                <w:kern w:val="0"/>
                <w:sz w:val="18"/>
                <w:szCs w:val="18"/>
              </w:rPr>
              <w:t>2,633</w:t>
            </w:r>
          </w:p>
        </w:tc>
        <w:tc>
          <w:tcPr>
            <w:tcW w:w="0" w:type="auto"/>
            <w:vAlign w:val="bottom"/>
            <w:hideMark/>
          </w:tcPr>
          <w:p w14:paraId="78017AD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6BD302F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vAlign w:val="bottom"/>
            <w:hideMark/>
          </w:tcPr>
          <w:p w14:paraId="1924BA3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vAlign w:val="bottom"/>
            <w:hideMark/>
          </w:tcPr>
          <w:p w14:paraId="31094BD1"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b/>
                <w:bCs/>
                <w:color w:val="000000"/>
                <w:kern w:val="0"/>
                <w:sz w:val="18"/>
                <w:szCs w:val="18"/>
              </w:rPr>
              <w:t>2,409</w:t>
            </w:r>
          </w:p>
        </w:tc>
        <w:tc>
          <w:tcPr>
            <w:tcW w:w="0" w:type="auto"/>
            <w:vAlign w:val="bottom"/>
            <w:hideMark/>
          </w:tcPr>
          <w:p w14:paraId="4CAE575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7421B809" w14:textId="77777777" w:rsidTr="002F3D36">
        <w:trPr>
          <w:trHeight w:val="180"/>
          <w:tblCellSpacing w:w="15" w:type="dxa"/>
        </w:trPr>
        <w:tc>
          <w:tcPr>
            <w:tcW w:w="0" w:type="auto"/>
            <w:shd w:val="clear" w:color="auto" w:fill="CFF0FC"/>
            <w:vAlign w:val="bottom"/>
            <w:hideMark/>
          </w:tcPr>
          <w:p w14:paraId="3A97F31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Non-controlling interest</w:t>
            </w:r>
          </w:p>
        </w:tc>
        <w:tc>
          <w:tcPr>
            <w:tcW w:w="0" w:type="auto"/>
            <w:shd w:val="clear" w:color="auto" w:fill="CFF0FC"/>
            <w:vAlign w:val="bottom"/>
            <w:hideMark/>
          </w:tcPr>
          <w:p w14:paraId="72554CE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4D747025"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06FF0BB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shd w:val="clear" w:color="auto" w:fill="CFF0FC"/>
            <w:vAlign w:val="bottom"/>
            <w:hideMark/>
          </w:tcPr>
          <w:p w14:paraId="01704D6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shd w:val="clear" w:color="auto" w:fill="CFF0FC"/>
            <w:vAlign w:val="bottom"/>
            <w:hideMark/>
          </w:tcPr>
          <w:p w14:paraId="4C557866"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15</w:t>
            </w:r>
          </w:p>
        </w:tc>
        <w:tc>
          <w:tcPr>
            <w:tcW w:w="0" w:type="auto"/>
            <w:shd w:val="clear" w:color="auto" w:fill="CFF0FC"/>
            <w:vAlign w:val="bottom"/>
            <w:hideMark/>
          </w:tcPr>
          <w:p w14:paraId="05F8CC0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34B902B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shd w:val="clear" w:color="auto" w:fill="CFF0FC"/>
            <w:vAlign w:val="bottom"/>
            <w:hideMark/>
          </w:tcPr>
          <w:p w14:paraId="38A9E0D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shd w:val="clear" w:color="auto" w:fill="CFF0FC"/>
            <w:vAlign w:val="bottom"/>
            <w:hideMark/>
          </w:tcPr>
          <w:p w14:paraId="6823D1C7"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14</w:t>
            </w:r>
          </w:p>
        </w:tc>
        <w:tc>
          <w:tcPr>
            <w:tcW w:w="0" w:type="auto"/>
            <w:shd w:val="clear" w:color="auto" w:fill="CFF0FC"/>
            <w:vAlign w:val="bottom"/>
            <w:hideMark/>
          </w:tcPr>
          <w:p w14:paraId="41339D2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3414E7C5" w14:textId="77777777" w:rsidTr="002F3D36">
        <w:trPr>
          <w:trHeight w:val="180"/>
          <w:tblCellSpacing w:w="15" w:type="dxa"/>
        </w:trPr>
        <w:tc>
          <w:tcPr>
            <w:tcW w:w="0" w:type="auto"/>
            <w:vAlign w:val="bottom"/>
            <w:hideMark/>
          </w:tcPr>
          <w:p w14:paraId="4C9E38A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Total equity</w:t>
            </w:r>
          </w:p>
        </w:tc>
        <w:tc>
          <w:tcPr>
            <w:tcW w:w="0" w:type="auto"/>
            <w:vAlign w:val="bottom"/>
            <w:hideMark/>
          </w:tcPr>
          <w:p w14:paraId="6CF0B44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69414F40"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098A387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vAlign w:val="bottom"/>
            <w:hideMark/>
          </w:tcPr>
          <w:p w14:paraId="16A534D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vAlign w:val="bottom"/>
            <w:hideMark/>
          </w:tcPr>
          <w:p w14:paraId="5AE96031"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b/>
                <w:bCs/>
                <w:color w:val="000000"/>
                <w:kern w:val="0"/>
                <w:sz w:val="18"/>
                <w:szCs w:val="18"/>
              </w:rPr>
              <w:t>2,648</w:t>
            </w:r>
          </w:p>
        </w:tc>
        <w:tc>
          <w:tcPr>
            <w:tcW w:w="0" w:type="auto"/>
            <w:vAlign w:val="bottom"/>
            <w:hideMark/>
          </w:tcPr>
          <w:p w14:paraId="461C1F3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3FE5DAD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vAlign w:val="bottom"/>
            <w:hideMark/>
          </w:tcPr>
          <w:p w14:paraId="700958D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vAlign w:val="bottom"/>
            <w:hideMark/>
          </w:tcPr>
          <w:p w14:paraId="31A26881"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b/>
                <w:bCs/>
                <w:color w:val="000000"/>
                <w:kern w:val="0"/>
                <w:sz w:val="18"/>
                <w:szCs w:val="18"/>
              </w:rPr>
              <w:t>2,423</w:t>
            </w:r>
          </w:p>
        </w:tc>
        <w:tc>
          <w:tcPr>
            <w:tcW w:w="0" w:type="auto"/>
            <w:vAlign w:val="bottom"/>
            <w:hideMark/>
          </w:tcPr>
          <w:p w14:paraId="3E8FF77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0B693C84" w14:textId="77777777" w:rsidTr="002F3D36">
        <w:trPr>
          <w:trHeight w:val="180"/>
          <w:tblCellSpacing w:w="15" w:type="dxa"/>
        </w:trPr>
        <w:tc>
          <w:tcPr>
            <w:tcW w:w="0" w:type="auto"/>
            <w:shd w:val="clear" w:color="auto" w:fill="CFF0FC"/>
            <w:vAlign w:val="bottom"/>
            <w:hideMark/>
          </w:tcPr>
          <w:p w14:paraId="210C471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Total liabilities and equity</w:t>
            </w:r>
          </w:p>
        </w:tc>
        <w:tc>
          <w:tcPr>
            <w:tcW w:w="0" w:type="auto"/>
            <w:shd w:val="clear" w:color="auto" w:fill="CFF0FC"/>
            <w:vAlign w:val="bottom"/>
            <w:hideMark/>
          </w:tcPr>
          <w:p w14:paraId="6F10CF2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72E78D57"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382626C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shd w:val="clear" w:color="auto" w:fill="CFF0FC"/>
            <w:vAlign w:val="bottom"/>
            <w:hideMark/>
          </w:tcPr>
          <w:p w14:paraId="2AAAC15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w:t>
            </w:r>
          </w:p>
        </w:tc>
        <w:tc>
          <w:tcPr>
            <w:tcW w:w="0" w:type="auto"/>
            <w:tcBorders>
              <w:bottom w:val="single" w:sz="4" w:space="0" w:color="000000"/>
            </w:tcBorders>
            <w:shd w:val="clear" w:color="auto" w:fill="CFF0FC"/>
            <w:vAlign w:val="bottom"/>
            <w:hideMark/>
          </w:tcPr>
          <w:p w14:paraId="73C70129"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b/>
                <w:bCs/>
                <w:color w:val="000000"/>
                <w:kern w:val="0"/>
                <w:sz w:val="18"/>
                <w:szCs w:val="18"/>
              </w:rPr>
              <w:t>7,537</w:t>
            </w:r>
          </w:p>
        </w:tc>
        <w:tc>
          <w:tcPr>
            <w:tcW w:w="0" w:type="auto"/>
            <w:shd w:val="clear" w:color="auto" w:fill="CFF0FC"/>
            <w:vAlign w:val="bottom"/>
            <w:hideMark/>
          </w:tcPr>
          <w:p w14:paraId="34847FB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5A23CEF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shd w:val="clear" w:color="auto" w:fill="CFF0FC"/>
            <w:vAlign w:val="bottom"/>
            <w:hideMark/>
          </w:tcPr>
          <w:p w14:paraId="2AC7CAE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w:t>
            </w:r>
          </w:p>
        </w:tc>
        <w:tc>
          <w:tcPr>
            <w:tcW w:w="0" w:type="auto"/>
            <w:tcBorders>
              <w:bottom w:val="single" w:sz="4" w:space="0" w:color="000000"/>
            </w:tcBorders>
            <w:shd w:val="clear" w:color="auto" w:fill="CFF0FC"/>
            <w:vAlign w:val="bottom"/>
            <w:hideMark/>
          </w:tcPr>
          <w:p w14:paraId="4DBEB17D"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b/>
                <w:bCs/>
                <w:color w:val="000000"/>
                <w:kern w:val="0"/>
                <w:sz w:val="18"/>
                <w:szCs w:val="18"/>
              </w:rPr>
              <w:t>8,157</w:t>
            </w:r>
          </w:p>
        </w:tc>
        <w:tc>
          <w:tcPr>
            <w:tcW w:w="0" w:type="auto"/>
            <w:shd w:val="clear" w:color="auto" w:fill="CFF0FC"/>
            <w:vAlign w:val="bottom"/>
            <w:hideMark/>
          </w:tcPr>
          <w:p w14:paraId="27ABF88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bl>
    <w:p w14:paraId="5F434AA6"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24"/>
          <w:szCs w:val="24"/>
        </w:rPr>
        <w:t> </w:t>
      </w:r>
    </w:p>
    <w:p w14:paraId="3393B313"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6"/>
          <w:szCs w:val="16"/>
        </w:rPr>
        <w:t>1) Number of shares: 350 million authorized, 102.8 million issued for both years, and 87.5 and 87.4 million outstanding, net of treasury shares, for 2021 and 2020, respectively.</w:t>
      </w:r>
    </w:p>
    <w:p w14:paraId="4449A18A" w14:textId="77777777" w:rsidR="002F3D36" w:rsidRPr="002F3D36" w:rsidRDefault="002F3D36" w:rsidP="002F3D36">
      <w:pPr>
        <w:widowControl/>
        <w:spacing w:before="18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See Notes to the Consolidated Financial Statements.</w:t>
      </w:r>
    </w:p>
    <w:p w14:paraId="57C70977" w14:textId="77777777" w:rsidR="002F3D36" w:rsidRPr="002F3D36" w:rsidRDefault="002F3D36" w:rsidP="002F3D36">
      <w:pPr>
        <w:widowControl/>
        <w:spacing w:before="240"/>
        <w:jc w:val="center"/>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58</w:t>
      </w:r>
    </w:p>
    <w:p w14:paraId="09C30E5F" w14:textId="77777777" w:rsidR="002F3D36" w:rsidRPr="002F3D36" w:rsidRDefault="002F3D36" w:rsidP="002F3D36">
      <w:pPr>
        <w:widowControl/>
        <w:jc w:val="left"/>
        <w:rPr>
          <w:rFonts w:ascii="宋体" w:eastAsia="宋体" w:hAnsi="宋体" w:cs="宋体"/>
          <w:kern w:val="0"/>
          <w:sz w:val="24"/>
          <w:szCs w:val="24"/>
        </w:rPr>
      </w:pPr>
      <w:r w:rsidRPr="002F3D36">
        <w:rPr>
          <w:rFonts w:ascii="宋体" w:eastAsia="宋体" w:hAnsi="宋体" w:cs="宋体"/>
          <w:kern w:val="0"/>
          <w:sz w:val="24"/>
          <w:szCs w:val="24"/>
        </w:rPr>
        <w:pict w14:anchorId="402FB65D">
          <v:rect id="_x0000_i1085" style="width:0;height:1.5pt" o:hralign="center" o:hrstd="t" o:hrnoshade="t" o:hr="t" fillcolor="black" stroked="f"/>
        </w:pict>
      </w:r>
    </w:p>
    <w:p w14:paraId="1B0B1AD2" w14:textId="77777777" w:rsidR="002F3D36" w:rsidRPr="002F3D36" w:rsidRDefault="002F3D36" w:rsidP="002F3D36">
      <w:pPr>
        <w:widowControl/>
        <w:spacing w:line="20" w:lineRule="atLeast"/>
        <w:jc w:val="left"/>
        <w:rPr>
          <w:rFonts w:ascii="Times New Roman" w:eastAsia="宋体" w:hAnsi="Times New Roman" w:cs="Times New Roman"/>
          <w:color w:val="000000"/>
          <w:kern w:val="0"/>
          <w:sz w:val="20"/>
          <w:szCs w:val="20"/>
        </w:rPr>
      </w:pPr>
      <w:r w:rsidRPr="002F3D36">
        <w:rPr>
          <w:rFonts w:ascii="Arial" w:eastAsia="宋体" w:hAnsi="Arial" w:cs="Arial"/>
          <w:color w:val="000000"/>
          <w:kern w:val="0"/>
          <w:sz w:val="2"/>
          <w:szCs w:val="2"/>
        </w:rPr>
        <w:t> </w:t>
      </w:r>
    </w:p>
    <w:p w14:paraId="1410A8A2"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22"/>
        </w:rPr>
        <w:t>Consolidated Statements of Cash Flows</w:t>
      </w:r>
    </w:p>
    <w:p w14:paraId="5E22071F"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w:t>
      </w:r>
    </w:p>
    <w:tbl>
      <w:tblPr>
        <w:tblW w:w="20614" w:type="dxa"/>
        <w:tblCellSpacing w:w="15" w:type="dxa"/>
        <w:tblCellMar>
          <w:top w:w="15" w:type="dxa"/>
          <w:left w:w="15" w:type="dxa"/>
          <w:bottom w:w="15" w:type="dxa"/>
          <w:right w:w="15" w:type="dxa"/>
        </w:tblCellMar>
        <w:tblLook w:val="04A0" w:firstRow="1" w:lastRow="0" w:firstColumn="1" w:lastColumn="0" w:noHBand="0" w:noVBand="1"/>
      </w:tblPr>
      <w:tblGrid>
        <w:gridCol w:w="13165"/>
        <w:gridCol w:w="345"/>
        <w:gridCol w:w="273"/>
        <w:gridCol w:w="1684"/>
        <w:gridCol w:w="176"/>
        <w:gridCol w:w="346"/>
        <w:gridCol w:w="273"/>
        <w:gridCol w:w="1684"/>
        <w:gridCol w:w="176"/>
        <w:gridCol w:w="346"/>
        <w:gridCol w:w="273"/>
        <w:gridCol w:w="1682"/>
        <w:gridCol w:w="191"/>
      </w:tblGrid>
      <w:tr w:rsidR="002F3D36" w:rsidRPr="002F3D36" w14:paraId="373BB6AD" w14:textId="77777777" w:rsidTr="002F3D36">
        <w:trPr>
          <w:tblCellSpacing w:w="15" w:type="dxa"/>
        </w:trPr>
        <w:tc>
          <w:tcPr>
            <w:tcW w:w="13141" w:type="dxa"/>
            <w:vAlign w:val="center"/>
            <w:hideMark/>
          </w:tcPr>
          <w:p w14:paraId="5A7819E9" w14:textId="77777777" w:rsidR="002F3D36" w:rsidRPr="002F3D36" w:rsidRDefault="002F3D36" w:rsidP="002F3D36">
            <w:pPr>
              <w:widowControl/>
              <w:jc w:val="left"/>
              <w:rPr>
                <w:rFonts w:ascii="Times New Roman" w:eastAsia="宋体" w:hAnsi="Times New Roman" w:cs="Times New Roman"/>
                <w:color w:val="000000"/>
                <w:kern w:val="0"/>
                <w:sz w:val="20"/>
                <w:szCs w:val="20"/>
              </w:rPr>
            </w:pPr>
          </w:p>
        </w:tc>
        <w:tc>
          <w:tcPr>
            <w:tcW w:w="316" w:type="dxa"/>
            <w:vAlign w:val="center"/>
            <w:hideMark/>
          </w:tcPr>
          <w:p w14:paraId="4C86DDD4"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43" w:type="dxa"/>
            <w:vAlign w:val="center"/>
            <w:hideMark/>
          </w:tcPr>
          <w:p w14:paraId="6CF8F437"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656" w:type="dxa"/>
            <w:vAlign w:val="center"/>
            <w:hideMark/>
          </w:tcPr>
          <w:p w14:paraId="25BDD8E5"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46" w:type="dxa"/>
            <w:vAlign w:val="center"/>
            <w:hideMark/>
          </w:tcPr>
          <w:p w14:paraId="7F3686DB"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316" w:type="dxa"/>
            <w:vAlign w:val="center"/>
            <w:hideMark/>
          </w:tcPr>
          <w:p w14:paraId="69E06C34"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43" w:type="dxa"/>
            <w:vAlign w:val="center"/>
            <w:hideMark/>
          </w:tcPr>
          <w:p w14:paraId="61A3EF6A"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656" w:type="dxa"/>
            <w:vAlign w:val="center"/>
            <w:hideMark/>
          </w:tcPr>
          <w:p w14:paraId="69249E41"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46" w:type="dxa"/>
            <w:vAlign w:val="center"/>
            <w:hideMark/>
          </w:tcPr>
          <w:p w14:paraId="3CD82145"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316" w:type="dxa"/>
            <w:vAlign w:val="center"/>
            <w:hideMark/>
          </w:tcPr>
          <w:p w14:paraId="4A811EFF"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43" w:type="dxa"/>
            <w:vAlign w:val="center"/>
            <w:hideMark/>
          </w:tcPr>
          <w:p w14:paraId="568EE8B0"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654" w:type="dxa"/>
            <w:vAlign w:val="center"/>
            <w:hideMark/>
          </w:tcPr>
          <w:p w14:paraId="43818FCA"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46" w:type="dxa"/>
            <w:vAlign w:val="center"/>
            <w:hideMark/>
          </w:tcPr>
          <w:p w14:paraId="5C7608C8" w14:textId="77777777" w:rsidR="002F3D36" w:rsidRPr="002F3D36" w:rsidRDefault="002F3D36" w:rsidP="002F3D36">
            <w:pPr>
              <w:widowControl/>
              <w:jc w:val="left"/>
              <w:rPr>
                <w:rFonts w:ascii="Times New Roman" w:eastAsia="Times New Roman" w:hAnsi="Times New Roman" w:cs="Times New Roman"/>
                <w:kern w:val="0"/>
                <w:sz w:val="20"/>
                <w:szCs w:val="20"/>
              </w:rPr>
            </w:pPr>
          </w:p>
        </w:tc>
      </w:tr>
      <w:tr w:rsidR="002F3D36" w:rsidRPr="002F3D36" w14:paraId="71926C38" w14:textId="77777777" w:rsidTr="002F3D36">
        <w:trPr>
          <w:trHeight w:val="160"/>
          <w:tblCellSpacing w:w="15" w:type="dxa"/>
        </w:trPr>
        <w:tc>
          <w:tcPr>
            <w:tcW w:w="0" w:type="auto"/>
            <w:vAlign w:val="bottom"/>
            <w:hideMark/>
          </w:tcPr>
          <w:p w14:paraId="08DBD268"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vAlign w:val="bottom"/>
            <w:hideMark/>
          </w:tcPr>
          <w:p w14:paraId="7423A529" w14:textId="77777777" w:rsidR="002F3D36" w:rsidRPr="002F3D36" w:rsidRDefault="002F3D36" w:rsidP="002F3D36">
            <w:pPr>
              <w:widowControl/>
              <w:jc w:val="left"/>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gridSpan w:val="10"/>
            <w:tcBorders>
              <w:bottom w:val="single" w:sz="4" w:space="0" w:color="000000"/>
            </w:tcBorders>
            <w:vAlign w:val="bottom"/>
            <w:hideMark/>
          </w:tcPr>
          <w:p w14:paraId="16841DBE"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b/>
                <w:bCs/>
                <w:color w:val="000000"/>
                <w:kern w:val="0"/>
                <w:sz w:val="16"/>
                <w:szCs w:val="16"/>
              </w:rPr>
              <w:t>Years ended December 31</w:t>
            </w:r>
          </w:p>
        </w:tc>
        <w:tc>
          <w:tcPr>
            <w:tcW w:w="0" w:type="auto"/>
            <w:vAlign w:val="bottom"/>
            <w:hideMark/>
          </w:tcPr>
          <w:p w14:paraId="6575C1A3"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r>
      <w:tr w:rsidR="002F3D36" w:rsidRPr="002F3D36" w14:paraId="389225DA" w14:textId="77777777" w:rsidTr="002F3D36">
        <w:trPr>
          <w:trHeight w:val="160"/>
          <w:tblCellSpacing w:w="15" w:type="dxa"/>
        </w:trPr>
        <w:tc>
          <w:tcPr>
            <w:tcW w:w="0" w:type="auto"/>
            <w:vAlign w:val="bottom"/>
            <w:hideMark/>
          </w:tcPr>
          <w:p w14:paraId="194E90AA" w14:textId="77777777" w:rsidR="002F3D36" w:rsidRPr="002F3D36" w:rsidRDefault="002F3D36" w:rsidP="002F3D36">
            <w:pPr>
              <w:widowControl/>
              <w:jc w:val="left"/>
              <w:rPr>
                <w:rFonts w:ascii="Times New Roman" w:eastAsia="微软雅黑" w:hAnsi="Times New Roman" w:cs="Times New Roman"/>
                <w:kern w:val="0"/>
                <w:sz w:val="16"/>
                <w:szCs w:val="16"/>
              </w:rPr>
            </w:pPr>
            <w:r w:rsidRPr="002F3D36">
              <w:rPr>
                <w:rFonts w:ascii="Arial" w:eastAsia="微软雅黑" w:hAnsi="Arial" w:cs="Arial"/>
                <w:b/>
                <w:bCs/>
                <w:color w:val="000000"/>
                <w:kern w:val="0"/>
                <w:sz w:val="16"/>
                <w:szCs w:val="16"/>
                <w:u w:val="single"/>
              </w:rPr>
              <w:lastRenderedPageBreak/>
              <w:t>(DOLLARS IN MILLIONS)</w:t>
            </w:r>
          </w:p>
        </w:tc>
        <w:tc>
          <w:tcPr>
            <w:tcW w:w="0" w:type="auto"/>
            <w:vAlign w:val="bottom"/>
            <w:hideMark/>
          </w:tcPr>
          <w:p w14:paraId="733F25D8" w14:textId="77777777" w:rsidR="002F3D36" w:rsidRPr="002F3D36" w:rsidRDefault="002F3D36" w:rsidP="002F3D36">
            <w:pPr>
              <w:widowControl/>
              <w:jc w:val="left"/>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gridSpan w:val="2"/>
            <w:tcBorders>
              <w:bottom w:val="single" w:sz="4" w:space="0" w:color="000000"/>
            </w:tcBorders>
            <w:vAlign w:val="bottom"/>
            <w:hideMark/>
          </w:tcPr>
          <w:p w14:paraId="589BBD63"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b/>
                <w:bCs/>
                <w:color w:val="000000"/>
                <w:kern w:val="0"/>
                <w:sz w:val="16"/>
                <w:szCs w:val="16"/>
              </w:rPr>
              <w:t>2021</w:t>
            </w:r>
          </w:p>
        </w:tc>
        <w:tc>
          <w:tcPr>
            <w:tcW w:w="0" w:type="auto"/>
            <w:vAlign w:val="bottom"/>
            <w:hideMark/>
          </w:tcPr>
          <w:p w14:paraId="69BD6AC9"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vAlign w:val="bottom"/>
            <w:hideMark/>
          </w:tcPr>
          <w:p w14:paraId="22B68979" w14:textId="77777777" w:rsidR="002F3D36" w:rsidRPr="002F3D36" w:rsidRDefault="002F3D36" w:rsidP="002F3D36">
            <w:pPr>
              <w:widowControl/>
              <w:jc w:val="left"/>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gridSpan w:val="2"/>
            <w:tcBorders>
              <w:bottom w:val="single" w:sz="4" w:space="0" w:color="000000"/>
            </w:tcBorders>
            <w:vAlign w:val="bottom"/>
            <w:hideMark/>
          </w:tcPr>
          <w:p w14:paraId="4FC4A260"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b/>
                <w:bCs/>
                <w:color w:val="000000"/>
                <w:kern w:val="0"/>
                <w:sz w:val="16"/>
                <w:szCs w:val="16"/>
              </w:rPr>
              <w:t>2020</w:t>
            </w:r>
          </w:p>
        </w:tc>
        <w:tc>
          <w:tcPr>
            <w:tcW w:w="0" w:type="auto"/>
            <w:vAlign w:val="bottom"/>
            <w:hideMark/>
          </w:tcPr>
          <w:p w14:paraId="4596184A"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vAlign w:val="bottom"/>
            <w:hideMark/>
          </w:tcPr>
          <w:p w14:paraId="2A2E9970" w14:textId="77777777" w:rsidR="002F3D36" w:rsidRPr="002F3D36" w:rsidRDefault="002F3D36" w:rsidP="002F3D36">
            <w:pPr>
              <w:widowControl/>
              <w:jc w:val="left"/>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gridSpan w:val="2"/>
            <w:tcBorders>
              <w:bottom w:val="single" w:sz="4" w:space="0" w:color="000000"/>
            </w:tcBorders>
            <w:vAlign w:val="bottom"/>
            <w:hideMark/>
          </w:tcPr>
          <w:p w14:paraId="58C12D43"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b/>
                <w:bCs/>
                <w:color w:val="000000"/>
                <w:kern w:val="0"/>
                <w:sz w:val="16"/>
                <w:szCs w:val="16"/>
              </w:rPr>
              <w:t>2019</w:t>
            </w:r>
          </w:p>
        </w:tc>
        <w:tc>
          <w:tcPr>
            <w:tcW w:w="0" w:type="auto"/>
            <w:vAlign w:val="bottom"/>
            <w:hideMark/>
          </w:tcPr>
          <w:p w14:paraId="05F23970"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r>
      <w:tr w:rsidR="002F3D36" w:rsidRPr="002F3D36" w14:paraId="14F46441" w14:textId="77777777" w:rsidTr="002F3D36">
        <w:trPr>
          <w:trHeight w:val="180"/>
          <w:tblCellSpacing w:w="15" w:type="dxa"/>
        </w:trPr>
        <w:tc>
          <w:tcPr>
            <w:tcW w:w="0" w:type="auto"/>
            <w:shd w:val="clear" w:color="auto" w:fill="CFF0FC"/>
            <w:hideMark/>
          </w:tcPr>
          <w:p w14:paraId="59C2DD7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Operating activities</w:t>
            </w:r>
          </w:p>
        </w:tc>
        <w:tc>
          <w:tcPr>
            <w:tcW w:w="0" w:type="auto"/>
            <w:shd w:val="clear" w:color="auto" w:fill="CFF0FC"/>
            <w:vAlign w:val="bottom"/>
            <w:hideMark/>
          </w:tcPr>
          <w:p w14:paraId="23B6B35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gridSpan w:val="2"/>
            <w:shd w:val="clear" w:color="auto" w:fill="CFF0FC"/>
            <w:vAlign w:val="bottom"/>
            <w:hideMark/>
          </w:tcPr>
          <w:p w14:paraId="330BB2CE"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62D74F44"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7908DA0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gridSpan w:val="2"/>
            <w:shd w:val="clear" w:color="auto" w:fill="CFF0FC"/>
            <w:vAlign w:val="bottom"/>
            <w:hideMark/>
          </w:tcPr>
          <w:p w14:paraId="63A09E06"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23DB2C9D"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2A4B541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gridSpan w:val="2"/>
            <w:shd w:val="clear" w:color="auto" w:fill="CFF0FC"/>
            <w:vAlign w:val="bottom"/>
            <w:hideMark/>
          </w:tcPr>
          <w:p w14:paraId="26E67E2E"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7383738A"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0A227B80" w14:textId="77777777" w:rsidTr="002F3D36">
        <w:trPr>
          <w:trHeight w:val="180"/>
          <w:tblCellSpacing w:w="15" w:type="dxa"/>
        </w:trPr>
        <w:tc>
          <w:tcPr>
            <w:tcW w:w="0" w:type="auto"/>
            <w:hideMark/>
          </w:tcPr>
          <w:p w14:paraId="7EB6D37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Net income</w:t>
            </w:r>
          </w:p>
        </w:tc>
        <w:tc>
          <w:tcPr>
            <w:tcW w:w="0" w:type="auto"/>
            <w:vAlign w:val="bottom"/>
            <w:hideMark/>
          </w:tcPr>
          <w:p w14:paraId="46DBBC3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76CFB21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vAlign w:val="bottom"/>
            <w:hideMark/>
          </w:tcPr>
          <w:p w14:paraId="18EFF3B9"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437</w:t>
            </w:r>
          </w:p>
        </w:tc>
        <w:tc>
          <w:tcPr>
            <w:tcW w:w="0" w:type="auto"/>
            <w:vAlign w:val="bottom"/>
            <w:hideMark/>
          </w:tcPr>
          <w:p w14:paraId="4865D24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053FDD7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7E2097A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vAlign w:val="bottom"/>
            <w:hideMark/>
          </w:tcPr>
          <w:p w14:paraId="436748BF"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188</w:t>
            </w:r>
          </w:p>
        </w:tc>
        <w:tc>
          <w:tcPr>
            <w:tcW w:w="0" w:type="auto"/>
            <w:vAlign w:val="bottom"/>
            <w:hideMark/>
          </w:tcPr>
          <w:p w14:paraId="6C5EA81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066473D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56BD038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vAlign w:val="bottom"/>
            <w:hideMark/>
          </w:tcPr>
          <w:p w14:paraId="2C3C4421"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463</w:t>
            </w:r>
          </w:p>
        </w:tc>
        <w:tc>
          <w:tcPr>
            <w:tcW w:w="0" w:type="auto"/>
            <w:vAlign w:val="bottom"/>
            <w:hideMark/>
          </w:tcPr>
          <w:p w14:paraId="1F0E7EC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1D9FACED" w14:textId="77777777" w:rsidTr="002F3D36">
        <w:trPr>
          <w:trHeight w:val="180"/>
          <w:tblCellSpacing w:w="15" w:type="dxa"/>
        </w:trPr>
        <w:tc>
          <w:tcPr>
            <w:tcW w:w="0" w:type="auto"/>
            <w:shd w:val="clear" w:color="auto" w:fill="CFF0FC"/>
            <w:hideMark/>
          </w:tcPr>
          <w:p w14:paraId="67E8A3D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i/>
                <w:iCs/>
                <w:color w:val="000000"/>
                <w:kern w:val="0"/>
                <w:sz w:val="18"/>
                <w:szCs w:val="18"/>
              </w:rPr>
              <w:t>Adjustments to reconcile net income to cash provided by operating activities:</w:t>
            </w:r>
          </w:p>
        </w:tc>
        <w:tc>
          <w:tcPr>
            <w:tcW w:w="0" w:type="auto"/>
            <w:shd w:val="clear" w:color="auto" w:fill="CFF0FC"/>
            <w:vAlign w:val="bottom"/>
            <w:hideMark/>
          </w:tcPr>
          <w:p w14:paraId="62E2F7E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gridSpan w:val="2"/>
            <w:shd w:val="clear" w:color="auto" w:fill="CFF0FC"/>
            <w:vAlign w:val="bottom"/>
            <w:hideMark/>
          </w:tcPr>
          <w:p w14:paraId="384D2F9C"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04285396"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1A1B41C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gridSpan w:val="2"/>
            <w:shd w:val="clear" w:color="auto" w:fill="CFF0FC"/>
            <w:vAlign w:val="bottom"/>
            <w:hideMark/>
          </w:tcPr>
          <w:p w14:paraId="22B7A0E0"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79A37794"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0F2F708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gridSpan w:val="2"/>
            <w:shd w:val="clear" w:color="auto" w:fill="CFF0FC"/>
            <w:vAlign w:val="bottom"/>
            <w:hideMark/>
          </w:tcPr>
          <w:p w14:paraId="29FD16B5"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6D5CD68C"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35232545" w14:textId="77777777" w:rsidTr="002F3D36">
        <w:trPr>
          <w:trHeight w:val="180"/>
          <w:tblCellSpacing w:w="15" w:type="dxa"/>
        </w:trPr>
        <w:tc>
          <w:tcPr>
            <w:tcW w:w="0" w:type="auto"/>
            <w:hideMark/>
          </w:tcPr>
          <w:p w14:paraId="11B9C183" w14:textId="77777777" w:rsidR="002F3D36" w:rsidRPr="002F3D36" w:rsidRDefault="002F3D36" w:rsidP="002F3D36">
            <w:pPr>
              <w:widowControl/>
              <w:ind w:left="200"/>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Depreciation and amortization</w:t>
            </w:r>
          </w:p>
        </w:tc>
        <w:tc>
          <w:tcPr>
            <w:tcW w:w="0" w:type="auto"/>
            <w:vAlign w:val="bottom"/>
            <w:hideMark/>
          </w:tcPr>
          <w:p w14:paraId="1E41880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530C01F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0EB3DB30"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394</w:t>
            </w:r>
          </w:p>
        </w:tc>
        <w:tc>
          <w:tcPr>
            <w:tcW w:w="0" w:type="auto"/>
            <w:vAlign w:val="bottom"/>
            <w:hideMark/>
          </w:tcPr>
          <w:p w14:paraId="24EC895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215DC4B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254F9E5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7A79E929"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371</w:t>
            </w:r>
          </w:p>
        </w:tc>
        <w:tc>
          <w:tcPr>
            <w:tcW w:w="0" w:type="auto"/>
            <w:vAlign w:val="bottom"/>
            <w:hideMark/>
          </w:tcPr>
          <w:p w14:paraId="31F2B24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46ADDBF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16DC062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11E47F81"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351</w:t>
            </w:r>
          </w:p>
        </w:tc>
        <w:tc>
          <w:tcPr>
            <w:tcW w:w="0" w:type="auto"/>
            <w:vAlign w:val="bottom"/>
            <w:hideMark/>
          </w:tcPr>
          <w:p w14:paraId="05FC24F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60F2CEE2" w14:textId="77777777" w:rsidTr="002F3D36">
        <w:trPr>
          <w:trHeight w:val="180"/>
          <w:tblCellSpacing w:w="15" w:type="dxa"/>
        </w:trPr>
        <w:tc>
          <w:tcPr>
            <w:tcW w:w="0" w:type="auto"/>
            <w:shd w:val="clear" w:color="auto" w:fill="CFF0FC"/>
            <w:hideMark/>
          </w:tcPr>
          <w:p w14:paraId="2059A67A" w14:textId="77777777" w:rsidR="002F3D36" w:rsidRPr="002F3D36" w:rsidRDefault="002F3D36" w:rsidP="002F3D36">
            <w:pPr>
              <w:widowControl/>
              <w:ind w:left="200"/>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Deferred income taxes</w:t>
            </w:r>
          </w:p>
        </w:tc>
        <w:tc>
          <w:tcPr>
            <w:tcW w:w="0" w:type="auto"/>
            <w:shd w:val="clear" w:color="auto" w:fill="CFF0FC"/>
            <w:vAlign w:val="bottom"/>
            <w:hideMark/>
          </w:tcPr>
          <w:p w14:paraId="2A546B1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039C2F5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19D1C181"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(20</w:t>
            </w:r>
          </w:p>
        </w:tc>
        <w:tc>
          <w:tcPr>
            <w:tcW w:w="0" w:type="auto"/>
            <w:shd w:val="clear" w:color="auto" w:fill="CFF0FC"/>
            <w:vAlign w:val="bottom"/>
            <w:hideMark/>
          </w:tcPr>
          <w:p w14:paraId="1EF9269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shd w:val="clear" w:color="auto" w:fill="CFF0FC"/>
            <w:vAlign w:val="bottom"/>
            <w:hideMark/>
          </w:tcPr>
          <w:p w14:paraId="574B2A1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799A215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28FD41C0"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(24</w:t>
            </w:r>
          </w:p>
        </w:tc>
        <w:tc>
          <w:tcPr>
            <w:tcW w:w="0" w:type="auto"/>
            <w:shd w:val="clear" w:color="auto" w:fill="CFF0FC"/>
            <w:vAlign w:val="bottom"/>
            <w:hideMark/>
          </w:tcPr>
          <w:p w14:paraId="16D0191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shd w:val="clear" w:color="auto" w:fill="CFF0FC"/>
            <w:vAlign w:val="bottom"/>
            <w:hideMark/>
          </w:tcPr>
          <w:p w14:paraId="485EBBD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75588A4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60BCE270"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(16</w:t>
            </w:r>
          </w:p>
        </w:tc>
        <w:tc>
          <w:tcPr>
            <w:tcW w:w="0" w:type="auto"/>
            <w:shd w:val="clear" w:color="auto" w:fill="CFF0FC"/>
            <w:vAlign w:val="bottom"/>
            <w:hideMark/>
          </w:tcPr>
          <w:p w14:paraId="4947C23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r>
      <w:tr w:rsidR="002F3D36" w:rsidRPr="002F3D36" w14:paraId="705B18CF" w14:textId="77777777" w:rsidTr="002F3D36">
        <w:trPr>
          <w:trHeight w:val="180"/>
          <w:tblCellSpacing w:w="15" w:type="dxa"/>
        </w:trPr>
        <w:tc>
          <w:tcPr>
            <w:tcW w:w="0" w:type="auto"/>
            <w:hideMark/>
          </w:tcPr>
          <w:p w14:paraId="5DF7AD8F" w14:textId="77777777" w:rsidR="002F3D36" w:rsidRPr="002F3D36" w:rsidRDefault="002F3D36" w:rsidP="002F3D36">
            <w:pPr>
              <w:widowControl/>
              <w:ind w:left="200"/>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Loss from equity method investments, net of dividends</w:t>
            </w:r>
          </w:p>
        </w:tc>
        <w:tc>
          <w:tcPr>
            <w:tcW w:w="0" w:type="auto"/>
            <w:vAlign w:val="bottom"/>
            <w:hideMark/>
          </w:tcPr>
          <w:p w14:paraId="01CA31A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44DF79F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4C567EE0"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(3</w:t>
            </w:r>
          </w:p>
        </w:tc>
        <w:tc>
          <w:tcPr>
            <w:tcW w:w="0" w:type="auto"/>
            <w:vAlign w:val="bottom"/>
            <w:hideMark/>
          </w:tcPr>
          <w:p w14:paraId="2D4E442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vAlign w:val="bottom"/>
            <w:hideMark/>
          </w:tcPr>
          <w:p w14:paraId="2E9A1BE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692E726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35E76CFA"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0</w:t>
            </w:r>
          </w:p>
        </w:tc>
        <w:tc>
          <w:tcPr>
            <w:tcW w:w="0" w:type="auto"/>
            <w:vAlign w:val="bottom"/>
            <w:hideMark/>
          </w:tcPr>
          <w:p w14:paraId="0A4C75F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3256084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29876DB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4B881576"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4</w:t>
            </w:r>
          </w:p>
        </w:tc>
        <w:tc>
          <w:tcPr>
            <w:tcW w:w="0" w:type="auto"/>
            <w:vAlign w:val="bottom"/>
            <w:hideMark/>
          </w:tcPr>
          <w:p w14:paraId="3EAC3AD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2E0FD7D6" w14:textId="77777777" w:rsidTr="002F3D36">
        <w:trPr>
          <w:trHeight w:val="180"/>
          <w:tblCellSpacing w:w="15" w:type="dxa"/>
        </w:trPr>
        <w:tc>
          <w:tcPr>
            <w:tcW w:w="0" w:type="auto"/>
            <w:shd w:val="clear" w:color="auto" w:fill="CFF0FC"/>
            <w:hideMark/>
          </w:tcPr>
          <w:p w14:paraId="71D3A5F2" w14:textId="77777777" w:rsidR="002F3D36" w:rsidRPr="002F3D36" w:rsidRDefault="002F3D36" w:rsidP="002F3D36">
            <w:pPr>
              <w:widowControl/>
              <w:ind w:left="200"/>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Other, net</w:t>
            </w:r>
          </w:p>
        </w:tc>
        <w:tc>
          <w:tcPr>
            <w:tcW w:w="0" w:type="auto"/>
            <w:shd w:val="clear" w:color="auto" w:fill="CFF0FC"/>
            <w:vAlign w:val="bottom"/>
            <w:hideMark/>
          </w:tcPr>
          <w:p w14:paraId="5F9232B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06B095C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3F6F0ACC"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8</w:t>
            </w:r>
          </w:p>
        </w:tc>
        <w:tc>
          <w:tcPr>
            <w:tcW w:w="0" w:type="auto"/>
            <w:shd w:val="clear" w:color="auto" w:fill="CFF0FC"/>
            <w:vAlign w:val="bottom"/>
            <w:hideMark/>
          </w:tcPr>
          <w:p w14:paraId="21FE189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2C02229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68F5A42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32A6D624"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37</w:t>
            </w:r>
          </w:p>
        </w:tc>
        <w:tc>
          <w:tcPr>
            <w:tcW w:w="0" w:type="auto"/>
            <w:shd w:val="clear" w:color="auto" w:fill="CFF0FC"/>
            <w:vAlign w:val="bottom"/>
            <w:hideMark/>
          </w:tcPr>
          <w:p w14:paraId="4571ED7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3EB06FA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11B96AE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11473A6C"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(5</w:t>
            </w:r>
          </w:p>
        </w:tc>
        <w:tc>
          <w:tcPr>
            <w:tcW w:w="0" w:type="auto"/>
            <w:shd w:val="clear" w:color="auto" w:fill="CFF0FC"/>
            <w:vAlign w:val="bottom"/>
            <w:hideMark/>
          </w:tcPr>
          <w:p w14:paraId="7499098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r>
      <w:tr w:rsidR="002F3D36" w:rsidRPr="002F3D36" w14:paraId="76DB5A43" w14:textId="77777777" w:rsidTr="002F3D36">
        <w:trPr>
          <w:trHeight w:val="180"/>
          <w:tblCellSpacing w:w="15" w:type="dxa"/>
        </w:trPr>
        <w:tc>
          <w:tcPr>
            <w:tcW w:w="0" w:type="auto"/>
            <w:hideMark/>
          </w:tcPr>
          <w:p w14:paraId="30D80B6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i/>
                <w:iCs/>
                <w:color w:val="000000"/>
                <w:kern w:val="0"/>
                <w:sz w:val="18"/>
                <w:szCs w:val="18"/>
              </w:rPr>
              <w:t>Net change in operating working capital:</w:t>
            </w:r>
          </w:p>
        </w:tc>
        <w:tc>
          <w:tcPr>
            <w:tcW w:w="0" w:type="auto"/>
            <w:vAlign w:val="bottom"/>
            <w:hideMark/>
          </w:tcPr>
          <w:p w14:paraId="6B394B8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gridSpan w:val="2"/>
            <w:vAlign w:val="bottom"/>
            <w:hideMark/>
          </w:tcPr>
          <w:p w14:paraId="101331DE"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4B6CD190"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28B058D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gridSpan w:val="2"/>
            <w:vAlign w:val="bottom"/>
            <w:hideMark/>
          </w:tcPr>
          <w:p w14:paraId="104C9CDA"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662A16E2"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77BCC51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gridSpan w:val="2"/>
            <w:vAlign w:val="bottom"/>
            <w:hideMark/>
          </w:tcPr>
          <w:p w14:paraId="1FE1561A"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22B0E203"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1C252199" w14:textId="77777777" w:rsidTr="002F3D36">
        <w:trPr>
          <w:trHeight w:val="180"/>
          <w:tblCellSpacing w:w="15" w:type="dxa"/>
        </w:trPr>
        <w:tc>
          <w:tcPr>
            <w:tcW w:w="0" w:type="auto"/>
            <w:shd w:val="clear" w:color="auto" w:fill="CFF0FC"/>
            <w:hideMark/>
          </w:tcPr>
          <w:p w14:paraId="5822BFFD" w14:textId="77777777" w:rsidR="002F3D36" w:rsidRPr="002F3D36" w:rsidRDefault="002F3D36" w:rsidP="002F3D36">
            <w:pPr>
              <w:widowControl/>
              <w:ind w:left="200"/>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EC antitrust payment</w:t>
            </w:r>
          </w:p>
        </w:tc>
        <w:tc>
          <w:tcPr>
            <w:tcW w:w="0" w:type="auto"/>
            <w:shd w:val="clear" w:color="auto" w:fill="CFF0FC"/>
            <w:vAlign w:val="bottom"/>
            <w:hideMark/>
          </w:tcPr>
          <w:p w14:paraId="482C2C4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61AC1BD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22B55589"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w:t>
            </w:r>
          </w:p>
        </w:tc>
        <w:tc>
          <w:tcPr>
            <w:tcW w:w="0" w:type="auto"/>
            <w:shd w:val="clear" w:color="auto" w:fill="CFF0FC"/>
            <w:vAlign w:val="bottom"/>
            <w:hideMark/>
          </w:tcPr>
          <w:p w14:paraId="219F2C5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727572C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1EC02BD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4D5E5C6D"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w:t>
            </w:r>
          </w:p>
        </w:tc>
        <w:tc>
          <w:tcPr>
            <w:tcW w:w="0" w:type="auto"/>
            <w:shd w:val="clear" w:color="auto" w:fill="CFF0FC"/>
            <w:vAlign w:val="bottom"/>
            <w:hideMark/>
          </w:tcPr>
          <w:p w14:paraId="380C977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561B903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7A785B9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765F2A0A"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(203</w:t>
            </w:r>
          </w:p>
        </w:tc>
        <w:tc>
          <w:tcPr>
            <w:tcW w:w="0" w:type="auto"/>
            <w:shd w:val="clear" w:color="auto" w:fill="CFF0FC"/>
            <w:vAlign w:val="bottom"/>
            <w:hideMark/>
          </w:tcPr>
          <w:p w14:paraId="3BDCAEA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r>
      <w:tr w:rsidR="002F3D36" w:rsidRPr="002F3D36" w14:paraId="3D851ADD" w14:textId="77777777" w:rsidTr="002F3D36">
        <w:trPr>
          <w:trHeight w:val="180"/>
          <w:tblCellSpacing w:w="15" w:type="dxa"/>
        </w:trPr>
        <w:tc>
          <w:tcPr>
            <w:tcW w:w="0" w:type="auto"/>
            <w:hideMark/>
          </w:tcPr>
          <w:p w14:paraId="5786B7C2" w14:textId="77777777" w:rsidR="002F3D36" w:rsidRPr="002F3D36" w:rsidRDefault="002F3D36" w:rsidP="002F3D36">
            <w:pPr>
              <w:widowControl/>
              <w:ind w:left="200"/>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Receivables and other assets, gross</w:t>
            </w:r>
          </w:p>
        </w:tc>
        <w:tc>
          <w:tcPr>
            <w:tcW w:w="0" w:type="auto"/>
            <w:vAlign w:val="bottom"/>
            <w:hideMark/>
          </w:tcPr>
          <w:p w14:paraId="66446AC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69C09A2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1CE67F72"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283</w:t>
            </w:r>
          </w:p>
        </w:tc>
        <w:tc>
          <w:tcPr>
            <w:tcW w:w="0" w:type="auto"/>
            <w:vAlign w:val="bottom"/>
            <w:hideMark/>
          </w:tcPr>
          <w:p w14:paraId="51B3F18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7F44F1C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12FD1CB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13427644"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(415</w:t>
            </w:r>
          </w:p>
        </w:tc>
        <w:tc>
          <w:tcPr>
            <w:tcW w:w="0" w:type="auto"/>
            <w:vAlign w:val="bottom"/>
            <w:hideMark/>
          </w:tcPr>
          <w:p w14:paraId="77BFB88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vAlign w:val="bottom"/>
            <w:hideMark/>
          </w:tcPr>
          <w:p w14:paraId="1116611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22969D2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07186C37"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25</w:t>
            </w:r>
          </w:p>
        </w:tc>
        <w:tc>
          <w:tcPr>
            <w:tcW w:w="0" w:type="auto"/>
            <w:vAlign w:val="bottom"/>
            <w:hideMark/>
          </w:tcPr>
          <w:p w14:paraId="4EFC3B8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05625674" w14:textId="77777777" w:rsidTr="002F3D36">
        <w:trPr>
          <w:trHeight w:val="180"/>
          <w:tblCellSpacing w:w="15" w:type="dxa"/>
        </w:trPr>
        <w:tc>
          <w:tcPr>
            <w:tcW w:w="0" w:type="auto"/>
            <w:shd w:val="clear" w:color="auto" w:fill="CFF0FC"/>
            <w:hideMark/>
          </w:tcPr>
          <w:p w14:paraId="3664622F" w14:textId="77777777" w:rsidR="002F3D36" w:rsidRPr="002F3D36" w:rsidRDefault="002F3D36" w:rsidP="002F3D36">
            <w:pPr>
              <w:widowControl/>
              <w:ind w:left="200"/>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Inventories, gross</w:t>
            </w:r>
          </w:p>
        </w:tc>
        <w:tc>
          <w:tcPr>
            <w:tcW w:w="0" w:type="auto"/>
            <w:shd w:val="clear" w:color="auto" w:fill="CFF0FC"/>
            <w:vAlign w:val="bottom"/>
            <w:hideMark/>
          </w:tcPr>
          <w:p w14:paraId="44176D0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51BDA79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73D318BB"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(19</w:t>
            </w:r>
          </w:p>
        </w:tc>
        <w:tc>
          <w:tcPr>
            <w:tcW w:w="0" w:type="auto"/>
            <w:shd w:val="clear" w:color="auto" w:fill="CFF0FC"/>
            <w:vAlign w:val="bottom"/>
            <w:hideMark/>
          </w:tcPr>
          <w:p w14:paraId="0468A5B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shd w:val="clear" w:color="auto" w:fill="CFF0FC"/>
            <w:vAlign w:val="bottom"/>
            <w:hideMark/>
          </w:tcPr>
          <w:p w14:paraId="3DAA009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3DE6B4D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56B59212"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(34</w:t>
            </w:r>
          </w:p>
        </w:tc>
        <w:tc>
          <w:tcPr>
            <w:tcW w:w="0" w:type="auto"/>
            <w:shd w:val="clear" w:color="auto" w:fill="CFF0FC"/>
            <w:vAlign w:val="bottom"/>
            <w:hideMark/>
          </w:tcPr>
          <w:p w14:paraId="0EB1AC3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shd w:val="clear" w:color="auto" w:fill="CFF0FC"/>
            <w:vAlign w:val="bottom"/>
            <w:hideMark/>
          </w:tcPr>
          <w:p w14:paraId="5127534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6CB29A3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1AD31E81"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15</w:t>
            </w:r>
          </w:p>
        </w:tc>
        <w:tc>
          <w:tcPr>
            <w:tcW w:w="0" w:type="auto"/>
            <w:shd w:val="clear" w:color="auto" w:fill="CFF0FC"/>
            <w:vAlign w:val="bottom"/>
            <w:hideMark/>
          </w:tcPr>
          <w:p w14:paraId="3045EB5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2459D31D" w14:textId="77777777" w:rsidTr="002F3D36">
        <w:trPr>
          <w:trHeight w:val="180"/>
          <w:tblCellSpacing w:w="15" w:type="dxa"/>
        </w:trPr>
        <w:tc>
          <w:tcPr>
            <w:tcW w:w="0" w:type="auto"/>
            <w:hideMark/>
          </w:tcPr>
          <w:p w14:paraId="289B5E8F" w14:textId="77777777" w:rsidR="002F3D36" w:rsidRPr="002F3D36" w:rsidRDefault="002F3D36" w:rsidP="002F3D36">
            <w:pPr>
              <w:widowControl/>
              <w:ind w:left="200"/>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Accounts payable and accrued expenses</w:t>
            </w:r>
          </w:p>
        </w:tc>
        <w:tc>
          <w:tcPr>
            <w:tcW w:w="0" w:type="auto"/>
            <w:vAlign w:val="bottom"/>
            <w:hideMark/>
          </w:tcPr>
          <w:p w14:paraId="6B87533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418F3DF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2F490B5E"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(314</w:t>
            </w:r>
          </w:p>
        </w:tc>
        <w:tc>
          <w:tcPr>
            <w:tcW w:w="0" w:type="auto"/>
            <w:vAlign w:val="bottom"/>
            <w:hideMark/>
          </w:tcPr>
          <w:p w14:paraId="2045D87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vAlign w:val="bottom"/>
            <w:hideMark/>
          </w:tcPr>
          <w:p w14:paraId="328CF88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6526796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100D4183"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672</w:t>
            </w:r>
          </w:p>
        </w:tc>
        <w:tc>
          <w:tcPr>
            <w:tcW w:w="0" w:type="auto"/>
            <w:vAlign w:val="bottom"/>
            <w:hideMark/>
          </w:tcPr>
          <w:p w14:paraId="6796FC2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2655566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32E0007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567E894E"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36</w:t>
            </w:r>
          </w:p>
        </w:tc>
        <w:tc>
          <w:tcPr>
            <w:tcW w:w="0" w:type="auto"/>
            <w:vAlign w:val="bottom"/>
            <w:hideMark/>
          </w:tcPr>
          <w:p w14:paraId="4F66586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07BD25CC" w14:textId="77777777" w:rsidTr="002F3D36">
        <w:trPr>
          <w:trHeight w:val="180"/>
          <w:tblCellSpacing w:w="15" w:type="dxa"/>
        </w:trPr>
        <w:tc>
          <w:tcPr>
            <w:tcW w:w="0" w:type="auto"/>
            <w:shd w:val="clear" w:color="auto" w:fill="CFF0FC"/>
            <w:hideMark/>
          </w:tcPr>
          <w:p w14:paraId="2504D0C2" w14:textId="77777777" w:rsidR="002F3D36" w:rsidRPr="002F3D36" w:rsidRDefault="002F3D36" w:rsidP="002F3D36">
            <w:pPr>
              <w:widowControl/>
              <w:ind w:left="200"/>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Income taxes</w:t>
            </w:r>
          </w:p>
        </w:tc>
        <w:tc>
          <w:tcPr>
            <w:tcW w:w="0" w:type="auto"/>
            <w:shd w:val="clear" w:color="auto" w:fill="CFF0FC"/>
            <w:vAlign w:val="bottom"/>
            <w:hideMark/>
          </w:tcPr>
          <w:p w14:paraId="44C9786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shd w:val="clear" w:color="auto" w:fill="CFF0FC"/>
            <w:vAlign w:val="bottom"/>
            <w:hideMark/>
          </w:tcPr>
          <w:p w14:paraId="001D87D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shd w:val="clear" w:color="auto" w:fill="CFF0FC"/>
            <w:vAlign w:val="bottom"/>
            <w:hideMark/>
          </w:tcPr>
          <w:p w14:paraId="07F07329"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(12</w:t>
            </w:r>
          </w:p>
        </w:tc>
        <w:tc>
          <w:tcPr>
            <w:tcW w:w="0" w:type="auto"/>
            <w:shd w:val="clear" w:color="auto" w:fill="CFF0FC"/>
            <w:vAlign w:val="bottom"/>
            <w:hideMark/>
          </w:tcPr>
          <w:p w14:paraId="2E7EA6A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shd w:val="clear" w:color="auto" w:fill="CFF0FC"/>
            <w:vAlign w:val="bottom"/>
            <w:hideMark/>
          </w:tcPr>
          <w:p w14:paraId="4BCBB30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shd w:val="clear" w:color="auto" w:fill="CFF0FC"/>
            <w:vAlign w:val="bottom"/>
            <w:hideMark/>
          </w:tcPr>
          <w:p w14:paraId="609F7C0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shd w:val="clear" w:color="auto" w:fill="CFF0FC"/>
            <w:vAlign w:val="bottom"/>
            <w:hideMark/>
          </w:tcPr>
          <w:p w14:paraId="6166EDEA"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54</w:t>
            </w:r>
          </w:p>
        </w:tc>
        <w:tc>
          <w:tcPr>
            <w:tcW w:w="0" w:type="auto"/>
            <w:shd w:val="clear" w:color="auto" w:fill="CFF0FC"/>
            <w:vAlign w:val="bottom"/>
            <w:hideMark/>
          </w:tcPr>
          <w:p w14:paraId="44C2192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654AC8C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shd w:val="clear" w:color="auto" w:fill="CFF0FC"/>
            <w:vAlign w:val="bottom"/>
            <w:hideMark/>
          </w:tcPr>
          <w:p w14:paraId="0105403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shd w:val="clear" w:color="auto" w:fill="CFF0FC"/>
            <w:vAlign w:val="bottom"/>
            <w:hideMark/>
          </w:tcPr>
          <w:p w14:paraId="417CD06D"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(29</w:t>
            </w:r>
          </w:p>
        </w:tc>
        <w:tc>
          <w:tcPr>
            <w:tcW w:w="0" w:type="auto"/>
            <w:shd w:val="clear" w:color="auto" w:fill="CFF0FC"/>
            <w:vAlign w:val="bottom"/>
            <w:hideMark/>
          </w:tcPr>
          <w:p w14:paraId="6C54AEA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r>
      <w:tr w:rsidR="002F3D36" w:rsidRPr="002F3D36" w14:paraId="43DFD0FD" w14:textId="77777777" w:rsidTr="002F3D36">
        <w:trPr>
          <w:trHeight w:val="180"/>
          <w:tblCellSpacing w:w="15" w:type="dxa"/>
        </w:trPr>
        <w:tc>
          <w:tcPr>
            <w:tcW w:w="0" w:type="auto"/>
            <w:hideMark/>
          </w:tcPr>
          <w:p w14:paraId="7E5FB09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Net cash provided by operating activities</w:t>
            </w:r>
          </w:p>
        </w:tc>
        <w:tc>
          <w:tcPr>
            <w:tcW w:w="0" w:type="auto"/>
            <w:vAlign w:val="bottom"/>
            <w:hideMark/>
          </w:tcPr>
          <w:p w14:paraId="3806748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6AB08F8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127FAC0E"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b/>
                <w:bCs/>
                <w:color w:val="000000"/>
                <w:kern w:val="0"/>
                <w:sz w:val="18"/>
                <w:szCs w:val="18"/>
              </w:rPr>
              <w:t>754</w:t>
            </w:r>
          </w:p>
        </w:tc>
        <w:tc>
          <w:tcPr>
            <w:tcW w:w="0" w:type="auto"/>
            <w:vAlign w:val="bottom"/>
            <w:hideMark/>
          </w:tcPr>
          <w:p w14:paraId="46F83F6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3CA5DDC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42395F4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2E08EDAD"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b/>
                <w:bCs/>
                <w:color w:val="000000"/>
                <w:kern w:val="0"/>
                <w:sz w:val="18"/>
                <w:szCs w:val="18"/>
              </w:rPr>
              <w:t>849</w:t>
            </w:r>
          </w:p>
        </w:tc>
        <w:tc>
          <w:tcPr>
            <w:tcW w:w="0" w:type="auto"/>
            <w:vAlign w:val="bottom"/>
            <w:hideMark/>
          </w:tcPr>
          <w:p w14:paraId="2792D93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47A4FFB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1FF38B7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5D3A2899"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b/>
                <w:bCs/>
                <w:color w:val="000000"/>
                <w:kern w:val="0"/>
                <w:sz w:val="18"/>
                <w:szCs w:val="18"/>
              </w:rPr>
              <w:t>641</w:t>
            </w:r>
          </w:p>
        </w:tc>
        <w:tc>
          <w:tcPr>
            <w:tcW w:w="0" w:type="auto"/>
            <w:vAlign w:val="bottom"/>
            <w:hideMark/>
          </w:tcPr>
          <w:p w14:paraId="1B3463A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377EF814" w14:textId="77777777" w:rsidTr="002F3D36">
        <w:trPr>
          <w:trHeight w:val="180"/>
          <w:tblCellSpacing w:w="15" w:type="dxa"/>
        </w:trPr>
        <w:tc>
          <w:tcPr>
            <w:tcW w:w="0" w:type="auto"/>
            <w:shd w:val="clear" w:color="auto" w:fill="CFF0FC"/>
            <w:hideMark/>
          </w:tcPr>
          <w:p w14:paraId="7C61532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Investing activities</w:t>
            </w:r>
          </w:p>
        </w:tc>
        <w:tc>
          <w:tcPr>
            <w:tcW w:w="0" w:type="auto"/>
            <w:shd w:val="clear" w:color="auto" w:fill="CFF0FC"/>
            <w:vAlign w:val="bottom"/>
            <w:hideMark/>
          </w:tcPr>
          <w:p w14:paraId="3CBFBF7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gridSpan w:val="2"/>
            <w:shd w:val="clear" w:color="auto" w:fill="CFF0FC"/>
            <w:vAlign w:val="bottom"/>
            <w:hideMark/>
          </w:tcPr>
          <w:p w14:paraId="2320BFA7"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3A651C78"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5402074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gridSpan w:val="2"/>
            <w:shd w:val="clear" w:color="auto" w:fill="CFF0FC"/>
            <w:vAlign w:val="bottom"/>
            <w:hideMark/>
          </w:tcPr>
          <w:p w14:paraId="6CDE06E8"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1CBBE380"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6F136AA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gridSpan w:val="2"/>
            <w:shd w:val="clear" w:color="auto" w:fill="CFF0FC"/>
            <w:vAlign w:val="bottom"/>
            <w:hideMark/>
          </w:tcPr>
          <w:p w14:paraId="56EFA1F8"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42259982"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796432D9" w14:textId="77777777" w:rsidTr="002F3D36">
        <w:trPr>
          <w:trHeight w:val="180"/>
          <w:tblCellSpacing w:w="15" w:type="dxa"/>
        </w:trPr>
        <w:tc>
          <w:tcPr>
            <w:tcW w:w="0" w:type="auto"/>
            <w:hideMark/>
          </w:tcPr>
          <w:p w14:paraId="1CFFE7A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Expenditures for property, plant and equipment</w:t>
            </w:r>
          </w:p>
        </w:tc>
        <w:tc>
          <w:tcPr>
            <w:tcW w:w="0" w:type="auto"/>
            <w:vAlign w:val="bottom"/>
            <w:hideMark/>
          </w:tcPr>
          <w:p w14:paraId="20673AC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3346ABD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393B8F94"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(458</w:t>
            </w:r>
          </w:p>
        </w:tc>
        <w:tc>
          <w:tcPr>
            <w:tcW w:w="0" w:type="auto"/>
            <w:vAlign w:val="bottom"/>
            <w:hideMark/>
          </w:tcPr>
          <w:p w14:paraId="3D00023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vAlign w:val="bottom"/>
            <w:hideMark/>
          </w:tcPr>
          <w:p w14:paraId="446310C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2787F06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251F2D50"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(344</w:t>
            </w:r>
          </w:p>
        </w:tc>
        <w:tc>
          <w:tcPr>
            <w:tcW w:w="0" w:type="auto"/>
            <w:vAlign w:val="bottom"/>
            <w:hideMark/>
          </w:tcPr>
          <w:p w14:paraId="381A13E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vAlign w:val="bottom"/>
            <w:hideMark/>
          </w:tcPr>
          <w:p w14:paraId="5B7972F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5D3C012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62047747"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(483</w:t>
            </w:r>
          </w:p>
        </w:tc>
        <w:tc>
          <w:tcPr>
            <w:tcW w:w="0" w:type="auto"/>
            <w:vAlign w:val="bottom"/>
            <w:hideMark/>
          </w:tcPr>
          <w:p w14:paraId="6060B74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r>
      <w:tr w:rsidR="002F3D36" w:rsidRPr="002F3D36" w14:paraId="0FFE0771" w14:textId="77777777" w:rsidTr="002F3D36">
        <w:trPr>
          <w:trHeight w:val="180"/>
          <w:tblCellSpacing w:w="15" w:type="dxa"/>
        </w:trPr>
        <w:tc>
          <w:tcPr>
            <w:tcW w:w="0" w:type="auto"/>
            <w:shd w:val="clear" w:color="auto" w:fill="CFF0FC"/>
            <w:hideMark/>
          </w:tcPr>
          <w:p w14:paraId="13FFAC0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Proceeds from sale of property, plant and equipment</w:t>
            </w:r>
          </w:p>
        </w:tc>
        <w:tc>
          <w:tcPr>
            <w:tcW w:w="0" w:type="auto"/>
            <w:shd w:val="clear" w:color="auto" w:fill="CFF0FC"/>
            <w:vAlign w:val="bottom"/>
            <w:hideMark/>
          </w:tcPr>
          <w:p w14:paraId="5277C33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shd w:val="clear" w:color="auto" w:fill="CFF0FC"/>
            <w:vAlign w:val="bottom"/>
            <w:hideMark/>
          </w:tcPr>
          <w:p w14:paraId="5787F42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shd w:val="clear" w:color="auto" w:fill="CFF0FC"/>
            <w:vAlign w:val="bottom"/>
            <w:hideMark/>
          </w:tcPr>
          <w:p w14:paraId="15AF908F"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4</w:t>
            </w:r>
          </w:p>
        </w:tc>
        <w:tc>
          <w:tcPr>
            <w:tcW w:w="0" w:type="auto"/>
            <w:shd w:val="clear" w:color="auto" w:fill="CFF0FC"/>
            <w:vAlign w:val="bottom"/>
            <w:hideMark/>
          </w:tcPr>
          <w:p w14:paraId="0B497D7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1D5FFF7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shd w:val="clear" w:color="auto" w:fill="CFF0FC"/>
            <w:vAlign w:val="bottom"/>
            <w:hideMark/>
          </w:tcPr>
          <w:p w14:paraId="06D7ACD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shd w:val="clear" w:color="auto" w:fill="CFF0FC"/>
            <w:vAlign w:val="bottom"/>
            <w:hideMark/>
          </w:tcPr>
          <w:p w14:paraId="1B0F0B61"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4</w:t>
            </w:r>
          </w:p>
        </w:tc>
        <w:tc>
          <w:tcPr>
            <w:tcW w:w="0" w:type="auto"/>
            <w:shd w:val="clear" w:color="auto" w:fill="CFF0FC"/>
            <w:vAlign w:val="bottom"/>
            <w:hideMark/>
          </w:tcPr>
          <w:p w14:paraId="2B34361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0D0C16D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shd w:val="clear" w:color="auto" w:fill="CFF0FC"/>
            <w:vAlign w:val="bottom"/>
            <w:hideMark/>
          </w:tcPr>
          <w:p w14:paraId="23D584C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shd w:val="clear" w:color="auto" w:fill="CFF0FC"/>
            <w:vAlign w:val="bottom"/>
            <w:hideMark/>
          </w:tcPr>
          <w:p w14:paraId="5152DEF7"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7</w:t>
            </w:r>
          </w:p>
        </w:tc>
        <w:tc>
          <w:tcPr>
            <w:tcW w:w="0" w:type="auto"/>
            <w:shd w:val="clear" w:color="auto" w:fill="CFF0FC"/>
            <w:vAlign w:val="bottom"/>
            <w:hideMark/>
          </w:tcPr>
          <w:p w14:paraId="7340976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1BBBBDE0" w14:textId="77777777" w:rsidTr="002F3D36">
        <w:trPr>
          <w:trHeight w:val="180"/>
          <w:tblCellSpacing w:w="15" w:type="dxa"/>
        </w:trPr>
        <w:tc>
          <w:tcPr>
            <w:tcW w:w="0" w:type="auto"/>
            <w:hideMark/>
          </w:tcPr>
          <w:p w14:paraId="1F70419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Net cash used in investing activities</w:t>
            </w:r>
          </w:p>
        </w:tc>
        <w:tc>
          <w:tcPr>
            <w:tcW w:w="0" w:type="auto"/>
            <w:vAlign w:val="bottom"/>
            <w:hideMark/>
          </w:tcPr>
          <w:p w14:paraId="3091C30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62F4D19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65188D94"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b/>
                <w:bCs/>
                <w:color w:val="000000"/>
                <w:kern w:val="0"/>
                <w:sz w:val="18"/>
                <w:szCs w:val="18"/>
              </w:rPr>
              <w:t>(454</w:t>
            </w:r>
          </w:p>
        </w:tc>
        <w:tc>
          <w:tcPr>
            <w:tcW w:w="0" w:type="auto"/>
            <w:vAlign w:val="bottom"/>
            <w:hideMark/>
          </w:tcPr>
          <w:p w14:paraId="79FC41C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w:t>
            </w:r>
          </w:p>
        </w:tc>
        <w:tc>
          <w:tcPr>
            <w:tcW w:w="0" w:type="auto"/>
            <w:vAlign w:val="bottom"/>
            <w:hideMark/>
          </w:tcPr>
          <w:p w14:paraId="5D7549E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77A153F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031F599E"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b/>
                <w:bCs/>
                <w:color w:val="000000"/>
                <w:kern w:val="0"/>
                <w:sz w:val="18"/>
                <w:szCs w:val="18"/>
              </w:rPr>
              <w:t>(340</w:t>
            </w:r>
          </w:p>
        </w:tc>
        <w:tc>
          <w:tcPr>
            <w:tcW w:w="0" w:type="auto"/>
            <w:vAlign w:val="bottom"/>
            <w:hideMark/>
          </w:tcPr>
          <w:p w14:paraId="64BDB41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w:t>
            </w:r>
          </w:p>
        </w:tc>
        <w:tc>
          <w:tcPr>
            <w:tcW w:w="0" w:type="auto"/>
            <w:vAlign w:val="bottom"/>
            <w:hideMark/>
          </w:tcPr>
          <w:p w14:paraId="5CB2272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3994E36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1FE3BC68"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b/>
                <w:bCs/>
                <w:color w:val="000000"/>
                <w:kern w:val="0"/>
                <w:sz w:val="18"/>
                <w:szCs w:val="18"/>
              </w:rPr>
              <w:t>(476</w:t>
            </w:r>
          </w:p>
        </w:tc>
        <w:tc>
          <w:tcPr>
            <w:tcW w:w="0" w:type="auto"/>
            <w:vAlign w:val="bottom"/>
            <w:hideMark/>
          </w:tcPr>
          <w:p w14:paraId="7EBFB62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w:t>
            </w:r>
          </w:p>
        </w:tc>
      </w:tr>
      <w:tr w:rsidR="002F3D36" w:rsidRPr="002F3D36" w14:paraId="039F12EB" w14:textId="77777777" w:rsidTr="002F3D36">
        <w:trPr>
          <w:trHeight w:val="180"/>
          <w:tblCellSpacing w:w="15" w:type="dxa"/>
        </w:trPr>
        <w:tc>
          <w:tcPr>
            <w:tcW w:w="0" w:type="auto"/>
            <w:shd w:val="clear" w:color="auto" w:fill="CFF0FC"/>
            <w:hideMark/>
          </w:tcPr>
          <w:p w14:paraId="0C700DC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Financing activities</w:t>
            </w:r>
          </w:p>
        </w:tc>
        <w:tc>
          <w:tcPr>
            <w:tcW w:w="0" w:type="auto"/>
            <w:shd w:val="clear" w:color="auto" w:fill="CFF0FC"/>
            <w:vAlign w:val="bottom"/>
            <w:hideMark/>
          </w:tcPr>
          <w:p w14:paraId="41CD1EC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gridSpan w:val="2"/>
            <w:shd w:val="clear" w:color="auto" w:fill="CFF0FC"/>
            <w:vAlign w:val="bottom"/>
            <w:hideMark/>
          </w:tcPr>
          <w:p w14:paraId="75227475"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45DAA73D"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704E970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gridSpan w:val="2"/>
            <w:shd w:val="clear" w:color="auto" w:fill="CFF0FC"/>
            <w:vAlign w:val="bottom"/>
            <w:hideMark/>
          </w:tcPr>
          <w:p w14:paraId="120455B7"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4B58F844"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2F3917A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gridSpan w:val="2"/>
            <w:shd w:val="clear" w:color="auto" w:fill="CFF0FC"/>
            <w:vAlign w:val="bottom"/>
            <w:hideMark/>
          </w:tcPr>
          <w:p w14:paraId="3C4E32EC"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1F0450DE"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78F266EE" w14:textId="77777777" w:rsidTr="002F3D36">
        <w:trPr>
          <w:trHeight w:val="180"/>
          <w:tblCellSpacing w:w="15" w:type="dxa"/>
        </w:trPr>
        <w:tc>
          <w:tcPr>
            <w:tcW w:w="0" w:type="auto"/>
            <w:hideMark/>
          </w:tcPr>
          <w:p w14:paraId="08A572A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Net decrease in short-term debt</w:t>
            </w:r>
          </w:p>
        </w:tc>
        <w:tc>
          <w:tcPr>
            <w:tcW w:w="0" w:type="auto"/>
            <w:vAlign w:val="bottom"/>
            <w:hideMark/>
          </w:tcPr>
          <w:p w14:paraId="4E2D1E4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33EE816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5FE7F5F5"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(286</w:t>
            </w:r>
          </w:p>
        </w:tc>
        <w:tc>
          <w:tcPr>
            <w:tcW w:w="0" w:type="auto"/>
            <w:vAlign w:val="bottom"/>
            <w:hideMark/>
          </w:tcPr>
          <w:p w14:paraId="60D39D2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vAlign w:val="bottom"/>
            <w:hideMark/>
          </w:tcPr>
          <w:p w14:paraId="3140E99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224EFCF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4B4B2370"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(240</w:t>
            </w:r>
          </w:p>
        </w:tc>
        <w:tc>
          <w:tcPr>
            <w:tcW w:w="0" w:type="auto"/>
            <w:vAlign w:val="bottom"/>
            <w:hideMark/>
          </w:tcPr>
          <w:p w14:paraId="1C9B50C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vAlign w:val="bottom"/>
            <w:hideMark/>
          </w:tcPr>
          <w:p w14:paraId="0D7610D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05711DA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5F8BCB83"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(364</w:t>
            </w:r>
          </w:p>
        </w:tc>
        <w:tc>
          <w:tcPr>
            <w:tcW w:w="0" w:type="auto"/>
            <w:vAlign w:val="bottom"/>
            <w:hideMark/>
          </w:tcPr>
          <w:p w14:paraId="110B48B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r>
      <w:tr w:rsidR="002F3D36" w:rsidRPr="002F3D36" w14:paraId="455F3A70" w14:textId="77777777" w:rsidTr="002F3D36">
        <w:trPr>
          <w:trHeight w:val="180"/>
          <w:tblCellSpacing w:w="15" w:type="dxa"/>
        </w:trPr>
        <w:tc>
          <w:tcPr>
            <w:tcW w:w="0" w:type="auto"/>
            <w:shd w:val="clear" w:color="auto" w:fill="CFF0FC"/>
            <w:hideMark/>
          </w:tcPr>
          <w:p w14:paraId="0663A45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Increase in long-term debt</w:t>
            </w:r>
          </w:p>
        </w:tc>
        <w:tc>
          <w:tcPr>
            <w:tcW w:w="0" w:type="auto"/>
            <w:shd w:val="clear" w:color="auto" w:fill="CFF0FC"/>
            <w:vAlign w:val="bottom"/>
            <w:hideMark/>
          </w:tcPr>
          <w:p w14:paraId="37A5267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55C1F3F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0CB9BFF9"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w:t>
            </w:r>
          </w:p>
        </w:tc>
        <w:tc>
          <w:tcPr>
            <w:tcW w:w="0" w:type="auto"/>
            <w:shd w:val="clear" w:color="auto" w:fill="CFF0FC"/>
            <w:vAlign w:val="bottom"/>
            <w:hideMark/>
          </w:tcPr>
          <w:p w14:paraId="4D067A7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0C95EEB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6EF4C6F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3F82BB31"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1,177</w:t>
            </w:r>
          </w:p>
        </w:tc>
        <w:tc>
          <w:tcPr>
            <w:tcW w:w="0" w:type="auto"/>
            <w:shd w:val="clear" w:color="auto" w:fill="CFF0FC"/>
            <w:vAlign w:val="bottom"/>
            <w:hideMark/>
          </w:tcPr>
          <w:p w14:paraId="1554143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5597DAB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3DAE97C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6E01FD24"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244</w:t>
            </w:r>
          </w:p>
        </w:tc>
        <w:tc>
          <w:tcPr>
            <w:tcW w:w="0" w:type="auto"/>
            <w:shd w:val="clear" w:color="auto" w:fill="CFF0FC"/>
            <w:vAlign w:val="bottom"/>
            <w:hideMark/>
          </w:tcPr>
          <w:p w14:paraId="5D59495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06E32348" w14:textId="77777777" w:rsidTr="002F3D36">
        <w:trPr>
          <w:trHeight w:val="180"/>
          <w:tblCellSpacing w:w="15" w:type="dxa"/>
        </w:trPr>
        <w:tc>
          <w:tcPr>
            <w:tcW w:w="0" w:type="auto"/>
            <w:hideMark/>
          </w:tcPr>
          <w:p w14:paraId="7151BE7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Repayment of long-term debt</w:t>
            </w:r>
          </w:p>
        </w:tc>
        <w:tc>
          <w:tcPr>
            <w:tcW w:w="0" w:type="auto"/>
            <w:vAlign w:val="bottom"/>
            <w:hideMark/>
          </w:tcPr>
          <w:p w14:paraId="6805BF8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3F90F96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37BCC514"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(20</w:t>
            </w:r>
          </w:p>
        </w:tc>
        <w:tc>
          <w:tcPr>
            <w:tcW w:w="0" w:type="auto"/>
            <w:vAlign w:val="bottom"/>
            <w:hideMark/>
          </w:tcPr>
          <w:p w14:paraId="5FE14FE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vAlign w:val="bottom"/>
            <w:hideMark/>
          </w:tcPr>
          <w:p w14:paraId="61C24CB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7607055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0664BF2A"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(723</w:t>
            </w:r>
          </w:p>
        </w:tc>
        <w:tc>
          <w:tcPr>
            <w:tcW w:w="0" w:type="auto"/>
            <w:vAlign w:val="bottom"/>
            <w:hideMark/>
          </w:tcPr>
          <w:p w14:paraId="620658B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vAlign w:val="bottom"/>
            <w:hideMark/>
          </w:tcPr>
          <w:p w14:paraId="28874A7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6941729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0ED66BF2"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0</w:t>
            </w:r>
          </w:p>
        </w:tc>
        <w:tc>
          <w:tcPr>
            <w:tcW w:w="0" w:type="auto"/>
            <w:vAlign w:val="bottom"/>
            <w:hideMark/>
          </w:tcPr>
          <w:p w14:paraId="52F7C8E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5D9BCF48" w14:textId="77777777" w:rsidTr="002F3D36">
        <w:trPr>
          <w:trHeight w:val="180"/>
          <w:tblCellSpacing w:w="15" w:type="dxa"/>
        </w:trPr>
        <w:tc>
          <w:tcPr>
            <w:tcW w:w="0" w:type="auto"/>
            <w:shd w:val="clear" w:color="auto" w:fill="CFF0FC"/>
            <w:hideMark/>
          </w:tcPr>
          <w:p w14:paraId="52CD411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Dividends paid to non-controlling interest</w:t>
            </w:r>
          </w:p>
        </w:tc>
        <w:tc>
          <w:tcPr>
            <w:tcW w:w="0" w:type="auto"/>
            <w:shd w:val="clear" w:color="auto" w:fill="CFF0FC"/>
            <w:vAlign w:val="bottom"/>
            <w:hideMark/>
          </w:tcPr>
          <w:p w14:paraId="2746270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495523E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624FD46C"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(1</w:t>
            </w:r>
          </w:p>
        </w:tc>
        <w:tc>
          <w:tcPr>
            <w:tcW w:w="0" w:type="auto"/>
            <w:shd w:val="clear" w:color="auto" w:fill="CFF0FC"/>
            <w:vAlign w:val="bottom"/>
            <w:hideMark/>
          </w:tcPr>
          <w:p w14:paraId="2B951C3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shd w:val="clear" w:color="auto" w:fill="CFF0FC"/>
            <w:vAlign w:val="bottom"/>
            <w:hideMark/>
          </w:tcPr>
          <w:p w14:paraId="1268097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3C3F65B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672D9DEE"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(1</w:t>
            </w:r>
          </w:p>
        </w:tc>
        <w:tc>
          <w:tcPr>
            <w:tcW w:w="0" w:type="auto"/>
            <w:shd w:val="clear" w:color="auto" w:fill="CFF0FC"/>
            <w:vAlign w:val="bottom"/>
            <w:hideMark/>
          </w:tcPr>
          <w:p w14:paraId="5C1090B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shd w:val="clear" w:color="auto" w:fill="CFF0FC"/>
            <w:vAlign w:val="bottom"/>
            <w:hideMark/>
          </w:tcPr>
          <w:p w14:paraId="028DCEB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153F5E4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3B118F6F"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(1</w:t>
            </w:r>
          </w:p>
        </w:tc>
        <w:tc>
          <w:tcPr>
            <w:tcW w:w="0" w:type="auto"/>
            <w:shd w:val="clear" w:color="auto" w:fill="CFF0FC"/>
            <w:vAlign w:val="bottom"/>
            <w:hideMark/>
          </w:tcPr>
          <w:p w14:paraId="2BB86F8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r>
      <w:tr w:rsidR="002F3D36" w:rsidRPr="002F3D36" w14:paraId="4FAA892D" w14:textId="77777777" w:rsidTr="002F3D36">
        <w:trPr>
          <w:trHeight w:val="180"/>
          <w:tblCellSpacing w:w="15" w:type="dxa"/>
        </w:trPr>
        <w:tc>
          <w:tcPr>
            <w:tcW w:w="0" w:type="auto"/>
            <w:hideMark/>
          </w:tcPr>
          <w:p w14:paraId="3D6BE84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Dividends paid</w:t>
            </w:r>
          </w:p>
        </w:tc>
        <w:tc>
          <w:tcPr>
            <w:tcW w:w="0" w:type="auto"/>
            <w:vAlign w:val="bottom"/>
            <w:hideMark/>
          </w:tcPr>
          <w:p w14:paraId="6FBBC86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12052AD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6B49056B"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(165</w:t>
            </w:r>
          </w:p>
        </w:tc>
        <w:tc>
          <w:tcPr>
            <w:tcW w:w="0" w:type="auto"/>
            <w:vAlign w:val="bottom"/>
            <w:hideMark/>
          </w:tcPr>
          <w:p w14:paraId="6B61C41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vAlign w:val="bottom"/>
            <w:hideMark/>
          </w:tcPr>
          <w:p w14:paraId="20ADA29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40445AA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19563E37"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(54</w:t>
            </w:r>
          </w:p>
        </w:tc>
        <w:tc>
          <w:tcPr>
            <w:tcW w:w="0" w:type="auto"/>
            <w:vAlign w:val="bottom"/>
            <w:hideMark/>
          </w:tcPr>
          <w:p w14:paraId="1C9D886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vAlign w:val="bottom"/>
            <w:hideMark/>
          </w:tcPr>
          <w:p w14:paraId="628637F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521D340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4561C6B6"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(217</w:t>
            </w:r>
          </w:p>
        </w:tc>
        <w:tc>
          <w:tcPr>
            <w:tcW w:w="0" w:type="auto"/>
            <w:vAlign w:val="bottom"/>
            <w:hideMark/>
          </w:tcPr>
          <w:p w14:paraId="5311099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r>
      <w:tr w:rsidR="002F3D36" w:rsidRPr="002F3D36" w14:paraId="335EB4F6" w14:textId="77777777" w:rsidTr="002F3D36">
        <w:trPr>
          <w:trHeight w:val="180"/>
          <w:tblCellSpacing w:w="15" w:type="dxa"/>
        </w:trPr>
        <w:tc>
          <w:tcPr>
            <w:tcW w:w="0" w:type="auto"/>
            <w:shd w:val="clear" w:color="auto" w:fill="CFF0FC"/>
            <w:hideMark/>
          </w:tcPr>
          <w:p w14:paraId="5C5D659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Common stock options exercised</w:t>
            </w:r>
          </w:p>
        </w:tc>
        <w:tc>
          <w:tcPr>
            <w:tcW w:w="0" w:type="auto"/>
            <w:shd w:val="clear" w:color="auto" w:fill="CFF0FC"/>
            <w:vAlign w:val="bottom"/>
            <w:hideMark/>
          </w:tcPr>
          <w:p w14:paraId="060EBDA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shd w:val="clear" w:color="auto" w:fill="CFF0FC"/>
            <w:vAlign w:val="bottom"/>
            <w:hideMark/>
          </w:tcPr>
          <w:p w14:paraId="7E8D7B5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shd w:val="clear" w:color="auto" w:fill="CFF0FC"/>
            <w:vAlign w:val="bottom"/>
            <w:hideMark/>
          </w:tcPr>
          <w:p w14:paraId="14C0A440"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3</w:t>
            </w:r>
          </w:p>
        </w:tc>
        <w:tc>
          <w:tcPr>
            <w:tcW w:w="0" w:type="auto"/>
            <w:shd w:val="clear" w:color="auto" w:fill="CFF0FC"/>
            <w:vAlign w:val="bottom"/>
            <w:hideMark/>
          </w:tcPr>
          <w:p w14:paraId="3D69EC3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2397BFF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shd w:val="clear" w:color="auto" w:fill="CFF0FC"/>
            <w:vAlign w:val="bottom"/>
            <w:hideMark/>
          </w:tcPr>
          <w:p w14:paraId="0FAC333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shd w:val="clear" w:color="auto" w:fill="CFF0FC"/>
            <w:vAlign w:val="bottom"/>
            <w:hideMark/>
          </w:tcPr>
          <w:p w14:paraId="5C3649BB"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1</w:t>
            </w:r>
          </w:p>
        </w:tc>
        <w:tc>
          <w:tcPr>
            <w:tcW w:w="0" w:type="auto"/>
            <w:shd w:val="clear" w:color="auto" w:fill="CFF0FC"/>
            <w:vAlign w:val="bottom"/>
            <w:hideMark/>
          </w:tcPr>
          <w:p w14:paraId="29B768F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7C42CA5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shd w:val="clear" w:color="auto" w:fill="CFF0FC"/>
            <w:vAlign w:val="bottom"/>
            <w:hideMark/>
          </w:tcPr>
          <w:p w14:paraId="295A043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shd w:val="clear" w:color="auto" w:fill="CFF0FC"/>
            <w:vAlign w:val="bottom"/>
            <w:hideMark/>
          </w:tcPr>
          <w:p w14:paraId="7D606EE5"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1</w:t>
            </w:r>
          </w:p>
        </w:tc>
        <w:tc>
          <w:tcPr>
            <w:tcW w:w="0" w:type="auto"/>
            <w:shd w:val="clear" w:color="auto" w:fill="CFF0FC"/>
            <w:vAlign w:val="bottom"/>
            <w:hideMark/>
          </w:tcPr>
          <w:p w14:paraId="778B3AE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333A14CB" w14:textId="77777777" w:rsidTr="002F3D36">
        <w:trPr>
          <w:trHeight w:val="180"/>
          <w:tblCellSpacing w:w="15" w:type="dxa"/>
        </w:trPr>
        <w:tc>
          <w:tcPr>
            <w:tcW w:w="0" w:type="auto"/>
            <w:hideMark/>
          </w:tcPr>
          <w:p w14:paraId="5351188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Net cash (used in) provided by financing activities</w:t>
            </w:r>
          </w:p>
        </w:tc>
        <w:tc>
          <w:tcPr>
            <w:tcW w:w="0" w:type="auto"/>
            <w:vAlign w:val="bottom"/>
            <w:hideMark/>
          </w:tcPr>
          <w:p w14:paraId="6926169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753D266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45F7E456"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b/>
                <w:bCs/>
                <w:color w:val="000000"/>
                <w:kern w:val="0"/>
                <w:sz w:val="18"/>
                <w:szCs w:val="18"/>
              </w:rPr>
              <w:t>(469</w:t>
            </w:r>
          </w:p>
        </w:tc>
        <w:tc>
          <w:tcPr>
            <w:tcW w:w="0" w:type="auto"/>
            <w:vAlign w:val="bottom"/>
            <w:hideMark/>
          </w:tcPr>
          <w:p w14:paraId="51FF8EA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w:t>
            </w:r>
          </w:p>
        </w:tc>
        <w:tc>
          <w:tcPr>
            <w:tcW w:w="0" w:type="auto"/>
            <w:vAlign w:val="bottom"/>
            <w:hideMark/>
          </w:tcPr>
          <w:p w14:paraId="5411A87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4477BAD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40487286"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b/>
                <w:bCs/>
                <w:color w:val="000000"/>
                <w:kern w:val="0"/>
                <w:sz w:val="18"/>
                <w:szCs w:val="18"/>
              </w:rPr>
              <w:t>160</w:t>
            </w:r>
          </w:p>
        </w:tc>
        <w:tc>
          <w:tcPr>
            <w:tcW w:w="0" w:type="auto"/>
            <w:vAlign w:val="bottom"/>
            <w:hideMark/>
          </w:tcPr>
          <w:p w14:paraId="365E480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59FE547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0CFA3E5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7736F196"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b/>
                <w:bCs/>
                <w:color w:val="000000"/>
                <w:kern w:val="0"/>
                <w:sz w:val="18"/>
                <w:szCs w:val="18"/>
              </w:rPr>
              <w:t>(338</w:t>
            </w:r>
          </w:p>
        </w:tc>
        <w:tc>
          <w:tcPr>
            <w:tcW w:w="0" w:type="auto"/>
            <w:vAlign w:val="bottom"/>
            <w:hideMark/>
          </w:tcPr>
          <w:p w14:paraId="11DF011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w:t>
            </w:r>
          </w:p>
        </w:tc>
      </w:tr>
      <w:tr w:rsidR="002F3D36" w:rsidRPr="002F3D36" w14:paraId="15824D1B" w14:textId="77777777" w:rsidTr="002F3D36">
        <w:trPr>
          <w:trHeight w:val="180"/>
          <w:tblCellSpacing w:w="15" w:type="dxa"/>
        </w:trPr>
        <w:tc>
          <w:tcPr>
            <w:tcW w:w="0" w:type="auto"/>
            <w:shd w:val="clear" w:color="auto" w:fill="CFF0FC"/>
            <w:hideMark/>
          </w:tcPr>
          <w:p w14:paraId="563C7B1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Effect of exchange rate changes on cash and cash equivalents</w:t>
            </w:r>
          </w:p>
        </w:tc>
        <w:tc>
          <w:tcPr>
            <w:tcW w:w="0" w:type="auto"/>
            <w:shd w:val="clear" w:color="auto" w:fill="CFF0FC"/>
            <w:vAlign w:val="bottom"/>
            <w:hideMark/>
          </w:tcPr>
          <w:p w14:paraId="694C4A1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shd w:val="clear" w:color="auto" w:fill="CFF0FC"/>
            <w:vAlign w:val="bottom"/>
            <w:hideMark/>
          </w:tcPr>
          <w:p w14:paraId="2EC47CC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shd w:val="clear" w:color="auto" w:fill="CFF0FC"/>
            <w:vAlign w:val="bottom"/>
            <w:hideMark/>
          </w:tcPr>
          <w:p w14:paraId="42F2A465"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(39</w:t>
            </w:r>
          </w:p>
        </w:tc>
        <w:tc>
          <w:tcPr>
            <w:tcW w:w="0" w:type="auto"/>
            <w:shd w:val="clear" w:color="auto" w:fill="CFF0FC"/>
            <w:vAlign w:val="bottom"/>
            <w:hideMark/>
          </w:tcPr>
          <w:p w14:paraId="71999DF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shd w:val="clear" w:color="auto" w:fill="CFF0FC"/>
            <w:vAlign w:val="bottom"/>
            <w:hideMark/>
          </w:tcPr>
          <w:p w14:paraId="2D4D0BE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shd w:val="clear" w:color="auto" w:fill="CFF0FC"/>
            <w:vAlign w:val="bottom"/>
            <w:hideMark/>
          </w:tcPr>
          <w:p w14:paraId="7FCF7A2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shd w:val="clear" w:color="auto" w:fill="CFF0FC"/>
            <w:vAlign w:val="bottom"/>
            <w:hideMark/>
          </w:tcPr>
          <w:p w14:paraId="558E426C"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64</w:t>
            </w:r>
          </w:p>
        </w:tc>
        <w:tc>
          <w:tcPr>
            <w:tcW w:w="0" w:type="auto"/>
            <w:shd w:val="clear" w:color="auto" w:fill="CFF0FC"/>
            <w:vAlign w:val="bottom"/>
            <w:hideMark/>
          </w:tcPr>
          <w:p w14:paraId="4D9706A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35E7BB5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shd w:val="clear" w:color="auto" w:fill="CFF0FC"/>
            <w:vAlign w:val="bottom"/>
            <w:hideMark/>
          </w:tcPr>
          <w:p w14:paraId="160BD88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shd w:val="clear" w:color="auto" w:fill="CFF0FC"/>
            <w:vAlign w:val="bottom"/>
            <w:hideMark/>
          </w:tcPr>
          <w:p w14:paraId="5F7F2CB4"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2</w:t>
            </w:r>
          </w:p>
        </w:tc>
        <w:tc>
          <w:tcPr>
            <w:tcW w:w="0" w:type="auto"/>
            <w:shd w:val="clear" w:color="auto" w:fill="CFF0FC"/>
            <w:vAlign w:val="bottom"/>
            <w:hideMark/>
          </w:tcPr>
          <w:p w14:paraId="2CE2D7E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4B31C3E4" w14:textId="77777777" w:rsidTr="002F3D36">
        <w:trPr>
          <w:trHeight w:val="180"/>
          <w:tblCellSpacing w:w="15" w:type="dxa"/>
        </w:trPr>
        <w:tc>
          <w:tcPr>
            <w:tcW w:w="0" w:type="auto"/>
            <w:hideMark/>
          </w:tcPr>
          <w:p w14:paraId="42D4CC8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(Decrease) increase in cash and cash equivalents</w:t>
            </w:r>
          </w:p>
        </w:tc>
        <w:tc>
          <w:tcPr>
            <w:tcW w:w="0" w:type="auto"/>
            <w:vAlign w:val="bottom"/>
            <w:hideMark/>
          </w:tcPr>
          <w:p w14:paraId="78B6B74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14A1D1A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1EF573DA"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b/>
                <w:bCs/>
                <w:color w:val="000000"/>
                <w:kern w:val="0"/>
                <w:sz w:val="18"/>
                <w:szCs w:val="18"/>
              </w:rPr>
              <w:t>(209</w:t>
            </w:r>
          </w:p>
        </w:tc>
        <w:tc>
          <w:tcPr>
            <w:tcW w:w="0" w:type="auto"/>
            <w:vAlign w:val="bottom"/>
            <w:hideMark/>
          </w:tcPr>
          <w:p w14:paraId="496A26C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w:t>
            </w:r>
          </w:p>
        </w:tc>
        <w:tc>
          <w:tcPr>
            <w:tcW w:w="0" w:type="auto"/>
            <w:vAlign w:val="bottom"/>
            <w:hideMark/>
          </w:tcPr>
          <w:p w14:paraId="085F273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4570514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00EB0B01"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b/>
                <w:bCs/>
                <w:color w:val="000000"/>
                <w:kern w:val="0"/>
                <w:sz w:val="18"/>
                <w:szCs w:val="18"/>
              </w:rPr>
              <w:t>734</w:t>
            </w:r>
          </w:p>
        </w:tc>
        <w:tc>
          <w:tcPr>
            <w:tcW w:w="0" w:type="auto"/>
            <w:vAlign w:val="bottom"/>
            <w:hideMark/>
          </w:tcPr>
          <w:p w14:paraId="5411E2A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4D3110D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6E5FC3D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6AE84693"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b/>
                <w:bCs/>
                <w:color w:val="000000"/>
                <w:kern w:val="0"/>
                <w:sz w:val="18"/>
                <w:szCs w:val="18"/>
              </w:rPr>
              <w:t>(171</w:t>
            </w:r>
          </w:p>
        </w:tc>
        <w:tc>
          <w:tcPr>
            <w:tcW w:w="0" w:type="auto"/>
            <w:vAlign w:val="bottom"/>
            <w:hideMark/>
          </w:tcPr>
          <w:p w14:paraId="6BE855D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w:t>
            </w:r>
          </w:p>
        </w:tc>
      </w:tr>
      <w:tr w:rsidR="002F3D36" w:rsidRPr="002F3D36" w14:paraId="1D89FE2C" w14:textId="77777777" w:rsidTr="002F3D36">
        <w:trPr>
          <w:trHeight w:val="180"/>
          <w:tblCellSpacing w:w="15" w:type="dxa"/>
        </w:trPr>
        <w:tc>
          <w:tcPr>
            <w:tcW w:w="0" w:type="auto"/>
            <w:shd w:val="clear" w:color="auto" w:fill="CFF0FC"/>
            <w:hideMark/>
          </w:tcPr>
          <w:p w14:paraId="4F34D0E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Cash and cash equivalents at beginning of year</w:t>
            </w:r>
          </w:p>
        </w:tc>
        <w:tc>
          <w:tcPr>
            <w:tcW w:w="0" w:type="auto"/>
            <w:shd w:val="clear" w:color="auto" w:fill="CFF0FC"/>
            <w:vAlign w:val="bottom"/>
            <w:hideMark/>
          </w:tcPr>
          <w:p w14:paraId="383E136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shd w:val="clear" w:color="auto" w:fill="CFF0FC"/>
            <w:vAlign w:val="bottom"/>
            <w:hideMark/>
          </w:tcPr>
          <w:p w14:paraId="407BB4E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shd w:val="clear" w:color="auto" w:fill="CFF0FC"/>
            <w:vAlign w:val="bottom"/>
            <w:hideMark/>
          </w:tcPr>
          <w:p w14:paraId="64D700BD"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1,178</w:t>
            </w:r>
          </w:p>
        </w:tc>
        <w:tc>
          <w:tcPr>
            <w:tcW w:w="0" w:type="auto"/>
            <w:shd w:val="clear" w:color="auto" w:fill="CFF0FC"/>
            <w:vAlign w:val="bottom"/>
            <w:hideMark/>
          </w:tcPr>
          <w:p w14:paraId="27444D2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025143C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shd w:val="clear" w:color="auto" w:fill="CFF0FC"/>
            <w:vAlign w:val="bottom"/>
            <w:hideMark/>
          </w:tcPr>
          <w:p w14:paraId="02A255B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shd w:val="clear" w:color="auto" w:fill="CFF0FC"/>
            <w:vAlign w:val="bottom"/>
            <w:hideMark/>
          </w:tcPr>
          <w:p w14:paraId="28BEB283"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445</w:t>
            </w:r>
          </w:p>
        </w:tc>
        <w:tc>
          <w:tcPr>
            <w:tcW w:w="0" w:type="auto"/>
            <w:shd w:val="clear" w:color="auto" w:fill="CFF0FC"/>
            <w:vAlign w:val="bottom"/>
            <w:hideMark/>
          </w:tcPr>
          <w:p w14:paraId="36D3071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58C3650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shd w:val="clear" w:color="auto" w:fill="CFF0FC"/>
            <w:vAlign w:val="bottom"/>
            <w:hideMark/>
          </w:tcPr>
          <w:p w14:paraId="5B06AFE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shd w:val="clear" w:color="auto" w:fill="CFF0FC"/>
            <w:vAlign w:val="bottom"/>
            <w:hideMark/>
          </w:tcPr>
          <w:p w14:paraId="2A980BC3"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8"/>
                <w:szCs w:val="18"/>
              </w:rPr>
              <w:t>616</w:t>
            </w:r>
          </w:p>
        </w:tc>
        <w:tc>
          <w:tcPr>
            <w:tcW w:w="0" w:type="auto"/>
            <w:shd w:val="clear" w:color="auto" w:fill="CFF0FC"/>
            <w:vAlign w:val="bottom"/>
            <w:hideMark/>
          </w:tcPr>
          <w:p w14:paraId="26080A9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38C89CDA" w14:textId="77777777" w:rsidTr="002F3D36">
        <w:trPr>
          <w:trHeight w:val="180"/>
          <w:tblCellSpacing w:w="15" w:type="dxa"/>
        </w:trPr>
        <w:tc>
          <w:tcPr>
            <w:tcW w:w="0" w:type="auto"/>
            <w:hideMark/>
          </w:tcPr>
          <w:p w14:paraId="51E898E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Cash and cash equivalents at end of year</w:t>
            </w:r>
          </w:p>
        </w:tc>
        <w:tc>
          <w:tcPr>
            <w:tcW w:w="0" w:type="auto"/>
            <w:vAlign w:val="bottom"/>
            <w:hideMark/>
          </w:tcPr>
          <w:p w14:paraId="633DC0B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5317D3B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w:t>
            </w:r>
          </w:p>
        </w:tc>
        <w:tc>
          <w:tcPr>
            <w:tcW w:w="0" w:type="auto"/>
            <w:vAlign w:val="bottom"/>
            <w:hideMark/>
          </w:tcPr>
          <w:p w14:paraId="542146FA"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b/>
                <w:bCs/>
                <w:color w:val="000000"/>
                <w:kern w:val="0"/>
                <w:sz w:val="18"/>
                <w:szCs w:val="18"/>
              </w:rPr>
              <w:t>969</w:t>
            </w:r>
          </w:p>
        </w:tc>
        <w:tc>
          <w:tcPr>
            <w:tcW w:w="0" w:type="auto"/>
            <w:vAlign w:val="bottom"/>
            <w:hideMark/>
          </w:tcPr>
          <w:p w14:paraId="1BACD39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503D26F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550D6C0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w:t>
            </w:r>
          </w:p>
        </w:tc>
        <w:tc>
          <w:tcPr>
            <w:tcW w:w="0" w:type="auto"/>
            <w:vAlign w:val="bottom"/>
            <w:hideMark/>
          </w:tcPr>
          <w:p w14:paraId="7EF76578"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b/>
                <w:bCs/>
                <w:color w:val="000000"/>
                <w:kern w:val="0"/>
                <w:sz w:val="18"/>
                <w:szCs w:val="18"/>
              </w:rPr>
              <w:t>1,178</w:t>
            </w:r>
          </w:p>
        </w:tc>
        <w:tc>
          <w:tcPr>
            <w:tcW w:w="0" w:type="auto"/>
            <w:vAlign w:val="bottom"/>
            <w:hideMark/>
          </w:tcPr>
          <w:p w14:paraId="73FCAD9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3F9D7E8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180B21A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w:t>
            </w:r>
          </w:p>
        </w:tc>
        <w:tc>
          <w:tcPr>
            <w:tcW w:w="0" w:type="auto"/>
            <w:vAlign w:val="bottom"/>
            <w:hideMark/>
          </w:tcPr>
          <w:p w14:paraId="7E172177"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b/>
                <w:bCs/>
                <w:color w:val="000000"/>
                <w:kern w:val="0"/>
                <w:sz w:val="18"/>
                <w:szCs w:val="18"/>
              </w:rPr>
              <w:t>445</w:t>
            </w:r>
          </w:p>
        </w:tc>
        <w:tc>
          <w:tcPr>
            <w:tcW w:w="0" w:type="auto"/>
            <w:vAlign w:val="bottom"/>
            <w:hideMark/>
          </w:tcPr>
          <w:p w14:paraId="586BC09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bl>
    <w:p w14:paraId="033626EC"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24"/>
          <w:szCs w:val="24"/>
        </w:rPr>
        <w:t> </w:t>
      </w:r>
    </w:p>
    <w:p w14:paraId="4F7FE966"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See Notes to the Consolidated Financial Statements.</w:t>
      </w:r>
    </w:p>
    <w:p w14:paraId="7929DAB3" w14:textId="77777777" w:rsidR="002F3D36" w:rsidRPr="002F3D36" w:rsidRDefault="002F3D36" w:rsidP="002F3D36">
      <w:pPr>
        <w:widowControl/>
        <w:spacing w:before="240"/>
        <w:jc w:val="center"/>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59</w:t>
      </w:r>
    </w:p>
    <w:p w14:paraId="55B80468" w14:textId="77777777" w:rsidR="002F3D36" w:rsidRPr="002F3D36" w:rsidRDefault="002F3D36" w:rsidP="002F3D36">
      <w:pPr>
        <w:widowControl/>
        <w:jc w:val="left"/>
        <w:rPr>
          <w:rFonts w:ascii="宋体" w:eastAsia="宋体" w:hAnsi="宋体" w:cs="宋体"/>
          <w:kern w:val="0"/>
          <w:sz w:val="24"/>
          <w:szCs w:val="24"/>
        </w:rPr>
      </w:pPr>
      <w:r w:rsidRPr="002F3D36">
        <w:rPr>
          <w:rFonts w:ascii="宋体" w:eastAsia="宋体" w:hAnsi="宋体" w:cs="宋体"/>
          <w:kern w:val="0"/>
          <w:sz w:val="24"/>
          <w:szCs w:val="24"/>
        </w:rPr>
        <w:pict w14:anchorId="0173ED8C">
          <v:rect id="_x0000_i1086" style="width:0;height:1.5pt" o:hralign="center" o:hrstd="t" o:hrnoshade="t" o:hr="t" fillcolor="black" stroked="f"/>
        </w:pict>
      </w:r>
    </w:p>
    <w:p w14:paraId="0F8DDB88" w14:textId="77777777" w:rsidR="002F3D36" w:rsidRPr="002F3D36" w:rsidRDefault="002F3D36" w:rsidP="002F3D36">
      <w:pPr>
        <w:widowControl/>
        <w:spacing w:line="20" w:lineRule="atLeast"/>
        <w:jc w:val="left"/>
        <w:rPr>
          <w:rFonts w:ascii="Times New Roman" w:eastAsia="宋体" w:hAnsi="Times New Roman" w:cs="Times New Roman"/>
          <w:color w:val="000000"/>
          <w:kern w:val="0"/>
          <w:sz w:val="20"/>
          <w:szCs w:val="20"/>
        </w:rPr>
      </w:pPr>
      <w:r w:rsidRPr="002F3D36">
        <w:rPr>
          <w:rFonts w:ascii="Arial" w:eastAsia="宋体" w:hAnsi="Arial" w:cs="Arial"/>
          <w:color w:val="000000"/>
          <w:kern w:val="0"/>
          <w:sz w:val="2"/>
          <w:szCs w:val="2"/>
        </w:rPr>
        <w:t> </w:t>
      </w:r>
    </w:p>
    <w:p w14:paraId="502BAA66"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22"/>
        </w:rPr>
        <w:t>Consolidated Statements of Total Equity</w:t>
      </w:r>
    </w:p>
    <w:p w14:paraId="3634FB86" w14:textId="77777777" w:rsidR="002F3D36" w:rsidRPr="002F3D36" w:rsidRDefault="002F3D36" w:rsidP="002F3D36">
      <w:pPr>
        <w:widowControl/>
        <w:jc w:val="left"/>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lastRenderedPageBreak/>
        <w:t> </w:t>
      </w:r>
    </w:p>
    <w:tbl>
      <w:tblPr>
        <w:tblW w:w="20614" w:type="dxa"/>
        <w:tblCellSpacing w:w="15" w:type="dxa"/>
        <w:tblCellMar>
          <w:top w:w="15" w:type="dxa"/>
          <w:left w:w="15" w:type="dxa"/>
          <w:bottom w:w="15" w:type="dxa"/>
          <w:right w:w="15" w:type="dxa"/>
        </w:tblCellMar>
        <w:tblLook w:val="04A0" w:firstRow="1" w:lastRow="0" w:firstColumn="1" w:lastColumn="0" w:noHBand="0" w:noVBand="1"/>
      </w:tblPr>
      <w:tblGrid>
        <w:gridCol w:w="4340"/>
        <w:gridCol w:w="225"/>
        <w:gridCol w:w="115"/>
        <w:gridCol w:w="1278"/>
        <w:gridCol w:w="115"/>
        <w:gridCol w:w="226"/>
        <w:gridCol w:w="201"/>
        <w:gridCol w:w="1079"/>
        <w:gridCol w:w="115"/>
        <w:gridCol w:w="226"/>
        <w:gridCol w:w="201"/>
        <w:gridCol w:w="1201"/>
        <w:gridCol w:w="115"/>
        <w:gridCol w:w="226"/>
        <w:gridCol w:w="201"/>
        <w:gridCol w:w="1181"/>
        <w:gridCol w:w="130"/>
        <w:gridCol w:w="226"/>
        <w:gridCol w:w="201"/>
        <w:gridCol w:w="1546"/>
        <w:gridCol w:w="130"/>
        <w:gridCol w:w="226"/>
        <w:gridCol w:w="201"/>
        <w:gridCol w:w="1181"/>
        <w:gridCol w:w="130"/>
        <w:gridCol w:w="226"/>
        <w:gridCol w:w="201"/>
        <w:gridCol w:w="1548"/>
        <w:gridCol w:w="130"/>
        <w:gridCol w:w="226"/>
        <w:gridCol w:w="201"/>
        <w:gridCol w:w="1183"/>
        <w:gridCol w:w="130"/>
        <w:gridCol w:w="226"/>
        <w:gridCol w:w="201"/>
        <w:gridCol w:w="1179"/>
        <w:gridCol w:w="147"/>
      </w:tblGrid>
      <w:tr w:rsidR="002F3D36" w:rsidRPr="002F3D36" w14:paraId="2D8DB8D7" w14:textId="77777777" w:rsidTr="002F3D36">
        <w:trPr>
          <w:tblCellSpacing w:w="15" w:type="dxa"/>
        </w:trPr>
        <w:tc>
          <w:tcPr>
            <w:tcW w:w="4304" w:type="dxa"/>
            <w:vAlign w:val="center"/>
            <w:hideMark/>
          </w:tcPr>
          <w:p w14:paraId="29A20FCF" w14:textId="77777777" w:rsidR="002F3D36" w:rsidRPr="002F3D36" w:rsidRDefault="002F3D36" w:rsidP="002F3D36">
            <w:pPr>
              <w:widowControl/>
              <w:jc w:val="left"/>
              <w:rPr>
                <w:rFonts w:ascii="Times New Roman" w:eastAsia="宋体" w:hAnsi="Times New Roman" w:cs="Times New Roman"/>
                <w:color w:val="000000"/>
                <w:kern w:val="0"/>
                <w:sz w:val="20"/>
                <w:szCs w:val="20"/>
              </w:rPr>
            </w:pPr>
          </w:p>
        </w:tc>
        <w:tc>
          <w:tcPr>
            <w:tcW w:w="196" w:type="dxa"/>
            <w:vAlign w:val="center"/>
            <w:hideMark/>
          </w:tcPr>
          <w:p w14:paraId="494540A8"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85" w:type="dxa"/>
            <w:vAlign w:val="center"/>
            <w:hideMark/>
          </w:tcPr>
          <w:p w14:paraId="00CE3950"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251" w:type="dxa"/>
            <w:vAlign w:val="center"/>
            <w:hideMark/>
          </w:tcPr>
          <w:p w14:paraId="02796218"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85" w:type="dxa"/>
            <w:vAlign w:val="center"/>
            <w:hideMark/>
          </w:tcPr>
          <w:p w14:paraId="05B4F6C2"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96" w:type="dxa"/>
            <w:vAlign w:val="center"/>
            <w:hideMark/>
          </w:tcPr>
          <w:p w14:paraId="0A6B2CC2"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71" w:type="dxa"/>
            <w:vAlign w:val="center"/>
            <w:hideMark/>
          </w:tcPr>
          <w:p w14:paraId="4CA0C31F"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051" w:type="dxa"/>
            <w:vAlign w:val="center"/>
            <w:hideMark/>
          </w:tcPr>
          <w:p w14:paraId="4E6A694B"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85" w:type="dxa"/>
            <w:vAlign w:val="center"/>
            <w:hideMark/>
          </w:tcPr>
          <w:p w14:paraId="63563005"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96" w:type="dxa"/>
            <w:vAlign w:val="center"/>
            <w:hideMark/>
          </w:tcPr>
          <w:p w14:paraId="7C7D1E7B"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71" w:type="dxa"/>
            <w:vAlign w:val="center"/>
            <w:hideMark/>
          </w:tcPr>
          <w:p w14:paraId="67075FC0"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173" w:type="dxa"/>
            <w:vAlign w:val="center"/>
            <w:hideMark/>
          </w:tcPr>
          <w:p w14:paraId="20F12763"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85" w:type="dxa"/>
            <w:vAlign w:val="center"/>
            <w:hideMark/>
          </w:tcPr>
          <w:p w14:paraId="5E80C440"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96" w:type="dxa"/>
            <w:vAlign w:val="center"/>
            <w:hideMark/>
          </w:tcPr>
          <w:p w14:paraId="0CF5A970"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71" w:type="dxa"/>
            <w:vAlign w:val="center"/>
            <w:hideMark/>
          </w:tcPr>
          <w:p w14:paraId="4771ED87"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153" w:type="dxa"/>
            <w:vAlign w:val="center"/>
            <w:hideMark/>
          </w:tcPr>
          <w:p w14:paraId="78B22496"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00" w:type="dxa"/>
            <w:vAlign w:val="center"/>
            <w:hideMark/>
          </w:tcPr>
          <w:p w14:paraId="653298CF"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96" w:type="dxa"/>
            <w:vAlign w:val="center"/>
            <w:hideMark/>
          </w:tcPr>
          <w:p w14:paraId="611D2306"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71" w:type="dxa"/>
            <w:vAlign w:val="center"/>
            <w:hideMark/>
          </w:tcPr>
          <w:p w14:paraId="35D5979D"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518" w:type="dxa"/>
            <w:vAlign w:val="center"/>
            <w:hideMark/>
          </w:tcPr>
          <w:p w14:paraId="5E26343B"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00" w:type="dxa"/>
            <w:vAlign w:val="center"/>
            <w:hideMark/>
          </w:tcPr>
          <w:p w14:paraId="7AAE9F3C"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96" w:type="dxa"/>
            <w:vAlign w:val="center"/>
            <w:hideMark/>
          </w:tcPr>
          <w:p w14:paraId="181FBEE7"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71" w:type="dxa"/>
            <w:vAlign w:val="center"/>
            <w:hideMark/>
          </w:tcPr>
          <w:p w14:paraId="14EB725F"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153" w:type="dxa"/>
            <w:vAlign w:val="center"/>
            <w:hideMark/>
          </w:tcPr>
          <w:p w14:paraId="278F60CF"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00" w:type="dxa"/>
            <w:vAlign w:val="center"/>
            <w:hideMark/>
          </w:tcPr>
          <w:p w14:paraId="4281A4D0"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96" w:type="dxa"/>
            <w:vAlign w:val="center"/>
            <w:hideMark/>
          </w:tcPr>
          <w:p w14:paraId="029CA193"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71" w:type="dxa"/>
            <w:vAlign w:val="center"/>
            <w:hideMark/>
          </w:tcPr>
          <w:p w14:paraId="4DEF27FE"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520" w:type="dxa"/>
            <w:vAlign w:val="center"/>
            <w:hideMark/>
          </w:tcPr>
          <w:p w14:paraId="6ADE1FD4"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00" w:type="dxa"/>
            <w:vAlign w:val="center"/>
            <w:hideMark/>
          </w:tcPr>
          <w:p w14:paraId="6677EFB7"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96" w:type="dxa"/>
            <w:vAlign w:val="center"/>
            <w:hideMark/>
          </w:tcPr>
          <w:p w14:paraId="2234284F"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71" w:type="dxa"/>
            <w:vAlign w:val="center"/>
            <w:hideMark/>
          </w:tcPr>
          <w:p w14:paraId="45FB1698"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155" w:type="dxa"/>
            <w:vAlign w:val="center"/>
            <w:hideMark/>
          </w:tcPr>
          <w:p w14:paraId="4C9EB264"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00" w:type="dxa"/>
            <w:vAlign w:val="center"/>
            <w:hideMark/>
          </w:tcPr>
          <w:p w14:paraId="7F2E72C0"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96" w:type="dxa"/>
            <w:vAlign w:val="center"/>
            <w:hideMark/>
          </w:tcPr>
          <w:p w14:paraId="33F53A71"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71" w:type="dxa"/>
            <w:vAlign w:val="center"/>
            <w:hideMark/>
          </w:tcPr>
          <w:p w14:paraId="61CFE348"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151" w:type="dxa"/>
            <w:vAlign w:val="center"/>
            <w:hideMark/>
          </w:tcPr>
          <w:p w14:paraId="7F4F2003"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02" w:type="dxa"/>
            <w:vAlign w:val="center"/>
            <w:hideMark/>
          </w:tcPr>
          <w:p w14:paraId="198C11A5" w14:textId="77777777" w:rsidR="002F3D36" w:rsidRPr="002F3D36" w:rsidRDefault="002F3D36" w:rsidP="002F3D36">
            <w:pPr>
              <w:widowControl/>
              <w:jc w:val="left"/>
              <w:rPr>
                <w:rFonts w:ascii="Times New Roman" w:eastAsia="Times New Roman" w:hAnsi="Times New Roman" w:cs="Times New Roman"/>
                <w:kern w:val="0"/>
                <w:sz w:val="20"/>
                <w:szCs w:val="20"/>
              </w:rPr>
            </w:pPr>
          </w:p>
        </w:tc>
      </w:tr>
      <w:tr w:rsidR="002F3D36" w:rsidRPr="002F3D36" w14:paraId="3A026769" w14:textId="77777777" w:rsidTr="002F3D36">
        <w:trPr>
          <w:trHeight w:val="120"/>
          <w:tblCellSpacing w:w="15" w:type="dxa"/>
        </w:trPr>
        <w:tc>
          <w:tcPr>
            <w:tcW w:w="0" w:type="auto"/>
            <w:vAlign w:val="bottom"/>
            <w:hideMark/>
          </w:tcPr>
          <w:p w14:paraId="30F8D80A"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5584B97E" w14:textId="77777777" w:rsidR="002F3D36" w:rsidRPr="002F3D36" w:rsidRDefault="002F3D36" w:rsidP="002F3D36">
            <w:pPr>
              <w:widowControl/>
              <w:jc w:val="center"/>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vAlign w:val="bottom"/>
            <w:hideMark/>
          </w:tcPr>
          <w:p w14:paraId="5FCD0A03" w14:textId="77777777" w:rsidR="002F3D36" w:rsidRPr="002F3D36" w:rsidRDefault="002F3D36" w:rsidP="002F3D36">
            <w:pPr>
              <w:widowControl/>
              <w:jc w:val="center"/>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5805FCDD" w14:textId="77777777" w:rsidR="002F3D36" w:rsidRPr="002F3D36" w:rsidRDefault="002F3D36" w:rsidP="002F3D36">
            <w:pPr>
              <w:widowControl/>
              <w:jc w:val="center"/>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78C29A13" w14:textId="77777777" w:rsidR="002F3D36" w:rsidRPr="002F3D36" w:rsidRDefault="002F3D36" w:rsidP="002F3D36">
            <w:pPr>
              <w:widowControl/>
              <w:jc w:val="center"/>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vAlign w:val="bottom"/>
            <w:hideMark/>
          </w:tcPr>
          <w:p w14:paraId="5C9DCB67" w14:textId="77777777" w:rsidR="002F3D36" w:rsidRPr="002F3D36" w:rsidRDefault="002F3D36" w:rsidP="002F3D36">
            <w:pPr>
              <w:widowControl/>
              <w:jc w:val="center"/>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2C911C0A" w14:textId="77777777" w:rsidR="002F3D36" w:rsidRPr="002F3D36" w:rsidRDefault="002F3D36" w:rsidP="002F3D36">
            <w:pPr>
              <w:widowControl/>
              <w:jc w:val="center"/>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55ED7B81" w14:textId="77777777" w:rsidR="002F3D36" w:rsidRPr="002F3D36" w:rsidRDefault="002F3D36" w:rsidP="002F3D36">
            <w:pPr>
              <w:widowControl/>
              <w:jc w:val="center"/>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vAlign w:val="bottom"/>
            <w:hideMark/>
          </w:tcPr>
          <w:p w14:paraId="12A7F5D5" w14:textId="77777777" w:rsidR="002F3D36" w:rsidRPr="002F3D36" w:rsidRDefault="002F3D36" w:rsidP="002F3D36">
            <w:pPr>
              <w:widowControl/>
              <w:jc w:val="center"/>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508EAA6B" w14:textId="77777777" w:rsidR="002F3D36" w:rsidRPr="002F3D36" w:rsidRDefault="002F3D36" w:rsidP="002F3D36">
            <w:pPr>
              <w:widowControl/>
              <w:jc w:val="center"/>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0C2CB400" w14:textId="77777777" w:rsidR="002F3D36" w:rsidRPr="002F3D36" w:rsidRDefault="002F3D36" w:rsidP="002F3D36">
            <w:pPr>
              <w:widowControl/>
              <w:jc w:val="center"/>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vAlign w:val="bottom"/>
            <w:hideMark/>
          </w:tcPr>
          <w:p w14:paraId="2A021169" w14:textId="77777777" w:rsidR="002F3D36" w:rsidRPr="002F3D36" w:rsidRDefault="002F3D36" w:rsidP="002F3D36">
            <w:pPr>
              <w:widowControl/>
              <w:jc w:val="center"/>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2C629F78" w14:textId="77777777" w:rsidR="002F3D36" w:rsidRPr="002F3D36" w:rsidRDefault="002F3D36" w:rsidP="002F3D36">
            <w:pPr>
              <w:widowControl/>
              <w:jc w:val="center"/>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5E8C8C85" w14:textId="77777777" w:rsidR="002F3D36" w:rsidRPr="002F3D36" w:rsidRDefault="002F3D36" w:rsidP="002F3D36">
            <w:pPr>
              <w:widowControl/>
              <w:jc w:val="center"/>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vAlign w:val="bottom"/>
            <w:hideMark/>
          </w:tcPr>
          <w:p w14:paraId="50F7A08F" w14:textId="77777777" w:rsidR="002F3D36" w:rsidRPr="002F3D36" w:rsidRDefault="002F3D36" w:rsidP="002F3D36">
            <w:pPr>
              <w:widowControl/>
              <w:jc w:val="center"/>
              <w:rPr>
                <w:rFonts w:ascii="Times New Roman" w:eastAsia="微软雅黑" w:hAnsi="Times New Roman" w:cs="Times New Roman"/>
                <w:kern w:val="0"/>
                <w:sz w:val="13"/>
                <w:szCs w:val="13"/>
              </w:rPr>
            </w:pPr>
            <w:r w:rsidRPr="002F3D36">
              <w:rPr>
                <w:rFonts w:ascii="Arial" w:eastAsia="微软雅黑" w:hAnsi="Arial" w:cs="Arial"/>
                <w:b/>
                <w:bCs/>
                <w:color w:val="000000"/>
                <w:kern w:val="0"/>
                <w:sz w:val="13"/>
                <w:szCs w:val="13"/>
              </w:rPr>
              <w:t>Accumulated</w:t>
            </w:r>
          </w:p>
        </w:tc>
        <w:tc>
          <w:tcPr>
            <w:tcW w:w="0" w:type="auto"/>
            <w:vAlign w:val="bottom"/>
            <w:hideMark/>
          </w:tcPr>
          <w:p w14:paraId="46D76A69" w14:textId="77777777" w:rsidR="002F3D36" w:rsidRPr="002F3D36" w:rsidRDefault="002F3D36" w:rsidP="002F3D36">
            <w:pPr>
              <w:widowControl/>
              <w:jc w:val="center"/>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511A1D87" w14:textId="77777777" w:rsidR="002F3D36" w:rsidRPr="002F3D36" w:rsidRDefault="002F3D36" w:rsidP="002F3D36">
            <w:pPr>
              <w:widowControl/>
              <w:jc w:val="center"/>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vAlign w:val="bottom"/>
            <w:hideMark/>
          </w:tcPr>
          <w:p w14:paraId="71EBA6A5" w14:textId="77777777" w:rsidR="002F3D36" w:rsidRPr="002F3D36" w:rsidRDefault="002F3D36" w:rsidP="002F3D36">
            <w:pPr>
              <w:widowControl/>
              <w:jc w:val="center"/>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786509A4" w14:textId="77777777" w:rsidR="002F3D36" w:rsidRPr="002F3D36" w:rsidRDefault="002F3D36" w:rsidP="002F3D36">
            <w:pPr>
              <w:widowControl/>
              <w:jc w:val="center"/>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572FC29A" w14:textId="77777777" w:rsidR="002F3D36" w:rsidRPr="002F3D36" w:rsidRDefault="002F3D36" w:rsidP="002F3D36">
            <w:pPr>
              <w:widowControl/>
              <w:jc w:val="center"/>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vAlign w:val="bottom"/>
            <w:hideMark/>
          </w:tcPr>
          <w:p w14:paraId="5E4968AF" w14:textId="77777777" w:rsidR="002F3D36" w:rsidRPr="002F3D36" w:rsidRDefault="002F3D36" w:rsidP="002F3D36">
            <w:pPr>
              <w:widowControl/>
              <w:jc w:val="center"/>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4141DA24" w14:textId="77777777" w:rsidR="002F3D36" w:rsidRPr="002F3D36" w:rsidRDefault="002F3D36" w:rsidP="002F3D36">
            <w:pPr>
              <w:widowControl/>
              <w:jc w:val="center"/>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165A6562" w14:textId="77777777" w:rsidR="002F3D36" w:rsidRPr="002F3D36" w:rsidRDefault="002F3D36" w:rsidP="002F3D36">
            <w:pPr>
              <w:widowControl/>
              <w:jc w:val="center"/>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vAlign w:val="bottom"/>
            <w:hideMark/>
          </w:tcPr>
          <w:p w14:paraId="24F00CF6" w14:textId="77777777" w:rsidR="002F3D36" w:rsidRPr="002F3D36" w:rsidRDefault="002F3D36" w:rsidP="002F3D36">
            <w:pPr>
              <w:widowControl/>
              <w:jc w:val="center"/>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282E013A" w14:textId="77777777" w:rsidR="002F3D36" w:rsidRPr="002F3D36" w:rsidRDefault="002F3D36" w:rsidP="002F3D36">
            <w:pPr>
              <w:widowControl/>
              <w:jc w:val="center"/>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07F1C8F8" w14:textId="77777777" w:rsidR="002F3D36" w:rsidRPr="002F3D36" w:rsidRDefault="002F3D36" w:rsidP="002F3D36">
            <w:pPr>
              <w:widowControl/>
              <w:jc w:val="center"/>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vAlign w:val="bottom"/>
            <w:hideMark/>
          </w:tcPr>
          <w:p w14:paraId="61B77CBA" w14:textId="77777777" w:rsidR="002F3D36" w:rsidRPr="002F3D36" w:rsidRDefault="002F3D36" w:rsidP="002F3D36">
            <w:pPr>
              <w:widowControl/>
              <w:jc w:val="center"/>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5738D2F8" w14:textId="77777777" w:rsidR="002F3D36" w:rsidRPr="002F3D36" w:rsidRDefault="002F3D36" w:rsidP="002F3D36">
            <w:pPr>
              <w:widowControl/>
              <w:jc w:val="center"/>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r>
      <w:tr w:rsidR="002F3D36" w:rsidRPr="002F3D36" w14:paraId="0912FB95" w14:textId="77777777" w:rsidTr="002F3D36">
        <w:trPr>
          <w:trHeight w:val="120"/>
          <w:tblCellSpacing w:w="15" w:type="dxa"/>
        </w:trPr>
        <w:tc>
          <w:tcPr>
            <w:tcW w:w="0" w:type="auto"/>
            <w:vAlign w:val="bottom"/>
            <w:hideMark/>
          </w:tcPr>
          <w:p w14:paraId="0945EF87"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5B02D35A" w14:textId="77777777" w:rsidR="002F3D36" w:rsidRPr="002F3D36" w:rsidRDefault="002F3D36" w:rsidP="002F3D36">
            <w:pPr>
              <w:widowControl/>
              <w:jc w:val="center"/>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vAlign w:val="bottom"/>
            <w:hideMark/>
          </w:tcPr>
          <w:p w14:paraId="1672FE36" w14:textId="77777777" w:rsidR="002F3D36" w:rsidRPr="002F3D36" w:rsidRDefault="002F3D36" w:rsidP="002F3D36">
            <w:pPr>
              <w:widowControl/>
              <w:jc w:val="center"/>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548F2147" w14:textId="77777777" w:rsidR="002F3D36" w:rsidRPr="002F3D36" w:rsidRDefault="002F3D36" w:rsidP="002F3D36">
            <w:pPr>
              <w:widowControl/>
              <w:jc w:val="center"/>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11FC7B76" w14:textId="77777777" w:rsidR="002F3D36" w:rsidRPr="002F3D36" w:rsidRDefault="002F3D36" w:rsidP="002F3D36">
            <w:pPr>
              <w:widowControl/>
              <w:jc w:val="center"/>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vAlign w:val="bottom"/>
            <w:hideMark/>
          </w:tcPr>
          <w:p w14:paraId="1E19091A" w14:textId="77777777" w:rsidR="002F3D36" w:rsidRPr="002F3D36" w:rsidRDefault="002F3D36" w:rsidP="002F3D36">
            <w:pPr>
              <w:widowControl/>
              <w:jc w:val="center"/>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417EFCDE" w14:textId="77777777" w:rsidR="002F3D36" w:rsidRPr="002F3D36" w:rsidRDefault="002F3D36" w:rsidP="002F3D36">
            <w:pPr>
              <w:widowControl/>
              <w:jc w:val="center"/>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3FB7A2FF" w14:textId="77777777" w:rsidR="002F3D36" w:rsidRPr="002F3D36" w:rsidRDefault="002F3D36" w:rsidP="002F3D36">
            <w:pPr>
              <w:widowControl/>
              <w:jc w:val="center"/>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vAlign w:val="bottom"/>
            <w:hideMark/>
          </w:tcPr>
          <w:p w14:paraId="02F4DC05" w14:textId="77777777" w:rsidR="002F3D36" w:rsidRPr="002F3D36" w:rsidRDefault="002F3D36" w:rsidP="002F3D36">
            <w:pPr>
              <w:widowControl/>
              <w:jc w:val="center"/>
              <w:rPr>
                <w:rFonts w:ascii="Times New Roman" w:eastAsia="微软雅黑" w:hAnsi="Times New Roman" w:cs="Times New Roman"/>
                <w:kern w:val="0"/>
                <w:sz w:val="13"/>
                <w:szCs w:val="13"/>
              </w:rPr>
            </w:pPr>
            <w:r w:rsidRPr="002F3D36">
              <w:rPr>
                <w:rFonts w:ascii="Arial" w:eastAsia="微软雅黑" w:hAnsi="Arial" w:cs="Arial"/>
                <w:b/>
                <w:bCs/>
                <w:color w:val="000000"/>
                <w:kern w:val="0"/>
                <w:sz w:val="13"/>
                <w:szCs w:val="13"/>
              </w:rPr>
              <w:t>Additional</w:t>
            </w:r>
          </w:p>
        </w:tc>
        <w:tc>
          <w:tcPr>
            <w:tcW w:w="0" w:type="auto"/>
            <w:vAlign w:val="bottom"/>
            <w:hideMark/>
          </w:tcPr>
          <w:p w14:paraId="06A954F5" w14:textId="77777777" w:rsidR="002F3D36" w:rsidRPr="002F3D36" w:rsidRDefault="002F3D36" w:rsidP="002F3D36">
            <w:pPr>
              <w:widowControl/>
              <w:jc w:val="center"/>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292CE3C5" w14:textId="77777777" w:rsidR="002F3D36" w:rsidRPr="002F3D36" w:rsidRDefault="002F3D36" w:rsidP="002F3D36">
            <w:pPr>
              <w:widowControl/>
              <w:jc w:val="center"/>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vAlign w:val="bottom"/>
            <w:hideMark/>
          </w:tcPr>
          <w:p w14:paraId="3A2ABFD8" w14:textId="77777777" w:rsidR="002F3D36" w:rsidRPr="002F3D36" w:rsidRDefault="002F3D36" w:rsidP="002F3D36">
            <w:pPr>
              <w:widowControl/>
              <w:jc w:val="center"/>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150E9069" w14:textId="77777777" w:rsidR="002F3D36" w:rsidRPr="002F3D36" w:rsidRDefault="002F3D36" w:rsidP="002F3D36">
            <w:pPr>
              <w:widowControl/>
              <w:jc w:val="center"/>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6AC6BA26" w14:textId="77777777" w:rsidR="002F3D36" w:rsidRPr="002F3D36" w:rsidRDefault="002F3D36" w:rsidP="002F3D36">
            <w:pPr>
              <w:widowControl/>
              <w:jc w:val="center"/>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vAlign w:val="bottom"/>
            <w:hideMark/>
          </w:tcPr>
          <w:p w14:paraId="64E031DF" w14:textId="77777777" w:rsidR="002F3D36" w:rsidRPr="002F3D36" w:rsidRDefault="002F3D36" w:rsidP="002F3D36">
            <w:pPr>
              <w:widowControl/>
              <w:jc w:val="center"/>
              <w:rPr>
                <w:rFonts w:ascii="Times New Roman" w:eastAsia="微软雅黑" w:hAnsi="Times New Roman" w:cs="Times New Roman"/>
                <w:kern w:val="0"/>
                <w:sz w:val="13"/>
                <w:szCs w:val="13"/>
              </w:rPr>
            </w:pPr>
            <w:r w:rsidRPr="002F3D36">
              <w:rPr>
                <w:rFonts w:ascii="Arial" w:eastAsia="微软雅黑" w:hAnsi="Arial" w:cs="Arial"/>
                <w:b/>
                <w:bCs/>
                <w:color w:val="000000"/>
                <w:kern w:val="0"/>
                <w:sz w:val="13"/>
                <w:szCs w:val="13"/>
              </w:rPr>
              <w:t>other com-</w:t>
            </w:r>
          </w:p>
        </w:tc>
        <w:tc>
          <w:tcPr>
            <w:tcW w:w="0" w:type="auto"/>
            <w:vAlign w:val="bottom"/>
            <w:hideMark/>
          </w:tcPr>
          <w:p w14:paraId="07E631C6" w14:textId="77777777" w:rsidR="002F3D36" w:rsidRPr="002F3D36" w:rsidRDefault="002F3D36" w:rsidP="002F3D36">
            <w:pPr>
              <w:widowControl/>
              <w:jc w:val="center"/>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251032C7" w14:textId="77777777" w:rsidR="002F3D36" w:rsidRPr="002F3D36" w:rsidRDefault="002F3D36" w:rsidP="002F3D36">
            <w:pPr>
              <w:widowControl/>
              <w:jc w:val="center"/>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vAlign w:val="bottom"/>
            <w:hideMark/>
          </w:tcPr>
          <w:p w14:paraId="7978B875" w14:textId="77777777" w:rsidR="002F3D36" w:rsidRPr="002F3D36" w:rsidRDefault="002F3D36" w:rsidP="002F3D36">
            <w:pPr>
              <w:widowControl/>
              <w:jc w:val="center"/>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27495B3D" w14:textId="77777777" w:rsidR="002F3D36" w:rsidRPr="002F3D36" w:rsidRDefault="002F3D36" w:rsidP="002F3D36">
            <w:pPr>
              <w:widowControl/>
              <w:jc w:val="center"/>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443DFB04" w14:textId="77777777" w:rsidR="002F3D36" w:rsidRPr="002F3D36" w:rsidRDefault="002F3D36" w:rsidP="002F3D36">
            <w:pPr>
              <w:widowControl/>
              <w:jc w:val="center"/>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vAlign w:val="bottom"/>
            <w:hideMark/>
          </w:tcPr>
          <w:p w14:paraId="18D3A9B6" w14:textId="77777777" w:rsidR="002F3D36" w:rsidRPr="002F3D36" w:rsidRDefault="002F3D36" w:rsidP="002F3D36">
            <w:pPr>
              <w:widowControl/>
              <w:jc w:val="center"/>
              <w:rPr>
                <w:rFonts w:ascii="Times New Roman" w:eastAsia="微软雅黑" w:hAnsi="Times New Roman" w:cs="Times New Roman"/>
                <w:kern w:val="0"/>
                <w:sz w:val="13"/>
                <w:szCs w:val="13"/>
              </w:rPr>
            </w:pPr>
            <w:r w:rsidRPr="002F3D36">
              <w:rPr>
                <w:rFonts w:ascii="Arial" w:eastAsia="微软雅黑" w:hAnsi="Arial" w:cs="Arial"/>
                <w:b/>
                <w:bCs/>
                <w:color w:val="000000"/>
                <w:kern w:val="0"/>
                <w:sz w:val="13"/>
                <w:szCs w:val="13"/>
              </w:rPr>
              <w:t>Total parent</w:t>
            </w:r>
          </w:p>
        </w:tc>
        <w:tc>
          <w:tcPr>
            <w:tcW w:w="0" w:type="auto"/>
            <w:vAlign w:val="bottom"/>
            <w:hideMark/>
          </w:tcPr>
          <w:p w14:paraId="0B227C1E" w14:textId="77777777" w:rsidR="002F3D36" w:rsidRPr="002F3D36" w:rsidRDefault="002F3D36" w:rsidP="002F3D36">
            <w:pPr>
              <w:widowControl/>
              <w:jc w:val="center"/>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45004BF0" w14:textId="77777777" w:rsidR="002F3D36" w:rsidRPr="002F3D36" w:rsidRDefault="002F3D36" w:rsidP="002F3D36">
            <w:pPr>
              <w:widowControl/>
              <w:jc w:val="center"/>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vAlign w:val="bottom"/>
            <w:hideMark/>
          </w:tcPr>
          <w:p w14:paraId="376E0324" w14:textId="77777777" w:rsidR="002F3D36" w:rsidRPr="002F3D36" w:rsidRDefault="002F3D36" w:rsidP="002F3D36">
            <w:pPr>
              <w:widowControl/>
              <w:jc w:val="center"/>
              <w:rPr>
                <w:rFonts w:ascii="Times New Roman" w:eastAsia="微软雅黑" w:hAnsi="Times New Roman" w:cs="Times New Roman"/>
                <w:kern w:val="0"/>
                <w:sz w:val="13"/>
                <w:szCs w:val="13"/>
              </w:rPr>
            </w:pPr>
            <w:r w:rsidRPr="002F3D36">
              <w:rPr>
                <w:rFonts w:ascii="Arial" w:eastAsia="微软雅黑" w:hAnsi="Arial" w:cs="Arial"/>
                <w:b/>
                <w:bCs/>
                <w:color w:val="000000"/>
                <w:kern w:val="0"/>
                <w:sz w:val="13"/>
                <w:szCs w:val="13"/>
              </w:rPr>
              <w:t>Non-</w:t>
            </w:r>
          </w:p>
        </w:tc>
        <w:tc>
          <w:tcPr>
            <w:tcW w:w="0" w:type="auto"/>
            <w:vAlign w:val="bottom"/>
            <w:hideMark/>
          </w:tcPr>
          <w:p w14:paraId="127B4476" w14:textId="77777777" w:rsidR="002F3D36" w:rsidRPr="002F3D36" w:rsidRDefault="002F3D36" w:rsidP="002F3D36">
            <w:pPr>
              <w:widowControl/>
              <w:jc w:val="center"/>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1DFE282E" w14:textId="77777777" w:rsidR="002F3D36" w:rsidRPr="002F3D36" w:rsidRDefault="002F3D36" w:rsidP="002F3D36">
            <w:pPr>
              <w:widowControl/>
              <w:jc w:val="center"/>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vAlign w:val="bottom"/>
            <w:hideMark/>
          </w:tcPr>
          <w:p w14:paraId="3A5820DD" w14:textId="77777777" w:rsidR="002F3D36" w:rsidRPr="002F3D36" w:rsidRDefault="002F3D36" w:rsidP="002F3D36">
            <w:pPr>
              <w:widowControl/>
              <w:jc w:val="center"/>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61F181F2" w14:textId="77777777" w:rsidR="002F3D36" w:rsidRPr="002F3D36" w:rsidRDefault="002F3D36" w:rsidP="002F3D36">
            <w:pPr>
              <w:widowControl/>
              <w:jc w:val="center"/>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r>
      <w:tr w:rsidR="002F3D36" w:rsidRPr="002F3D36" w14:paraId="750FF05F" w14:textId="77777777" w:rsidTr="002F3D36">
        <w:trPr>
          <w:trHeight w:val="120"/>
          <w:tblCellSpacing w:w="15" w:type="dxa"/>
        </w:trPr>
        <w:tc>
          <w:tcPr>
            <w:tcW w:w="0" w:type="auto"/>
            <w:vAlign w:val="bottom"/>
            <w:hideMark/>
          </w:tcPr>
          <w:p w14:paraId="384A2E5D"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b/>
                <w:bCs/>
                <w:color w:val="000000"/>
                <w:kern w:val="0"/>
                <w:sz w:val="13"/>
                <w:szCs w:val="13"/>
              </w:rPr>
              <w:t>(DOLLARS AND SHARES</w:t>
            </w:r>
          </w:p>
        </w:tc>
        <w:tc>
          <w:tcPr>
            <w:tcW w:w="0" w:type="auto"/>
            <w:vAlign w:val="bottom"/>
            <w:hideMark/>
          </w:tcPr>
          <w:p w14:paraId="10E17836" w14:textId="77777777" w:rsidR="002F3D36" w:rsidRPr="002F3D36" w:rsidRDefault="002F3D36" w:rsidP="002F3D36">
            <w:pPr>
              <w:widowControl/>
              <w:jc w:val="center"/>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vAlign w:val="bottom"/>
            <w:hideMark/>
          </w:tcPr>
          <w:p w14:paraId="34CD5B9A" w14:textId="77777777" w:rsidR="002F3D36" w:rsidRPr="002F3D36" w:rsidRDefault="002F3D36" w:rsidP="002F3D36">
            <w:pPr>
              <w:widowControl/>
              <w:jc w:val="center"/>
              <w:rPr>
                <w:rFonts w:ascii="Times New Roman" w:eastAsia="微软雅黑" w:hAnsi="Times New Roman" w:cs="Times New Roman"/>
                <w:kern w:val="0"/>
                <w:sz w:val="13"/>
                <w:szCs w:val="13"/>
              </w:rPr>
            </w:pPr>
            <w:r w:rsidRPr="002F3D36">
              <w:rPr>
                <w:rFonts w:ascii="Arial" w:eastAsia="微软雅黑" w:hAnsi="Arial" w:cs="Arial"/>
                <w:b/>
                <w:bCs/>
                <w:color w:val="000000"/>
                <w:kern w:val="0"/>
                <w:sz w:val="13"/>
                <w:szCs w:val="13"/>
              </w:rPr>
              <w:t>Number of</w:t>
            </w:r>
          </w:p>
        </w:tc>
        <w:tc>
          <w:tcPr>
            <w:tcW w:w="0" w:type="auto"/>
            <w:vAlign w:val="bottom"/>
            <w:hideMark/>
          </w:tcPr>
          <w:p w14:paraId="453FEE53" w14:textId="77777777" w:rsidR="002F3D36" w:rsidRPr="002F3D36" w:rsidRDefault="002F3D36" w:rsidP="002F3D36">
            <w:pPr>
              <w:widowControl/>
              <w:jc w:val="center"/>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40A6B5A7" w14:textId="77777777" w:rsidR="002F3D36" w:rsidRPr="002F3D36" w:rsidRDefault="002F3D36" w:rsidP="002F3D36">
            <w:pPr>
              <w:widowControl/>
              <w:jc w:val="center"/>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vAlign w:val="bottom"/>
            <w:hideMark/>
          </w:tcPr>
          <w:p w14:paraId="569396CB" w14:textId="77777777" w:rsidR="002F3D36" w:rsidRPr="002F3D36" w:rsidRDefault="002F3D36" w:rsidP="002F3D36">
            <w:pPr>
              <w:widowControl/>
              <w:jc w:val="center"/>
              <w:rPr>
                <w:rFonts w:ascii="Times New Roman" w:eastAsia="微软雅黑" w:hAnsi="Times New Roman" w:cs="Times New Roman"/>
                <w:kern w:val="0"/>
                <w:sz w:val="13"/>
                <w:szCs w:val="13"/>
              </w:rPr>
            </w:pPr>
            <w:r w:rsidRPr="002F3D36">
              <w:rPr>
                <w:rFonts w:ascii="Arial" w:eastAsia="微软雅黑" w:hAnsi="Arial" w:cs="Arial"/>
                <w:b/>
                <w:bCs/>
                <w:color w:val="000000"/>
                <w:kern w:val="0"/>
                <w:sz w:val="13"/>
                <w:szCs w:val="13"/>
              </w:rPr>
              <w:t>Common</w:t>
            </w:r>
          </w:p>
        </w:tc>
        <w:tc>
          <w:tcPr>
            <w:tcW w:w="0" w:type="auto"/>
            <w:vAlign w:val="bottom"/>
            <w:hideMark/>
          </w:tcPr>
          <w:p w14:paraId="770CBC64" w14:textId="77777777" w:rsidR="002F3D36" w:rsidRPr="002F3D36" w:rsidRDefault="002F3D36" w:rsidP="002F3D36">
            <w:pPr>
              <w:widowControl/>
              <w:jc w:val="center"/>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3EA42F94" w14:textId="77777777" w:rsidR="002F3D36" w:rsidRPr="002F3D36" w:rsidRDefault="002F3D36" w:rsidP="002F3D36">
            <w:pPr>
              <w:widowControl/>
              <w:jc w:val="center"/>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vAlign w:val="bottom"/>
            <w:hideMark/>
          </w:tcPr>
          <w:p w14:paraId="3BC2264B" w14:textId="77777777" w:rsidR="002F3D36" w:rsidRPr="002F3D36" w:rsidRDefault="002F3D36" w:rsidP="002F3D36">
            <w:pPr>
              <w:widowControl/>
              <w:jc w:val="center"/>
              <w:rPr>
                <w:rFonts w:ascii="Times New Roman" w:eastAsia="微软雅黑" w:hAnsi="Times New Roman" w:cs="Times New Roman"/>
                <w:kern w:val="0"/>
                <w:sz w:val="13"/>
                <w:szCs w:val="13"/>
              </w:rPr>
            </w:pPr>
            <w:r w:rsidRPr="002F3D36">
              <w:rPr>
                <w:rFonts w:ascii="Arial" w:eastAsia="微软雅黑" w:hAnsi="Arial" w:cs="Arial"/>
                <w:b/>
                <w:bCs/>
                <w:color w:val="000000"/>
                <w:kern w:val="0"/>
                <w:sz w:val="13"/>
                <w:szCs w:val="13"/>
              </w:rPr>
              <w:t>paid in</w:t>
            </w:r>
          </w:p>
        </w:tc>
        <w:tc>
          <w:tcPr>
            <w:tcW w:w="0" w:type="auto"/>
            <w:vAlign w:val="bottom"/>
            <w:hideMark/>
          </w:tcPr>
          <w:p w14:paraId="2243E9CF" w14:textId="77777777" w:rsidR="002F3D36" w:rsidRPr="002F3D36" w:rsidRDefault="002F3D36" w:rsidP="002F3D36">
            <w:pPr>
              <w:widowControl/>
              <w:jc w:val="center"/>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226D6685" w14:textId="77777777" w:rsidR="002F3D36" w:rsidRPr="002F3D36" w:rsidRDefault="002F3D36" w:rsidP="002F3D36">
            <w:pPr>
              <w:widowControl/>
              <w:jc w:val="center"/>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vAlign w:val="bottom"/>
            <w:hideMark/>
          </w:tcPr>
          <w:p w14:paraId="5A02B842" w14:textId="77777777" w:rsidR="002F3D36" w:rsidRPr="002F3D36" w:rsidRDefault="002F3D36" w:rsidP="002F3D36">
            <w:pPr>
              <w:widowControl/>
              <w:jc w:val="center"/>
              <w:rPr>
                <w:rFonts w:ascii="Times New Roman" w:eastAsia="微软雅黑" w:hAnsi="Times New Roman" w:cs="Times New Roman"/>
                <w:kern w:val="0"/>
                <w:sz w:val="13"/>
                <w:szCs w:val="13"/>
              </w:rPr>
            </w:pPr>
            <w:r w:rsidRPr="002F3D36">
              <w:rPr>
                <w:rFonts w:ascii="Arial" w:eastAsia="微软雅黑" w:hAnsi="Arial" w:cs="Arial"/>
                <w:b/>
                <w:bCs/>
                <w:color w:val="000000"/>
                <w:kern w:val="0"/>
                <w:sz w:val="13"/>
                <w:szCs w:val="13"/>
              </w:rPr>
              <w:t>Retained</w:t>
            </w:r>
          </w:p>
        </w:tc>
        <w:tc>
          <w:tcPr>
            <w:tcW w:w="0" w:type="auto"/>
            <w:vAlign w:val="bottom"/>
            <w:hideMark/>
          </w:tcPr>
          <w:p w14:paraId="3563A1CE" w14:textId="77777777" w:rsidR="002F3D36" w:rsidRPr="002F3D36" w:rsidRDefault="002F3D36" w:rsidP="002F3D36">
            <w:pPr>
              <w:widowControl/>
              <w:jc w:val="center"/>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4A432FE8" w14:textId="77777777" w:rsidR="002F3D36" w:rsidRPr="002F3D36" w:rsidRDefault="002F3D36" w:rsidP="002F3D36">
            <w:pPr>
              <w:widowControl/>
              <w:jc w:val="center"/>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vAlign w:val="bottom"/>
            <w:hideMark/>
          </w:tcPr>
          <w:p w14:paraId="0E91A97B" w14:textId="77777777" w:rsidR="002F3D36" w:rsidRPr="002F3D36" w:rsidRDefault="002F3D36" w:rsidP="002F3D36">
            <w:pPr>
              <w:widowControl/>
              <w:jc w:val="center"/>
              <w:rPr>
                <w:rFonts w:ascii="Times New Roman" w:eastAsia="微软雅黑" w:hAnsi="Times New Roman" w:cs="Times New Roman"/>
                <w:kern w:val="0"/>
                <w:sz w:val="13"/>
                <w:szCs w:val="13"/>
              </w:rPr>
            </w:pPr>
            <w:r w:rsidRPr="002F3D36">
              <w:rPr>
                <w:rFonts w:ascii="Arial" w:eastAsia="微软雅黑" w:hAnsi="Arial" w:cs="Arial"/>
                <w:b/>
                <w:bCs/>
                <w:color w:val="000000"/>
                <w:kern w:val="0"/>
                <w:sz w:val="13"/>
                <w:szCs w:val="13"/>
              </w:rPr>
              <w:t>prehensive</w:t>
            </w:r>
          </w:p>
        </w:tc>
        <w:tc>
          <w:tcPr>
            <w:tcW w:w="0" w:type="auto"/>
            <w:vAlign w:val="bottom"/>
            <w:hideMark/>
          </w:tcPr>
          <w:p w14:paraId="051F9121" w14:textId="77777777" w:rsidR="002F3D36" w:rsidRPr="002F3D36" w:rsidRDefault="002F3D36" w:rsidP="002F3D36">
            <w:pPr>
              <w:widowControl/>
              <w:jc w:val="center"/>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270F505E" w14:textId="77777777" w:rsidR="002F3D36" w:rsidRPr="002F3D36" w:rsidRDefault="002F3D36" w:rsidP="002F3D36">
            <w:pPr>
              <w:widowControl/>
              <w:jc w:val="center"/>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vAlign w:val="bottom"/>
            <w:hideMark/>
          </w:tcPr>
          <w:p w14:paraId="118AF487" w14:textId="77777777" w:rsidR="002F3D36" w:rsidRPr="002F3D36" w:rsidRDefault="002F3D36" w:rsidP="002F3D36">
            <w:pPr>
              <w:widowControl/>
              <w:jc w:val="center"/>
              <w:rPr>
                <w:rFonts w:ascii="Times New Roman" w:eastAsia="微软雅黑" w:hAnsi="Times New Roman" w:cs="Times New Roman"/>
                <w:kern w:val="0"/>
                <w:sz w:val="13"/>
                <w:szCs w:val="13"/>
              </w:rPr>
            </w:pPr>
            <w:r w:rsidRPr="002F3D36">
              <w:rPr>
                <w:rFonts w:ascii="Arial" w:eastAsia="微软雅黑" w:hAnsi="Arial" w:cs="Arial"/>
                <w:b/>
                <w:bCs/>
                <w:color w:val="000000"/>
                <w:kern w:val="0"/>
                <w:sz w:val="13"/>
                <w:szCs w:val="13"/>
              </w:rPr>
              <w:t>Treasury</w:t>
            </w:r>
          </w:p>
        </w:tc>
        <w:tc>
          <w:tcPr>
            <w:tcW w:w="0" w:type="auto"/>
            <w:vAlign w:val="bottom"/>
            <w:hideMark/>
          </w:tcPr>
          <w:p w14:paraId="1AD3925F" w14:textId="77777777" w:rsidR="002F3D36" w:rsidRPr="002F3D36" w:rsidRDefault="002F3D36" w:rsidP="002F3D36">
            <w:pPr>
              <w:widowControl/>
              <w:jc w:val="center"/>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41A30A3F" w14:textId="77777777" w:rsidR="002F3D36" w:rsidRPr="002F3D36" w:rsidRDefault="002F3D36" w:rsidP="002F3D36">
            <w:pPr>
              <w:widowControl/>
              <w:jc w:val="center"/>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vAlign w:val="bottom"/>
            <w:hideMark/>
          </w:tcPr>
          <w:p w14:paraId="26CCF485" w14:textId="77777777" w:rsidR="002F3D36" w:rsidRPr="002F3D36" w:rsidRDefault="002F3D36" w:rsidP="002F3D36">
            <w:pPr>
              <w:widowControl/>
              <w:jc w:val="center"/>
              <w:rPr>
                <w:rFonts w:ascii="Times New Roman" w:eastAsia="微软雅黑" w:hAnsi="Times New Roman" w:cs="Times New Roman"/>
                <w:kern w:val="0"/>
                <w:sz w:val="13"/>
                <w:szCs w:val="13"/>
              </w:rPr>
            </w:pPr>
            <w:r w:rsidRPr="002F3D36">
              <w:rPr>
                <w:rFonts w:ascii="Arial" w:eastAsia="微软雅黑" w:hAnsi="Arial" w:cs="Arial"/>
                <w:b/>
                <w:bCs/>
                <w:color w:val="000000"/>
                <w:kern w:val="0"/>
                <w:sz w:val="13"/>
                <w:szCs w:val="13"/>
              </w:rPr>
              <w:t>shareholders’</w:t>
            </w:r>
          </w:p>
        </w:tc>
        <w:tc>
          <w:tcPr>
            <w:tcW w:w="0" w:type="auto"/>
            <w:vAlign w:val="bottom"/>
            <w:hideMark/>
          </w:tcPr>
          <w:p w14:paraId="1FCD5FCB" w14:textId="77777777" w:rsidR="002F3D36" w:rsidRPr="002F3D36" w:rsidRDefault="002F3D36" w:rsidP="002F3D36">
            <w:pPr>
              <w:widowControl/>
              <w:jc w:val="center"/>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24E0C18B" w14:textId="77777777" w:rsidR="002F3D36" w:rsidRPr="002F3D36" w:rsidRDefault="002F3D36" w:rsidP="002F3D36">
            <w:pPr>
              <w:widowControl/>
              <w:jc w:val="center"/>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vAlign w:val="bottom"/>
            <w:hideMark/>
          </w:tcPr>
          <w:p w14:paraId="5D6DC052" w14:textId="77777777" w:rsidR="002F3D36" w:rsidRPr="002F3D36" w:rsidRDefault="002F3D36" w:rsidP="002F3D36">
            <w:pPr>
              <w:widowControl/>
              <w:jc w:val="center"/>
              <w:rPr>
                <w:rFonts w:ascii="Times New Roman" w:eastAsia="微软雅黑" w:hAnsi="Times New Roman" w:cs="Times New Roman"/>
                <w:kern w:val="0"/>
                <w:sz w:val="13"/>
                <w:szCs w:val="13"/>
              </w:rPr>
            </w:pPr>
            <w:r w:rsidRPr="002F3D36">
              <w:rPr>
                <w:rFonts w:ascii="Arial" w:eastAsia="微软雅黑" w:hAnsi="Arial" w:cs="Arial"/>
                <w:b/>
                <w:bCs/>
                <w:color w:val="000000"/>
                <w:kern w:val="0"/>
                <w:sz w:val="13"/>
                <w:szCs w:val="13"/>
              </w:rPr>
              <w:t>controlling</w:t>
            </w:r>
          </w:p>
        </w:tc>
        <w:tc>
          <w:tcPr>
            <w:tcW w:w="0" w:type="auto"/>
            <w:vAlign w:val="bottom"/>
            <w:hideMark/>
          </w:tcPr>
          <w:p w14:paraId="5677E6ED" w14:textId="77777777" w:rsidR="002F3D36" w:rsidRPr="002F3D36" w:rsidRDefault="002F3D36" w:rsidP="002F3D36">
            <w:pPr>
              <w:widowControl/>
              <w:jc w:val="center"/>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50E2E378" w14:textId="77777777" w:rsidR="002F3D36" w:rsidRPr="002F3D36" w:rsidRDefault="002F3D36" w:rsidP="002F3D36">
            <w:pPr>
              <w:widowControl/>
              <w:jc w:val="center"/>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vAlign w:val="bottom"/>
            <w:hideMark/>
          </w:tcPr>
          <w:p w14:paraId="2B3D567A" w14:textId="77777777" w:rsidR="002F3D36" w:rsidRPr="002F3D36" w:rsidRDefault="002F3D36" w:rsidP="002F3D36">
            <w:pPr>
              <w:widowControl/>
              <w:jc w:val="center"/>
              <w:rPr>
                <w:rFonts w:ascii="Times New Roman" w:eastAsia="微软雅黑" w:hAnsi="Times New Roman" w:cs="Times New Roman"/>
                <w:kern w:val="0"/>
                <w:sz w:val="13"/>
                <w:szCs w:val="13"/>
              </w:rPr>
            </w:pPr>
            <w:r w:rsidRPr="002F3D36">
              <w:rPr>
                <w:rFonts w:ascii="Arial" w:eastAsia="微软雅黑" w:hAnsi="Arial" w:cs="Arial"/>
                <w:b/>
                <w:bCs/>
                <w:color w:val="000000"/>
                <w:kern w:val="0"/>
                <w:sz w:val="13"/>
                <w:szCs w:val="13"/>
              </w:rPr>
              <w:t>Total</w:t>
            </w:r>
          </w:p>
        </w:tc>
        <w:tc>
          <w:tcPr>
            <w:tcW w:w="0" w:type="auto"/>
            <w:vAlign w:val="bottom"/>
            <w:hideMark/>
          </w:tcPr>
          <w:p w14:paraId="6B2B3EAA" w14:textId="77777777" w:rsidR="002F3D36" w:rsidRPr="002F3D36" w:rsidRDefault="002F3D36" w:rsidP="002F3D36">
            <w:pPr>
              <w:widowControl/>
              <w:jc w:val="center"/>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r>
      <w:tr w:rsidR="002F3D36" w:rsidRPr="002F3D36" w14:paraId="34754902" w14:textId="77777777" w:rsidTr="002F3D36">
        <w:trPr>
          <w:trHeight w:val="120"/>
          <w:tblCellSpacing w:w="15" w:type="dxa"/>
        </w:trPr>
        <w:tc>
          <w:tcPr>
            <w:tcW w:w="0" w:type="auto"/>
            <w:vAlign w:val="bottom"/>
            <w:hideMark/>
          </w:tcPr>
          <w:p w14:paraId="7F856D03"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b/>
                <w:bCs/>
                <w:color w:val="000000"/>
                <w:kern w:val="0"/>
                <w:sz w:val="13"/>
                <w:szCs w:val="13"/>
                <w:u w:val="single"/>
              </w:rPr>
              <w:t>IN MILLIONS)</w:t>
            </w:r>
          </w:p>
        </w:tc>
        <w:tc>
          <w:tcPr>
            <w:tcW w:w="0" w:type="auto"/>
            <w:vAlign w:val="bottom"/>
            <w:hideMark/>
          </w:tcPr>
          <w:p w14:paraId="3CB3F9B6" w14:textId="77777777" w:rsidR="002F3D36" w:rsidRPr="002F3D36" w:rsidRDefault="002F3D36" w:rsidP="002F3D36">
            <w:pPr>
              <w:widowControl/>
              <w:jc w:val="center"/>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tcBorders>
              <w:bottom w:val="single" w:sz="4" w:space="0" w:color="000000"/>
            </w:tcBorders>
            <w:vAlign w:val="bottom"/>
            <w:hideMark/>
          </w:tcPr>
          <w:p w14:paraId="5F7F8B10" w14:textId="77777777" w:rsidR="002F3D36" w:rsidRPr="002F3D36" w:rsidRDefault="002F3D36" w:rsidP="002F3D36">
            <w:pPr>
              <w:widowControl/>
              <w:jc w:val="center"/>
              <w:rPr>
                <w:rFonts w:ascii="Times New Roman" w:eastAsia="微软雅黑" w:hAnsi="Times New Roman" w:cs="Times New Roman"/>
                <w:kern w:val="0"/>
                <w:sz w:val="13"/>
                <w:szCs w:val="13"/>
              </w:rPr>
            </w:pPr>
            <w:r w:rsidRPr="002F3D36">
              <w:rPr>
                <w:rFonts w:ascii="Arial" w:eastAsia="微软雅黑" w:hAnsi="Arial" w:cs="Arial"/>
                <w:b/>
                <w:bCs/>
                <w:color w:val="000000"/>
                <w:kern w:val="0"/>
                <w:sz w:val="13"/>
                <w:szCs w:val="13"/>
              </w:rPr>
              <w:t>shares</w:t>
            </w:r>
          </w:p>
        </w:tc>
        <w:tc>
          <w:tcPr>
            <w:tcW w:w="0" w:type="auto"/>
            <w:vAlign w:val="bottom"/>
            <w:hideMark/>
          </w:tcPr>
          <w:p w14:paraId="3B06DDBF" w14:textId="77777777" w:rsidR="002F3D36" w:rsidRPr="002F3D36" w:rsidRDefault="002F3D36" w:rsidP="002F3D36">
            <w:pPr>
              <w:widowControl/>
              <w:jc w:val="center"/>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1175C8AC" w14:textId="77777777" w:rsidR="002F3D36" w:rsidRPr="002F3D36" w:rsidRDefault="002F3D36" w:rsidP="002F3D36">
            <w:pPr>
              <w:widowControl/>
              <w:jc w:val="center"/>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tcBorders>
              <w:bottom w:val="single" w:sz="4" w:space="0" w:color="000000"/>
            </w:tcBorders>
            <w:vAlign w:val="bottom"/>
            <w:hideMark/>
          </w:tcPr>
          <w:p w14:paraId="6EA0319E" w14:textId="77777777" w:rsidR="002F3D36" w:rsidRPr="002F3D36" w:rsidRDefault="002F3D36" w:rsidP="002F3D36">
            <w:pPr>
              <w:widowControl/>
              <w:jc w:val="center"/>
              <w:rPr>
                <w:rFonts w:ascii="Times New Roman" w:eastAsia="微软雅黑" w:hAnsi="Times New Roman" w:cs="Times New Roman"/>
                <w:kern w:val="0"/>
                <w:sz w:val="13"/>
                <w:szCs w:val="13"/>
              </w:rPr>
            </w:pPr>
            <w:r w:rsidRPr="002F3D36">
              <w:rPr>
                <w:rFonts w:ascii="Arial" w:eastAsia="微软雅黑" w:hAnsi="Arial" w:cs="Arial"/>
                <w:b/>
                <w:bCs/>
                <w:color w:val="000000"/>
                <w:kern w:val="0"/>
                <w:sz w:val="13"/>
                <w:szCs w:val="13"/>
              </w:rPr>
              <w:t>stock</w:t>
            </w:r>
          </w:p>
        </w:tc>
        <w:tc>
          <w:tcPr>
            <w:tcW w:w="0" w:type="auto"/>
            <w:vAlign w:val="bottom"/>
            <w:hideMark/>
          </w:tcPr>
          <w:p w14:paraId="129C7103" w14:textId="77777777" w:rsidR="002F3D36" w:rsidRPr="002F3D36" w:rsidRDefault="002F3D36" w:rsidP="002F3D36">
            <w:pPr>
              <w:widowControl/>
              <w:jc w:val="center"/>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16A84840" w14:textId="77777777" w:rsidR="002F3D36" w:rsidRPr="002F3D36" w:rsidRDefault="002F3D36" w:rsidP="002F3D36">
            <w:pPr>
              <w:widowControl/>
              <w:jc w:val="center"/>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tcBorders>
              <w:bottom w:val="single" w:sz="4" w:space="0" w:color="000000"/>
            </w:tcBorders>
            <w:vAlign w:val="bottom"/>
            <w:hideMark/>
          </w:tcPr>
          <w:p w14:paraId="50E86FA7" w14:textId="77777777" w:rsidR="002F3D36" w:rsidRPr="002F3D36" w:rsidRDefault="002F3D36" w:rsidP="002F3D36">
            <w:pPr>
              <w:widowControl/>
              <w:jc w:val="center"/>
              <w:rPr>
                <w:rFonts w:ascii="Times New Roman" w:eastAsia="微软雅黑" w:hAnsi="Times New Roman" w:cs="Times New Roman"/>
                <w:kern w:val="0"/>
                <w:sz w:val="13"/>
                <w:szCs w:val="13"/>
              </w:rPr>
            </w:pPr>
            <w:r w:rsidRPr="002F3D36">
              <w:rPr>
                <w:rFonts w:ascii="Arial" w:eastAsia="微软雅黑" w:hAnsi="Arial" w:cs="Arial"/>
                <w:b/>
                <w:bCs/>
                <w:color w:val="000000"/>
                <w:kern w:val="0"/>
                <w:sz w:val="13"/>
                <w:szCs w:val="13"/>
              </w:rPr>
              <w:t>capital</w:t>
            </w:r>
          </w:p>
        </w:tc>
        <w:tc>
          <w:tcPr>
            <w:tcW w:w="0" w:type="auto"/>
            <w:vAlign w:val="bottom"/>
            <w:hideMark/>
          </w:tcPr>
          <w:p w14:paraId="0010408C" w14:textId="77777777" w:rsidR="002F3D36" w:rsidRPr="002F3D36" w:rsidRDefault="002F3D36" w:rsidP="002F3D36">
            <w:pPr>
              <w:widowControl/>
              <w:jc w:val="center"/>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0A88FD66" w14:textId="77777777" w:rsidR="002F3D36" w:rsidRPr="002F3D36" w:rsidRDefault="002F3D36" w:rsidP="002F3D36">
            <w:pPr>
              <w:widowControl/>
              <w:jc w:val="center"/>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tcBorders>
              <w:bottom w:val="single" w:sz="4" w:space="0" w:color="000000"/>
            </w:tcBorders>
            <w:vAlign w:val="bottom"/>
            <w:hideMark/>
          </w:tcPr>
          <w:p w14:paraId="446DF0EC" w14:textId="77777777" w:rsidR="002F3D36" w:rsidRPr="002F3D36" w:rsidRDefault="002F3D36" w:rsidP="002F3D36">
            <w:pPr>
              <w:widowControl/>
              <w:jc w:val="center"/>
              <w:rPr>
                <w:rFonts w:ascii="Times New Roman" w:eastAsia="微软雅黑" w:hAnsi="Times New Roman" w:cs="Times New Roman"/>
                <w:kern w:val="0"/>
                <w:sz w:val="13"/>
                <w:szCs w:val="13"/>
              </w:rPr>
            </w:pPr>
            <w:r w:rsidRPr="002F3D36">
              <w:rPr>
                <w:rFonts w:ascii="Arial" w:eastAsia="微软雅黑" w:hAnsi="Arial" w:cs="Arial"/>
                <w:b/>
                <w:bCs/>
                <w:color w:val="000000"/>
                <w:kern w:val="0"/>
                <w:sz w:val="13"/>
                <w:szCs w:val="13"/>
              </w:rPr>
              <w:t>earnings</w:t>
            </w:r>
          </w:p>
        </w:tc>
        <w:tc>
          <w:tcPr>
            <w:tcW w:w="0" w:type="auto"/>
            <w:vAlign w:val="bottom"/>
            <w:hideMark/>
          </w:tcPr>
          <w:p w14:paraId="48C05E13" w14:textId="77777777" w:rsidR="002F3D36" w:rsidRPr="002F3D36" w:rsidRDefault="002F3D36" w:rsidP="002F3D36">
            <w:pPr>
              <w:widowControl/>
              <w:jc w:val="center"/>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16E5EC73" w14:textId="77777777" w:rsidR="002F3D36" w:rsidRPr="002F3D36" w:rsidRDefault="002F3D36" w:rsidP="002F3D36">
            <w:pPr>
              <w:widowControl/>
              <w:jc w:val="center"/>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tcBorders>
              <w:bottom w:val="single" w:sz="4" w:space="0" w:color="000000"/>
            </w:tcBorders>
            <w:vAlign w:val="bottom"/>
            <w:hideMark/>
          </w:tcPr>
          <w:p w14:paraId="0DACC0B0" w14:textId="77777777" w:rsidR="002F3D36" w:rsidRPr="002F3D36" w:rsidRDefault="002F3D36" w:rsidP="002F3D36">
            <w:pPr>
              <w:widowControl/>
              <w:jc w:val="center"/>
              <w:rPr>
                <w:rFonts w:ascii="Times New Roman" w:eastAsia="微软雅黑" w:hAnsi="Times New Roman" w:cs="Times New Roman"/>
                <w:kern w:val="0"/>
                <w:sz w:val="13"/>
                <w:szCs w:val="13"/>
              </w:rPr>
            </w:pPr>
            <w:r w:rsidRPr="002F3D36">
              <w:rPr>
                <w:rFonts w:ascii="Arial" w:eastAsia="微软雅黑" w:hAnsi="Arial" w:cs="Arial"/>
                <w:b/>
                <w:bCs/>
                <w:color w:val="000000"/>
                <w:kern w:val="0"/>
                <w:sz w:val="13"/>
                <w:szCs w:val="13"/>
              </w:rPr>
              <w:t>(loss) income</w:t>
            </w:r>
          </w:p>
        </w:tc>
        <w:tc>
          <w:tcPr>
            <w:tcW w:w="0" w:type="auto"/>
            <w:vAlign w:val="bottom"/>
            <w:hideMark/>
          </w:tcPr>
          <w:p w14:paraId="3768C94C" w14:textId="77777777" w:rsidR="002F3D36" w:rsidRPr="002F3D36" w:rsidRDefault="002F3D36" w:rsidP="002F3D36">
            <w:pPr>
              <w:widowControl/>
              <w:jc w:val="center"/>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49FF4CA3" w14:textId="77777777" w:rsidR="002F3D36" w:rsidRPr="002F3D36" w:rsidRDefault="002F3D36" w:rsidP="002F3D36">
            <w:pPr>
              <w:widowControl/>
              <w:jc w:val="center"/>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tcBorders>
              <w:bottom w:val="single" w:sz="4" w:space="0" w:color="000000"/>
            </w:tcBorders>
            <w:vAlign w:val="bottom"/>
            <w:hideMark/>
          </w:tcPr>
          <w:p w14:paraId="622BF5DC" w14:textId="77777777" w:rsidR="002F3D36" w:rsidRPr="002F3D36" w:rsidRDefault="002F3D36" w:rsidP="002F3D36">
            <w:pPr>
              <w:widowControl/>
              <w:jc w:val="center"/>
              <w:rPr>
                <w:rFonts w:ascii="Times New Roman" w:eastAsia="微软雅黑" w:hAnsi="Times New Roman" w:cs="Times New Roman"/>
                <w:kern w:val="0"/>
                <w:sz w:val="13"/>
                <w:szCs w:val="13"/>
              </w:rPr>
            </w:pPr>
            <w:r w:rsidRPr="002F3D36">
              <w:rPr>
                <w:rFonts w:ascii="Arial" w:eastAsia="微软雅黑" w:hAnsi="Arial" w:cs="Arial"/>
                <w:b/>
                <w:bCs/>
                <w:color w:val="000000"/>
                <w:kern w:val="0"/>
                <w:sz w:val="13"/>
                <w:szCs w:val="13"/>
              </w:rPr>
              <w:t>stock</w:t>
            </w:r>
          </w:p>
        </w:tc>
        <w:tc>
          <w:tcPr>
            <w:tcW w:w="0" w:type="auto"/>
            <w:vAlign w:val="bottom"/>
            <w:hideMark/>
          </w:tcPr>
          <w:p w14:paraId="4B83E14C" w14:textId="77777777" w:rsidR="002F3D36" w:rsidRPr="002F3D36" w:rsidRDefault="002F3D36" w:rsidP="002F3D36">
            <w:pPr>
              <w:widowControl/>
              <w:jc w:val="center"/>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1D66FB6D" w14:textId="77777777" w:rsidR="002F3D36" w:rsidRPr="002F3D36" w:rsidRDefault="002F3D36" w:rsidP="002F3D36">
            <w:pPr>
              <w:widowControl/>
              <w:jc w:val="center"/>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tcBorders>
              <w:bottom w:val="single" w:sz="4" w:space="0" w:color="000000"/>
            </w:tcBorders>
            <w:vAlign w:val="bottom"/>
            <w:hideMark/>
          </w:tcPr>
          <w:p w14:paraId="12C83DC5" w14:textId="77777777" w:rsidR="002F3D36" w:rsidRPr="002F3D36" w:rsidRDefault="002F3D36" w:rsidP="002F3D36">
            <w:pPr>
              <w:widowControl/>
              <w:jc w:val="center"/>
              <w:rPr>
                <w:rFonts w:ascii="Times New Roman" w:eastAsia="微软雅黑" w:hAnsi="Times New Roman" w:cs="Times New Roman"/>
                <w:kern w:val="0"/>
                <w:sz w:val="13"/>
                <w:szCs w:val="13"/>
              </w:rPr>
            </w:pPr>
            <w:r w:rsidRPr="002F3D36">
              <w:rPr>
                <w:rFonts w:ascii="Arial" w:eastAsia="微软雅黑" w:hAnsi="Arial" w:cs="Arial"/>
                <w:b/>
                <w:bCs/>
                <w:color w:val="000000"/>
                <w:kern w:val="0"/>
                <w:sz w:val="13"/>
                <w:szCs w:val="13"/>
              </w:rPr>
              <w:t>equity</w:t>
            </w:r>
          </w:p>
        </w:tc>
        <w:tc>
          <w:tcPr>
            <w:tcW w:w="0" w:type="auto"/>
            <w:vAlign w:val="bottom"/>
            <w:hideMark/>
          </w:tcPr>
          <w:p w14:paraId="26F678BF" w14:textId="77777777" w:rsidR="002F3D36" w:rsidRPr="002F3D36" w:rsidRDefault="002F3D36" w:rsidP="002F3D36">
            <w:pPr>
              <w:widowControl/>
              <w:jc w:val="center"/>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58830A7B" w14:textId="77777777" w:rsidR="002F3D36" w:rsidRPr="002F3D36" w:rsidRDefault="002F3D36" w:rsidP="002F3D36">
            <w:pPr>
              <w:widowControl/>
              <w:jc w:val="center"/>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tcBorders>
              <w:bottom w:val="single" w:sz="4" w:space="0" w:color="000000"/>
            </w:tcBorders>
            <w:vAlign w:val="bottom"/>
            <w:hideMark/>
          </w:tcPr>
          <w:p w14:paraId="3635FB62" w14:textId="77777777" w:rsidR="002F3D36" w:rsidRPr="002F3D36" w:rsidRDefault="002F3D36" w:rsidP="002F3D36">
            <w:pPr>
              <w:widowControl/>
              <w:jc w:val="center"/>
              <w:rPr>
                <w:rFonts w:ascii="Times New Roman" w:eastAsia="微软雅黑" w:hAnsi="Times New Roman" w:cs="Times New Roman"/>
                <w:kern w:val="0"/>
                <w:sz w:val="13"/>
                <w:szCs w:val="13"/>
              </w:rPr>
            </w:pPr>
            <w:r w:rsidRPr="002F3D36">
              <w:rPr>
                <w:rFonts w:ascii="Arial" w:eastAsia="微软雅黑" w:hAnsi="Arial" w:cs="Arial"/>
                <w:b/>
                <w:bCs/>
                <w:color w:val="000000"/>
                <w:kern w:val="0"/>
                <w:sz w:val="13"/>
                <w:szCs w:val="13"/>
              </w:rPr>
              <w:t>interest</w:t>
            </w:r>
          </w:p>
        </w:tc>
        <w:tc>
          <w:tcPr>
            <w:tcW w:w="0" w:type="auto"/>
            <w:vAlign w:val="bottom"/>
            <w:hideMark/>
          </w:tcPr>
          <w:p w14:paraId="4FF9AB41" w14:textId="77777777" w:rsidR="002F3D36" w:rsidRPr="002F3D36" w:rsidRDefault="002F3D36" w:rsidP="002F3D36">
            <w:pPr>
              <w:widowControl/>
              <w:jc w:val="center"/>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382BAF7C" w14:textId="77777777" w:rsidR="002F3D36" w:rsidRPr="002F3D36" w:rsidRDefault="002F3D36" w:rsidP="002F3D36">
            <w:pPr>
              <w:widowControl/>
              <w:jc w:val="center"/>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tcBorders>
              <w:bottom w:val="single" w:sz="4" w:space="0" w:color="000000"/>
            </w:tcBorders>
            <w:vAlign w:val="bottom"/>
            <w:hideMark/>
          </w:tcPr>
          <w:p w14:paraId="7EF7FDD6" w14:textId="77777777" w:rsidR="002F3D36" w:rsidRPr="002F3D36" w:rsidRDefault="002F3D36" w:rsidP="002F3D36">
            <w:pPr>
              <w:widowControl/>
              <w:jc w:val="center"/>
              <w:rPr>
                <w:rFonts w:ascii="Times New Roman" w:eastAsia="微软雅黑" w:hAnsi="Times New Roman" w:cs="Times New Roman"/>
                <w:kern w:val="0"/>
                <w:sz w:val="13"/>
                <w:szCs w:val="13"/>
              </w:rPr>
            </w:pPr>
            <w:r w:rsidRPr="002F3D36">
              <w:rPr>
                <w:rFonts w:ascii="Arial" w:eastAsia="微软雅黑" w:hAnsi="Arial" w:cs="Arial"/>
                <w:b/>
                <w:bCs/>
                <w:color w:val="000000"/>
                <w:kern w:val="0"/>
                <w:sz w:val="13"/>
                <w:szCs w:val="13"/>
              </w:rPr>
              <w:t>equity</w:t>
            </w:r>
            <w:r w:rsidRPr="002F3D36">
              <w:rPr>
                <w:rFonts w:ascii="Arial" w:eastAsia="微软雅黑" w:hAnsi="Arial" w:cs="Arial"/>
                <w:b/>
                <w:bCs/>
                <w:color w:val="000000"/>
                <w:kern w:val="0"/>
                <w:sz w:val="9"/>
                <w:szCs w:val="9"/>
              </w:rPr>
              <w:t>1)</w:t>
            </w:r>
          </w:p>
        </w:tc>
        <w:tc>
          <w:tcPr>
            <w:tcW w:w="0" w:type="auto"/>
            <w:vAlign w:val="bottom"/>
            <w:hideMark/>
          </w:tcPr>
          <w:p w14:paraId="0AD1FA20" w14:textId="77777777" w:rsidR="002F3D36" w:rsidRPr="002F3D36" w:rsidRDefault="002F3D36" w:rsidP="002F3D36">
            <w:pPr>
              <w:widowControl/>
              <w:jc w:val="center"/>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r>
      <w:tr w:rsidR="002F3D36" w:rsidRPr="002F3D36" w14:paraId="42E0F0BE" w14:textId="77777777" w:rsidTr="002F3D36">
        <w:trPr>
          <w:trHeight w:val="120"/>
          <w:tblCellSpacing w:w="15" w:type="dxa"/>
        </w:trPr>
        <w:tc>
          <w:tcPr>
            <w:tcW w:w="0" w:type="auto"/>
            <w:vAlign w:val="bottom"/>
            <w:hideMark/>
          </w:tcPr>
          <w:p w14:paraId="127EB216"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b/>
                <w:bCs/>
                <w:color w:val="000000"/>
                <w:kern w:val="0"/>
                <w:sz w:val="13"/>
                <w:szCs w:val="13"/>
              </w:rPr>
              <w:t>Balance at December 31, 2018</w:t>
            </w:r>
          </w:p>
        </w:tc>
        <w:tc>
          <w:tcPr>
            <w:tcW w:w="0" w:type="auto"/>
            <w:vAlign w:val="bottom"/>
            <w:hideMark/>
          </w:tcPr>
          <w:p w14:paraId="2182C019"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tcBorders>
              <w:bottom w:val="single" w:sz="4" w:space="0" w:color="000000"/>
            </w:tcBorders>
            <w:vAlign w:val="bottom"/>
            <w:hideMark/>
          </w:tcPr>
          <w:p w14:paraId="30104B36"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tcBorders>
              <w:bottom w:val="single" w:sz="4" w:space="0" w:color="000000"/>
            </w:tcBorders>
            <w:vAlign w:val="bottom"/>
            <w:hideMark/>
          </w:tcPr>
          <w:p w14:paraId="7C221F12"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b/>
                <w:bCs/>
                <w:color w:val="000000"/>
                <w:kern w:val="0"/>
                <w:sz w:val="13"/>
                <w:szCs w:val="13"/>
              </w:rPr>
              <w:t>103</w:t>
            </w:r>
          </w:p>
        </w:tc>
        <w:tc>
          <w:tcPr>
            <w:tcW w:w="0" w:type="auto"/>
            <w:vAlign w:val="bottom"/>
            <w:hideMark/>
          </w:tcPr>
          <w:p w14:paraId="440EE82E"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0AEE0342"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tcBorders>
              <w:bottom w:val="single" w:sz="4" w:space="0" w:color="000000"/>
            </w:tcBorders>
            <w:vAlign w:val="bottom"/>
            <w:hideMark/>
          </w:tcPr>
          <w:p w14:paraId="67FFA695"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b/>
                <w:bCs/>
                <w:color w:val="000000"/>
                <w:kern w:val="0"/>
                <w:sz w:val="13"/>
                <w:szCs w:val="13"/>
              </w:rPr>
              <w:t>$</w:t>
            </w:r>
          </w:p>
        </w:tc>
        <w:tc>
          <w:tcPr>
            <w:tcW w:w="0" w:type="auto"/>
            <w:tcBorders>
              <w:bottom w:val="single" w:sz="4" w:space="0" w:color="000000"/>
            </w:tcBorders>
            <w:vAlign w:val="bottom"/>
            <w:hideMark/>
          </w:tcPr>
          <w:p w14:paraId="55A69764"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b/>
                <w:bCs/>
                <w:color w:val="000000"/>
                <w:kern w:val="0"/>
                <w:sz w:val="13"/>
                <w:szCs w:val="13"/>
              </w:rPr>
              <w:t>103</w:t>
            </w:r>
          </w:p>
        </w:tc>
        <w:tc>
          <w:tcPr>
            <w:tcW w:w="0" w:type="auto"/>
            <w:vAlign w:val="bottom"/>
            <w:hideMark/>
          </w:tcPr>
          <w:p w14:paraId="730ABB6E"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7DC55E92"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tcBorders>
              <w:bottom w:val="single" w:sz="4" w:space="0" w:color="000000"/>
            </w:tcBorders>
            <w:vAlign w:val="bottom"/>
            <w:hideMark/>
          </w:tcPr>
          <w:p w14:paraId="17CA11BC"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b/>
                <w:bCs/>
                <w:color w:val="000000"/>
                <w:kern w:val="0"/>
                <w:sz w:val="13"/>
                <w:szCs w:val="13"/>
              </w:rPr>
              <w:t>$</w:t>
            </w:r>
          </w:p>
        </w:tc>
        <w:tc>
          <w:tcPr>
            <w:tcW w:w="0" w:type="auto"/>
            <w:tcBorders>
              <w:bottom w:val="single" w:sz="4" w:space="0" w:color="000000"/>
            </w:tcBorders>
            <w:vAlign w:val="bottom"/>
            <w:hideMark/>
          </w:tcPr>
          <w:p w14:paraId="3E17152A"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b/>
                <w:bCs/>
                <w:color w:val="000000"/>
                <w:kern w:val="0"/>
                <w:sz w:val="13"/>
                <w:szCs w:val="13"/>
              </w:rPr>
              <w:t>1,329</w:t>
            </w:r>
          </w:p>
        </w:tc>
        <w:tc>
          <w:tcPr>
            <w:tcW w:w="0" w:type="auto"/>
            <w:vAlign w:val="bottom"/>
            <w:hideMark/>
          </w:tcPr>
          <w:p w14:paraId="1693CB1F"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3EE41617"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tcBorders>
              <w:bottom w:val="single" w:sz="4" w:space="0" w:color="000000"/>
            </w:tcBorders>
            <w:vAlign w:val="bottom"/>
            <w:hideMark/>
          </w:tcPr>
          <w:p w14:paraId="4F30422D"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b/>
                <w:bCs/>
                <w:color w:val="000000"/>
                <w:kern w:val="0"/>
                <w:sz w:val="13"/>
                <w:szCs w:val="13"/>
              </w:rPr>
              <w:t>$</w:t>
            </w:r>
          </w:p>
        </w:tc>
        <w:tc>
          <w:tcPr>
            <w:tcW w:w="0" w:type="auto"/>
            <w:tcBorders>
              <w:bottom w:val="single" w:sz="4" w:space="0" w:color="000000"/>
            </w:tcBorders>
            <w:vAlign w:val="bottom"/>
            <w:hideMark/>
          </w:tcPr>
          <w:p w14:paraId="09679FAD"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b/>
                <w:bCs/>
                <w:color w:val="000000"/>
                <w:kern w:val="0"/>
                <w:sz w:val="13"/>
                <w:szCs w:val="13"/>
              </w:rPr>
              <w:t>2,042</w:t>
            </w:r>
          </w:p>
        </w:tc>
        <w:tc>
          <w:tcPr>
            <w:tcW w:w="0" w:type="auto"/>
            <w:vAlign w:val="bottom"/>
            <w:hideMark/>
          </w:tcPr>
          <w:p w14:paraId="676575D4"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3A6638E2"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tcBorders>
              <w:bottom w:val="single" w:sz="4" w:space="0" w:color="000000"/>
            </w:tcBorders>
            <w:vAlign w:val="bottom"/>
            <w:hideMark/>
          </w:tcPr>
          <w:p w14:paraId="7EA0FB08"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b/>
                <w:bCs/>
                <w:color w:val="000000"/>
                <w:kern w:val="0"/>
                <w:sz w:val="13"/>
                <w:szCs w:val="13"/>
              </w:rPr>
              <w:t>$</w:t>
            </w:r>
          </w:p>
        </w:tc>
        <w:tc>
          <w:tcPr>
            <w:tcW w:w="0" w:type="auto"/>
            <w:tcBorders>
              <w:bottom w:val="single" w:sz="4" w:space="0" w:color="000000"/>
            </w:tcBorders>
            <w:vAlign w:val="bottom"/>
            <w:hideMark/>
          </w:tcPr>
          <w:p w14:paraId="00CB664F"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b/>
                <w:bCs/>
                <w:color w:val="000000"/>
                <w:kern w:val="0"/>
                <w:sz w:val="13"/>
                <w:szCs w:val="13"/>
              </w:rPr>
              <w:t>(423</w:t>
            </w:r>
          </w:p>
        </w:tc>
        <w:tc>
          <w:tcPr>
            <w:tcW w:w="0" w:type="auto"/>
            <w:vAlign w:val="bottom"/>
            <w:hideMark/>
          </w:tcPr>
          <w:p w14:paraId="162096AE"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b/>
                <w:bCs/>
                <w:color w:val="000000"/>
                <w:kern w:val="0"/>
                <w:sz w:val="13"/>
                <w:szCs w:val="13"/>
              </w:rPr>
              <w:t>)</w:t>
            </w:r>
          </w:p>
        </w:tc>
        <w:tc>
          <w:tcPr>
            <w:tcW w:w="0" w:type="auto"/>
            <w:vAlign w:val="bottom"/>
            <w:hideMark/>
          </w:tcPr>
          <w:p w14:paraId="7B414A9B"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tcBorders>
              <w:bottom w:val="single" w:sz="4" w:space="0" w:color="000000"/>
            </w:tcBorders>
            <w:vAlign w:val="bottom"/>
            <w:hideMark/>
          </w:tcPr>
          <w:p w14:paraId="12D806E6"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b/>
                <w:bCs/>
                <w:color w:val="000000"/>
                <w:kern w:val="0"/>
                <w:sz w:val="13"/>
                <w:szCs w:val="13"/>
              </w:rPr>
              <w:t>$</w:t>
            </w:r>
          </w:p>
        </w:tc>
        <w:tc>
          <w:tcPr>
            <w:tcW w:w="0" w:type="auto"/>
            <w:tcBorders>
              <w:bottom w:val="single" w:sz="4" w:space="0" w:color="000000"/>
            </w:tcBorders>
            <w:vAlign w:val="bottom"/>
            <w:hideMark/>
          </w:tcPr>
          <w:p w14:paraId="048D54B0"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b/>
                <w:bCs/>
                <w:color w:val="000000"/>
                <w:kern w:val="0"/>
                <w:sz w:val="13"/>
                <w:szCs w:val="13"/>
              </w:rPr>
              <w:t>(1,167</w:t>
            </w:r>
          </w:p>
        </w:tc>
        <w:tc>
          <w:tcPr>
            <w:tcW w:w="0" w:type="auto"/>
            <w:vAlign w:val="bottom"/>
            <w:hideMark/>
          </w:tcPr>
          <w:p w14:paraId="3CF6A114"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b/>
                <w:bCs/>
                <w:color w:val="000000"/>
                <w:kern w:val="0"/>
                <w:sz w:val="13"/>
                <w:szCs w:val="13"/>
              </w:rPr>
              <w:t>)</w:t>
            </w:r>
          </w:p>
        </w:tc>
        <w:tc>
          <w:tcPr>
            <w:tcW w:w="0" w:type="auto"/>
            <w:vAlign w:val="bottom"/>
            <w:hideMark/>
          </w:tcPr>
          <w:p w14:paraId="5C8E5E7F"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tcBorders>
              <w:bottom w:val="single" w:sz="4" w:space="0" w:color="000000"/>
            </w:tcBorders>
            <w:vAlign w:val="bottom"/>
            <w:hideMark/>
          </w:tcPr>
          <w:p w14:paraId="5CCC0CFF"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b/>
                <w:bCs/>
                <w:color w:val="000000"/>
                <w:kern w:val="0"/>
                <w:sz w:val="13"/>
                <w:szCs w:val="13"/>
              </w:rPr>
              <w:t>$</w:t>
            </w:r>
          </w:p>
        </w:tc>
        <w:tc>
          <w:tcPr>
            <w:tcW w:w="0" w:type="auto"/>
            <w:tcBorders>
              <w:bottom w:val="single" w:sz="4" w:space="0" w:color="000000"/>
            </w:tcBorders>
            <w:vAlign w:val="bottom"/>
            <w:hideMark/>
          </w:tcPr>
          <w:p w14:paraId="1B1B6AD4"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b/>
                <w:bCs/>
                <w:color w:val="000000"/>
                <w:kern w:val="0"/>
                <w:sz w:val="13"/>
                <w:szCs w:val="13"/>
              </w:rPr>
              <w:t>1,884</w:t>
            </w:r>
          </w:p>
        </w:tc>
        <w:tc>
          <w:tcPr>
            <w:tcW w:w="0" w:type="auto"/>
            <w:vAlign w:val="bottom"/>
            <w:hideMark/>
          </w:tcPr>
          <w:p w14:paraId="05DE18D7"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346BB112"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tcBorders>
              <w:bottom w:val="single" w:sz="4" w:space="0" w:color="000000"/>
            </w:tcBorders>
            <w:vAlign w:val="bottom"/>
            <w:hideMark/>
          </w:tcPr>
          <w:p w14:paraId="2274C586"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b/>
                <w:bCs/>
                <w:color w:val="000000"/>
                <w:kern w:val="0"/>
                <w:sz w:val="13"/>
                <w:szCs w:val="13"/>
              </w:rPr>
              <w:t>$</w:t>
            </w:r>
          </w:p>
        </w:tc>
        <w:tc>
          <w:tcPr>
            <w:tcW w:w="0" w:type="auto"/>
            <w:tcBorders>
              <w:bottom w:val="single" w:sz="4" w:space="0" w:color="000000"/>
            </w:tcBorders>
            <w:vAlign w:val="bottom"/>
            <w:hideMark/>
          </w:tcPr>
          <w:p w14:paraId="74CA722E"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b/>
                <w:bCs/>
                <w:color w:val="000000"/>
                <w:kern w:val="0"/>
                <w:sz w:val="13"/>
                <w:szCs w:val="13"/>
              </w:rPr>
              <w:t>13</w:t>
            </w:r>
          </w:p>
        </w:tc>
        <w:tc>
          <w:tcPr>
            <w:tcW w:w="0" w:type="auto"/>
            <w:vAlign w:val="bottom"/>
            <w:hideMark/>
          </w:tcPr>
          <w:p w14:paraId="158B3A03"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193D3CC4"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tcBorders>
              <w:bottom w:val="single" w:sz="4" w:space="0" w:color="000000"/>
            </w:tcBorders>
            <w:vAlign w:val="bottom"/>
            <w:hideMark/>
          </w:tcPr>
          <w:p w14:paraId="5D50DD1B"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b/>
                <w:bCs/>
                <w:color w:val="000000"/>
                <w:kern w:val="0"/>
                <w:sz w:val="13"/>
                <w:szCs w:val="13"/>
              </w:rPr>
              <w:t>$</w:t>
            </w:r>
          </w:p>
        </w:tc>
        <w:tc>
          <w:tcPr>
            <w:tcW w:w="0" w:type="auto"/>
            <w:tcBorders>
              <w:bottom w:val="single" w:sz="4" w:space="0" w:color="000000"/>
            </w:tcBorders>
            <w:vAlign w:val="bottom"/>
            <w:hideMark/>
          </w:tcPr>
          <w:p w14:paraId="023F2D9A"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b/>
                <w:bCs/>
                <w:color w:val="000000"/>
                <w:kern w:val="0"/>
                <w:sz w:val="13"/>
                <w:szCs w:val="13"/>
              </w:rPr>
              <w:t>1,897</w:t>
            </w:r>
          </w:p>
        </w:tc>
        <w:tc>
          <w:tcPr>
            <w:tcW w:w="0" w:type="auto"/>
            <w:vAlign w:val="bottom"/>
            <w:hideMark/>
          </w:tcPr>
          <w:p w14:paraId="4CC529C9"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r>
      <w:tr w:rsidR="002F3D36" w:rsidRPr="002F3D36" w14:paraId="15A69BA2" w14:textId="77777777" w:rsidTr="002F3D36">
        <w:trPr>
          <w:trHeight w:val="120"/>
          <w:tblCellSpacing w:w="15" w:type="dxa"/>
        </w:trPr>
        <w:tc>
          <w:tcPr>
            <w:tcW w:w="0" w:type="auto"/>
            <w:shd w:val="clear" w:color="auto" w:fill="CFF0FC"/>
            <w:hideMark/>
          </w:tcPr>
          <w:p w14:paraId="4A808902"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color w:val="000000"/>
                <w:kern w:val="0"/>
                <w:sz w:val="13"/>
                <w:szCs w:val="13"/>
              </w:rPr>
              <w:t>Comprehensive Income:</w:t>
            </w:r>
          </w:p>
        </w:tc>
        <w:tc>
          <w:tcPr>
            <w:tcW w:w="0" w:type="auto"/>
            <w:shd w:val="clear" w:color="auto" w:fill="CFF0FC"/>
            <w:vAlign w:val="bottom"/>
            <w:hideMark/>
          </w:tcPr>
          <w:p w14:paraId="4014DF5A"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shd w:val="clear" w:color="auto" w:fill="CFF0FC"/>
            <w:vAlign w:val="bottom"/>
            <w:hideMark/>
          </w:tcPr>
          <w:p w14:paraId="7BC9606D"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7785228A"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498B0C88"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shd w:val="clear" w:color="auto" w:fill="CFF0FC"/>
            <w:vAlign w:val="bottom"/>
            <w:hideMark/>
          </w:tcPr>
          <w:p w14:paraId="766C95BE"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3EB9A025"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72418AAC"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shd w:val="clear" w:color="auto" w:fill="CFF0FC"/>
            <w:vAlign w:val="bottom"/>
            <w:hideMark/>
          </w:tcPr>
          <w:p w14:paraId="5771E384"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473222AF"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69696458"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shd w:val="clear" w:color="auto" w:fill="CFF0FC"/>
            <w:vAlign w:val="bottom"/>
            <w:hideMark/>
          </w:tcPr>
          <w:p w14:paraId="0B3B7CD5"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0430AA56"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5A034622"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shd w:val="clear" w:color="auto" w:fill="CFF0FC"/>
            <w:vAlign w:val="bottom"/>
            <w:hideMark/>
          </w:tcPr>
          <w:p w14:paraId="4AA67C97"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70067875"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434804E8"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shd w:val="clear" w:color="auto" w:fill="CFF0FC"/>
            <w:vAlign w:val="bottom"/>
            <w:hideMark/>
          </w:tcPr>
          <w:p w14:paraId="3CF12168"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099B668E"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29BA0BE9"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shd w:val="clear" w:color="auto" w:fill="CFF0FC"/>
            <w:vAlign w:val="bottom"/>
            <w:hideMark/>
          </w:tcPr>
          <w:p w14:paraId="6167B791"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62FA3248"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3367D09E"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shd w:val="clear" w:color="auto" w:fill="CFF0FC"/>
            <w:vAlign w:val="bottom"/>
            <w:hideMark/>
          </w:tcPr>
          <w:p w14:paraId="30BB1CC9"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154C0744"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20BF70AE"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shd w:val="clear" w:color="auto" w:fill="CFF0FC"/>
            <w:vAlign w:val="bottom"/>
            <w:hideMark/>
          </w:tcPr>
          <w:p w14:paraId="6B5286CB"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580A13CE"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r>
      <w:tr w:rsidR="002F3D36" w:rsidRPr="002F3D36" w14:paraId="675E09D1" w14:textId="77777777" w:rsidTr="002F3D36">
        <w:trPr>
          <w:trHeight w:val="120"/>
          <w:tblCellSpacing w:w="15" w:type="dxa"/>
        </w:trPr>
        <w:tc>
          <w:tcPr>
            <w:tcW w:w="0" w:type="auto"/>
            <w:hideMark/>
          </w:tcPr>
          <w:p w14:paraId="33AD4881" w14:textId="77777777" w:rsidR="002F3D36" w:rsidRPr="002F3D36" w:rsidRDefault="002F3D36" w:rsidP="002F3D36">
            <w:pPr>
              <w:widowControl/>
              <w:ind w:left="200"/>
              <w:jc w:val="left"/>
              <w:rPr>
                <w:rFonts w:ascii="Times New Roman" w:eastAsia="微软雅黑" w:hAnsi="Times New Roman" w:cs="Times New Roman"/>
                <w:kern w:val="0"/>
                <w:sz w:val="13"/>
                <w:szCs w:val="13"/>
              </w:rPr>
            </w:pPr>
            <w:r w:rsidRPr="002F3D36">
              <w:rPr>
                <w:rFonts w:ascii="Arial" w:eastAsia="微软雅黑" w:hAnsi="Arial" w:cs="Arial"/>
                <w:color w:val="000000"/>
                <w:kern w:val="0"/>
                <w:sz w:val="13"/>
                <w:szCs w:val="13"/>
              </w:rPr>
              <w:t>Net income</w:t>
            </w:r>
          </w:p>
        </w:tc>
        <w:tc>
          <w:tcPr>
            <w:tcW w:w="0" w:type="auto"/>
            <w:vAlign w:val="bottom"/>
            <w:hideMark/>
          </w:tcPr>
          <w:p w14:paraId="19C34E9D"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vAlign w:val="bottom"/>
            <w:hideMark/>
          </w:tcPr>
          <w:p w14:paraId="74AB9707"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75CDD802"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74E4B74A"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vAlign w:val="bottom"/>
            <w:hideMark/>
          </w:tcPr>
          <w:p w14:paraId="055887C0"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305C7996"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66B1491B"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vAlign w:val="bottom"/>
            <w:hideMark/>
          </w:tcPr>
          <w:p w14:paraId="3A4E73F0"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6EC2A3F0"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3C1821A7"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04CFDA10"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34ED5BD9"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3"/>
                <w:szCs w:val="13"/>
              </w:rPr>
              <w:t>462</w:t>
            </w:r>
          </w:p>
        </w:tc>
        <w:tc>
          <w:tcPr>
            <w:tcW w:w="0" w:type="auto"/>
            <w:vAlign w:val="bottom"/>
            <w:hideMark/>
          </w:tcPr>
          <w:p w14:paraId="10E96AFA"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65B9B5CF"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vAlign w:val="bottom"/>
            <w:hideMark/>
          </w:tcPr>
          <w:p w14:paraId="2080C0DC"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067378AA"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16E8C2D7"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vAlign w:val="bottom"/>
            <w:hideMark/>
          </w:tcPr>
          <w:p w14:paraId="7A87649B"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372B787C"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19B9EF5C"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0D206CC0"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2FF8AA70"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3"/>
                <w:szCs w:val="13"/>
              </w:rPr>
              <w:t>462</w:t>
            </w:r>
          </w:p>
        </w:tc>
        <w:tc>
          <w:tcPr>
            <w:tcW w:w="0" w:type="auto"/>
            <w:vAlign w:val="bottom"/>
            <w:hideMark/>
          </w:tcPr>
          <w:p w14:paraId="71AF565D"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6E911928"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4F7EF89C"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551453DC"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3"/>
                <w:szCs w:val="13"/>
              </w:rPr>
              <w:t>1</w:t>
            </w:r>
          </w:p>
        </w:tc>
        <w:tc>
          <w:tcPr>
            <w:tcW w:w="0" w:type="auto"/>
            <w:vAlign w:val="bottom"/>
            <w:hideMark/>
          </w:tcPr>
          <w:p w14:paraId="07E1FAF0"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03647EC4"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415FD3CF"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144D854B"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3"/>
                <w:szCs w:val="13"/>
              </w:rPr>
              <w:t>463</w:t>
            </w:r>
          </w:p>
        </w:tc>
        <w:tc>
          <w:tcPr>
            <w:tcW w:w="0" w:type="auto"/>
            <w:vAlign w:val="bottom"/>
            <w:hideMark/>
          </w:tcPr>
          <w:p w14:paraId="7CFF4098"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r>
      <w:tr w:rsidR="002F3D36" w:rsidRPr="002F3D36" w14:paraId="5E6F2274" w14:textId="77777777" w:rsidTr="002F3D36">
        <w:trPr>
          <w:trHeight w:val="120"/>
          <w:tblCellSpacing w:w="15" w:type="dxa"/>
        </w:trPr>
        <w:tc>
          <w:tcPr>
            <w:tcW w:w="0" w:type="auto"/>
            <w:shd w:val="clear" w:color="auto" w:fill="CFF0FC"/>
            <w:hideMark/>
          </w:tcPr>
          <w:p w14:paraId="1DAB87D8" w14:textId="77777777" w:rsidR="002F3D36" w:rsidRPr="002F3D36" w:rsidRDefault="002F3D36" w:rsidP="002F3D36">
            <w:pPr>
              <w:widowControl/>
              <w:ind w:left="200"/>
              <w:jc w:val="left"/>
              <w:rPr>
                <w:rFonts w:ascii="Times New Roman" w:eastAsia="微软雅黑" w:hAnsi="Times New Roman" w:cs="Times New Roman"/>
                <w:kern w:val="0"/>
                <w:sz w:val="13"/>
                <w:szCs w:val="13"/>
              </w:rPr>
            </w:pPr>
            <w:r w:rsidRPr="002F3D36">
              <w:rPr>
                <w:rFonts w:ascii="Arial" w:eastAsia="微软雅黑" w:hAnsi="Arial" w:cs="Arial"/>
                <w:color w:val="000000"/>
                <w:kern w:val="0"/>
                <w:sz w:val="13"/>
                <w:szCs w:val="13"/>
              </w:rPr>
              <w:t>Foreign currency translation</w:t>
            </w:r>
          </w:p>
        </w:tc>
        <w:tc>
          <w:tcPr>
            <w:tcW w:w="0" w:type="auto"/>
            <w:shd w:val="clear" w:color="auto" w:fill="CFF0FC"/>
            <w:vAlign w:val="bottom"/>
            <w:hideMark/>
          </w:tcPr>
          <w:p w14:paraId="5887390B"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shd w:val="clear" w:color="auto" w:fill="CFF0FC"/>
            <w:vAlign w:val="bottom"/>
            <w:hideMark/>
          </w:tcPr>
          <w:p w14:paraId="56A43116"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73FC0DE1"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27AD585E"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shd w:val="clear" w:color="auto" w:fill="CFF0FC"/>
            <w:vAlign w:val="bottom"/>
            <w:hideMark/>
          </w:tcPr>
          <w:p w14:paraId="4023C9B7"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37FE5AD5"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33EF5FB1"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shd w:val="clear" w:color="auto" w:fill="CFF0FC"/>
            <w:vAlign w:val="bottom"/>
            <w:hideMark/>
          </w:tcPr>
          <w:p w14:paraId="0136D9A1"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30479E2D"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468BF007"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shd w:val="clear" w:color="auto" w:fill="CFF0FC"/>
            <w:vAlign w:val="bottom"/>
            <w:hideMark/>
          </w:tcPr>
          <w:p w14:paraId="01840D0F"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41F59F6A"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06F16A5F"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768A7AAD"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39913995"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3"/>
                <w:szCs w:val="13"/>
              </w:rPr>
              <w:t>2</w:t>
            </w:r>
          </w:p>
        </w:tc>
        <w:tc>
          <w:tcPr>
            <w:tcW w:w="0" w:type="auto"/>
            <w:shd w:val="clear" w:color="auto" w:fill="CFF0FC"/>
            <w:vAlign w:val="bottom"/>
            <w:hideMark/>
          </w:tcPr>
          <w:p w14:paraId="135AD0FD"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1E1034CE"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shd w:val="clear" w:color="auto" w:fill="CFF0FC"/>
            <w:vAlign w:val="bottom"/>
            <w:hideMark/>
          </w:tcPr>
          <w:p w14:paraId="6EC693D5"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532239C7"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630F7A9B"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63DF7B0D"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0F808D66"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3"/>
                <w:szCs w:val="13"/>
              </w:rPr>
              <w:t>2</w:t>
            </w:r>
          </w:p>
        </w:tc>
        <w:tc>
          <w:tcPr>
            <w:tcW w:w="0" w:type="auto"/>
            <w:shd w:val="clear" w:color="auto" w:fill="CFF0FC"/>
            <w:vAlign w:val="bottom"/>
            <w:hideMark/>
          </w:tcPr>
          <w:p w14:paraId="51BD3634"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62D552EA"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2CDAB5AC"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5D785914"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3"/>
                <w:szCs w:val="13"/>
              </w:rPr>
              <w:t>(0</w:t>
            </w:r>
          </w:p>
        </w:tc>
        <w:tc>
          <w:tcPr>
            <w:tcW w:w="0" w:type="auto"/>
            <w:shd w:val="clear" w:color="auto" w:fill="CFF0FC"/>
            <w:vAlign w:val="bottom"/>
            <w:hideMark/>
          </w:tcPr>
          <w:p w14:paraId="6CFE4D0C"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color w:val="000000"/>
                <w:kern w:val="0"/>
                <w:sz w:val="13"/>
                <w:szCs w:val="13"/>
              </w:rPr>
              <w:t>)</w:t>
            </w:r>
          </w:p>
        </w:tc>
        <w:tc>
          <w:tcPr>
            <w:tcW w:w="0" w:type="auto"/>
            <w:shd w:val="clear" w:color="auto" w:fill="CFF0FC"/>
            <w:vAlign w:val="bottom"/>
            <w:hideMark/>
          </w:tcPr>
          <w:p w14:paraId="72DEBE11"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662E83FD"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218A7DD1"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3"/>
                <w:szCs w:val="13"/>
              </w:rPr>
              <w:t>2</w:t>
            </w:r>
          </w:p>
        </w:tc>
        <w:tc>
          <w:tcPr>
            <w:tcW w:w="0" w:type="auto"/>
            <w:shd w:val="clear" w:color="auto" w:fill="CFF0FC"/>
            <w:vAlign w:val="bottom"/>
            <w:hideMark/>
          </w:tcPr>
          <w:p w14:paraId="59098CE5"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r>
      <w:tr w:rsidR="002F3D36" w:rsidRPr="002F3D36" w14:paraId="130EF1B2" w14:textId="77777777" w:rsidTr="002F3D36">
        <w:trPr>
          <w:trHeight w:val="120"/>
          <w:tblCellSpacing w:w="15" w:type="dxa"/>
        </w:trPr>
        <w:tc>
          <w:tcPr>
            <w:tcW w:w="0" w:type="auto"/>
            <w:hideMark/>
          </w:tcPr>
          <w:p w14:paraId="6889A03E" w14:textId="77777777" w:rsidR="002F3D36" w:rsidRPr="002F3D36" w:rsidRDefault="002F3D36" w:rsidP="002F3D36">
            <w:pPr>
              <w:widowControl/>
              <w:ind w:left="200"/>
              <w:jc w:val="left"/>
              <w:rPr>
                <w:rFonts w:ascii="Times New Roman" w:eastAsia="微软雅黑" w:hAnsi="Times New Roman" w:cs="Times New Roman"/>
                <w:kern w:val="0"/>
                <w:sz w:val="13"/>
                <w:szCs w:val="13"/>
              </w:rPr>
            </w:pPr>
            <w:r w:rsidRPr="002F3D36">
              <w:rPr>
                <w:rFonts w:ascii="Arial" w:eastAsia="微软雅黑" w:hAnsi="Arial" w:cs="Arial"/>
                <w:color w:val="000000"/>
                <w:kern w:val="0"/>
                <w:sz w:val="13"/>
                <w:szCs w:val="13"/>
              </w:rPr>
              <w:t>Pension liability</w:t>
            </w:r>
          </w:p>
        </w:tc>
        <w:tc>
          <w:tcPr>
            <w:tcW w:w="0" w:type="auto"/>
            <w:vAlign w:val="bottom"/>
            <w:hideMark/>
          </w:tcPr>
          <w:p w14:paraId="02D55E24"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vAlign w:val="bottom"/>
            <w:hideMark/>
          </w:tcPr>
          <w:p w14:paraId="4E8948F8"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03C12D4A"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24F3162C"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vAlign w:val="bottom"/>
            <w:hideMark/>
          </w:tcPr>
          <w:p w14:paraId="1CA668DC"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37116F5A"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32E9A8B6"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vAlign w:val="bottom"/>
            <w:hideMark/>
          </w:tcPr>
          <w:p w14:paraId="48FA1FDD"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3EA541A5"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64D4210B"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vAlign w:val="bottom"/>
            <w:hideMark/>
          </w:tcPr>
          <w:p w14:paraId="3904957D"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7FE7A4DD"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74ACA4EC"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1E3FEEA4"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15B2DBA1"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3"/>
                <w:szCs w:val="13"/>
              </w:rPr>
              <w:t>(28</w:t>
            </w:r>
          </w:p>
        </w:tc>
        <w:tc>
          <w:tcPr>
            <w:tcW w:w="0" w:type="auto"/>
            <w:vAlign w:val="bottom"/>
            <w:hideMark/>
          </w:tcPr>
          <w:p w14:paraId="09A05EFF"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color w:val="000000"/>
                <w:kern w:val="0"/>
                <w:sz w:val="13"/>
                <w:szCs w:val="13"/>
              </w:rPr>
              <w:t>)</w:t>
            </w:r>
          </w:p>
        </w:tc>
        <w:tc>
          <w:tcPr>
            <w:tcW w:w="0" w:type="auto"/>
            <w:vAlign w:val="bottom"/>
            <w:hideMark/>
          </w:tcPr>
          <w:p w14:paraId="68691641"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vAlign w:val="bottom"/>
            <w:hideMark/>
          </w:tcPr>
          <w:p w14:paraId="2287AF9B"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4A6887AD"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2729E4CC"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tcBorders>
              <w:bottom w:val="single" w:sz="4" w:space="0" w:color="000000"/>
            </w:tcBorders>
            <w:vAlign w:val="bottom"/>
            <w:hideMark/>
          </w:tcPr>
          <w:p w14:paraId="0D3B1DA2"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tcBorders>
              <w:bottom w:val="single" w:sz="4" w:space="0" w:color="000000"/>
            </w:tcBorders>
            <w:vAlign w:val="bottom"/>
            <w:hideMark/>
          </w:tcPr>
          <w:p w14:paraId="2FEC9A2F"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3"/>
                <w:szCs w:val="13"/>
              </w:rPr>
              <w:t>(28</w:t>
            </w:r>
          </w:p>
        </w:tc>
        <w:tc>
          <w:tcPr>
            <w:tcW w:w="0" w:type="auto"/>
            <w:vAlign w:val="bottom"/>
            <w:hideMark/>
          </w:tcPr>
          <w:p w14:paraId="22E3B7BF"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color w:val="000000"/>
                <w:kern w:val="0"/>
                <w:sz w:val="13"/>
                <w:szCs w:val="13"/>
              </w:rPr>
              <w:t>)</w:t>
            </w:r>
          </w:p>
        </w:tc>
        <w:tc>
          <w:tcPr>
            <w:tcW w:w="0" w:type="auto"/>
            <w:vAlign w:val="bottom"/>
            <w:hideMark/>
          </w:tcPr>
          <w:p w14:paraId="150CD67B"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tcBorders>
              <w:bottom w:val="single" w:sz="4" w:space="0" w:color="000000"/>
            </w:tcBorders>
            <w:vAlign w:val="bottom"/>
            <w:hideMark/>
          </w:tcPr>
          <w:p w14:paraId="288CFA16"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4362E9D2"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44B0F03C"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tcBorders>
              <w:bottom w:val="single" w:sz="4" w:space="0" w:color="000000"/>
            </w:tcBorders>
            <w:vAlign w:val="bottom"/>
            <w:hideMark/>
          </w:tcPr>
          <w:p w14:paraId="52FD0A8F"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tcBorders>
              <w:bottom w:val="single" w:sz="4" w:space="0" w:color="000000"/>
            </w:tcBorders>
            <w:vAlign w:val="bottom"/>
            <w:hideMark/>
          </w:tcPr>
          <w:p w14:paraId="508AE4D8"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3"/>
                <w:szCs w:val="13"/>
              </w:rPr>
              <w:t>(28</w:t>
            </w:r>
          </w:p>
        </w:tc>
        <w:tc>
          <w:tcPr>
            <w:tcW w:w="0" w:type="auto"/>
            <w:vAlign w:val="bottom"/>
            <w:hideMark/>
          </w:tcPr>
          <w:p w14:paraId="7B7A0496"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color w:val="000000"/>
                <w:kern w:val="0"/>
                <w:sz w:val="13"/>
                <w:szCs w:val="13"/>
              </w:rPr>
              <w:t>)</w:t>
            </w:r>
          </w:p>
        </w:tc>
      </w:tr>
      <w:tr w:rsidR="002F3D36" w:rsidRPr="002F3D36" w14:paraId="5396FB4D" w14:textId="77777777" w:rsidTr="002F3D36">
        <w:trPr>
          <w:trHeight w:val="120"/>
          <w:tblCellSpacing w:w="15" w:type="dxa"/>
        </w:trPr>
        <w:tc>
          <w:tcPr>
            <w:tcW w:w="0" w:type="auto"/>
            <w:shd w:val="clear" w:color="auto" w:fill="CFF0FC"/>
            <w:hideMark/>
          </w:tcPr>
          <w:p w14:paraId="3F5AEF3D"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i/>
                <w:iCs/>
                <w:color w:val="000000"/>
                <w:kern w:val="0"/>
                <w:sz w:val="13"/>
                <w:szCs w:val="13"/>
              </w:rPr>
              <w:t>Total Comprehensive Income</w:t>
            </w:r>
          </w:p>
        </w:tc>
        <w:tc>
          <w:tcPr>
            <w:tcW w:w="0" w:type="auto"/>
            <w:shd w:val="clear" w:color="auto" w:fill="CFF0FC"/>
            <w:vAlign w:val="bottom"/>
            <w:hideMark/>
          </w:tcPr>
          <w:p w14:paraId="1E98CC22"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shd w:val="clear" w:color="auto" w:fill="CFF0FC"/>
            <w:vAlign w:val="bottom"/>
            <w:hideMark/>
          </w:tcPr>
          <w:p w14:paraId="66DBE713"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1D3CC2FC"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3F10F36C"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shd w:val="clear" w:color="auto" w:fill="CFF0FC"/>
            <w:vAlign w:val="bottom"/>
            <w:hideMark/>
          </w:tcPr>
          <w:p w14:paraId="085740B8"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165A7517"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274AA735"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shd w:val="clear" w:color="auto" w:fill="CFF0FC"/>
            <w:vAlign w:val="bottom"/>
            <w:hideMark/>
          </w:tcPr>
          <w:p w14:paraId="75FD6A67"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15E7DC91"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7B0576EC"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shd w:val="clear" w:color="auto" w:fill="CFF0FC"/>
            <w:vAlign w:val="bottom"/>
            <w:hideMark/>
          </w:tcPr>
          <w:p w14:paraId="1BB02A2E"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504EF6A9"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005983F8"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shd w:val="clear" w:color="auto" w:fill="CFF0FC"/>
            <w:vAlign w:val="bottom"/>
            <w:hideMark/>
          </w:tcPr>
          <w:p w14:paraId="05287B04"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7D040B96"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1F3D7E7A"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shd w:val="clear" w:color="auto" w:fill="CFF0FC"/>
            <w:vAlign w:val="bottom"/>
            <w:hideMark/>
          </w:tcPr>
          <w:p w14:paraId="1529E11E"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02AE0ABA"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69DE3857"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tcBorders>
              <w:bottom w:val="single" w:sz="4" w:space="0" w:color="000000"/>
            </w:tcBorders>
            <w:shd w:val="clear" w:color="auto" w:fill="CFF0FC"/>
            <w:vAlign w:val="bottom"/>
            <w:hideMark/>
          </w:tcPr>
          <w:p w14:paraId="0D245959"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tcBorders>
              <w:bottom w:val="single" w:sz="4" w:space="0" w:color="000000"/>
            </w:tcBorders>
            <w:shd w:val="clear" w:color="auto" w:fill="CFF0FC"/>
            <w:vAlign w:val="bottom"/>
            <w:hideMark/>
          </w:tcPr>
          <w:p w14:paraId="4684597D"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i/>
                <w:iCs/>
                <w:color w:val="000000"/>
                <w:kern w:val="0"/>
                <w:sz w:val="13"/>
                <w:szCs w:val="13"/>
              </w:rPr>
              <w:t>436</w:t>
            </w:r>
          </w:p>
        </w:tc>
        <w:tc>
          <w:tcPr>
            <w:tcW w:w="0" w:type="auto"/>
            <w:shd w:val="clear" w:color="auto" w:fill="CFF0FC"/>
            <w:vAlign w:val="bottom"/>
            <w:hideMark/>
          </w:tcPr>
          <w:p w14:paraId="5E69E60D"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1FAB722B"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tcBorders>
              <w:bottom w:val="single" w:sz="4" w:space="0" w:color="000000"/>
            </w:tcBorders>
            <w:shd w:val="clear" w:color="auto" w:fill="CFF0FC"/>
            <w:vAlign w:val="bottom"/>
            <w:hideMark/>
          </w:tcPr>
          <w:p w14:paraId="0F478F40"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tcBorders>
              <w:bottom w:val="single" w:sz="4" w:space="0" w:color="000000"/>
            </w:tcBorders>
            <w:shd w:val="clear" w:color="auto" w:fill="CFF0FC"/>
            <w:vAlign w:val="bottom"/>
            <w:hideMark/>
          </w:tcPr>
          <w:p w14:paraId="474F437F"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i/>
                <w:iCs/>
                <w:color w:val="000000"/>
                <w:kern w:val="0"/>
                <w:sz w:val="13"/>
                <w:szCs w:val="13"/>
              </w:rPr>
              <w:t>1</w:t>
            </w:r>
          </w:p>
        </w:tc>
        <w:tc>
          <w:tcPr>
            <w:tcW w:w="0" w:type="auto"/>
            <w:shd w:val="clear" w:color="auto" w:fill="CFF0FC"/>
            <w:vAlign w:val="bottom"/>
            <w:hideMark/>
          </w:tcPr>
          <w:p w14:paraId="46DD3049"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2E922F7F"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tcBorders>
              <w:bottom w:val="single" w:sz="4" w:space="0" w:color="000000"/>
            </w:tcBorders>
            <w:shd w:val="clear" w:color="auto" w:fill="CFF0FC"/>
            <w:vAlign w:val="bottom"/>
            <w:hideMark/>
          </w:tcPr>
          <w:p w14:paraId="3934DFD9"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tcBorders>
              <w:bottom w:val="single" w:sz="4" w:space="0" w:color="000000"/>
            </w:tcBorders>
            <w:shd w:val="clear" w:color="auto" w:fill="CFF0FC"/>
            <w:vAlign w:val="bottom"/>
            <w:hideMark/>
          </w:tcPr>
          <w:p w14:paraId="3C7C50F6"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i/>
                <w:iCs/>
                <w:color w:val="000000"/>
                <w:kern w:val="0"/>
                <w:sz w:val="13"/>
                <w:szCs w:val="13"/>
              </w:rPr>
              <w:t>437</w:t>
            </w:r>
          </w:p>
        </w:tc>
        <w:tc>
          <w:tcPr>
            <w:tcW w:w="0" w:type="auto"/>
            <w:shd w:val="clear" w:color="auto" w:fill="CFF0FC"/>
            <w:vAlign w:val="bottom"/>
            <w:hideMark/>
          </w:tcPr>
          <w:p w14:paraId="083AD200"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r>
      <w:tr w:rsidR="002F3D36" w:rsidRPr="002F3D36" w14:paraId="4784EFE5" w14:textId="77777777" w:rsidTr="002F3D36">
        <w:trPr>
          <w:trHeight w:val="120"/>
          <w:tblCellSpacing w:w="15" w:type="dxa"/>
        </w:trPr>
        <w:tc>
          <w:tcPr>
            <w:tcW w:w="0" w:type="auto"/>
            <w:hideMark/>
          </w:tcPr>
          <w:p w14:paraId="6233A6BE"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color w:val="000000"/>
                <w:kern w:val="0"/>
                <w:sz w:val="13"/>
                <w:szCs w:val="13"/>
              </w:rPr>
              <w:t>Stock-based compensation</w:t>
            </w:r>
          </w:p>
        </w:tc>
        <w:tc>
          <w:tcPr>
            <w:tcW w:w="0" w:type="auto"/>
            <w:vAlign w:val="bottom"/>
            <w:hideMark/>
          </w:tcPr>
          <w:p w14:paraId="7290A4D5"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vAlign w:val="bottom"/>
            <w:hideMark/>
          </w:tcPr>
          <w:p w14:paraId="3210691B"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3A9CEFAD"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31A38289"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vAlign w:val="bottom"/>
            <w:hideMark/>
          </w:tcPr>
          <w:p w14:paraId="68D38E92"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171157D9"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0F63ED63"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vAlign w:val="bottom"/>
            <w:hideMark/>
          </w:tcPr>
          <w:p w14:paraId="0796A25F"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38DFBADA"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7A101AB4"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vAlign w:val="bottom"/>
            <w:hideMark/>
          </w:tcPr>
          <w:p w14:paraId="56DD5F9A"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05A98CA9"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5485F095"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vAlign w:val="bottom"/>
            <w:hideMark/>
          </w:tcPr>
          <w:p w14:paraId="316B5F05"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7F2902F4"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6363370F"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7044345B"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03997535"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3"/>
                <w:szCs w:val="13"/>
              </w:rPr>
              <w:t>10</w:t>
            </w:r>
          </w:p>
        </w:tc>
        <w:tc>
          <w:tcPr>
            <w:tcW w:w="0" w:type="auto"/>
            <w:vAlign w:val="bottom"/>
            <w:hideMark/>
          </w:tcPr>
          <w:p w14:paraId="31322655"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6BF54792"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3BC78AD3"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712591F2"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3"/>
                <w:szCs w:val="13"/>
              </w:rPr>
              <w:t>10</w:t>
            </w:r>
          </w:p>
        </w:tc>
        <w:tc>
          <w:tcPr>
            <w:tcW w:w="0" w:type="auto"/>
            <w:vAlign w:val="bottom"/>
            <w:hideMark/>
          </w:tcPr>
          <w:p w14:paraId="495CF430"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0E10B845"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vAlign w:val="bottom"/>
            <w:hideMark/>
          </w:tcPr>
          <w:p w14:paraId="3279F8F2"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0C503981"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7CBAB851"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223DECF2"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3CB7BA95"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3"/>
                <w:szCs w:val="13"/>
              </w:rPr>
              <w:t>10</w:t>
            </w:r>
          </w:p>
        </w:tc>
        <w:tc>
          <w:tcPr>
            <w:tcW w:w="0" w:type="auto"/>
            <w:vAlign w:val="bottom"/>
            <w:hideMark/>
          </w:tcPr>
          <w:p w14:paraId="6F7DC895"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r>
      <w:tr w:rsidR="002F3D36" w:rsidRPr="002F3D36" w14:paraId="19EBD778" w14:textId="77777777" w:rsidTr="002F3D36">
        <w:trPr>
          <w:trHeight w:val="120"/>
          <w:tblCellSpacing w:w="15" w:type="dxa"/>
        </w:trPr>
        <w:tc>
          <w:tcPr>
            <w:tcW w:w="0" w:type="auto"/>
            <w:shd w:val="clear" w:color="auto" w:fill="CFF0FC"/>
            <w:hideMark/>
          </w:tcPr>
          <w:p w14:paraId="51F3F018"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color w:val="000000"/>
                <w:kern w:val="0"/>
                <w:sz w:val="13"/>
                <w:szCs w:val="13"/>
              </w:rPr>
              <w:t>Cash dividends declared</w:t>
            </w:r>
          </w:p>
        </w:tc>
        <w:tc>
          <w:tcPr>
            <w:tcW w:w="0" w:type="auto"/>
            <w:shd w:val="clear" w:color="auto" w:fill="CFF0FC"/>
            <w:vAlign w:val="bottom"/>
            <w:hideMark/>
          </w:tcPr>
          <w:p w14:paraId="164EA2A3"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shd w:val="clear" w:color="auto" w:fill="CFF0FC"/>
            <w:vAlign w:val="bottom"/>
            <w:hideMark/>
          </w:tcPr>
          <w:p w14:paraId="61C1F97D"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698D2C0A"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67DF7098"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shd w:val="clear" w:color="auto" w:fill="CFF0FC"/>
            <w:vAlign w:val="bottom"/>
            <w:hideMark/>
          </w:tcPr>
          <w:p w14:paraId="01EF65D1"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5821BA4C"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20F4D85F"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shd w:val="clear" w:color="auto" w:fill="CFF0FC"/>
            <w:vAlign w:val="bottom"/>
            <w:hideMark/>
          </w:tcPr>
          <w:p w14:paraId="6C1D680F"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3F2E0674"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63BA657B"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00D41B9F"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64344082"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3"/>
                <w:szCs w:val="13"/>
              </w:rPr>
              <w:t>(217</w:t>
            </w:r>
          </w:p>
        </w:tc>
        <w:tc>
          <w:tcPr>
            <w:tcW w:w="0" w:type="auto"/>
            <w:shd w:val="clear" w:color="auto" w:fill="CFF0FC"/>
            <w:vAlign w:val="bottom"/>
            <w:hideMark/>
          </w:tcPr>
          <w:p w14:paraId="439B9956"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color w:val="000000"/>
                <w:kern w:val="0"/>
                <w:sz w:val="13"/>
                <w:szCs w:val="13"/>
              </w:rPr>
              <w:t>)</w:t>
            </w:r>
          </w:p>
        </w:tc>
        <w:tc>
          <w:tcPr>
            <w:tcW w:w="0" w:type="auto"/>
            <w:shd w:val="clear" w:color="auto" w:fill="CFF0FC"/>
            <w:vAlign w:val="bottom"/>
            <w:hideMark/>
          </w:tcPr>
          <w:p w14:paraId="435662F1"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shd w:val="clear" w:color="auto" w:fill="CFF0FC"/>
            <w:vAlign w:val="bottom"/>
            <w:hideMark/>
          </w:tcPr>
          <w:p w14:paraId="641E8433"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01C291C4"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205EBBA3"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shd w:val="clear" w:color="auto" w:fill="CFF0FC"/>
            <w:vAlign w:val="bottom"/>
            <w:hideMark/>
          </w:tcPr>
          <w:p w14:paraId="6D510EDE"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59B44366"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738A777E"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22171C01"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6B9A1652"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3"/>
                <w:szCs w:val="13"/>
              </w:rPr>
              <w:t>(217</w:t>
            </w:r>
          </w:p>
        </w:tc>
        <w:tc>
          <w:tcPr>
            <w:tcW w:w="0" w:type="auto"/>
            <w:shd w:val="clear" w:color="auto" w:fill="CFF0FC"/>
            <w:vAlign w:val="bottom"/>
            <w:hideMark/>
          </w:tcPr>
          <w:p w14:paraId="11573E54"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color w:val="000000"/>
                <w:kern w:val="0"/>
                <w:sz w:val="13"/>
                <w:szCs w:val="13"/>
              </w:rPr>
              <w:t>)</w:t>
            </w:r>
          </w:p>
        </w:tc>
        <w:tc>
          <w:tcPr>
            <w:tcW w:w="0" w:type="auto"/>
            <w:shd w:val="clear" w:color="auto" w:fill="CFF0FC"/>
            <w:vAlign w:val="bottom"/>
            <w:hideMark/>
          </w:tcPr>
          <w:p w14:paraId="5AFEDDC7"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shd w:val="clear" w:color="auto" w:fill="CFF0FC"/>
            <w:vAlign w:val="bottom"/>
            <w:hideMark/>
          </w:tcPr>
          <w:p w14:paraId="7E8EFD25"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4E927D2F"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64D960F1"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0268FAD6"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106B8BD5"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3"/>
                <w:szCs w:val="13"/>
              </w:rPr>
              <w:t>(217</w:t>
            </w:r>
          </w:p>
        </w:tc>
        <w:tc>
          <w:tcPr>
            <w:tcW w:w="0" w:type="auto"/>
            <w:shd w:val="clear" w:color="auto" w:fill="CFF0FC"/>
            <w:vAlign w:val="bottom"/>
            <w:hideMark/>
          </w:tcPr>
          <w:p w14:paraId="08E024AE"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color w:val="000000"/>
                <w:kern w:val="0"/>
                <w:sz w:val="13"/>
                <w:szCs w:val="13"/>
              </w:rPr>
              <w:t>)</w:t>
            </w:r>
          </w:p>
        </w:tc>
      </w:tr>
      <w:tr w:rsidR="002F3D36" w:rsidRPr="002F3D36" w14:paraId="1EBB83A2" w14:textId="77777777" w:rsidTr="002F3D36">
        <w:trPr>
          <w:trHeight w:val="120"/>
          <w:tblCellSpacing w:w="15" w:type="dxa"/>
        </w:trPr>
        <w:tc>
          <w:tcPr>
            <w:tcW w:w="0" w:type="auto"/>
            <w:hideMark/>
          </w:tcPr>
          <w:p w14:paraId="07B5C92D"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color w:val="000000"/>
                <w:kern w:val="0"/>
                <w:sz w:val="13"/>
                <w:szCs w:val="13"/>
              </w:rPr>
              <w:t>Dividends paid to non-controlling</w:t>
            </w:r>
            <w:r w:rsidRPr="002F3D36">
              <w:rPr>
                <w:rFonts w:ascii="Arial" w:eastAsia="微软雅黑" w:hAnsi="Arial" w:cs="Arial"/>
                <w:color w:val="000000"/>
                <w:kern w:val="0"/>
                <w:sz w:val="13"/>
                <w:szCs w:val="13"/>
              </w:rPr>
              <w:br/>
              <w:t>   interest on subsidiary shares</w:t>
            </w:r>
          </w:p>
        </w:tc>
        <w:tc>
          <w:tcPr>
            <w:tcW w:w="0" w:type="auto"/>
            <w:vAlign w:val="bottom"/>
            <w:hideMark/>
          </w:tcPr>
          <w:p w14:paraId="63F367C3"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vAlign w:val="bottom"/>
            <w:hideMark/>
          </w:tcPr>
          <w:p w14:paraId="0BE08852"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3FDA7B85"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3BC16CF7"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vAlign w:val="bottom"/>
            <w:hideMark/>
          </w:tcPr>
          <w:p w14:paraId="067E1CCC"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2F236227"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7B7933CD"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vAlign w:val="bottom"/>
            <w:hideMark/>
          </w:tcPr>
          <w:p w14:paraId="73C5442B"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71D519D5"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174CF618"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vAlign w:val="bottom"/>
            <w:hideMark/>
          </w:tcPr>
          <w:p w14:paraId="7E89B7FA"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0463FA0B"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0A7C342B"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vAlign w:val="bottom"/>
            <w:hideMark/>
          </w:tcPr>
          <w:p w14:paraId="59EA03A0"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0199FF33"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0BDFF47D"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vAlign w:val="bottom"/>
            <w:hideMark/>
          </w:tcPr>
          <w:p w14:paraId="29B3124A"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55D16CAC"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5E42E520"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vAlign w:val="bottom"/>
            <w:hideMark/>
          </w:tcPr>
          <w:p w14:paraId="475CEEAA"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533CDB21"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60AF65FD"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43E8956B"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4CB90309"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3"/>
                <w:szCs w:val="13"/>
              </w:rPr>
              <w:t>(1</w:t>
            </w:r>
          </w:p>
        </w:tc>
        <w:tc>
          <w:tcPr>
            <w:tcW w:w="0" w:type="auto"/>
            <w:vAlign w:val="bottom"/>
            <w:hideMark/>
          </w:tcPr>
          <w:p w14:paraId="70B64FF3"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color w:val="000000"/>
                <w:kern w:val="0"/>
                <w:sz w:val="13"/>
                <w:szCs w:val="13"/>
              </w:rPr>
              <w:t>)</w:t>
            </w:r>
          </w:p>
        </w:tc>
        <w:tc>
          <w:tcPr>
            <w:tcW w:w="0" w:type="auto"/>
            <w:vAlign w:val="bottom"/>
            <w:hideMark/>
          </w:tcPr>
          <w:p w14:paraId="1D261BC2"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5A03AC54"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59F6FDF6"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3"/>
                <w:szCs w:val="13"/>
              </w:rPr>
              <w:t>(1</w:t>
            </w:r>
          </w:p>
        </w:tc>
        <w:tc>
          <w:tcPr>
            <w:tcW w:w="0" w:type="auto"/>
            <w:vAlign w:val="bottom"/>
            <w:hideMark/>
          </w:tcPr>
          <w:p w14:paraId="7379B256"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color w:val="000000"/>
                <w:kern w:val="0"/>
                <w:sz w:val="13"/>
                <w:szCs w:val="13"/>
              </w:rPr>
              <w:t>)</w:t>
            </w:r>
          </w:p>
        </w:tc>
      </w:tr>
      <w:tr w:rsidR="002F3D36" w:rsidRPr="002F3D36" w14:paraId="19F10DBF" w14:textId="77777777" w:rsidTr="002F3D36">
        <w:trPr>
          <w:trHeight w:val="120"/>
          <w:tblCellSpacing w:w="15" w:type="dxa"/>
        </w:trPr>
        <w:tc>
          <w:tcPr>
            <w:tcW w:w="0" w:type="auto"/>
            <w:shd w:val="clear" w:color="auto" w:fill="CFF0FC"/>
            <w:hideMark/>
          </w:tcPr>
          <w:p w14:paraId="1AB59108"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color w:val="000000"/>
                <w:kern w:val="0"/>
                <w:sz w:val="13"/>
                <w:szCs w:val="13"/>
              </w:rPr>
              <w:t>Distribution of Veoneer</w:t>
            </w:r>
          </w:p>
        </w:tc>
        <w:tc>
          <w:tcPr>
            <w:tcW w:w="0" w:type="auto"/>
            <w:shd w:val="clear" w:color="auto" w:fill="CFF0FC"/>
            <w:vAlign w:val="bottom"/>
            <w:hideMark/>
          </w:tcPr>
          <w:p w14:paraId="428995B4"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tcBorders>
              <w:bottom w:val="single" w:sz="4" w:space="0" w:color="000000"/>
            </w:tcBorders>
            <w:shd w:val="clear" w:color="auto" w:fill="CFF0FC"/>
            <w:vAlign w:val="bottom"/>
            <w:hideMark/>
          </w:tcPr>
          <w:p w14:paraId="33410444"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604D716E"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160562CE"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tcBorders>
              <w:bottom w:val="single" w:sz="4" w:space="0" w:color="000000"/>
            </w:tcBorders>
            <w:shd w:val="clear" w:color="auto" w:fill="CFF0FC"/>
            <w:vAlign w:val="bottom"/>
            <w:hideMark/>
          </w:tcPr>
          <w:p w14:paraId="67AC2424"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51F378D5"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046F519C"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tcBorders>
              <w:bottom w:val="single" w:sz="4" w:space="0" w:color="000000"/>
            </w:tcBorders>
            <w:shd w:val="clear" w:color="auto" w:fill="CFF0FC"/>
            <w:vAlign w:val="bottom"/>
            <w:hideMark/>
          </w:tcPr>
          <w:p w14:paraId="3D9A7310"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693CF8CA"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63213E43"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tcBorders>
              <w:bottom w:val="single" w:sz="4" w:space="0" w:color="000000"/>
            </w:tcBorders>
            <w:shd w:val="clear" w:color="auto" w:fill="CFF0FC"/>
            <w:vAlign w:val="bottom"/>
            <w:hideMark/>
          </w:tcPr>
          <w:p w14:paraId="0D5E8B3A"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tcBorders>
              <w:bottom w:val="single" w:sz="4" w:space="0" w:color="000000"/>
            </w:tcBorders>
            <w:shd w:val="clear" w:color="auto" w:fill="CFF0FC"/>
            <w:vAlign w:val="bottom"/>
            <w:hideMark/>
          </w:tcPr>
          <w:p w14:paraId="7F0FDF59"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3"/>
                <w:szCs w:val="13"/>
              </w:rPr>
              <w:t>(3</w:t>
            </w:r>
          </w:p>
        </w:tc>
        <w:tc>
          <w:tcPr>
            <w:tcW w:w="0" w:type="auto"/>
            <w:shd w:val="clear" w:color="auto" w:fill="CFF0FC"/>
            <w:vAlign w:val="bottom"/>
            <w:hideMark/>
          </w:tcPr>
          <w:p w14:paraId="1EF84AC7"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color w:val="000000"/>
                <w:kern w:val="0"/>
                <w:sz w:val="13"/>
                <w:szCs w:val="13"/>
              </w:rPr>
              <w:t>)</w:t>
            </w:r>
          </w:p>
        </w:tc>
        <w:tc>
          <w:tcPr>
            <w:tcW w:w="0" w:type="auto"/>
            <w:shd w:val="clear" w:color="auto" w:fill="CFF0FC"/>
            <w:vAlign w:val="bottom"/>
            <w:hideMark/>
          </w:tcPr>
          <w:p w14:paraId="36596812"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tcBorders>
              <w:bottom w:val="single" w:sz="4" w:space="0" w:color="000000"/>
            </w:tcBorders>
            <w:shd w:val="clear" w:color="auto" w:fill="CFF0FC"/>
            <w:vAlign w:val="bottom"/>
            <w:hideMark/>
          </w:tcPr>
          <w:p w14:paraId="1EFA41B9"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01B81F1E"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0F8E6B43"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tcBorders>
              <w:bottom w:val="single" w:sz="4" w:space="0" w:color="000000"/>
            </w:tcBorders>
            <w:shd w:val="clear" w:color="auto" w:fill="CFF0FC"/>
            <w:vAlign w:val="bottom"/>
            <w:hideMark/>
          </w:tcPr>
          <w:p w14:paraId="65B5A702"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04D4D504"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73FCB365"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tcBorders>
              <w:bottom w:val="single" w:sz="4" w:space="0" w:color="000000"/>
            </w:tcBorders>
            <w:shd w:val="clear" w:color="auto" w:fill="CFF0FC"/>
            <w:vAlign w:val="bottom"/>
            <w:hideMark/>
          </w:tcPr>
          <w:p w14:paraId="407B2BB1"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tcBorders>
              <w:bottom w:val="single" w:sz="4" w:space="0" w:color="000000"/>
            </w:tcBorders>
            <w:shd w:val="clear" w:color="auto" w:fill="CFF0FC"/>
            <w:vAlign w:val="bottom"/>
            <w:hideMark/>
          </w:tcPr>
          <w:p w14:paraId="504804D5"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3"/>
                <w:szCs w:val="13"/>
              </w:rPr>
              <w:t>(3</w:t>
            </w:r>
          </w:p>
        </w:tc>
        <w:tc>
          <w:tcPr>
            <w:tcW w:w="0" w:type="auto"/>
            <w:shd w:val="clear" w:color="auto" w:fill="CFF0FC"/>
            <w:vAlign w:val="bottom"/>
            <w:hideMark/>
          </w:tcPr>
          <w:p w14:paraId="75EE4FEB"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color w:val="000000"/>
                <w:kern w:val="0"/>
                <w:sz w:val="13"/>
                <w:szCs w:val="13"/>
              </w:rPr>
              <w:t>)</w:t>
            </w:r>
          </w:p>
        </w:tc>
        <w:tc>
          <w:tcPr>
            <w:tcW w:w="0" w:type="auto"/>
            <w:shd w:val="clear" w:color="auto" w:fill="CFF0FC"/>
            <w:vAlign w:val="bottom"/>
            <w:hideMark/>
          </w:tcPr>
          <w:p w14:paraId="527CE3D4"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tcBorders>
              <w:bottom w:val="single" w:sz="4" w:space="0" w:color="000000"/>
            </w:tcBorders>
            <w:shd w:val="clear" w:color="auto" w:fill="CFF0FC"/>
            <w:vAlign w:val="bottom"/>
            <w:hideMark/>
          </w:tcPr>
          <w:p w14:paraId="1C3D26CA"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7105E700"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0A7BE01E"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tcBorders>
              <w:bottom w:val="single" w:sz="4" w:space="0" w:color="000000"/>
            </w:tcBorders>
            <w:shd w:val="clear" w:color="auto" w:fill="CFF0FC"/>
            <w:vAlign w:val="bottom"/>
            <w:hideMark/>
          </w:tcPr>
          <w:p w14:paraId="4D518EC7"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tcBorders>
              <w:bottom w:val="single" w:sz="4" w:space="0" w:color="000000"/>
            </w:tcBorders>
            <w:shd w:val="clear" w:color="auto" w:fill="CFF0FC"/>
            <w:vAlign w:val="bottom"/>
            <w:hideMark/>
          </w:tcPr>
          <w:p w14:paraId="4CDF44C1"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3"/>
                <w:szCs w:val="13"/>
              </w:rPr>
              <w:t>(3</w:t>
            </w:r>
          </w:p>
        </w:tc>
        <w:tc>
          <w:tcPr>
            <w:tcW w:w="0" w:type="auto"/>
            <w:shd w:val="clear" w:color="auto" w:fill="CFF0FC"/>
            <w:vAlign w:val="bottom"/>
            <w:hideMark/>
          </w:tcPr>
          <w:p w14:paraId="2C5D7F80"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color w:val="000000"/>
                <w:kern w:val="0"/>
                <w:sz w:val="13"/>
                <w:szCs w:val="13"/>
              </w:rPr>
              <w:t>)</w:t>
            </w:r>
          </w:p>
        </w:tc>
      </w:tr>
      <w:tr w:rsidR="002F3D36" w:rsidRPr="002F3D36" w14:paraId="7C0BCF2C" w14:textId="77777777" w:rsidTr="002F3D36">
        <w:trPr>
          <w:trHeight w:val="120"/>
          <w:tblCellSpacing w:w="15" w:type="dxa"/>
        </w:trPr>
        <w:tc>
          <w:tcPr>
            <w:tcW w:w="0" w:type="auto"/>
            <w:hideMark/>
          </w:tcPr>
          <w:p w14:paraId="4FA90D5C"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b/>
                <w:bCs/>
                <w:color w:val="000000"/>
                <w:kern w:val="0"/>
                <w:sz w:val="13"/>
                <w:szCs w:val="13"/>
              </w:rPr>
              <w:t>Balance at December 31, 2019</w:t>
            </w:r>
          </w:p>
        </w:tc>
        <w:tc>
          <w:tcPr>
            <w:tcW w:w="0" w:type="auto"/>
            <w:vAlign w:val="bottom"/>
            <w:hideMark/>
          </w:tcPr>
          <w:p w14:paraId="23726C5F"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tcBorders>
              <w:bottom w:val="single" w:sz="4" w:space="0" w:color="000000"/>
            </w:tcBorders>
            <w:vAlign w:val="bottom"/>
            <w:hideMark/>
          </w:tcPr>
          <w:p w14:paraId="77B44C34"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tcBorders>
              <w:bottom w:val="single" w:sz="4" w:space="0" w:color="000000"/>
            </w:tcBorders>
            <w:vAlign w:val="bottom"/>
            <w:hideMark/>
          </w:tcPr>
          <w:p w14:paraId="5ADC62F8"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b/>
                <w:bCs/>
                <w:color w:val="000000"/>
                <w:kern w:val="0"/>
                <w:sz w:val="13"/>
                <w:szCs w:val="13"/>
              </w:rPr>
              <w:t>103</w:t>
            </w:r>
          </w:p>
        </w:tc>
        <w:tc>
          <w:tcPr>
            <w:tcW w:w="0" w:type="auto"/>
            <w:vAlign w:val="bottom"/>
            <w:hideMark/>
          </w:tcPr>
          <w:p w14:paraId="53CDBC81"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16C576BC"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tcBorders>
              <w:bottom w:val="single" w:sz="4" w:space="0" w:color="000000"/>
            </w:tcBorders>
            <w:vAlign w:val="bottom"/>
            <w:hideMark/>
          </w:tcPr>
          <w:p w14:paraId="3068C3EB"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b/>
                <w:bCs/>
                <w:color w:val="000000"/>
                <w:kern w:val="0"/>
                <w:sz w:val="13"/>
                <w:szCs w:val="13"/>
              </w:rPr>
              <w:t>$</w:t>
            </w:r>
          </w:p>
        </w:tc>
        <w:tc>
          <w:tcPr>
            <w:tcW w:w="0" w:type="auto"/>
            <w:tcBorders>
              <w:bottom w:val="single" w:sz="4" w:space="0" w:color="000000"/>
            </w:tcBorders>
            <w:vAlign w:val="bottom"/>
            <w:hideMark/>
          </w:tcPr>
          <w:p w14:paraId="3E30DBFF"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b/>
                <w:bCs/>
                <w:color w:val="000000"/>
                <w:kern w:val="0"/>
                <w:sz w:val="13"/>
                <w:szCs w:val="13"/>
              </w:rPr>
              <w:t>103</w:t>
            </w:r>
          </w:p>
        </w:tc>
        <w:tc>
          <w:tcPr>
            <w:tcW w:w="0" w:type="auto"/>
            <w:vAlign w:val="bottom"/>
            <w:hideMark/>
          </w:tcPr>
          <w:p w14:paraId="7374A65E"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5D1F5118"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tcBorders>
              <w:bottom w:val="single" w:sz="4" w:space="0" w:color="000000"/>
            </w:tcBorders>
            <w:vAlign w:val="bottom"/>
            <w:hideMark/>
          </w:tcPr>
          <w:p w14:paraId="1576E3C2"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b/>
                <w:bCs/>
                <w:color w:val="000000"/>
                <w:kern w:val="0"/>
                <w:sz w:val="13"/>
                <w:szCs w:val="13"/>
              </w:rPr>
              <w:t>$</w:t>
            </w:r>
          </w:p>
        </w:tc>
        <w:tc>
          <w:tcPr>
            <w:tcW w:w="0" w:type="auto"/>
            <w:tcBorders>
              <w:bottom w:val="single" w:sz="4" w:space="0" w:color="000000"/>
            </w:tcBorders>
            <w:vAlign w:val="bottom"/>
            <w:hideMark/>
          </w:tcPr>
          <w:p w14:paraId="0D0C3B62"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b/>
                <w:bCs/>
                <w:color w:val="000000"/>
                <w:kern w:val="0"/>
                <w:sz w:val="13"/>
                <w:szCs w:val="13"/>
              </w:rPr>
              <w:t>1,329</w:t>
            </w:r>
          </w:p>
        </w:tc>
        <w:tc>
          <w:tcPr>
            <w:tcW w:w="0" w:type="auto"/>
            <w:vAlign w:val="bottom"/>
            <w:hideMark/>
          </w:tcPr>
          <w:p w14:paraId="294ED108"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4FB5DCBF"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tcBorders>
              <w:bottom w:val="single" w:sz="4" w:space="0" w:color="000000"/>
            </w:tcBorders>
            <w:vAlign w:val="bottom"/>
            <w:hideMark/>
          </w:tcPr>
          <w:p w14:paraId="0EE2781C"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b/>
                <w:bCs/>
                <w:color w:val="000000"/>
                <w:kern w:val="0"/>
                <w:sz w:val="13"/>
                <w:szCs w:val="13"/>
              </w:rPr>
              <w:t>$</w:t>
            </w:r>
          </w:p>
        </w:tc>
        <w:tc>
          <w:tcPr>
            <w:tcW w:w="0" w:type="auto"/>
            <w:tcBorders>
              <w:bottom w:val="single" w:sz="4" w:space="0" w:color="000000"/>
            </w:tcBorders>
            <w:vAlign w:val="bottom"/>
            <w:hideMark/>
          </w:tcPr>
          <w:p w14:paraId="21269327"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b/>
                <w:bCs/>
                <w:color w:val="000000"/>
                <w:kern w:val="0"/>
                <w:sz w:val="13"/>
                <w:szCs w:val="13"/>
              </w:rPr>
              <w:t>2,284</w:t>
            </w:r>
          </w:p>
        </w:tc>
        <w:tc>
          <w:tcPr>
            <w:tcW w:w="0" w:type="auto"/>
            <w:vAlign w:val="bottom"/>
            <w:hideMark/>
          </w:tcPr>
          <w:p w14:paraId="5FE815DC"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659B78D4"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tcBorders>
              <w:bottom w:val="single" w:sz="4" w:space="0" w:color="000000"/>
            </w:tcBorders>
            <w:vAlign w:val="bottom"/>
            <w:hideMark/>
          </w:tcPr>
          <w:p w14:paraId="18774A0A"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b/>
                <w:bCs/>
                <w:color w:val="000000"/>
                <w:kern w:val="0"/>
                <w:sz w:val="13"/>
                <w:szCs w:val="13"/>
              </w:rPr>
              <w:t>$</w:t>
            </w:r>
          </w:p>
        </w:tc>
        <w:tc>
          <w:tcPr>
            <w:tcW w:w="0" w:type="auto"/>
            <w:tcBorders>
              <w:bottom w:val="single" w:sz="4" w:space="0" w:color="000000"/>
            </w:tcBorders>
            <w:vAlign w:val="bottom"/>
            <w:hideMark/>
          </w:tcPr>
          <w:p w14:paraId="33602020"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b/>
                <w:bCs/>
                <w:color w:val="000000"/>
                <w:kern w:val="0"/>
                <w:sz w:val="13"/>
                <w:szCs w:val="13"/>
              </w:rPr>
              <w:t>(449</w:t>
            </w:r>
          </w:p>
        </w:tc>
        <w:tc>
          <w:tcPr>
            <w:tcW w:w="0" w:type="auto"/>
            <w:vAlign w:val="bottom"/>
            <w:hideMark/>
          </w:tcPr>
          <w:p w14:paraId="09BD31D6"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b/>
                <w:bCs/>
                <w:color w:val="000000"/>
                <w:kern w:val="0"/>
                <w:sz w:val="13"/>
                <w:szCs w:val="13"/>
              </w:rPr>
              <w:t>)</w:t>
            </w:r>
          </w:p>
        </w:tc>
        <w:tc>
          <w:tcPr>
            <w:tcW w:w="0" w:type="auto"/>
            <w:vAlign w:val="bottom"/>
            <w:hideMark/>
          </w:tcPr>
          <w:p w14:paraId="3A2D99C9"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tcBorders>
              <w:bottom w:val="single" w:sz="4" w:space="0" w:color="000000"/>
            </w:tcBorders>
            <w:vAlign w:val="bottom"/>
            <w:hideMark/>
          </w:tcPr>
          <w:p w14:paraId="027192F5"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b/>
                <w:bCs/>
                <w:color w:val="000000"/>
                <w:kern w:val="0"/>
                <w:sz w:val="13"/>
                <w:szCs w:val="13"/>
              </w:rPr>
              <w:t>$</w:t>
            </w:r>
          </w:p>
        </w:tc>
        <w:tc>
          <w:tcPr>
            <w:tcW w:w="0" w:type="auto"/>
            <w:tcBorders>
              <w:bottom w:val="single" w:sz="4" w:space="0" w:color="000000"/>
            </w:tcBorders>
            <w:vAlign w:val="bottom"/>
            <w:hideMark/>
          </w:tcPr>
          <w:p w14:paraId="5A1F79CC"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b/>
                <w:bCs/>
                <w:color w:val="000000"/>
                <w:kern w:val="0"/>
                <w:sz w:val="13"/>
                <w:szCs w:val="13"/>
              </w:rPr>
              <w:t>(1,158</w:t>
            </w:r>
          </w:p>
        </w:tc>
        <w:tc>
          <w:tcPr>
            <w:tcW w:w="0" w:type="auto"/>
            <w:vAlign w:val="bottom"/>
            <w:hideMark/>
          </w:tcPr>
          <w:p w14:paraId="04907B2E"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b/>
                <w:bCs/>
                <w:color w:val="000000"/>
                <w:kern w:val="0"/>
                <w:sz w:val="13"/>
                <w:szCs w:val="13"/>
              </w:rPr>
              <w:t>)</w:t>
            </w:r>
          </w:p>
        </w:tc>
        <w:tc>
          <w:tcPr>
            <w:tcW w:w="0" w:type="auto"/>
            <w:vAlign w:val="bottom"/>
            <w:hideMark/>
          </w:tcPr>
          <w:p w14:paraId="35D245B0"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tcBorders>
              <w:bottom w:val="single" w:sz="4" w:space="0" w:color="000000"/>
            </w:tcBorders>
            <w:vAlign w:val="bottom"/>
            <w:hideMark/>
          </w:tcPr>
          <w:p w14:paraId="5EC850B2"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b/>
                <w:bCs/>
                <w:color w:val="000000"/>
                <w:kern w:val="0"/>
                <w:sz w:val="13"/>
                <w:szCs w:val="13"/>
              </w:rPr>
              <w:t>$</w:t>
            </w:r>
          </w:p>
        </w:tc>
        <w:tc>
          <w:tcPr>
            <w:tcW w:w="0" w:type="auto"/>
            <w:tcBorders>
              <w:bottom w:val="single" w:sz="4" w:space="0" w:color="000000"/>
            </w:tcBorders>
            <w:vAlign w:val="bottom"/>
            <w:hideMark/>
          </w:tcPr>
          <w:p w14:paraId="45CC9BBF"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b/>
                <w:bCs/>
                <w:color w:val="000000"/>
                <w:kern w:val="0"/>
                <w:sz w:val="13"/>
                <w:szCs w:val="13"/>
              </w:rPr>
              <w:t>2,109</w:t>
            </w:r>
          </w:p>
        </w:tc>
        <w:tc>
          <w:tcPr>
            <w:tcW w:w="0" w:type="auto"/>
            <w:vAlign w:val="bottom"/>
            <w:hideMark/>
          </w:tcPr>
          <w:p w14:paraId="557FDB7B"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2513E982"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tcBorders>
              <w:bottom w:val="single" w:sz="4" w:space="0" w:color="000000"/>
            </w:tcBorders>
            <w:vAlign w:val="bottom"/>
            <w:hideMark/>
          </w:tcPr>
          <w:p w14:paraId="07F1E251"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b/>
                <w:bCs/>
                <w:color w:val="000000"/>
                <w:kern w:val="0"/>
                <w:sz w:val="13"/>
                <w:szCs w:val="13"/>
              </w:rPr>
              <w:t>$</w:t>
            </w:r>
          </w:p>
        </w:tc>
        <w:tc>
          <w:tcPr>
            <w:tcW w:w="0" w:type="auto"/>
            <w:tcBorders>
              <w:bottom w:val="single" w:sz="4" w:space="0" w:color="000000"/>
            </w:tcBorders>
            <w:vAlign w:val="bottom"/>
            <w:hideMark/>
          </w:tcPr>
          <w:p w14:paraId="6583F8D8"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b/>
                <w:bCs/>
                <w:color w:val="000000"/>
                <w:kern w:val="0"/>
                <w:sz w:val="13"/>
                <w:szCs w:val="13"/>
              </w:rPr>
              <w:t>13</w:t>
            </w:r>
          </w:p>
        </w:tc>
        <w:tc>
          <w:tcPr>
            <w:tcW w:w="0" w:type="auto"/>
            <w:vAlign w:val="bottom"/>
            <w:hideMark/>
          </w:tcPr>
          <w:p w14:paraId="12EE51E2"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5BC815A7"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tcBorders>
              <w:bottom w:val="single" w:sz="4" w:space="0" w:color="000000"/>
            </w:tcBorders>
            <w:vAlign w:val="bottom"/>
            <w:hideMark/>
          </w:tcPr>
          <w:p w14:paraId="25F39D9B"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b/>
                <w:bCs/>
                <w:color w:val="000000"/>
                <w:kern w:val="0"/>
                <w:sz w:val="13"/>
                <w:szCs w:val="13"/>
              </w:rPr>
              <w:t>$</w:t>
            </w:r>
          </w:p>
        </w:tc>
        <w:tc>
          <w:tcPr>
            <w:tcW w:w="0" w:type="auto"/>
            <w:tcBorders>
              <w:bottom w:val="single" w:sz="4" w:space="0" w:color="000000"/>
            </w:tcBorders>
            <w:vAlign w:val="bottom"/>
            <w:hideMark/>
          </w:tcPr>
          <w:p w14:paraId="0DF21968"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b/>
                <w:bCs/>
                <w:color w:val="000000"/>
                <w:kern w:val="0"/>
                <w:sz w:val="13"/>
                <w:szCs w:val="13"/>
              </w:rPr>
              <w:t>2,122</w:t>
            </w:r>
          </w:p>
        </w:tc>
        <w:tc>
          <w:tcPr>
            <w:tcW w:w="0" w:type="auto"/>
            <w:vAlign w:val="bottom"/>
            <w:hideMark/>
          </w:tcPr>
          <w:p w14:paraId="1BC552F2"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r>
      <w:tr w:rsidR="002F3D36" w:rsidRPr="002F3D36" w14:paraId="3AA71318" w14:textId="77777777" w:rsidTr="002F3D36">
        <w:trPr>
          <w:trHeight w:val="120"/>
          <w:tblCellSpacing w:w="15" w:type="dxa"/>
        </w:trPr>
        <w:tc>
          <w:tcPr>
            <w:tcW w:w="0" w:type="auto"/>
            <w:shd w:val="clear" w:color="auto" w:fill="CFF0FC"/>
            <w:hideMark/>
          </w:tcPr>
          <w:p w14:paraId="6C17D334"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color w:val="000000"/>
                <w:kern w:val="0"/>
                <w:sz w:val="13"/>
                <w:szCs w:val="13"/>
              </w:rPr>
              <w:t>Comprehensive Income:</w:t>
            </w:r>
          </w:p>
        </w:tc>
        <w:tc>
          <w:tcPr>
            <w:tcW w:w="0" w:type="auto"/>
            <w:shd w:val="clear" w:color="auto" w:fill="CFF0FC"/>
            <w:vAlign w:val="bottom"/>
            <w:hideMark/>
          </w:tcPr>
          <w:p w14:paraId="690E546B"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shd w:val="clear" w:color="auto" w:fill="CFF0FC"/>
            <w:vAlign w:val="bottom"/>
            <w:hideMark/>
          </w:tcPr>
          <w:p w14:paraId="65C987AD"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7F66ECE2"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2A9A8FAA"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shd w:val="clear" w:color="auto" w:fill="CFF0FC"/>
            <w:vAlign w:val="bottom"/>
            <w:hideMark/>
          </w:tcPr>
          <w:p w14:paraId="06864673"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68496D83"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63FB1C38"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shd w:val="clear" w:color="auto" w:fill="CFF0FC"/>
            <w:vAlign w:val="bottom"/>
            <w:hideMark/>
          </w:tcPr>
          <w:p w14:paraId="3376842F"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64B9D1DE"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47B526D6"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shd w:val="clear" w:color="auto" w:fill="CFF0FC"/>
            <w:vAlign w:val="bottom"/>
            <w:hideMark/>
          </w:tcPr>
          <w:p w14:paraId="0B9FBCE2"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0A1DD51D"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3585770D"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shd w:val="clear" w:color="auto" w:fill="CFF0FC"/>
            <w:vAlign w:val="bottom"/>
            <w:hideMark/>
          </w:tcPr>
          <w:p w14:paraId="5C350C6E"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7A2AC893"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565DAFD4"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shd w:val="clear" w:color="auto" w:fill="CFF0FC"/>
            <w:vAlign w:val="bottom"/>
            <w:hideMark/>
          </w:tcPr>
          <w:p w14:paraId="632F3EBE"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2686D9FD"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1E658605"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shd w:val="clear" w:color="auto" w:fill="CFF0FC"/>
            <w:vAlign w:val="bottom"/>
            <w:hideMark/>
          </w:tcPr>
          <w:p w14:paraId="37D32FC1"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3BDBD2F5"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7B38E4A8"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shd w:val="clear" w:color="auto" w:fill="CFF0FC"/>
            <w:vAlign w:val="bottom"/>
            <w:hideMark/>
          </w:tcPr>
          <w:p w14:paraId="50A8F133"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7C3A0837"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595A2C40"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shd w:val="clear" w:color="auto" w:fill="CFF0FC"/>
            <w:vAlign w:val="bottom"/>
            <w:hideMark/>
          </w:tcPr>
          <w:p w14:paraId="73608045"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5825BBEB"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r>
      <w:tr w:rsidR="002F3D36" w:rsidRPr="002F3D36" w14:paraId="5A1330D7" w14:textId="77777777" w:rsidTr="002F3D36">
        <w:trPr>
          <w:trHeight w:val="120"/>
          <w:tblCellSpacing w:w="15" w:type="dxa"/>
        </w:trPr>
        <w:tc>
          <w:tcPr>
            <w:tcW w:w="0" w:type="auto"/>
            <w:hideMark/>
          </w:tcPr>
          <w:p w14:paraId="369448B3" w14:textId="77777777" w:rsidR="002F3D36" w:rsidRPr="002F3D36" w:rsidRDefault="002F3D36" w:rsidP="002F3D36">
            <w:pPr>
              <w:widowControl/>
              <w:ind w:left="200"/>
              <w:jc w:val="left"/>
              <w:rPr>
                <w:rFonts w:ascii="Times New Roman" w:eastAsia="微软雅黑" w:hAnsi="Times New Roman" w:cs="Times New Roman"/>
                <w:kern w:val="0"/>
                <w:sz w:val="13"/>
                <w:szCs w:val="13"/>
              </w:rPr>
            </w:pPr>
            <w:r w:rsidRPr="002F3D36">
              <w:rPr>
                <w:rFonts w:ascii="Arial" w:eastAsia="微软雅黑" w:hAnsi="Arial" w:cs="Arial"/>
                <w:color w:val="000000"/>
                <w:kern w:val="0"/>
                <w:sz w:val="13"/>
                <w:szCs w:val="13"/>
              </w:rPr>
              <w:t>Net income</w:t>
            </w:r>
          </w:p>
        </w:tc>
        <w:tc>
          <w:tcPr>
            <w:tcW w:w="0" w:type="auto"/>
            <w:vAlign w:val="bottom"/>
            <w:hideMark/>
          </w:tcPr>
          <w:p w14:paraId="71B5D1B7"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vAlign w:val="bottom"/>
            <w:hideMark/>
          </w:tcPr>
          <w:p w14:paraId="673B5FC0"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6BD535C5"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6D7CAB6B"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vAlign w:val="bottom"/>
            <w:hideMark/>
          </w:tcPr>
          <w:p w14:paraId="62C91497"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5727D446"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2E075F17"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vAlign w:val="bottom"/>
            <w:hideMark/>
          </w:tcPr>
          <w:p w14:paraId="6BD7D124"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517F3F79"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19B2E64B"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7F397CD8"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5B77741C"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3"/>
                <w:szCs w:val="13"/>
              </w:rPr>
              <w:t>187</w:t>
            </w:r>
          </w:p>
        </w:tc>
        <w:tc>
          <w:tcPr>
            <w:tcW w:w="0" w:type="auto"/>
            <w:vAlign w:val="bottom"/>
            <w:hideMark/>
          </w:tcPr>
          <w:p w14:paraId="10AE49F0"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09574805"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vAlign w:val="bottom"/>
            <w:hideMark/>
          </w:tcPr>
          <w:p w14:paraId="74729465"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6AB3E9D0"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131DCBF9"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vAlign w:val="bottom"/>
            <w:hideMark/>
          </w:tcPr>
          <w:p w14:paraId="7926C926"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5FFFB1C3"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6F536286"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6CF7A2F7"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7333DA55"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3"/>
                <w:szCs w:val="13"/>
              </w:rPr>
              <w:t>187</w:t>
            </w:r>
          </w:p>
        </w:tc>
        <w:tc>
          <w:tcPr>
            <w:tcW w:w="0" w:type="auto"/>
            <w:vAlign w:val="bottom"/>
            <w:hideMark/>
          </w:tcPr>
          <w:p w14:paraId="274BF1C8"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278745B9"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0B8A894D"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5CC20033"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3"/>
                <w:szCs w:val="13"/>
              </w:rPr>
              <w:t>1</w:t>
            </w:r>
          </w:p>
        </w:tc>
        <w:tc>
          <w:tcPr>
            <w:tcW w:w="0" w:type="auto"/>
            <w:vAlign w:val="bottom"/>
            <w:hideMark/>
          </w:tcPr>
          <w:p w14:paraId="198E8B55"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0C83F773"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3DB8B9C4"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72BB5683"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3"/>
                <w:szCs w:val="13"/>
              </w:rPr>
              <w:t>188</w:t>
            </w:r>
          </w:p>
        </w:tc>
        <w:tc>
          <w:tcPr>
            <w:tcW w:w="0" w:type="auto"/>
            <w:vAlign w:val="bottom"/>
            <w:hideMark/>
          </w:tcPr>
          <w:p w14:paraId="17F2D647"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r>
      <w:tr w:rsidR="002F3D36" w:rsidRPr="002F3D36" w14:paraId="24EA47AD" w14:textId="77777777" w:rsidTr="002F3D36">
        <w:trPr>
          <w:trHeight w:val="120"/>
          <w:tblCellSpacing w:w="15" w:type="dxa"/>
        </w:trPr>
        <w:tc>
          <w:tcPr>
            <w:tcW w:w="0" w:type="auto"/>
            <w:shd w:val="clear" w:color="auto" w:fill="CFF0FC"/>
            <w:hideMark/>
          </w:tcPr>
          <w:p w14:paraId="2D459A26" w14:textId="77777777" w:rsidR="002F3D36" w:rsidRPr="002F3D36" w:rsidRDefault="002F3D36" w:rsidP="002F3D36">
            <w:pPr>
              <w:widowControl/>
              <w:ind w:left="200"/>
              <w:jc w:val="left"/>
              <w:rPr>
                <w:rFonts w:ascii="Times New Roman" w:eastAsia="微软雅黑" w:hAnsi="Times New Roman" w:cs="Times New Roman"/>
                <w:kern w:val="0"/>
                <w:sz w:val="13"/>
                <w:szCs w:val="13"/>
              </w:rPr>
            </w:pPr>
            <w:r w:rsidRPr="002F3D36">
              <w:rPr>
                <w:rFonts w:ascii="Arial" w:eastAsia="微软雅黑" w:hAnsi="Arial" w:cs="Arial"/>
                <w:color w:val="000000"/>
                <w:kern w:val="0"/>
                <w:sz w:val="13"/>
                <w:szCs w:val="13"/>
              </w:rPr>
              <w:t>Foreign currency translation</w:t>
            </w:r>
          </w:p>
        </w:tc>
        <w:tc>
          <w:tcPr>
            <w:tcW w:w="0" w:type="auto"/>
            <w:shd w:val="clear" w:color="auto" w:fill="CFF0FC"/>
            <w:vAlign w:val="bottom"/>
            <w:hideMark/>
          </w:tcPr>
          <w:p w14:paraId="623768D0"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shd w:val="clear" w:color="auto" w:fill="CFF0FC"/>
            <w:vAlign w:val="bottom"/>
            <w:hideMark/>
          </w:tcPr>
          <w:p w14:paraId="02BCD892"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21CD06D3"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518B7F75"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shd w:val="clear" w:color="auto" w:fill="CFF0FC"/>
            <w:vAlign w:val="bottom"/>
            <w:hideMark/>
          </w:tcPr>
          <w:p w14:paraId="6FA57BD3"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3A8C4311"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31F5AEEE"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shd w:val="clear" w:color="auto" w:fill="CFF0FC"/>
            <w:vAlign w:val="bottom"/>
            <w:hideMark/>
          </w:tcPr>
          <w:p w14:paraId="3944AC70"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1A982593"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59E6268F"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shd w:val="clear" w:color="auto" w:fill="CFF0FC"/>
            <w:vAlign w:val="bottom"/>
            <w:hideMark/>
          </w:tcPr>
          <w:p w14:paraId="6D621197"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6649BF4B"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363CA0C0"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4EEFACEE"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5BCA15BA"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3"/>
                <w:szCs w:val="13"/>
              </w:rPr>
              <w:t>96</w:t>
            </w:r>
          </w:p>
        </w:tc>
        <w:tc>
          <w:tcPr>
            <w:tcW w:w="0" w:type="auto"/>
            <w:shd w:val="clear" w:color="auto" w:fill="CFF0FC"/>
            <w:vAlign w:val="bottom"/>
            <w:hideMark/>
          </w:tcPr>
          <w:p w14:paraId="72B076A8"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76C4EF0F"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shd w:val="clear" w:color="auto" w:fill="CFF0FC"/>
            <w:vAlign w:val="bottom"/>
            <w:hideMark/>
          </w:tcPr>
          <w:p w14:paraId="7C13FF2B"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2631040B"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4174D15E"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3990E5E8"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06D0B832"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3"/>
                <w:szCs w:val="13"/>
              </w:rPr>
              <w:t>96</w:t>
            </w:r>
          </w:p>
        </w:tc>
        <w:tc>
          <w:tcPr>
            <w:tcW w:w="0" w:type="auto"/>
            <w:shd w:val="clear" w:color="auto" w:fill="CFF0FC"/>
            <w:vAlign w:val="bottom"/>
            <w:hideMark/>
          </w:tcPr>
          <w:p w14:paraId="10371183"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2BA77CAC"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5366A129"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23417119"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3"/>
                <w:szCs w:val="13"/>
              </w:rPr>
              <w:t>1</w:t>
            </w:r>
          </w:p>
        </w:tc>
        <w:tc>
          <w:tcPr>
            <w:tcW w:w="0" w:type="auto"/>
            <w:shd w:val="clear" w:color="auto" w:fill="CFF0FC"/>
            <w:vAlign w:val="bottom"/>
            <w:hideMark/>
          </w:tcPr>
          <w:p w14:paraId="209C7F56"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2ECDC303"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26BF097B"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09DB80CA"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3"/>
                <w:szCs w:val="13"/>
              </w:rPr>
              <w:t>97</w:t>
            </w:r>
          </w:p>
        </w:tc>
        <w:tc>
          <w:tcPr>
            <w:tcW w:w="0" w:type="auto"/>
            <w:shd w:val="clear" w:color="auto" w:fill="CFF0FC"/>
            <w:vAlign w:val="bottom"/>
            <w:hideMark/>
          </w:tcPr>
          <w:p w14:paraId="44E87556"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r>
      <w:tr w:rsidR="002F3D36" w:rsidRPr="002F3D36" w14:paraId="31F20E31" w14:textId="77777777" w:rsidTr="002F3D36">
        <w:trPr>
          <w:trHeight w:val="120"/>
          <w:tblCellSpacing w:w="15" w:type="dxa"/>
        </w:trPr>
        <w:tc>
          <w:tcPr>
            <w:tcW w:w="0" w:type="auto"/>
            <w:hideMark/>
          </w:tcPr>
          <w:p w14:paraId="4ACC6CBF" w14:textId="77777777" w:rsidR="002F3D36" w:rsidRPr="002F3D36" w:rsidRDefault="002F3D36" w:rsidP="002F3D36">
            <w:pPr>
              <w:widowControl/>
              <w:ind w:left="200"/>
              <w:jc w:val="left"/>
              <w:rPr>
                <w:rFonts w:ascii="Times New Roman" w:eastAsia="微软雅黑" w:hAnsi="Times New Roman" w:cs="Times New Roman"/>
                <w:kern w:val="0"/>
                <w:sz w:val="13"/>
                <w:szCs w:val="13"/>
              </w:rPr>
            </w:pPr>
            <w:r w:rsidRPr="002F3D36">
              <w:rPr>
                <w:rFonts w:ascii="Arial" w:eastAsia="微软雅黑" w:hAnsi="Arial" w:cs="Arial"/>
                <w:color w:val="000000"/>
                <w:kern w:val="0"/>
                <w:sz w:val="13"/>
                <w:szCs w:val="13"/>
              </w:rPr>
              <w:t>Pension liability</w:t>
            </w:r>
          </w:p>
        </w:tc>
        <w:tc>
          <w:tcPr>
            <w:tcW w:w="0" w:type="auto"/>
            <w:vAlign w:val="bottom"/>
            <w:hideMark/>
          </w:tcPr>
          <w:p w14:paraId="1F74BE5F"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vAlign w:val="bottom"/>
            <w:hideMark/>
          </w:tcPr>
          <w:p w14:paraId="5CB7F3F7"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18172014"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4A364E78"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vAlign w:val="bottom"/>
            <w:hideMark/>
          </w:tcPr>
          <w:p w14:paraId="206D3C12"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19A6364A"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187D6DC2"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vAlign w:val="bottom"/>
            <w:hideMark/>
          </w:tcPr>
          <w:p w14:paraId="1EE859C9"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52C9313C"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0B72B400"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vAlign w:val="bottom"/>
            <w:hideMark/>
          </w:tcPr>
          <w:p w14:paraId="4A701860"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4963F371"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1A7F045A"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15D6C36B"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6B13A7BA"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3"/>
                <w:szCs w:val="13"/>
              </w:rPr>
              <w:t>6</w:t>
            </w:r>
          </w:p>
        </w:tc>
        <w:tc>
          <w:tcPr>
            <w:tcW w:w="0" w:type="auto"/>
            <w:vAlign w:val="bottom"/>
            <w:hideMark/>
          </w:tcPr>
          <w:p w14:paraId="6C166BD3"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3333752A"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vAlign w:val="bottom"/>
            <w:hideMark/>
          </w:tcPr>
          <w:p w14:paraId="58229B4E"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42ACF161"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7FB4DB3E"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tcBorders>
              <w:bottom w:val="single" w:sz="4" w:space="0" w:color="000000"/>
            </w:tcBorders>
            <w:vAlign w:val="bottom"/>
            <w:hideMark/>
          </w:tcPr>
          <w:p w14:paraId="584BE4E4"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tcBorders>
              <w:bottom w:val="single" w:sz="4" w:space="0" w:color="000000"/>
            </w:tcBorders>
            <w:vAlign w:val="bottom"/>
            <w:hideMark/>
          </w:tcPr>
          <w:p w14:paraId="7298D2F8"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3"/>
                <w:szCs w:val="13"/>
              </w:rPr>
              <w:t>6</w:t>
            </w:r>
          </w:p>
        </w:tc>
        <w:tc>
          <w:tcPr>
            <w:tcW w:w="0" w:type="auto"/>
            <w:vAlign w:val="bottom"/>
            <w:hideMark/>
          </w:tcPr>
          <w:p w14:paraId="6BE2739F"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697A7A98"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tcBorders>
              <w:bottom w:val="single" w:sz="4" w:space="0" w:color="000000"/>
            </w:tcBorders>
            <w:vAlign w:val="bottom"/>
            <w:hideMark/>
          </w:tcPr>
          <w:p w14:paraId="1ABDFF59"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05F9C2EA"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59B74CB8"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tcBorders>
              <w:bottom w:val="single" w:sz="4" w:space="0" w:color="000000"/>
            </w:tcBorders>
            <w:vAlign w:val="bottom"/>
            <w:hideMark/>
          </w:tcPr>
          <w:p w14:paraId="68071425"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tcBorders>
              <w:bottom w:val="single" w:sz="4" w:space="0" w:color="000000"/>
            </w:tcBorders>
            <w:vAlign w:val="bottom"/>
            <w:hideMark/>
          </w:tcPr>
          <w:p w14:paraId="729CBF75"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3"/>
                <w:szCs w:val="13"/>
              </w:rPr>
              <w:t>6</w:t>
            </w:r>
          </w:p>
        </w:tc>
        <w:tc>
          <w:tcPr>
            <w:tcW w:w="0" w:type="auto"/>
            <w:vAlign w:val="bottom"/>
            <w:hideMark/>
          </w:tcPr>
          <w:p w14:paraId="0269DA8D"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r>
      <w:tr w:rsidR="002F3D36" w:rsidRPr="002F3D36" w14:paraId="6F06799F" w14:textId="77777777" w:rsidTr="002F3D36">
        <w:trPr>
          <w:trHeight w:val="120"/>
          <w:tblCellSpacing w:w="15" w:type="dxa"/>
        </w:trPr>
        <w:tc>
          <w:tcPr>
            <w:tcW w:w="0" w:type="auto"/>
            <w:shd w:val="clear" w:color="auto" w:fill="CFF0FC"/>
            <w:hideMark/>
          </w:tcPr>
          <w:p w14:paraId="2E1745C5"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i/>
                <w:iCs/>
                <w:color w:val="000000"/>
                <w:kern w:val="0"/>
                <w:sz w:val="13"/>
                <w:szCs w:val="13"/>
              </w:rPr>
              <w:t>Total Comprehensive Income</w:t>
            </w:r>
          </w:p>
        </w:tc>
        <w:tc>
          <w:tcPr>
            <w:tcW w:w="0" w:type="auto"/>
            <w:shd w:val="clear" w:color="auto" w:fill="CFF0FC"/>
            <w:vAlign w:val="bottom"/>
            <w:hideMark/>
          </w:tcPr>
          <w:p w14:paraId="4DDC6A7C"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shd w:val="clear" w:color="auto" w:fill="CFF0FC"/>
            <w:vAlign w:val="bottom"/>
            <w:hideMark/>
          </w:tcPr>
          <w:p w14:paraId="1BEE01AC"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14C2E92C"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1477ED9E"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shd w:val="clear" w:color="auto" w:fill="CFF0FC"/>
            <w:vAlign w:val="bottom"/>
            <w:hideMark/>
          </w:tcPr>
          <w:p w14:paraId="57E37574"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4C1DBFAD"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2C4F3634"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shd w:val="clear" w:color="auto" w:fill="CFF0FC"/>
            <w:vAlign w:val="bottom"/>
            <w:hideMark/>
          </w:tcPr>
          <w:p w14:paraId="75DF2102"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0C024BCE"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4F22DDE6"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shd w:val="clear" w:color="auto" w:fill="CFF0FC"/>
            <w:vAlign w:val="bottom"/>
            <w:hideMark/>
          </w:tcPr>
          <w:p w14:paraId="07A7A603"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45987251"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0466743B"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shd w:val="clear" w:color="auto" w:fill="CFF0FC"/>
            <w:vAlign w:val="bottom"/>
            <w:hideMark/>
          </w:tcPr>
          <w:p w14:paraId="6985B700"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49CA6459"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74789301"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shd w:val="clear" w:color="auto" w:fill="CFF0FC"/>
            <w:vAlign w:val="bottom"/>
            <w:hideMark/>
          </w:tcPr>
          <w:p w14:paraId="50AC840D"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0552B5C7"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5114389B"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tcBorders>
              <w:bottom w:val="single" w:sz="4" w:space="0" w:color="000000"/>
            </w:tcBorders>
            <w:shd w:val="clear" w:color="auto" w:fill="CFF0FC"/>
            <w:vAlign w:val="bottom"/>
            <w:hideMark/>
          </w:tcPr>
          <w:p w14:paraId="0FCC7DAF"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tcBorders>
              <w:bottom w:val="single" w:sz="4" w:space="0" w:color="000000"/>
            </w:tcBorders>
            <w:shd w:val="clear" w:color="auto" w:fill="CFF0FC"/>
            <w:vAlign w:val="bottom"/>
            <w:hideMark/>
          </w:tcPr>
          <w:p w14:paraId="32FE6137"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i/>
                <w:iCs/>
                <w:color w:val="000000"/>
                <w:kern w:val="0"/>
                <w:sz w:val="13"/>
                <w:szCs w:val="13"/>
              </w:rPr>
              <w:t>289</w:t>
            </w:r>
          </w:p>
        </w:tc>
        <w:tc>
          <w:tcPr>
            <w:tcW w:w="0" w:type="auto"/>
            <w:shd w:val="clear" w:color="auto" w:fill="CFF0FC"/>
            <w:vAlign w:val="bottom"/>
            <w:hideMark/>
          </w:tcPr>
          <w:p w14:paraId="63E44F20"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48BC57CA"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tcBorders>
              <w:bottom w:val="single" w:sz="4" w:space="0" w:color="000000"/>
            </w:tcBorders>
            <w:shd w:val="clear" w:color="auto" w:fill="CFF0FC"/>
            <w:vAlign w:val="bottom"/>
            <w:hideMark/>
          </w:tcPr>
          <w:p w14:paraId="7C80C010"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tcBorders>
              <w:bottom w:val="single" w:sz="4" w:space="0" w:color="000000"/>
            </w:tcBorders>
            <w:shd w:val="clear" w:color="auto" w:fill="CFF0FC"/>
            <w:vAlign w:val="bottom"/>
            <w:hideMark/>
          </w:tcPr>
          <w:p w14:paraId="7255244A"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i/>
                <w:iCs/>
                <w:color w:val="000000"/>
                <w:kern w:val="0"/>
                <w:sz w:val="13"/>
                <w:szCs w:val="13"/>
              </w:rPr>
              <w:t>2</w:t>
            </w:r>
          </w:p>
        </w:tc>
        <w:tc>
          <w:tcPr>
            <w:tcW w:w="0" w:type="auto"/>
            <w:shd w:val="clear" w:color="auto" w:fill="CFF0FC"/>
            <w:vAlign w:val="bottom"/>
            <w:hideMark/>
          </w:tcPr>
          <w:p w14:paraId="475E1C19"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0068D69C"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tcBorders>
              <w:bottom w:val="single" w:sz="4" w:space="0" w:color="000000"/>
            </w:tcBorders>
            <w:shd w:val="clear" w:color="auto" w:fill="CFF0FC"/>
            <w:vAlign w:val="bottom"/>
            <w:hideMark/>
          </w:tcPr>
          <w:p w14:paraId="50FDC4E2"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tcBorders>
              <w:bottom w:val="single" w:sz="4" w:space="0" w:color="000000"/>
            </w:tcBorders>
            <w:shd w:val="clear" w:color="auto" w:fill="CFF0FC"/>
            <w:vAlign w:val="bottom"/>
            <w:hideMark/>
          </w:tcPr>
          <w:p w14:paraId="3277045F"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i/>
                <w:iCs/>
                <w:color w:val="000000"/>
                <w:kern w:val="0"/>
                <w:sz w:val="13"/>
                <w:szCs w:val="13"/>
              </w:rPr>
              <w:t>291</w:t>
            </w:r>
          </w:p>
        </w:tc>
        <w:tc>
          <w:tcPr>
            <w:tcW w:w="0" w:type="auto"/>
            <w:shd w:val="clear" w:color="auto" w:fill="CFF0FC"/>
            <w:vAlign w:val="bottom"/>
            <w:hideMark/>
          </w:tcPr>
          <w:p w14:paraId="1AEF7274"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r>
      <w:tr w:rsidR="002F3D36" w:rsidRPr="002F3D36" w14:paraId="7CF26C85" w14:textId="77777777" w:rsidTr="002F3D36">
        <w:trPr>
          <w:trHeight w:val="120"/>
          <w:tblCellSpacing w:w="15" w:type="dxa"/>
        </w:trPr>
        <w:tc>
          <w:tcPr>
            <w:tcW w:w="0" w:type="auto"/>
            <w:hideMark/>
          </w:tcPr>
          <w:p w14:paraId="6674AC6A"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color w:val="000000"/>
                <w:kern w:val="0"/>
                <w:sz w:val="13"/>
                <w:szCs w:val="13"/>
              </w:rPr>
              <w:t>Stock-based compensation</w:t>
            </w:r>
          </w:p>
        </w:tc>
        <w:tc>
          <w:tcPr>
            <w:tcW w:w="0" w:type="auto"/>
            <w:vAlign w:val="bottom"/>
            <w:hideMark/>
          </w:tcPr>
          <w:p w14:paraId="25074ED4"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vAlign w:val="bottom"/>
            <w:hideMark/>
          </w:tcPr>
          <w:p w14:paraId="2467D935"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3F0496F4"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2E1FDA2B"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vAlign w:val="bottom"/>
            <w:hideMark/>
          </w:tcPr>
          <w:p w14:paraId="1701810F"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2FC0E355"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15DE0747"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vAlign w:val="bottom"/>
            <w:hideMark/>
          </w:tcPr>
          <w:p w14:paraId="01C9E8A4"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39EE97BF"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11404EC3"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6B1A472F"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6A29C6B0"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3"/>
                <w:szCs w:val="13"/>
              </w:rPr>
              <w:t>1</w:t>
            </w:r>
          </w:p>
        </w:tc>
        <w:tc>
          <w:tcPr>
            <w:tcW w:w="0" w:type="auto"/>
            <w:vAlign w:val="bottom"/>
            <w:hideMark/>
          </w:tcPr>
          <w:p w14:paraId="5FB84E70"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3CA60C3C"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vAlign w:val="bottom"/>
            <w:hideMark/>
          </w:tcPr>
          <w:p w14:paraId="493022B4"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56B0231D"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3E3FF391"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366FC7F6"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7956EA60"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3"/>
                <w:szCs w:val="13"/>
              </w:rPr>
              <w:t>10</w:t>
            </w:r>
          </w:p>
        </w:tc>
        <w:tc>
          <w:tcPr>
            <w:tcW w:w="0" w:type="auto"/>
            <w:vAlign w:val="bottom"/>
            <w:hideMark/>
          </w:tcPr>
          <w:p w14:paraId="166A660E"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0AD9E043"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637D0E27"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4F94E7A0"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3"/>
                <w:szCs w:val="13"/>
              </w:rPr>
              <w:t>11</w:t>
            </w:r>
          </w:p>
        </w:tc>
        <w:tc>
          <w:tcPr>
            <w:tcW w:w="0" w:type="auto"/>
            <w:vAlign w:val="bottom"/>
            <w:hideMark/>
          </w:tcPr>
          <w:p w14:paraId="1E86CFD3"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34DF9E4E"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vAlign w:val="bottom"/>
            <w:hideMark/>
          </w:tcPr>
          <w:p w14:paraId="01C8E936"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13A76C0D"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18E8E161"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391B08A0"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5D26B96A"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3"/>
                <w:szCs w:val="13"/>
              </w:rPr>
              <w:t>11</w:t>
            </w:r>
          </w:p>
        </w:tc>
        <w:tc>
          <w:tcPr>
            <w:tcW w:w="0" w:type="auto"/>
            <w:vAlign w:val="bottom"/>
            <w:hideMark/>
          </w:tcPr>
          <w:p w14:paraId="31A408CD"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r>
      <w:tr w:rsidR="002F3D36" w:rsidRPr="002F3D36" w14:paraId="2543C558" w14:textId="77777777" w:rsidTr="002F3D36">
        <w:trPr>
          <w:trHeight w:val="120"/>
          <w:tblCellSpacing w:w="15" w:type="dxa"/>
        </w:trPr>
        <w:tc>
          <w:tcPr>
            <w:tcW w:w="0" w:type="auto"/>
            <w:shd w:val="clear" w:color="auto" w:fill="CFF0FC"/>
            <w:hideMark/>
          </w:tcPr>
          <w:p w14:paraId="7B3A3887"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color w:val="000000"/>
                <w:kern w:val="0"/>
                <w:sz w:val="13"/>
                <w:szCs w:val="13"/>
              </w:rPr>
              <w:t>Dividends paid to non-controlling</w:t>
            </w:r>
            <w:r w:rsidRPr="002F3D36">
              <w:rPr>
                <w:rFonts w:ascii="Arial" w:eastAsia="微软雅黑" w:hAnsi="Arial" w:cs="Arial"/>
                <w:color w:val="000000"/>
                <w:kern w:val="0"/>
                <w:sz w:val="13"/>
                <w:szCs w:val="13"/>
              </w:rPr>
              <w:br/>
              <w:t>   interest on subsidiary shares</w:t>
            </w:r>
          </w:p>
        </w:tc>
        <w:tc>
          <w:tcPr>
            <w:tcW w:w="0" w:type="auto"/>
            <w:shd w:val="clear" w:color="auto" w:fill="CFF0FC"/>
            <w:vAlign w:val="bottom"/>
            <w:hideMark/>
          </w:tcPr>
          <w:p w14:paraId="039789F5"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tcBorders>
              <w:bottom w:val="single" w:sz="4" w:space="0" w:color="000000"/>
            </w:tcBorders>
            <w:shd w:val="clear" w:color="auto" w:fill="CFF0FC"/>
            <w:vAlign w:val="bottom"/>
            <w:hideMark/>
          </w:tcPr>
          <w:p w14:paraId="679439AB"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3C7541C5"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7968E493"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tcBorders>
              <w:bottom w:val="single" w:sz="4" w:space="0" w:color="000000"/>
            </w:tcBorders>
            <w:shd w:val="clear" w:color="auto" w:fill="CFF0FC"/>
            <w:vAlign w:val="bottom"/>
            <w:hideMark/>
          </w:tcPr>
          <w:p w14:paraId="4815DC94"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09BBF94E"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0B57C928"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tcBorders>
              <w:bottom w:val="single" w:sz="4" w:space="0" w:color="000000"/>
            </w:tcBorders>
            <w:shd w:val="clear" w:color="auto" w:fill="CFF0FC"/>
            <w:vAlign w:val="bottom"/>
            <w:hideMark/>
          </w:tcPr>
          <w:p w14:paraId="41CCB043"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6492E509"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72697D48"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tcBorders>
              <w:bottom w:val="single" w:sz="4" w:space="0" w:color="000000"/>
            </w:tcBorders>
            <w:shd w:val="clear" w:color="auto" w:fill="CFF0FC"/>
            <w:vAlign w:val="bottom"/>
            <w:hideMark/>
          </w:tcPr>
          <w:p w14:paraId="53F82C64"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72CBCE45"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0FB51405"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tcBorders>
              <w:bottom w:val="single" w:sz="4" w:space="0" w:color="000000"/>
            </w:tcBorders>
            <w:shd w:val="clear" w:color="auto" w:fill="CFF0FC"/>
            <w:vAlign w:val="bottom"/>
            <w:hideMark/>
          </w:tcPr>
          <w:p w14:paraId="30CDCD79"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625063A3"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410B4566"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tcBorders>
              <w:bottom w:val="single" w:sz="4" w:space="0" w:color="000000"/>
            </w:tcBorders>
            <w:shd w:val="clear" w:color="auto" w:fill="CFF0FC"/>
            <w:vAlign w:val="bottom"/>
            <w:hideMark/>
          </w:tcPr>
          <w:p w14:paraId="68722415"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7DDF2526"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74A115BE"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tcBorders>
              <w:bottom w:val="single" w:sz="4" w:space="0" w:color="000000"/>
            </w:tcBorders>
            <w:shd w:val="clear" w:color="auto" w:fill="CFF0FC"/>
            <w:vAlign w:val="bottom"/>
            <w:hideMark/>
          </w:tcPr>
          <w:p w14:paraId="62CC0C70"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49060C9D"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081EBA68"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tcBorders>
              <w:bottom w:val="single" w:sz="4" w:space="0" w:color="000000"/>
            </w:tcBorders>
            <w:shd w:val="clear" w:color="auto" w:fill="CFF0FC"/>
            <w:vAlign w:val="bottom"/>
            <w:hideMark/>
          </w:tcPr>
          <w:p w14:paraId="1DE1D351"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tcBorders>
              <w:bottom w:val="single" w:sz="4" w:space="0" w:color="000000"/>
            </w:tcBorders>
            <w:shd w:val="clear" w:color="auto" w:fill="CFF0FC"/>
            <w:vAlign w:val="bottom"/>
            <w:hideMark/>
          </w:tcPr>
          <w:p w14:paraId="7B74925B"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3"/>
                <w:szCs w:val="13"/>
              </w:rPr>
              <w:t>(1</w:t>
            </w:r>
          </w:p>
        </w:tc>
        <w:tc>
          <w:tcPr>
            <w:tcW w:w="0" w:type="auto"/>
            <w:shd w:val="clear" w:color="auto" w:fill="CFF0FC"/>
            <w:vAlign w:val="bottom"/>
            <w:hideMark/>
          </w:tcPr>
          <w:p w14:paraId="421F9549"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color w:val="000000"/>
                <w:kern w:val="0"/>
                <w:sz w:val="13"/>
                <w:szCs w:val="13"/>
              </w:rPr>
              <w:t>)</w:t>
            </w:r>
          </w:p>
        </w:tc>
        <w:tc>
          <w:tcPr>
            <w:tcW w:w="0" w:type="auto"/>
            <w:shd w:val="clear" w:color="auto" w:fill="CFF0FC"/>
            <w:vAlign w:val="bottom"/>
            <w:hideMark/>
          </w:tcPr>
          <w:p w14:paraId="50AEDE78"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tcBorders>
              <w:bottom w:val="single" w:sz="4" w:space="0" w:color="000000"/>
            </w:tcBorders>
            <w:shd w:val="clear" w:color="auto" w:fill="CFF0FC"/>
            <w:vAlign w:val="bottom"/>
            <w:hideMark/>
          </w:tcPr>
          <w:p w14:paraId="5F999056"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tcBorders>
              <w:bottom w:val="single" w:sz="4" w:space="0" w:color="000000"/>
            </w:tcBorders>
            <w:shd w:val="clear" w:color="auto" w:fill="CFF0FC"/>
            <w:vAlign w:val="bottom"/>
            <w:hideMark/>
          </w:tcPr>
          <w:p w14:paraId="21431EEB"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3"/>
                <w:szCs w:val="13"/>
              </w:rPr>
              <w:t>(1</w:t>
            </w:r>
          </w:p>
        </w:tc>
        <w:tc>
          <w:tcPr>
            <w:tcW w:w="0" w:type="auto"/>
            <w:shd w:val="clear" w:color="auto" w:fill="CFF0FC"/>
            <w:vAlign w:val="bottom"/>
            <w:hideMark/>
          </w:tcPr>
          <w:p w14:paraId="2705D186"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color w:val="000000"/>
                <w:kern w:val="0"/>
                <w:sz w:val="13"/>
                <w:szCs w:val="13"/>
              </w:rPr>
              <w:t>)</w:t>
            </w:r>
          </w:p>
        </w:tc>
      </w:tr>
      <w:tr w:rsidR="002F3D36" w:rsidRPr="002F3D36" w14:paraId="23518DF7" w14:textId="77777777" w:rsidTr="002F3D36">
        <w:trPr>
          <w:trHeight w:val="120"/>
          <w:tblCellSpacing w:w="15" w:type="dxa"/>
        </w:trPr>
        <w:tc>
          <w:tcPr>
            <w:tcW w:w="0" w:type="auto"/>
            <w:hideMark/>
          </w:tcPr>
          <w:p w14:paraId="33F67545"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b/>
                <w:bCs/>
                <w:color w:val="000000"/>
                <w:kern w:val="0"/>
                <w:sz w:val="13"/>
                <w:szCs w:val="13"/>
              </w:rPr>
              <w:t>Balance at December 31, 2020</w:t>
            </w:r>
          </w:p>
        </w:tc>
        <w:tc>
          <w:tcPr>
            <w:tcW w:w="0" w:type="auto"/>
            <w:vAlign w:val="bottom"/>
            <w:hideMark/>
          </w:tcPr>
          <w:p w14:paraId="10FDA9AB"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tcBorders>
              <w:bottom w:val="single" w:sz="4" w:space="0" w:color="000000"/>
            </w:tcBorders>
            <w:vAlign w:val="bottom"/>
            <w:hideMark/>
          </w:tcPr>
          <w:p w14:paraId="6E62B12D"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tcBorders>
              <w:bottom w:val="single" w:sz="4" w:space="0" w:color="000000"/>
            </w:tcBorders>
            <w:vAlign w:val="bottom"/>
            <w:hideMark/>
          </w:tcPr>
          <w:p w14:paraId="5B34040E"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b/>
                <w:bCs/>
                <w:color w:val="000000"/>
                <w:kern w:val="0"/>
                <w:sz w:val="13"/>
                <w:szCs w:val="13"/>
              </w:rPr>
              <w:t>103</w:t>
            </w:r>
          </w:p>
        </w:tc>
        <w:tc>
          <w:tcPr>
            <w:tcW w:w="0" w:type="auto"/>
            <w:vAlign w:val="bottom"/>
            <w:hideMark/>
          </w:tcPr>
          <w:p w14:paraId="758C7EE6"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29ED3A63"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tcBorders>
              <w:bottom w:val="single" w:sz="4" w:space="0" w:color="000000"/>
            </w:tcBorders>
            <w:vAlign w:val="bottom"/>
            <w:hideMark/>
          </w:tcPr>
          <w:p w14:paraId="0CE5B31F"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b/>
                <w:bCs/>
                <w:color w:val="000000"/>
                <w:kern w:val="0"/>
                <w:sz w:val="13"/>
                <w:szCs w:val="13"/>
              </w:rPr>
              <w:t>$</w:t>
            </w:r>
          </w:p>
        </w:tc>
        <w:tc>
          <w:tcPr>
            <w:tcW w:w="0" w:type="auto"/>
            <w:tcBorders>
              <w:bottom w:val="single" w:sz="4" w:space="0" w:color="000000"/>
            </w:tcBorders>
            <w:vAlign w:val="bottom"/>
            <w:hideMark/>
          </w:tcPr>
          <w:p w14:paraId="631566DB"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b/>
                <w:bCs/>
                <w:color w:val="000000"/>
                <w:kern w:val="0"/>
                <w:sz w:val="13"/>
                <w:szCs w:val="13"/>
              </w:rPr>
              <w:t>103</w:t>
            </w:r>
          </w:p>
        </w:tc>
        <w:tc>
          <w:tcPr>
            <w:tcW w:w="0" w:type="auto"/>
            <w:vAlign w:val="bottom"/>
            <w:hideMark/>
          </w:tcPr>
          <w:p w14:paraId="4717BB0C"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746F8CE1"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tcBorders>
              <w:bottom w:val="single" w:sz="4" w:space="0" w:color="000000"/>
            </w:tcBorders>
            <w:vAlign w:val="bottom"/>
            <w:hideMark/>
          </w:tcPr>
          <w:p w14:paraId="767C858D"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b/>
                <w:bCs/>
                <w:color w:val="000000"/>
                <w:kern w:val="0"/>
                <w:sz w:val="13"/>
                <w:szCs w:val="13"/>
              </w:rPr>
              <w:t>$</w:t>
            </w:r>
          </w:p>
        </w:tc>
        <w:tc>
          <w:tcPr>
            <w:tcW w:w="0" w:type="auto"/>
            <w:tcBorders>
              <w:bottom w:val="single" w:sz="4" w:space="0" w:color="000000"/>
            </w:tcBorders>
            <w:vAlign w:val="bottom"/>
            <w:hideMark/>
          </w:tcPr>
          <w:p w14:paraId="221C6F21"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b/>
                <w:bCs/>
                <w:color w:val="000000"/>
                <w:kern w:val="0"/>
                <w:sz w:val="13"/>
                <w:szCs w:val="13"/>
              </w:rPr>
              <w:t>1,329</w:t>
            </w:r>
          </w:p>
        </w:tc>
        <w:tc>
          <w:tcPr>
            <w:tcW w:w="0" w:type="auto"/>
            <w:vAlign w:val="bottom"/>
            <w:hideMark/>
          </w:tcPr>
          <w:p w14:paraId="37E01709"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2AE08A24"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tcBorders>
              <w:bottom w:val="single" w:sz="4" w:space="0" w:color="000000"/>
            </w:tcBorders>
            <w:vAlign w:val="bottom"/>
            <w:hideMark/>
          </w:tcPr>
          <w:p w14:paraId="032040B4"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b/>
                <w:bCs/>
                <w:color w:val="000000"/>
                <w:kern w:val="0"/>
                <w:sz w:val="13"/>
                <w:szCs w:val="13"/>
              </w:rPr>
              <w:t>$</w:t>
            </w:r>
          </w:p>
        </w:tc>
        <w:tc>
          <w:tcPr>
            <w:tcW w:w="0" w:type="auto"/>
            <w:tcBorders>
              <w:bottom w:val="single" w:sz="4" w:space="0" w:color="000000"/>
            </w:tcBorders>
            <w:vAlign w:val="bottom"/>
            <w:hideMark/>
          </w:tcPr>
          <w:p w14:paraId="075EE0A8"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b/>
                <w:bCs/>
                <w:color w:val="000000"/>
                <w:kern w:val="0"/>
                <w:sz w:val="13"/>
                <w:szCs w:val="13"/>
              </w:rPr>
              <w:t>2,471</w:t>
            </w:r>
          </w:p>
        </w:tc>
        <w:tc>
          <w:tcPr>
            <w:tcW w:w="0" w:type="auto"/>
            <w:vAlign w:val="bottom"/>
            <w:hideMark/>
          </w:tcPr>
          <w:p w14:paraId="5DDD4767"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0D0917FF"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tcBorders>
              <w:bottom w:val="single" w:sz="4" w:space="0" w:color="000000"/>
            </w:tcBorders>
            <w:vAlign w:val="bottom"/>
            <w:hideMark/>
          </w:tcPr>
          <w:p w14:paraId="30EA572C"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b/>
                <w:bCs/>
                <w:color w:val="000000"/>
                <w:kern w:val="0"/>
                <w:sz w:val="13"/>
                <w:szCs w:val="13"/>
              </w:rPr>
              <w:t>$</w:t>
            </w:r>
          </w:p>
        </w:tc>
        <w:tc>
          <w:tcPr>
            <w:tcW w:w="0" w:type="auto"/>
            <w:tcBorders>
              <w:bottom w:val="single" w:sz="4" w:space="0" w:color="000000"/>
            </w:tcBorders>
            <w:vAlign w:val="bottom"/>
            <w:hideMark/>
          </w:tcPr>
          <w:p w14:paraId="291EFC0B"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b/>
                <w:bCs/>
                <w:color w:val="000000"/>
                <w:kern w:val="0"/>
                <w:sz w:val="13"/>
                <w:szCs w:val="13"/>
              </w:rPr>
              <w:t>(347</w:t>
            </w:r>
          </w:p>
        </w:tc>
        <w:tc>
          <w:tcPr>
            <w:tcW w:w="0" w:type="auto"/>
            <w:vAlign w:val="bottom"/>
            <w:hideMark/>
          </w:tcPr>
          <w:p w14:paraId="24B7E94C"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b/>
                <w:bCs/>
                <w:color w:val="000000"/>
                <w:kern w:val="0"/>
                <w:sz w:val="13"/>
                <w:szCs w:val="13"/>
              </w:rPr>
              <w:t>)</w:t>
            </w:r>
          </w:p>
        </w:tc>
        <w:tc>
          <w:tcPr>
            <w:tcW w:w="0" w:type="auto"/>
            <w:vAlign w:val="bottom"/>
            <w:hideMark/>
          </w:tcPr>
          <w:p w14:paraId="3E7DBE09"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tcBorders>
              <w:bottom w:val="single" w:sz="4" w:space="0" w:color="000000"/>
            </w:tcBorders>
            <w:vAlign w:val="bottom"/>
            <w:hideMark/>
          </w:tcPr>
          <w:p w14:paraId="78F0264C"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b/>
                <w:bCs/>
                <w:color w:val="000000"/>
                <w:kern w:val="0"/>
                <w:sz w:val="13"/>
                <w:szCs w:val="13"/>
              </w:rPr>
              <w:t>$</w:t>
            </w:r>
          </w:p>
        </w:tc>
        <w:tc>
          <w:tcPr>
            <w:tcW w:w="0" w:type="auto"/>
            <w:tcBorders>
              <w:bottom w:val="single" w:sz="4" w:space="0" w:color="000000"/>
            </w:tcBorders>
            <w:vAlign w:val="bottom"/>
            <w:hideMark/>
          </w:tcPr>
          <w:p w14:paraId="2FFA394E"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b/>
                <w:bCs/>
                <w:color w:val="000000"/>
                <w:kern w:val="0"/>
                <w:sz w:val="13"/>
                <w:szCs w:val="13"/>
              </w:rPr>
              <w:t>(1,147</w:t>
            </w:r>
          </w:p>
        </w:tc>
        <w:tc>
          <w:tcPr>
            <w:tcW w:w="0" w:type="auto"/>
            <w:vAlign w:val="bottom"/>
            <w:hideMark/>
          </w:tcPr>
          <w:p w14:paraId="2D753D61"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b/>
                <w:bCs/>
                <w:color w:val="000000"/>
                <w:kern w:val="0"/>
                <w:sz w:val="13"/>
                <w:szCs w:val="13"/>
              </w:rPr>
              <w:t>)</w:t>
            </w:r>
          </w:p>
        </w:tc>
        <w:tc>
          <w:tcPr>
            <w:tcW w:w="0" w:type="auto"/>
            <w:vAlign w:val="bottom"/>
            <w:hideMark/>
          </w:tcPr>
          <w:p w14:paraId="05C07621"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tcBorders>
              <w:bottom w:val="single" w:sz="4" w:space="0" w:color="000000"/>
            </w:tcBorders>
            <w:vAlign w:val="bottom"/>
            <w:hideMark/>
          </w:tcPr>
          <w:p w14:paraId="438072D4"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b/>
                <w:bCs/>
                <w:color w:val="000000"/>
                <w:kern w:val="0"/>
                <w:sz w:val="13"/>
                <w:szCs w:val="13"/>
              </w:rPr>
              <w:t>$</w:t>
            </w:r>
          </w:p>
        </w:tc>
        <w:tc>
          <w:tcPr>
            <w:tcW w:w="0" w:type="auto"/>
            <w:tcBorders>
              <w:bottom w:val="single" w:sz="4" w:space="0" w:color="000000"/>
            </w:tcBorders>
            <w:vAlign w:val="bottom"/>
            <w:hideMark/>
          </w:tcPr>
          <w:p w14:paraId="31C21A9D"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b/>
                <w:bCs/>
                <w:color w:val="000000"/>
                <w:kern w:val="0"/>
                <w:sz w:val="13"/>
                <w:szCs w:val="13"/>
              </w:rPr>
              <w:t>2,409</w:t>
            </w:r>
          </w:p>
        </w:tc>
        <w:tc>
          <w:tcPr>
            <w:tcW w:w="0" w:type="auto"/>
            <w:vAlign w:val="bottom"/>
            <w:hideMark/>
          </w:tcPr>
          <w:p w14:paraId="7E83CC94"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214C37EA"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tcBorders>
              <w:bottom w:val="single" w:sz="4" w:space="0" w:color="000000"/>
            </w:tcBorders>
            <w:vAlign w:val="bottom"/>
            <w:hideMark/>
          </w:tcPr>
          <w:p w14:paraId="0409C016"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b/>
                <w:bCs/>
                <w:color w:val="000000"/>
                <w:kern w:val="0"/>
                <w:sz w:val="13"/>
                <w:szCs w:val="13"/>
              </w:rPr>
              <w:t>$</w:t>
            </w:r>
          </w:p>
        </w:tc>
        <w:tc>
          <w:tcPr>
            <w:tcW w:w="0" w:type="auto"/>
            <w:tcBorders>
              <w:bottom w:val="single" w:sz="4" w:space="0" w:color="000000"/>
            </w:tcBorders>
            <w:vAlign w:val="bottom"/>
            <w:hideMark/>
          </w:tcPr>
          <w:p w14:paraId="051AC8B0"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b/>
                <w:bCs/>
                <w:color w:val="000000"/>
                <w:kern w:val="0"/>
                <w:sz w:val="13"/>
                <w:szCs w:val="13"/>
              </w:rPr>
              <w:t>14</w:t>
            </w:r>
          </w:p>
        </w:tc>
        <w:tc>
          <w:tcPr>
            <w:tcW w:w="0" w:type="auto"/>
            <w:vAlign w:val="bottom"/>
            <w:hideMark/>
          </w:tcPr>
          <w:p w14:paraId="6F91C05B"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458D5AA5"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tcBorders>
              <w:bottom w:val="single" w:sz="4" w:space="0" w:color="000000"/>
            </w:tcBorders>
            <w:vAlign w:val="bottom"/>
            <w:hideMark/>
          </w:tcPr>
          <w:p w14:paraId="5ADB41E2"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b/>
                <w:bCs/>
                <w:color w:val="000000"/>
                <w:kern w:val="0"/>
                <w:sz w:val="13"/>
                <w:szCs w:val="13"/>
              </w:rPr>
              <w:t>$</w:t>
            </w:r>
          </w:p>
        </w:tc>
        <w:tc>
          <w:tcPr>
            <w:tcW w:w="0" w:type="auto"/>
            <w:tcBorders>
              <w:bottom w:val="single" w:sz="4" w:space="0" w:color="000000"/>
            </w:tcBorders>
            <w:vAlign w:val="bottom"/>
            <w:hideMark/>
          </w:tcPr>
          <w:p w14:paraId="287B620E"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b/>
                <w:bCs/>
                <w:color w:val="000000"/>
                <w:kern w:val="0"/>
                <w:sz w:val="13"/>
                <w:szCs w:val="13"/>
              </w:rPr>
              <w:t>2,423</w:t>
            </w:r>
          </w:p>
        </w:tc>
        <w:tc>
          <w:tcPr>
            <w:tcW w:w="0" w:type="auto"/>
            <w:vAlign w:val="bottom"/>
            <w:hideMark/>
          </w:tcPr>
          <w:p w14:paraId="206D7C98"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r>
      <w:tr w:rsidR="002F3D36" w:rsidRPr="002F3D36" w14:paraId="01DCAD3F" w14:textId="77777777" w:rsidTr="002F3D36">
        <w:trPr>
          <w:trHeight w:val="120"/>
          <w:tblCellSpacing w:w="15" w:type="dxa"/>
        </w:trPr>
        <w:tc>
          <w:tcPr>
            <w:tcW w:w="0" w:type="auto"/>
            <w:shd w:val="clear" w:color="auto" w:fill="CFF0FC"/>
            <w:hideMark/>
          </w:tcPr>
          <w:p w14:paraId="0ABFFFCB"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color w:val="000000"/>
                <w:kern w:val="0"/>
                <w:sz w:val="13"/>
                <w:szCs w:val="13"/>
              </w:rPr>
              <w:t>Comprehensive Income:</w:t>
            </w:r>
          </w:p>
        </w:tc>
        <w:tc>
          <w:tcPr>
            <w:tcW w:w="0" w:type="auto"/>
            <w:shd w:val="clear" w:color="auto" w:fill="CFF0FC"/>
            <w:vAlign w:val="bottom"/>
            <w:hideMark/>
          </w:tcPr>
          <w:p w14:paraId="02C4D808"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shd w:val="clear" w:color="auto" w:fill="CFF0FC"/>
            <w:vAlign w:val="bottom"/>
            <w:hideMark/>
          </w:tcPr>
          <w:p w14:paraId="54A050BE"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25467ED1"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1C7BD0B9"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shd w:val="clear" w:color="auto" w:fill="CFF0FC"/>
            <w:vAlign w:val="bottom"/>
            <w:hideMark/>
          </w:tcPr>
          <w:p w14:paraId="550316E8"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7292A9FB"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7F8FEB01"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shd w:val="clear" w:color="auto" w:fill="CFF0FC"/>
            <w:vAlign w:val="bottom"/>
            <w:hideMark/>
          </w:tcPr>
          <w:p w14:paraId="4F378A10"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20B855AA"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5ABB2A08"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shd w:val="clear" w:color="auto" w:fill="CFF0FC"/>
            <w:vAlign w:val="bottom"/>
            <w:hideMark/>
          </w:tcPr>
          <w:p w14:paraId="5948557D"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47047B6B"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11FF9E00"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shd w:val="clear" w:color="auto" w:fill="CFF0FC"/>
            <w:vAlign w:val="bottom"/>
            <w:hideMark/>
          </w:tcPr>
          <w:p w14:paraId="165D2F95"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0FF728D8"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17E6A569"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shd w:val="clear" w:color="auto" w:fill="CFF0FC"/>
            <w:vAlign w:val="bottom"/>
            <w:hideMark/>
          </w:tcPr>
          <w:p w14:paraId="066476CE"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572E5F27"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29053C5A"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shd w:val="clear" w:color="auto" w:fill="CFF0FC"/>
            <w:vAlign w:val="bottom"/>
            <w:hideMark/>
          </w:tcPr>
          <w:p w14:paraId="48E912B9"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30802EBB"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408D8883"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shd w:val="clear" w:color="auto" w:fill="CFF0FC"/>
            <w:vAlign w:val="bottom"/>
            <w:hideMark/>
          </w:tcPr>
          <w:p w14:paraId="10BAD57F"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6A9D1CAF"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28626494"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shd w:val="clear" w:color="auto" w:fill="CFF0FC"/>
            <w:vAlign w:val="bottom"/>
            <w:hideMark/>
          </w:tcPr>
          <w:p w14:paraId="61B95708"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1E4CC2DF"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r>
      <w:tr w:rsidR="002F3D36" w:rsidRPr="002F3D36" w14:paraId="51D989D5" w14:textId="77777777" w:rsidTr="002F3D36">
        <w:trPr>
          <w:trHeight w:val="120"/>
          <w:tblCellSpacing w:w="15" w:type="dxa"/>
        </w:trPr>
        <w:tc>
          <w:tcPr>
            <w:tcW w:w="0" w:type="auto"/>
            <w:hideMark/>
          </w:tcPr>
          <w:p w14:paraId="09EF0143" w14:textId="77777777" w:rsidR="002F3D36" w:rsidRPr="002F3D36" w:rsidRDefault="002F3D36" w:rsidP="002F3D36">
            <w:pPr>
              <w:widowControl/>
              <w:ind w:left="200"/>
              <w:jc w:val="left"/>
              <w:rPr>
                <w:rFonts w:ascii="Times New Roman" w:eastAsia="微软雅黑" w:hAnsi="Times New Roman" w:cs="Times New Roman"/>
                <w:kern w:val="0"/>
                <w:sz w:val="13"/>
                <w:szCs w:val="13"/>
              </w:rPr>
            </w:pPr>
            <w:r w:rsidRPr="002F3D36">
              <w:rPr>
                <w:rFonts w:ascii="Arial" w:eastAsia="微软雅黑" w:hAnsi="Arial" w:cs="Arial"/>
                <w:color w:val="000000"/>
                <w:kern w:val="0"/>
                <w:sz w:val="13"/>
                <w:szCs w:val="13"/>
              </w:rPr>
              <w:t>Net income</w:t>
            </w:r>
          </w:p>
        </w:tc>
        <w:tc>
          <w:tcPr>
            <w:tcW w:w="0" w:type="auto"/>
            <w:vAlign w:val="bottom"/>
            <w:hideMark/>
          </w:tcPr>
          <w:p w14:paraId="311023BC"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vAlign w:val="bottom"/>
            <w:hideMark/>
          </w:tcPr>
          <w:p w14:paraId="5337BD33"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1C623D49"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7FD5DCF4"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vAlign w:val="bottom"/>
            <w:hideMark/>
          </w:tcPr>
          <w:p w14:paraId="4A8A68C3"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3AE1DEE0"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06300FA5"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vAlign w:val="bottom"/>
            <w:hideMark/>
          </w:tcPr>
          <w:p w14:paraId="7CD4DF5D"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0D89FC5B"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01A2F56C"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63ADD2D9"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1E7ECBE4"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3"/>
                <w:szCs w:val="13"/>
              </w:rPr>
              <w:t>435</w:t>
            </w:r>
          </w:p>
        </w:tc>
        <w:tc>
          <w:tcPr>
            <w:tcW w:w="0" w:type="auto"/>
            <w:vAlign w:val="bottom"/>
            <w:hideMark/>
          </w:tcPr>
          <w:p w14:paraId="0160AED7"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75202CBE"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vAlign w:val="bottom"/>
            <w:hideMark/>
          </w:tcPr>
          <w:p w14:paraId="6E616F88"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2B009930"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510185C0"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vAlign w:val="bottom"/>
            <w:hideMark/>
          </w:tcPr>
          <w:p w14:paraId="4275033F"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1E0A6254"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0F6AED36"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141AE90B"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676AF5DA"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3"/>
                <w:szCs w:val="13"/>
              </w:rPr>
              <w:t>435</w:t>
            </w:r>
          </w:p>
        </w:tc>
        <w:tc>
          <w:tcPr>
            <w:tcW w:w="0" w:type="auto"/>
            <w:vAlign w:val="bottom"/>
            <w:hideMark/>
          </w:tcPr>
          <w:p w14:paraId="0D66A881"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365B1D74"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6085B4A5"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046FFF0D"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3"/>
                <w:szCs w:val="13"/>
              </w:rPr>
              <w:t>2</w:t>
            </w:r>
          </w:p>
        </w:tc>
        <w:tc>
          <w:tcPr>
            <w:tcW w:w="0" w:type="auto"/>
            <w:vAlign w:val="bottom"/>
            <w:hideMark/>
          </w:tcPr>
          <w:p w14:paraId="579858C8"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0A92E04E"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3FB3B62D"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6C60ABC5"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3"/>
                <w:szCs w:val="13"/>
              </w:rPr>
              <w:t>437</w:t>
            </w:r>
          </w:p>
        </w:tc>
        <w:tc>
          <w:tcPr>
            <w:tcW w:w="0" w:type="auto"/>
            <w:vAlign w:val="bottom"/>
            <w:hideMark/>
          </w:tcPr>
          <w:p w14:paraId="53AA9316"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r>
      <w:tr w:rsidR="002F3D36" w:rsidRPr="002F3D36" w14:paraId="01F27159" w14:textId="77777777" w:rsidTr="002F3D36">
        <w:trPr>
          <w:trHeight w:val="120"/>
          <w:tblCellSpacing w:w="15" w:type="dxa"/>
        </w:trPr>
        <w:tc>
          <w:tcPr>
            <w:tcW w:w="0" w:type="auto"/>
            <w:shd w:val="clear" w:color="auto" w:fill="CFF0FC"/>
            <w:hideMark/>
          </w:tcPr>
          <w:p w14:paraId="21899E3A" w14:textId="77777777" w:rsidR="002F3D36" w:rsidRPr="002F3D36" w:rsidRDefault="002F3D36" w:rsidP="002F3D36">
            <w:pPr>
              <w:widowControl/>
              <w:ind w:left="200"/>
              <w:jc w:val="left"/>
              <w:rPr>
                <w:rFonts w:ascii="Times New Roman" w:eastAsia="微软雅黑" w:hAnsi="Times New Roman" w:cs="Times New Roman"/>
                <w:kern w:val="0"/>
                <w:sz w:val="13"/>
                <w:szCs w:val="13"/>
              </w:rPr>
            </w:pPr>
            <w:r w:rsidRPr="002F3D36">
              <w:rPr>
                <w:rFonts w:ascii="Arial" w:eastAsia="微软雅黑" w:hAnsi="Arial" w:cs="Arial"/>
                <w:color w:val="000000"/>
                <w:kern w:val="0"/>
                <w:sz w:val="13"/>
                <w:szCs w:val="13"/>
              </w:rPr>
              <w:t>Foreign currency translation</w:t>
            </w:r>
          </w:p>
        </w:tc>
        <w:tc>
          <w:tcPr>
            <w:tcW w:w="0" w:type="auto"/>
            <w:shd w:val="clear" w:color="auto" w:fill="CFF0FC"/>
            <w:vAlign w:val="bottom"/>
            <w:hideMark/>
          </w:tcPr>
          <w:p w14:paraId="3787D57D"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shd w:val="clear" w:color="auto" w:fill="CFF0FC"/>
            <w:vAlign w:val="bottom"/>
            <w:hideMark/>
          </w:tcPr>
          <w:p w14:paraId="7115DBA6"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6E9854D4"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64FB4E03"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shd w:val="clear" w:color="auto" w:fill="CFF0FC"/>
            <w:vAlign w:val="bottom"/>
            <w:hideMark/>
          </w:tcPr>
          <w:p w14:paraId="17ECB2D1"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6E94BAB7"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5ACBE08F"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shd w:val="clear" w:color="auto" w:fill="CFF0FC"/>
            <w:vAlign w:val="bottom"/>
            <w:hideMark/>
          </w:tcPr>
          <w:p w14:paraId="5A72C54F"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00084F1B"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59CF6565"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shd w:val="clear" w:color="auto" w:fill="CFF0FC"/>
            <w:vAlign w:val="bottom"/>
            <w:hideMark/>
          </w:tcPr>
          <w:p w14:paraId="0471C271"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1B3D15A3"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1173C49E"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214A8FEE"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44806F95"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3"/>
                <w:szCs w:val="13"/>
              </w:rPr>
              <w:t>(87</w:t>
            </w:r>
          </w:p>
        </w:tc>
        <w:tc>
          <w:tcPr>
            <w:tcW w:w="0" w:type="auto"/>
            <w:shd w:val="clear" w:color="auto" w:fill="CFF0FC"/>
            <w:vAlign w:val="bottom"/>
            <w:hideMark/>
          </w:tcPr>
          <w:p w14:paraId="0E4583F8"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color w:val="000000"/>
                <w:kern w:val="0"/>
                <w:sz w:val="13"/>
                <w:szCs w:val="13"/>
              </w:rPr>
              <w:t>)</w:t>
            </w:r>
          </w:p>
        </w:tc>
        <w:tc>
          <w:tcPr>
            <w:tcW w:w="0" w:type="auto"/>
            <w:shd w:val="clear" w:color="auto" w:fill="CFF0FC"/>
            <w:vAlign w:val="bottom"/>
            <w:hideMark/>
          </w:tcPr>
          <w:p w14:paraId="1BE47698"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shd w:val="clear" w:color="auto" w:fill="CFF0FC"/>
            <w:vAlign w:val="bottom"/>
            <w:hideMark/>
          </w:tcPr>
          <w:p w14:paraId="26A67339"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5A9F088E"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221807EE"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0EF4EEDC"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657C26A4"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3"/>
                <w:szCs w:val="13"/>
              </w:rPr>
              <w:t>(87</w:t>
            </w:r>
          </w:p>
        </w:tc>
        <w:tc>
          <w:tcPr>
            <w:tcW w:w="0" w:type="auto"/>
            <w:shd w:val="clear" w:color="auto" w:fill="CFF0FC"/>
            <w:vAlign w:val="bottom"/>
            <w:hideMark/>
          </w:tcPr>
          <w:p w14:paraId="66E34EAC"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color w:val="000000"/>
                <w:kern w:val="0"/>
                <w:sz w:val="13"/>
                <w:szCs w:val="13"/>
              </w:rPr>
              <w:t>)</w:t>
            </w:r>
          </w:p>
        </w:tc>
        <w:tc>
          <w:tcPr>
            <w:tcW w:w="0" w:type="auto"/>
            <w:shd w:val="clear" w:color="auto" w:fill="CFF0FC"/>
            <w:vAlign w:val="bottom"/>
            <w:hideMark/>
          </w:tcPr>
          <w:p w14:paraId="394E084F"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01A180CA"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2BD680CD"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3"/>
                <w:szCs w:val="13"/>
              </w:rPr>
              <w:t>0</w:t>
            </w:r>
          </w:p>
        </w:tc>
        <w:tc>
          <w:tcPr>
            <w:tcW w:w="0" w:type="auto"/>
            <w:shd w:val="clear" w:color="auto" w:fill="CFF0FC"/>
            <w:vAlign w:val="bottom"/>
            <w:hideMark/>
          </w:tcPr>
          <w:p w14:paraId="5F1813E3"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39BFC185"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0C6FE994"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3C609993"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3"/>
                <w:szCs w:val="13"/>
              </w:rPr>
              <w:t>(86</w:t>
            </w:r>
          </w:p>
        </w:tc>
        <w:tc>
          <w:tcPr>
            <w:tcW w:w="0" w:type="auto"/>
            <w:shd w:val="clear" w:color="auto" w:fill="CFF0FC"/>
            <w:vAlign w:val="bottom"/>
            <w:hideMark/>
          </w:tcPr>
          <w:p w14:paraId="60F068D4"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color w:val="000000"/>
                <w:kern w:val="0"/>
                <w:sz w:val="13"/>
                <w:szCs w:val="13"/>
              </w:rPr>
              <w:t>)</w:t>
            </w:r>
          </w:p>
        </w:tc>
      </w:tr>
      <w:tr w:rsidR="002F3D36" w:rsidRPr="002F3D36" w14:paraId="3B90CF78" w14:textId="77777777" w:rsidTr="002F3D36">
        <w:trPr>
          <w:trHeight w:val="120"/>
          <w:tblCellSpacing w:w="15" w:type="dxa"/>
        </w:trPr>
        <w:tc>
          <w:tcPr>
            <w:tcW w:w="0" w:type="auto"/>
            <w:hideMark/>
          </w:tcPr>
          <w:p w14:paraId="4CF31F20" w14:textId="77777777" w:rsidR="002F3D36" w:rsidRPr="002F3D36" w:rsidRDefault="002F3D36" w:rsidP="002F3D36">
            <w:pPr>
              <w:widowControl/>
              <w:ind w:left="200"/>
              <w:jc w:val="left"/>
              <w:rPr>
                <w:rFonts w:ascii="Times New Roman" w:eastAsia="微软雅黑" w:hAnsi="Times New Roman" w:cs="Times New Roman"/>
                <w:kern w:val="0"/>
                <w:sz w:val="13"/>
                <w:szCs w:val="13"/>
              </w:rPr>
            </w:pPr>
            <w:r w:rsidRPr="002F3D36">
              <w:rPr>
                <w:rFonts w:ascii="Arial" w:eastAsia="微软雅黑" w:hAnsi="Arial" w:cs="Arial"/>
                <w:color w:val="000000"/>
                <w:kern w:val="0"/>
                <w:sz w:val="13"/>
                <w:szCs w:val="13"/>
              </w:rPr>
              <w:t>Pension liability</w:t>
            </w:r>
          </w:p>
        </w:tc>
        <w:tc>
          <w:tcPr>
            <w:tcW w:w="0" w:type="auto"/>
            <w:vAlign w:val="bottom"/>
            <w:hideMark/>
          </w:tcPr>
          <w:p w14:paraId="25FDE685"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vAlign w:val="bottom"/>
            <w:hideMark/>
          </w:tcPr>
          <w:p w14:paraId="18814945"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32E4A473"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08859517"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vAlign w:val="bottom"/>
            <w:hideMark/>
          </w:tcPr>
          <w:p w14:paraId="07B54782"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508509E3"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1AD92421"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vAlign w:val="bottom"/>
            <w:hideMark/>
          </w:tcPr>
          <w:p w14:paraId="174BD797"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539A67EA"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65914E5A"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vAlign w:val="bottom"/>
            <w:hideMark/>
          </w:tcPr>
          <w:p w14:paraId="1277C471"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17B7CC30"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01211C91"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6E5192F5"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4A7FA842"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3"/>
                <w:szCs w:val="13"/>
              </w:rPr>
              <w:t>26</w:t>
            </w:r>
          </w:p>
        </w:tc>
        <w:tc>
          <w:tcPr>
            <w:tcW w:w="0" w:type="auto"/>
            <w:vAlign w:val="bottom"/>
            <w:hideMark/>
          </w:tcPr>
          <w:p w14:paraId="1E66B688"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65754EFA"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vAlign w:val="bottom"/>
            <w:hideMark/>
          </w:tcPr>
          <w:p w14:paraId="6063C946"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6F2D7751"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3E47460D"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tcBorders>
              <w:bottom w:val="single" w:sz="4" w:space="0" w:color="000000"/>
            </w:tcBorders>
            <w:vAlign w:val="bottom"/>
            <w:hideMark/>
          </w:tcPr>
          <w:p w14:paraId="4F5742A7"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tcBorders>
              <w:bottom w:val="single" w:sz="4" w:space="0" w:color="000000"/>
            </w:tcBorders>
            <w:vAlign w:val="bottom"/>
            <w:hideMark/>
          </w:tcPr>
          <w:p w14:paraId="61A4EA04"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3"/>
                <w:szCs w:val="13"/>
              </w:rPr>
              <w:t>26</w:t>
            </w:r>
          </w:p>
        </w:tc>
        <w:tc>
          <w:tcPr>
            <w:tcW w:w="0" w:type="auto"/>
            <w:vAlign w:val="bottom"/>
            <w:hideMark/>
          </w:tcPr>
          <w:p w14:paraId="0EB28422"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7183B64F"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tcBorders>
              <w:bottom w:val="single" w:sz="4" w:space="0" w:color="000000"/>
            </w:tcBorders>
            <w:vAlign w:val="bottom"/>
            <w:hideMark/>
          </w:tcPr>
          <w:p w14:paraId="64F5EA1C"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4923264A"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6480B0DC"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tcBorders>
              <w:bottom w:val="single" w:sz="4" w:space="0" w:color="000000"/>
            </w:tcBorders>
            <w:vAlign w:val="bottom"/>
            <w:hideMark/>
          </w:tcPr>
          <w:p w14:paraId="380DC8CE"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tcBorders>
              <w:bottom w:val="single" w:sz="4" w:space="0" w:color="000000"/>
            </w:tcBorders>
            <w:vAlign w:val="bottom"/>
            <w:hideMark/>
          </w:tcPr>
          <w:p w14:paraId="03DD5B5C"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3"/>
                <w:szCs w:val="13"/>
              </w:rPr>
              <w:t>26</w:t>
            </w:r>
          </w:p>
        </w:tc>
        <w:tc>
          <w:tcPr>
            <w:tcW w:w="0" w:type="auto"/>
            <w:vAlign w:val="bottom"/>
            <w:hideMark/>
          </w:tcPr>
          <w:p w14:paraId="5E0687B3"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r>
      <w:tr w:rsidR="002F3D36" w:rsidRPr="002F3D36" w14:paraId="796B7C42" w14:textId="77777777" w:rsidTr="002F3D36">
        <w:trPr>
          <w:trHeight w:val="120"/>
          <w:tblCellSpacing w:w="15" w:type="dxa"/>
        </w:trPr>
        <w:tc>
          <w:tcPr>
            <w:tcW w:w="0" w:type="auto"/>
            <w:shd w:val="clear" w:color="auto" w:fill="CFF0FC"/>
            <w:hideMark/>
          </w:tcPr>
          <w:p w14:paraId="3D740895"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i/>
                <w:iCs/>
                <w:color w:val="000000"/>
                <w:kern w:val="0"/>
                <w:sz w:val="13"/>
                <w:szCs w:val="13"/>
              </w:rPr>
              <w:t>Total Comprehensive Income</w:t>
            </w:r>
          </w:p>
        </w:tc>
        <w:tc>
          <w:tcPr>
            <w:tcW w:w="0" w:type="auto"/>
            <w:shd w:val="clear" w:color="auto" w:fill="CFF0FC"/>
            <w:vAlign w:val="bottom"/>
            <w:hideMark/>
          </w:tcPr>
          <w:p w14:paraId="277A1BBD"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shd w:val="clear" w:color="auto" w:fill="CFF0FC"/>
            <w:vAlign w:val="bottom"/>
            <w:hideMark/>
          </w:tcPr>
          <w:p w14:paraId="1286F2D0"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5E1DBE2C"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3615890F"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shd w:val="clear" w:color="auto" w:fill="CFF0FC"/>
            <w:vAlign w:val="bottom"/>
            <w:hideMark/>
          </w:tcPr>
          <w:p w14:paraId="7337CD94"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3ED68B65"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47AE796F"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shd w:val="clear" w:color="auto" w:fill="CFF0FC"/>
            <w:vAlign w:val="bottom"/>
            <w:hideMark/>
          </w:tcPr>
          <w:p w14:paraId="0B7565B4"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31CB5DB8"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61D71F94"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shd w:val="clear" w:color="auto" w:fill="CFF0FC"/>
            <w:vAlign w:val="bottom"/>
            <w:hideMark/>
          </w:tcPr>
          <w:p w14:paraId="14E35266"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6FDCE087"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079E9435"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shd w:val="clear" w:color="auto" w:fill="CFF0FC"/>
            <w:vAlign w:val="bottom"/>
            <w:hideMark/>
          </w:tcPr>
          <w:p w14:paraId="69A85DCA"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7B22F27C"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06BD72AA"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shd w:val="clear" w:color="auto" w:fill="CFF0FC"/>
            <w:vAlign w:val="bottom"/>
            <w:hideMark/>
          </w:tcPr>
          <w:p w14:paraId="2CE4A1BA"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5A1D185D"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293C7FAE"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tcBorders>
              <w:bottom w:val="single" w:sz="4" w:space="0" w:color="000000"/>
            </w:tcBorders>
            <w:shd w:val="clear" w:color="auto" w:fill="CFF0FC"/>
            <w:vAlign w:val="bottom"/>
            <w:hideMark/>
          </w:tcPr>
          <w:p w14:paraId="10FAEC2A"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tcBorders>
              <w:bottom w:val="single" w:sz="4" w:space="0" w:color="000000"/>
            </w:tcBorders>
            <w:shd w:val="clear" w:color="auto" w:fill="CFF0FC"/>
            <w:vAlign w:val="bottom"/>
            <w:hideMark/>
          </w:tcPr>
          <w:p w14:paraId="0542B258"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i/>
                <w:iCs/>
                <w:color w:val="000000"/>
                <w:kern w:val="0"/>
                <w:sz w:val="13"/>
                <w:szCs w:val="13"/>
              </w:rPr>
              <w:t>375</w:t>
            </w:r>
          </w:p>
        </w:tc>
        <w:tc>
          <w:tcPr>
            <w:tcW w:w="0" w:type="auto"/>
            <w:shd w:val="clear" w:color="auto" w:fill="CFF0FC"/>
            <w:vAlign w:val="bottom"/>
            <w:hideMark/>
          </w:tcPr>
          <w:p w14:paraId="6AC09E73"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7A8BA2BA"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tcBorders>
              <w:bottom w:val="single" w:sz="4" w:space="0" w:color="000000"/>
            </w:tcBorders>
            <w:shd w:val="clear" w:color="auto" w:fill="CFF0FC"/>
            <w:vAlign w:val="bottom"/>
            <w:hideMark/>
          </w:tcPr>
          <w:p w14:paraId="59EEAA90"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tcBorders>
              <w:bottom w:val="single" w:sz="4" w:space="0" w:color="000000"/>
            </w:tcBorders>
            <w:shd w:val="clear" w:color="auto" w:fill="CFF0FC"/>
            <w:vAlign w:val="bottom"/>
            <w:hideMark/>
          </w:tcPr>
          <w:p w14:paraId="34122CDB"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i/>
                <w:iCs/>
                <w:color w:val="000000"/>
                <w:kern w:val="0"/>
                <w:sz w:val="13"/>
                <w:szCs w:val="13"/>
              </w:rPr>
              <w:t>2</w:t>
            </w:r>
          </w:p>
        </w:tc>
        <w:tc>
          <w:tcPr>
            <w:tcW w:w="0" w:type="auto"/>
            <w:shd w:val="clear" w:color="auto" w:fill="CFF0FC"/>
            <w:vAlign w:val="bottom"/>
            <w:hideMark/>
          </w:tcPr>
          <w:p w14:paraId="384F9F88"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61A7F34E"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tcBorders>
              <w:bottom w:val="single" w:sz="4" w:space="0" w:color="000000"/>
            </w:tcBorders>
            <w:shd w:val="clear" w:color="auto" w:fill="CFF0FC"/>
            <w:vAlign w:val="bottom"/>
            <w:hideMark/>
          </w:tcPr>
          <w:p w14:paraId="032DDB72"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tcBorders>
              <w:bottom w:val="single" w:sz="4" w:space="0" w:color="000000"/>
            </w:tcBorders>
            <w:shd w:val="clear" w:color="auto" w:fill="CFF0FC"/>
            <w:vAlign w:val="bottom"/>
            <w:hideMark/>
          </w:tcPr>
          <w:p w14:paraId="11484B4E"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i/>
                <w:iCs/>
                <w:color w:val="000000"/>
                <w:kern w:val="0"/>
                <w:sz w:val="13"/>
                <w:szCs w:val="13"/>
              </w:rPr>
              <w:t>377</w:t>
            </w:r>
          </w:p>
        </w:tc>
        <w:tc>
          <w:tcPr>
            <w:tcW w:w="0" w:type="auto"/>
            <w:shd w:val="clear" w:color="auto" w:fill="CFF0FC"/>
            <w:vAlign w:val="bottom"/>
            <w:hideMark/>
          </w:tcPr>
          <w:p w14:paraId="1D7DAD3B"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r>
      <w:tr w:rsidR="002F3D36" w:rsidRPr="002F3D36" w14:paraId="49C5A73D" w14:textId="77777777" w:rsidTr="002F3D36">
        <w:trPr>
          <w:trHeight w:val="120"/>
          <w:tblCellSpacing w:w="15" w:type="dxa"/>
        </w:trPr>
        <w:tc>
          <w:tcPr>
            <w:tcW w:w="0" w:type="auto"/>
            <w:hideMark/>
          </w:tcPr>
          <w:p w14:paraId="2B8AE949"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color w:val="000000"/>
                <w:kern w:val="0"/>
                <w:sz w:val="13"/>
                <w:szCs w:val="13"/>
              </w:rPr>
              <w:t>Stock-based compensation</w:t>
            </w:r>
          </w:p>
        </w:tc>
        <w:tc>
          <w:tcPr>
            <w:tcW w:w="0" w:type="auto"/>
            <w:vAlign w:val="bottom"/>
            <w:hideMark/>
          </w:tcPr>
          <w:p w14:paraId="0B24725C"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vAlign w:val="bottom"/>
            <w:hideMark/>
          </w:tcPr>
          <w:p w14:paraId="1043E8ED"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184B73BD"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21A3D083"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vAlign w:val="bottom"/>
            <w:hideMark/>
          </w:tcPr>
          <w:p w14:paraId="2482E392"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4C61116F"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42E6AE69"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vAlign w:val="bottom"/>
            <w:hideMark/>
          </w:tcPr>
          <w:p w14:paraId="26BDB8E1"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576A5532"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2553479E"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vAlign w:val="bottom"/>
            <w:hideMark/>
          </w:tcPr>
          <w:p w14:paraId="06EF33D2"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21A3B457"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204A3829"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vAlign w:val="bottom"/>
            <w:hideMark/>
          </w:tcPr>
          <w:p w14:paraId="5A594C78"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2ED76DB0"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1997C777"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6ECBE17E"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1E9680A2"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3"/>
                <w:szCs w:val="13"/>
              </w:rPr>
              <w:t>15</w:t>
            </w:r>
          </w:p>
        </w:tc>
        <w:tc>
          <w:tcPr>
            <w:tcW w:w="0" w:type="auto"/>
            <w:vAlign w:val="bottom"/>
            <w:hideMark/>
          </w:tcPr>
          <w:p w14:paraId="0ED18306"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169C2B30"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00319826"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09A696C4"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3"/>
                <w:szCs w:val="13"/>
              </w:rPr>
              <w:t>15</w:t>
            </w:r>
          </w:p>
        </w:tc>
        <w:tc>
          <w:tcPr>
            <w:tcW w:w="0" w:type="auto"/>
            <w:vAlign w:val="bottom"/>
            <w:hideMark/>
          </w:tcPr>
          <w:p w14:paraId="56F29014"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328E444C"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vAlign w:val="bottom"/>
            <w:hideMark/>
          </w:tcPr>
          <w:p w14:paraId="16DED787"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7DFF0731"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3BC3E8FF"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65CE64C3"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39FC7CC9"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3"/>
                <w:szCs w:val="13"/>
              </w:rPr>
              <w:t>15</w:t>
            </w:r>
          </w:p>
        </w:tc>
        <w:tc>
          <w:tcPr>
            <w:tcW w:w="0" w:type="auto"/>
            <w:vAlign w:val="bottom"/>
            <w:hideMark/>
          </w:tcPr>
          <w:p w14:paraId="264BECBC"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r>
      <w:tr w:rsidR="002F3D36" w:rsidRPr="002F3D36" w14:paraId="341FC081" w14:textId="77777777" w:rsidTr="002F3D36">
        <w:trPr>
          <w:trHeight w:val="120"/>
          <w:tblCellSpacing w:w="15" w:type="dxa"/>
        </w:trPr>
        <w:tc>
          <w:tcPr>
            <w:tcW w:w="0" w:type="auto"/>
            <w:shd w:val="clear" w:color="auto" w:fill="CFF0FC"/>
            <w:hideMark/>
          </w:tcPr>
          <w:p w14:paraId="3EAD98D1"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color w:val="000000"/>
                <w:kern w:val="0"/>
                <w:sz w:val="13"/>
                <w:szCs w:val="13"/>
              </w:rPr>
              <w:t>Cash dividends declared</w:t>
            </w:r>
          </w:p>
        </w:tc>
        <w:tc>
          <w:tcPr>
            <w:tcW w:w="0" w:type="auto"/>
            <w:shd w:val="clear" w:color="auto" w:fill="CFF0FC"/>
            <w:vAlign w:val="bottom"/>
            <w:hideMark/>
          </w:tcPr>
          <w:p w14:paraId="24CC529C"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shd w:val="clear" w:color="auto" w:fill="CFF0FC"/>
            <w:vAlign w:val="bottom"/>
            <w:hideMark/>
          </w:tcPr>
          <w:p w14:paraId="4D89E57D"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3E35DCCE"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33648FFF"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shd w:val="clear" w:color="auto" w:fill="CFF0FC"/>
            <w:vAlign w:val="bottom"/>
            <w:hideMark/>
          </w:tcPr>
          <w:p w14:paraId="33F4F637"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579667E2"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401C2304"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shd w:val="clear" w:color="auto" w:fill="CFF0FC"/>
            <w:vAlign w:val="bottom"/>
            <w:hideMark/>
          </w:tcPr>
          <w:p w14:paraId="12782919"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26CD52FD"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2DF58283"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3E9CA3D2"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1A458D07"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3"/>
                <w:szCs w:val="13"/>
              </w:rPr>
              <w:t>(165</w:t>
            </w:r>
          </w:p>
        </w:tc>
        <w:tc>
          <w:tcPr>
            <w:tcW w:w="0" w:type="auto"/>
            <w:shd w:val="clear" w:color="auto" w:fill="CFF0FC"/>
            <w:vAlign w:val="bottom"/>
            <w:hideMark/>
          </w:tcPr>
          <w:p w14:paraId="794001EF"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color w:val="000000"/>
                <w:kern w:val="0"/>
                <w:sz w:val="13"/>
                <w:szCs w:val="13"/>
              </w:rPr>
              <w:t>)</w:t>
            </w:r>
          </w:p>
        </w:tc>
        <w:tc>
          <w:tcPr>
            <w:tcW w:w="0" w:type="auto"/>
            <w:shd w:val="clear" w:color="auto" w:fill="CFF0FC"/>
            <w:vAlign w:val="bottom"/>
            <w:hideMark/>
          </w:tcPr>
          <w:p w14:paraId="2797171A"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shd w:val="clear" w:color="auto" w:fill="CFF0FC"/>
            <w:vAlign w:val="bottom"/>
            <w:hideMark/>
          </w:tcPr>
          <w:p w14:paraId="6A5DFBDC"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329428B3"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78EA2594"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shd w:val="clear" w:color="auto" w:fill="CFF0FC"/>
            <w:vAlign w:val="bottom"/>
            <w:hideMark/>
          </w:tcPr>
          <w:p w14:paraId="49B094B4"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164593A3"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063D8A51"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01EFFE73"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6F013E04"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3"/>
                <w:szCs w:val="13"/>
              </w:rPr>
              <w:t>(165</w:t>
            </w:r>
          </w:p>
        </w:tc>
        <w:tc>
          <w:tcPr>
            <w:tcW w:w="0" w:type="auto"/>
            <w:shd w:val="clear" w:color="auto" w:fill="CFF0FC"/>
            <w:vAlign w:val="bottom"/>
            <w:hideMark/>
          </w:tcPr>
          <w:p w14:paraId="1DB52129"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color w:val="000000"/>
                <w:kern w:val="0"/>
                <w:sz w:val="13"/>
                <w:szCs w:val="13"/>
              </w:rPr>
              <w:t>)</w:t>
            </w:r>
          </w:p>
        </w:tc>
        <w:tc>
          <w:tcPr>
            <w:tcW w:w="0" w:type="auto"/>
            <w:shd w:val="clear" w:color="auto" w:fill="CFF0FC"/>
            <w:vAlign w:val="bottom"/>
            <w:hideMark/>
          </w:tcPr>
          <w:p w14:paraId="48C5D61F"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shd w:val="clear" w:color="auto" w:fill="CFF0FC"/>
            <w:vAlign w:val="bottom"/>
            <w:hideMark/>
          </w:tcPr>
          <w:p w14:paraId="68B42DE3"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63515A5E"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4304C07C"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285923F3"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7EC4DF04"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3"/>
                <w:szCs w:val="13"/>
              </w:rPr>
              <w:t>(165</w:t>
            </w:r>
          </w:p>
        </w:tc>
        <w:tc>
          <w:tcPr>
            <w:tcW w:w="0" w:type="auto"/>
            <w:shd w:val="clear" w:color="auto" w:fill="CFF0FC"/>
            <w:vAlign w:val="bottom"/>
            <w:hideMark/>
          </w:tcPr>
          <w:p w14:paraId="61AC9011"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color w:val="000000"/>
                <w:kern w:val="0"/>
                <w:sz w:val="13"/>
                <w:szCs w:val="13"/>
              </w:rPr>
              <w:t>)</w:t>
            </w:r>
          </w:p>
        </w:tc>
      </w:tr>
      <w:tr w:rsidR="002F3D36" w:rsidRPr="002F3D36" w14:paraId="63A71015" w14:textId="77777777" w:rsidTr="002F3D36">
        <w:trPr>
          <w:trHeight w:val="120"/>
          <w:tblCellSpacing w:w="15" w:type="dxa"/>
        </w:trPr>
        <w:tc>
          <w:tcPr>
            <w:tcW w:w="0" w:type="auto"/>
            <w:hideMark/>
          </w:tcPr>
          <w:p w14:paraId="4128F705"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color w:val="000000"/>
                <w:kern w:val="0"/>
                <w:sz w:val="13"/>
                <w:szCs w:val="13"/>
              </w:rPr>
              <w:t>Dividends paid to non-controlling</w:t>
            </w:r>
            <w:r w:rsidRPr="002F3D36">
              <w:rPr>
                <w:rFonts w:ascii="Arial" w:eastAsia="微软雅黑" w:hAnsi="Arial" w:cs="Arial"/>
                <w:color w:val="000000"/>
                <w:kern w:val="0"/>
                <w:sz w:val="13"/>
                <w:szCs w:val="13"/>
              </w:rPr>
              <w:br/>
              <w:t>   interest on subsidiary shares</w:t>
            </w:r>
          </w:p>
        </w:tc>
        <w:tc>
          <w:tcPr>
            <w:tcW w:w="0" w:type="auto"/>
            <w:vAlign w:val="bottom"/>
            <w:hideMark/>
          </w:tcPr>
          <w:p w14:paraId="5B9952B5"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tcBorders>
              <w:bottom w:val="single" w:sz="4" w:space="0" w:color="000000"/>
            </w:tcBorders>
            <w:vAlign w:val="bottom"/>
            <w:hideMark/>
          </w:tcPr>
          <w:p w14:paraId="2406C611"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32E94BA0"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3B06FD9C"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tcBorders>
              <w:bottom w:val="single" w:sz="4" w:space="0" w:color="000000"/>
            </w:tcBorders>
            <w:vAlign w:val="bottom"/>
            <w:hideMark/>
          </w:tcPr>
          <w:p w14:paraId="163C2443"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1C47E8F9"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0DC148A4"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tcBorders>
              <w:bottom w:val="single" w:sz="4" w:space="0" w:color="000000"/>
            </w:tcBorders>
            <w:vAlign w:val="bottom"/>
            <w:hideMark/>
          </w:tcPr>
          <w:p w14:paraId="4B0C6730"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35DF6B57"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5725A658"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tcBorders>
              <w:bottom w:val="single" w:sz="4" w:space="0" w:color="000000"/>
            </w:tcBorders>
            <w:vAlign w:val="bottom"/>
            <w:hideMark/>
          </w:tcPr>
          <w:p w14:paraId="5A6B7195"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66F14562"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50FF9BCA"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tcBorders>
              <w:bottom w:val="single" w:sz="4" w:space="0" w:color="000000"/>
            </w:tcBorders>
            <w:vAlign w:val="bottom"/>
            <w:hideMark/>
          </w:tcPr>
          <w:p w14:paraId="79087064"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53CCAEA1"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6E542B88"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tcBorders>
              <w:bottom w:val="single" w:sz="4" w:space="0" w:color="000000"/>
            </w:tcBorders>
            <w:vAlign w:val="bottom"/>
            <w:hideMark/>
          </w:tcPr>
          <w:p w14:paraId="2E16E077"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3EAE09FA"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35C18002"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gridSpan w:val="2"/>
            <w:tcBorders>
              <w:bottom w:val="single" w:sz="4" w:space="0" w:color="000000"/>
            </w:tcBorders>
            <w:vAlign w:val="bottom"/>
            <w:hideMark/>
          </w:tcPr>
          <w:p w14:paraId="5B588B71"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6EEA4929" w14:textId="77777777" w:rsidR="002F3D36" w:rsidRPr="002F3D36" w:rsidRDefault="002F3D36" w:rsidP="002F3D36">
            <w:pPr>
              <w:widowControl/>
              <w:jc w:val="righ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vAlign w:val="bottom"/>
            <w:hideMark/>
          </w:tcPr>
          <w:p w14:paraId="2D05A54E"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tcBorders>
              <w:bottom w:val="single" w:sz="4" w:space="0" w:color="000000"/>
            </w:tcBorders>
            <w:vAlign w:val="bottom"/>
            <w:hideMark/>
          </w:tcPr>
          <w:p w14:paraId="4CA35B1B"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tcBorders>
              <w:bottom w:val="single" w:sz="4" w:space="0" w:color="000000"/>
            </w:tcBorders>
            <w:vAlign w:val="bottom"/>
            <w:hideMark/>
          </w:tcPr>
          <w:p w14:paraId="31EAF65F"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3"/>
                <w:szCs w:val="13"/>
              </w:rPr>
              <w:t>(1</w:t>
            </w:r>
          </w:p>
        </w:tc>
        <w:tc>
          <w:tcPr>
            <w:tcW w:w="0" w:type="auto"/>
            <w:vAlign w:val="bottom"/>
            <w:hideMark/>
          </w:tcPr>
          <w:p w14:paraId="1DFA7301"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color w:val="000000"/>
                <w:kern w:val="0"/>
                <w:sz w:val="13"/>
                <w:szCs w:val="13"/>
              </w:rPr>
              <w:t>)</w:t>
            </w:r>
          </w:p>
        </w:tc>
        <w:tc>
          <w:tcPr>
            <w:tcW w:w="0" w:type="auto"/>
            <w:vAlign w:val="bottom"/>
            <w:hideMark/>
          </w:tcPr>
          <w:p w14:paraId="2C1AB4B2"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tcBorders>
              <w:bottom w:val="single" w:sz="4" w:space="0" w:color="000000"/>
            </w:tcBorders>
            <w:vAlign w:val="bottom"/>
            <w:hideMark/>
          </w:tcPr>
          <w:p w14:paraId="1792E782"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tcBorders>
              <w:bottom w:val="single" w:sz="4" w:space="0" w:color="000000"/>
            </w:tcBorders>
            <w:vAlign w:val="bottom"/>
            <w:hideMark/>
          </w:tcPr>
          <w:p w14:paraId="79C82DB4"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color w:val="000000"/>
                <w:kern w:val="0"/>
                <w:sz w:val="13"/>
                <w:szCs w:val="13"/>
              </w:rPr>
              <w:t>(1</w:t>
            </w:r>
          </w:p>
        </w:tc>
        <w:tc>
          <w:tcPr>
            <w:tcW w:w="0" w:type="auto"/>
            <w:vAlign w:val="bottom"/>
            <w:hideMark/>
          </w:tcPr>
          <w:p w14:paraId="0F8E5D89"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color w:val="000000"/>
                <w:kern w:val="0"/>
                <w:sz w:val="13"/>
                <w:szCs w:val="13"/>
              </w:rPr>
              <w:t>)</w:t>
            </w:r>
          </w:p>
        </w:tc>
      </w:tr>
      <w:tr w:rsidR="002F3D36" w:rsidRPr="002F3D36" w14:paraId="44FC51CB" w14:textId="77777777" w:rsidTr="002F3D36">
        <w:trPr>
          <w:trHeight w:val="120"/>
          <w:tblCellSpacing w:w="15" w:type="dxa"/>
        </w:trPr>
        <w:tc>
          <w:tcPr>
            <w:tcW w:w="0" w:type="auto"/>
            <w:shd w:val="clear" w:color="auto" w:fill="CFF0FC"/>
            <w:hideMark/>
          </w:tcPr>
          <w:p w14:paraId="1B20E221"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b/>
                <w:bCs/>
                <w:color w:val="000000"/>
                <w:kern w:val="0"/>
                <w:sz w:val="13"/>
                <w:szCs w:val="13"/>
              </w:rPr>
              <w:t>Balance at December 31, 2021</w:t>
            </w:r>
          </w:p>
        </w:tc>
        <w:tc>
          <w:tcPr>
            <w:tcW w:w="0" w:type="auto"/>
            <w:shd w:val="clear" w:color="auto" w:fill="CFF0FC"/>
            <w:vAlign w:val="bottom"/>
            <w:hideMark/>
          </w:tcPr>
          <w:p w14:paraId="578FC010"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tcBorders>
              <w:bottom w:val="single" w:sz="4" w:space="0" w:color="000000"/>
            </w:tcBorders>
            <w:shd w:val="clear" w:color="auto" w:fill="CFF0FC"/>
            <w:vAlign w:val="bottom"/>
            <w:hideMark/>
          </w:tcPr>
          <w:p w14:paraId="40C808DE"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tcBorders>
              <w:bottom w:val="single" w:sz="4" w:space="0" w:color="000000"/>
            </w:tcBorders>
            <w:shd w:val="clear" w:color="auto" w:fill="CFF0FC"/>
            <w:vAlign w:val="bottom"/>
            <w:hideMark/>
          </w:tcPr>
          <w:p w14:paraId="55090B6F"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b/>
                <w:bCs/>
                <w:color w:val="000000"/>
                <w:kern w:val="0"/>
                <w:sz w:val="13"/>
                <w:szCs w:val="13"/>
              </w:rPr>
              <w:t>103</w:t>
            </w:r>
          </w:p>
        </w:tc>
        <w:tc>
          <w:tcPr>
            <w:tcW w:w="0" w:type="auto"/>
            <w:shd w:val="clear" w:color="auto" w:fill="CFF0FC"/>
            <w:vAlign w:val="bottom"/>
            <w:hideMark/>
          </w:tcPr>
          <w:p w14:paraId="5708728C"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7A1F3ACD"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tcBorders>
              <w:bottom w:val="single" w:sz="4" w:space="0" w:color="000000"/>
            </w:tcBorders>
            <w:shd w:val="clear" w:color="auto" w:fill="CFF0FC"/>
            <w:vAlign w:val="bottom"/>
            <w:hideMark/>
          </w:tcPr>
          <w:p w14:paraId="1B1FB16D"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b/>
                <w:bCs/>
                <w:color w:val="000000"/>
                <w:kern w:val="0"/>
                <w:sz w:val="13"/>
                <w:szCs w:val="13"/>
              </w:rPr>
              <w:t>$</w:t>
            </w:r>
          </w:p>
        </w:tc>
        <w:tc>
          <w:tcPr>
            <w:tcW w:w="0" w:type="auto"/>
            <w:tcBorders>
              <w:bottom w:val="single" w:sz="4" w:space="0" w:color="000000"/>
            </w:tcBorders>
            <w:shd w:val="clear" w:color="auto" w:fill="CFF0FC"/>
            <w:vAlign w:val="bottom"/>
            <w:hideMark/>
          </w:tcPr>
          <w:p w14:paraId="29E66C41"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b/>
                <w:bCs/>
                <w:color w:val="000000"/>
                <w:kern w:val="0"/>
                <w:sz w:val="13"/>
                <w:szCs w:val="13"/>
              </w:rPr>
              <w:t>103</w:t>
            </w:r>
          </w:p>
        </w:tc>
        <w:tc>
          <w:tcPr>
            <w:tcW w:w="0" w:type="auto"/>
            <w:shd w:val="clear" w:color="auto" w:fill="CFF0FC"/>
            <w:vAlign w:val="bottom"/>
            <w:hideMark/>
          </w:tcPr>
          <w:p w14:paraId="07D3C24C"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61D1986D"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tcBorders>
              <w:bottom w:val="single" w:sz="4" w:space="0" w:color="000000"/>
            </w:tcBorders>
            <w:shd w:val="clear" w:color="auto" w:fill="CFF0FC"/>
            <w:vAlign w:val="bottom"/>
            <w:hideMark/>
          </w:tcPr>
          <w:p w14:paraId="40D17DFE"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b/>
                <w:bCs/>
                <w:color w:val="000000"/>
                <w:kern w:val="0"/>
                <w:sz w:val="13"/>
                <w:szCs w:val="13"/>
              </w:rPr>
              <w:t>$</w:t>
            </w:r>
          </w:p>
        </w:tc>
        <w:tc>
          <w:tcPr>
            <w:tcW w:w="0" w:type="auto"/>
            <w:tcBorders>
              <w:bottom w:val="single" w:sz="4" w:space="0" w:color="000000"/>
            </w:tcBorders>
            <w:shd w:val="clear" w:color="auto" w:fill="CFF0FC"/>
            <w:vAlign w:val="bottom"/>
            <w:hideMark/>
          </w:tcPr>
          <w:p w14:paraId="3FDB3E6F"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b/>
                <w:bCs/>
                <w:color w:val="000000"/>
                <w:kern w:val="0"/>
                <w:sz w:val="13"/>
                <w:szCs w:val="13"/>
              </w:rPr>
              <w:t>1,329</w:t>
            </w:r>
          </w:p>
        </w:tc>
        <w:tc>
          <w:tcPr>
            <w:tcW w:w="0" w:type="auto"/>
            <w:shd w:val="clear" w:color="auto" w:fill="CFF0FC"/>
            <w:vAlign w:val="bottom"/>
            <w:hideMark/>
          </w:tcPr>
          <w:p w14:paraId="58F6F4E6"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151E0DD3"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tcBorders>
              <w:bottom w:val="single" w:sz="4" w:space="0" w:color="000000"/>
            </w:tcBorders>
            <w:shd w:val="clear" w:color="auto" w:fill="CFF0FC"/>
            <w:vAlign w:val="bottom"/>
            <w:hideMark/>
          </w:tcPr>
          <w:p w14:paraId="3D050B34"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b/>
                <w:bCs/>
                <w:color w:val="000000"/>
                <w:kern w:val="0"/>
                <w:sz w:val="13"/>
                <w:szCs w:val="13"/>
              </w:rPr>
              <w:t>$</w:t>
            </w:r>
          </w:p>
        </w:tc>
        <w:tc>
          <w:tcPr>
            <w:tcW w:w="0" w:type="auto"/>
            <w:tcBorders>
              <w:bottom w:val="single" w:sz="4" w:space="0" w:color="000000"/>
            </w:tcBorders>
            <w:shd w:val="clear" w:color="auto" w:fill="CFF0FC"/>
            <w:vAlign w:val="bottom"/>
            <w:hideMark/>
          </w:tcPr>
          <w:p w14:paraId="058BA289"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b/>
                <w:bCs/>
                <w:color w:val="000000"/>
                <w:kern w:val="0"/>
                <w:sz w:val="13"/>
                <w:szCs w:val="13"/>
              </w:rPr>
              <w:t>2,742</w:t>
            </w:r>
          </w:p>
        </w:tc>
        <w:tc>
          <w:tcPr>
            <w:tcW w:w="0" w:type="auto"/>
            <w:shd w:val="clear" w:color="auto" w:fill="CFF0FC"/>
            <w:vAlign w:val="bottom"/>
            <w:hideMark/>
          </w:tcPr>
          <w:p w14:paraId="58E710AC"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33778B73"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tcBorders>
              <w:bottom w:val="single" w:sz="4" w:space="0" w:color="000000"/>
            </w:tcBorders>
            <w:shd w:val="clear" w:color="auto" w:fill="CFF0FC"/>
            <w:vAlign w:val="bottom"/>
            <w:hideMark/>
          </w:tcPr>
          <w:p w14:paraId="0C2D8303"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b/>
                <w:bCs/>
                <w:color w:val="000000"/>
                <w:kern w:val="0"/>
                <w:sz w:val="13"/>
                <w:szCs w:val="13"/>
              </w:rPr>
              <w:t>$</w:t>
            </w:r>
          </w:p>
        </w:tc>
        <w:tc>
          <w:tcPr>
            <w:tcW w:w="0" w:type="auto"/>
            <w:tcBorders>
              <w:bottom w:val="single" w:sz="4" w:space="0" w:color="000000"/>
            </w:tcBorders>
            <w:shd w:val="clear" w:color="auto" w:fill="CFF0FC"/>
            <w:vAlign w:val="bottom"/>
            <w:hideMark/>
          </w:tcPr>
          <w:p w14:paraId="4907C176"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b/>
                <w:bCs/>
                <w:color w:val="000000"/>
                <w:kern w:val="0"/>
                <w:sz w:val="13"/>
                <w:szCs w:val="13"/>
              </w:rPr>
              <w:t>(408</w:t>
            </w:r>
          </w:p>
        </w:tc>
        <w:tc>
          <w:tcPr>
            <w:tcW w:w="0" w:type="auto"/>
            <w:shd w:val="clear" w:color="auto" w:fill="CFF0FC"/>
            <w:vAlign w:val="bottom"/>
            <w:hideMark/>
          </w:tcPr>
          <w:p w14:paraId="4995AE9F"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b/>
                <w:bCs/>
                <w:color w:val="000000"/>
                <w:kern w:val="0"/>
                <w:sz w:val="13"/>
                <w:szCs w:val="13"/>
              </w:rPr>
              <w:t>)</w:t>
            </w:r>
          </w:p>
        </w:tc>
        <w:tc>
          <w:tcPr>
            <w:tcW w:w="0" w:type="auto"/>
            <w:shd w:val="clear" w:color="auto" w:fill="CFF0FC"/>
            <w:vAlign w:val="bottom"/>
            <w:hideMark/>
          </w:tcPr>
          <w:p w14:paraId="0E58F30A"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tcBorders>
              <w:bottom w:val="single" w:sz="4" w:space="0" w:color="000000"/>
            </w:tcBorders>
            <w:shd w:val="clear" w:color="auto" w:fill="CFF0FC"/>
            <w:vAlign w:val="bottom"/>
            <w:hideMark/>
          </w:tcPr>
          <w:p w14:paraId="057081FB"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b/>
                <w:bCs/>
                <w:color w:val="000000"/>
                <w:kern w:val="0"/>
                <w:sz w:val="13"/>
                <w:szCs w:val="13"/>
              </w:rPr>
              <w:t>$</w:t>
            </w:r>
          </w:p>
        </w:tc>
        <w:tc>
          <w:tcPr>
            <w:tcW w:w="0" w:type="auto"/>
            <w:tcBorders>
              <w:bottom w:val="single" w:sz="4" w:space="0" w:color="000000"/>
            </w:tcBorders>
            <w:shd w:val="clear" w:color="auto" w:fill="CFF0FC"/>
            <w:vAlign w:val="bottom"/>
            <w:hideMark/>
          </w:tcPr>
          <w:p w14:paraId="48372844"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b/>
                <w:bCs/>
                <w:color w:val="000000"/>
                <w:kern w:val="0"/>
                <w:sz w:val="13"/>
                <w:szCs w:val="13"/>
              </w:rPr>
              <w:t>(1,133</w:t>
            </w:r>
          </w:p>
        </w:tc>
        <w:tc>
          <w:tcPr>
            <w:tcW w:w="0" w:type="auto"/>
            <w:shd w:val="clear" w:color="auto" w:fill="CFF0FC"/>
            <w:vAlign w:val="bottom"/>
            <w:hideMark/>
          </w:tcPr>
          <w:p w14:paraId="07108762"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b/>
                <w:bCs/>
                <w:color w:val="000000"/>
                <w:kern w:val="0"/>
                <w:sz w:val="13"/>
                <w:szCs w:val="13"/>
              </w:rPr>
              <w:t>)</w:t>
            </w:r>
          </w:p>
        </w:tc>
        <w:tc>
          <w:tcPr>
            <w:tcW w:w="0" w:type="auto"/>
            <w:shd w:val="clear" w:color="auto" w:fill="CFF0FC"/>
            <w:vAlign w:val="bottom"/>
            <w:hideMark/>
          </w:tcPr>
          <w:p w14:paraId="20266371"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tcBorders>
              <w:bottom w:val="single" w:sz="4" w:space="0" w:color="000000"/>
            </w:tcBorders>
            <w:shd w:val="clear" w:color="auto" w:fill="CFF0FC"/>
            <w:vAlign w:val="bottom"/>
            <w:hideMark/>
          </w:tcPr>
          <w:p w14:paraId="7BC1994C"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b/>
                <w:bCs/>
                <w:color w:val="000000"/>
                <w:kern w:val="0"/>
                <w:sz w:val="13"/>
                <w:szCs w:val="13"/>
              </w:rPr>
              <w:t>$</w:t>
            </w:r>
          </w:p>
        </w:tc>
        <w:tc>
          <w:tcPr>
            <w:tcW w:w="0" w:type="auto"/>
            <w:tcBorders>
              <w:bottom w:val="single" w:sz="4" w:space="0" w:color="000000"/>
            </w:tcBorders>
            <w:shd w:val="clear" w:color="auto" w:fill="CFF0FC"/>
            <w:vAlign w:val="bottom"/>
            <w:hideMark/>
          </w:tcPr>
          <w:p w14:paraId="4D23021A"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b/>
                <w:bCs/>
                <w:color w:val="000000"/>
                <w:kern w:val="0"/>
                <w:sz w:val="13"/>
                <w:szCs w:val="13"/>
              </w:rPr>
              <w:t>2,633</w:t>
            </w:r>
          </w:p>
        </w:tc>
        <w:tc>
          <w:tcPr>
            <w:tcW w:w="0" w:type="auto"/>
            <w:shd w:val="clear" w:color="auto" w:fill="CFF0FC"/>
            <w:vAlign w:val="bottom"/>
            <w:hideMark/>
          </w:tcPr>
          <w:p w14:paraId="53148546"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5549A280"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tcBorders>
              <w:bottom w:val="single" w:sz="4" w:space="0" w:color="000000"/>
            </w:tcBorders>
            <w:shd w:val="clear" w:color="auto" w:fill="CFF0FC"/>
            <w:vAlign w:val="bottom"/>
            <w:hideMark/>
          </w:tcPr>
          <w:p w14:paraId="04EBDAB3"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b/>
                <w:bCs/>
                <w:color w:val="000000"/>
                <w:kern w:val="0"/>
                <w:sz w:val="13"/>
                <w:szCs w:val="13"/>
              </w:rPr>
              <w:t>$</w:t>
            </w:r>
          </w:p>
        </w:tc>
        <w:tc>
          <w:tcPr>
            <w:tcW w:w="0" w:type="auto"/>
            <w:tcBorders>
              <w:bottom w:val="single" w:sz="4" w:space="0" w:color="000000"/>
            </w:tcBorders>
            <w:shd w:val="clear" w:color="auto" w:fill="CFF0FC"/>
            <w:vAlign w:val="bottom"/>
            <w:hideMark/>
          </w:tcPr>
          <w:p w14:paraId="6731C277"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b/>
                <w:bCs/>
                <w:color w:val="000000"/>
                <w:kern w:val="0"/>
                <w:sz w:val="13"/>
                <w:szCs w:val="13"/>
              </w:rPr>
              <w:t>15</w:t>
            </w:r>
          </w:p>
        </w:tc>
        <w:tc>
          <w:tcPr>
            <w:tcW w:w="0" w:type="auto"/>
            <w:shd w:val="clear" w:color="auto" w:fill="CFF0FC"/>
            <w:vAlign w:val="bottom"/>
            <w:hideMark/>
          </w:tcPr>
          <w:p w14:paraId="7AFE4D55"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shd w:val="clear" w:color="auto" w:fill="CFF0FC"/>
            <w:vAlign w:val="bottom"/>
            <w:hideMark/>
          </w:tcPr>
          <w:p w14:paraId="08E9AA9F"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c>
          <w:tcPr>
            <w:tcW w:w="0" w:type="auto"/>
            <w:tcBorders>
              <w:bottom w:val="single" w:sz="4" w:space="0" w:color="000000"/>
            </w:tcBorders>
            <w:shd w:val="clear" w:color="auto" w:fill="CFF0FC"/>
            <w:vAlign w:val="bottom"/>
            <w:hideMark/>
          </w:tcPr>
          <w:p w14:paraId="0743493E"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b/>
                <w:bCs/>
                <w:color w:val="000000"/>
                <w:kern w:val="0"/>
                <w:sz w:val="13"/>
                <w:szCs w:val="13"/>
              </w:rPr>
              <w:t>$</w:t>
            </w:r>
          </w:p>
        </w:tc>
        <w:tc>
          <w:tcPr>
            <w:tcW w:w="0" w:type="auto"/>
            <w:tcBorders>
              <w:bottom w:val="single" w:sz="4" w:space="0" w:color="000000"/>
            </w:tcBorders>
            <w:shd w:val="clear" w:color="auto" w:fill="CFF0FC"/>
            <w:vAlign w:val="bottom"/>
            <w:hideMark/>
          </w:tcPr>
          <w:p w14:paraId="3B5D7AD5" w14:textId="77777777" w:rsidR="002F3D36" w:rsidRPr="002F3D36" w:rsidRDefault="002F3D36" w:rsidP="002F3D36">
            <w:pPr>
              <w:widowControl/>
              <w:jc w:val="right"/>
              <w:rPr>
                <w:rFonts w:ascii="Times New Roman" w:eastAsia="微软雅黑" w:hAnsi="Times New Roman" w:cs="Times New Roman"/>
                <w:kern w:val="0"/>
                <w:sz w:val="20"/>
                <w:szCs w:val="20"/>
              </w:rPr>
            </w:pPr>
            <w:r w:rsidRPr="002F3D36">
              <w:rPr>
                <w:rFonts w:ascii="Arial" w:eastAsia="微软雅黑" w:hAnsi="Arial" w:cs="Arial"/>
                <w:b/>
                <w:bCs/>
                <w:color w:val="000000"/>
                <w:kern w:val="0"/>
                <w:sz w:val="13"/>
                <w:szCs w:val="13"/>
              </w:rPr>
              <w:t>2,648</w:t>
            </w:r>
          </w:p>
        </w:tc>
        <w:tc>
          <w:tcPr>
            <w:tcW w:w="0" w:type="auto"/>
            <w:shd w:val="clear" w:color="auto" w:fill="CFF0FC"/>
            <w:vAlign w:val="bottom"/>
            <w:hideMark/>
          </w:tcPr>
          <w:p w14:paraId="0C3E16C6" w14:textId="77777777" w:rsidR="002F3D36" w:rsidRPr="002F3D36" w:rsidRDefault="002F3D36" w:rsidP="002F3D36">
            <w:pPr>
              <w:widowControl/>
              <w:jc w:val="left"/>
              <w:rPr>
                <w:rFonts w:ascii="Times New Roman" w:eastAsia="微软雅黑" w:hAnsi="Times New Roman" w:cs="Times New Roman"/>
                <w:kern w:val="0"/>
                <w:sz w:val="13"/>
                <w:szCs w:val="13"/>
              </w:rPr>
            </w:pPr>
            <w:r w:rsidRPr="002F3D36">
              <w:rPr>
                <w:rFonts w:ascii="Arial" w:eastAsia="微软雅黑" w:hAnsi="Arial" w:cs="Arial"/>
                <w:kern w:val="0"/>
                <w:sz w:val="13"/>
                <w:szCs w:val="13"/>
              </w:rPr>
              <w:t> </w:t>
            </w:r>
          </w:p>
        </w:tc>
      </w:tr>
    </w:tbl>
    <w:p w14:paraId="1EDAA480"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24"/>
          <w:szCs w:val="24"/>
        </w:rPr>
        <w:t> </w:t>
      </w:r>
    </w:p>
    <w:p w14:paraId="44E58E7A"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6"/>
          <w:szCs w:val="16"/>
        </w:rPr>
        <w:t xml:space="preserve">1) See Note 14 for further details – includes tax effects where applicable. </w:t>
      </w:r>
    </w:p>
    <w:p w14:paraId="3597BF34"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20"/>
          <w:szCs w:val="20"/>
        </w:rPr>
        <w:lastRenderedPageBreak/>
        <w:t> </w:t>
      </w:r>
    </w:p>
    <w:p w14:paraId="198F026A" w14:textId="77777777" w:rsidR="002F3D36" w:rsidRPr="002F3D36" w:rsidRDefault="002F3D36" w:rsidP="002F3D36">
      <w:pPr>
        <w:widowControl/>
        <w:spacing w:before="4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See Notes to the Consolidated Financial Statements.</w:t>
      </w:r>
    </w:p>
    <w:p w14:paraId="1E5C4BCA" w14:textId="77777777" w:rsidR="002F3D36" w:rsidRPr="002F3D36" w:rsidRDefault="002F3D36" w:rsidP="002F3D36">
      <w:pPr>
        <w:widowControl/>
        <w:spacing w:before="240"/>
        <w:jc w:val="center"/>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60</w:t>
      </w:r>
    </w:p>
    <w:p w14:paraId="55D44F76" w14:textId="77777777" w:rsidR="002F3D36" w:rsidRPr="002F3D36" w:rsidRDefault="002F3D36" w:rsidP="002F3D36">
      <w:pPr>
        <w:widowControl/>
        <w:jc w:val="left"/>
        <w:rPr>
          <w:rFonts w:ascii="宋体" w:eastAsia="宋体" w:hAnsi="宋体" w:cs="宋体"/>
          <w:kern w:val="0"/>
          <w:sz w:val="24"/>
          <w:szCs w:val="24"/>
        </w:rPr>
      </w:pPr>
      <w:r w:rsidRPr="002F3D36">
        <w:rPr>
          <w:rFonts w:ascii="宋体" w:eastAsia="宋体" w:hAnsi="宋体" w:cs="宋体"/>
          <w:kern w:val="0"/>
          <w:sz w:val="24"/>
          <w:szCs w:val="24"/>
        </w:rPr>
        <w:pict w14:anchorId="576CCC94">
          <v:rect id="_x0000_i1087" style="width:0;height:1.5pt" o:hralign="center" o:hrstd="t" o:hrnoshade="t" o:hr="t" fillcolor="black" stroked="f"/>
        </w:pict>
      </w:r>
    </w:p>
    <w:p w14:paraId="4CF93BDB" w14:textId="77777777" w:rsidR="002F3D36" w:rsidRPr="002F3D36" w:rsidRDefault="002F3D36" w:rsidP="002F3D36">
      <w:pPr>
        <w:widowControl/>
        <w:spacing w:line="20" w:lineRule="atLeast"/>
        <w:jc w:val="left"/>
        <w:rPr>
          <w:rFonts w:ascii="Times New Roman" w:eastAsia="宋体" w:hAnsi="Times New Roman" w:cs="Times New Roman"/>
          <w:color w:val="000000"/>
          <w:kern w:val="0"/>
          <w:sz w:val="20"/>
          <w:szCs w:val="20"/>
        </w:rPr>
      </w:pPr>
      <w:r w:rsidRPr="002F3D36">
        <w:rPr>
          <w:rFonts w:ascii="Arial" w:eastAsia="宋体" w:hAnsi="Arial" w:cs="Arial"/>
          <w:color w:val="000000"/>
          <w:kern w:val="0"/>
          <w:sz w:val="2"/>
          <w:szCs w:val="2"/>
        </w:rPr>
        <w:t> </w:t>
      </w:r>
    </w:p>
    <w:p w14:paraId="107A202C"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22"/>
        </w:rPr>
        <w:t>Notes to the Consolidated Financial Statements</w:t>
      </w:r>
    </w:p>
    <w:p w14:paraId="3830E2C5"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6"/>
          <w:szCs w:val="16"/>
        </w:rPr>
        <w:t> </w:t>
      </w:r>
    </w:p>
    <w:p w14:paraId="46786E8A"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6"/>
          <w:szCs w:val="16"/>
        </w:rPr>
        <w:t>(DOLLARS IN MILLIONS, EXCEPT PER SHARE DATA)</w:t>
      </w:r>
    </w:p>
    <w:p w14:paraId="15358F35"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6"/>
          <w:szCs w:val="16"/>
        </w:rPr>
        <w:t> </w:t>
      </w:r>
    </w:p>
    <w:p w14:paraId="42C3AD62"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w:t>
      </w:r>
    </w:p>
    <w:p w14:paraId="67DF6D3A"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22"/>
        </w:rPr>
        <w:t>1. Basis of Presentation</w:t>
      </w:r>
    </w:p>
    <w:p w14:paraId="016E481B"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2"/>
          <w:szCs w:val="12"/>
        </w:rPr>
        <w:t> </w:t>
      </w:r>
    </w:p>
    <w:p w14:paraId="7ED0D4D9"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NATURE OF OPERATIONS</w:t>
      </w:r>
    </w:p>
    <w:p w14:paraId="2C828D02"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Through its operating subsidiaries, Autoliv is a leading developer, manufacturer and supplier of safety systems to the automotive industry. The Company has a broad range of product offerings, primarily passive safety systems, including modules and components for passenger and driver airbags, side airbags, curtain airbags, seatbelts and steering wheels. The Company is also a supplier of anti-whiplash systems and pedestrian protection systems.</w:t>
      </w:r>
    </w:p>
    <w:p w14:paraId="276854A1"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w:t>
      </w:r>
    </w:p>
    <w:p w14:paraId="6883623A" w14:textId="77777777" w:rsidR="002F3D36" w:rsidRPr="002F3D36" w:rsidRDefault="002F3D36" w:rsidP="002F3D36">
      <w:pPr>
        <w:widowControl/>
        <w:spacing w:before="16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PRINCIPLES OF CONSOLIDATION</w:t>
      </w:r>
    </w:p>
    <w:p w14:paraId="135C3EB0"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The consolidated financial statements have been prepared in accordance with United States (U.S.) Generally Accepted Accounting Principles (GAAP) and include Autoliv, Inc. and all companies over which Autoliv, Inc. directly or indirectly exercises control, which as a general rule means that the Company owns more than 50% of the voting rights.</w:t>
      </w:r>
    </w:p>
    <w:p w14:paraId="54DDA3D4"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Consolidation is also required when the Company has both the power to direct the activities of a variable interest entity (VIE) and the obligation to absorb losses or the right to receive benefits from the VIE that could be significant to the VIE.</w:t>
      </w:r>
    </w:p>
    <w:p w14:paraId="55E2D734"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All intercompany accounts and transactions within the Company have been eliminated from the consolidated financial statements.</w:t>
      </w:r>
    </w:p>
    <w:p w14:paraId="7A66C1E6"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Investments in affiliated companies in which the Company exercises significant influence over the operations and financial policies, but does not control, are reported using the equity method of accounting. Generally, the Company owns between 20-50% of such investments.</w:t>
      </w:r>
    </w:p>
    <w:p w14:paraId="532996DB"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SEGMENT REPORTING</w:t>
      </w:r>
    </w:p>
    <w:p w14:paraId="7D8D2499"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xml:space="preserve">In accordance with ASC 280, </w:t>
      </w:r>
      <w:r w:rsidRPr="002F3D36">
        <w:rPr>
          <w:rFonts w:ascii="Arial" w:eastAsia="宋体" w:hAnsi="Arial" w:cs="Arial"/>
          <w:i/>
          <w:iCs/>
          <w:color w:val="000000"/>
          <w:kern w:val="0"/>
          <w:sz w:val="18"/>
          <w:szCs w:val="18"/>
        </w:rPr>
        <w:t>Segment Reporting</w:t>
      </w:r>
      <w:r w:rsidRPr="002F3D36">
        <w:rPr>
          <w:rFonts w:ascii="Arial" w:eastAsia="宋体" w:hAnsi="Arial" w:cs="Arial"/>
          <w:color w:val="000000"/>
          <w:kern w:val="0"/>
          <w:sz w:val="18"/>
          <w:szCs w:val="18"/>
        </w:rPr>
        <w:t>, the operating segments are determined based on the information provided to the Chief Operating Decision Maker (CODM) on a regular basis and used for the purpose of assessing performance and allocating resources within the Company. The CEO is deemed to be the CODM of Autoliv since he is the person who makes all major decisions on how to allocate the resources and assess the performance of the Company for both strategic and operational initiatives.</w:t>
      </w:r>
    </w:p>
    <w:p w14:paraId="2AC20801"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ASC 280 indicates that a component is an operating segment if it meets the following criteria:</w:t>
      </w:r>
    </w:p>
    <w:p w14:paraId="70B9E31B" w14:textId="77777777" w:rsidR="002F3D36" w:rsidRPr="002F3D36" w:rsidRDefault="002F3D36" w:rsidP="002F3D36">
      <w:pPr>
        <w:widowControl/>
        <w:rPr>
          <w:rFonts w:ascii="Arial" w:eastAsia="宋体" w:hAnsi="Arial" w:cs="Arial"/>
          <w:color w:val="000000"/>
          <w:kern w:val="0"/>
          <w:sz w:val="22"/>
        </w:rPr>
      </w:pPr>
      <w:r w:rsidRPr="002F3D36">
        <w:rPr>
          <w:rFonts w:ascii="Times New Roman" w:eastAsia="宋体" w:hAnsi="Times New Roman" w:cs="Times New Roman"/>
          <w:color w:val="000000"/>
          <w:kern w:val="0"/>
          <w:sz w:val="18"/>
          <w:szCs w:val="18"/>
        </w:rPr>
        <w:lastRenderedPageBreak/>
        <w:t>•</w:t>
      </w:r>
    </w:p>
    <w:p w14:paraId="264A6D5C" w14:textId="77777777" w:rsidR="002F3D36" w:rsidRPr="002F3D36" w:rsidRDefault="002F3D36" w:rsidP="002F3D36">
      <w:pPr>
        <w:widowControl/>
        <w:rPr>
          <w:rFonts w:ascii="Arial" w:eastAsia="宋体" w:hAnsi="Arial" w:cs="Arial"/>
          <w:color w:val="000000"/>
          <w:kern w:val="0"/>
          <w:sz w:val="22"/>
        </w:rPr>
      </w:pPr>
      <w:r w:rsidRPr="002F3D36">
        <w:rPr>
          <w:rFonts w:ascii="Arial" w:eastAsia="宋体" w:hAnsi="Arial" w:cs="Arial"/>
          <w:color w:val="000000"/>
          <w:kern w:val="0"/>
          <w:sz w:val="18"/>
          <w:szCs w:val="18"/>
        </w:rPr>
        <w:t>It engages in business activities from which it may earn revenues and incur expenses.</w:t>
      </w:r>
    </w:p>
    <w:p w14:paraId="1052214A" w14:textId="77777777" w:rsidR="002F3D36" w:rsidRPr="002F3D36" w:rsidRDefault="002F3D36" w:rsidP="002F3D36">
      <w:pPr>
        <w:widowControl/>
        <w:rPr>
          <w:rFonts w:ascii="Arial" w:eastAsia="宋体" w:hAnsi="Arial" w:cs="Arial"/>
          <w:color w:val="000000"/>
          <w:kern w:val="0"/>
          <w:sz w:val="22"/>
        </w:rPr>
      </w:pPr>
      <w:r w:rsidRPr="002F3D36">
        <w:rPr>
          <w:rFonts w:ascii="Times New Roman" w:eastAsia="宋体" w:hAnsi="Times New Roman" w:cs="Times New Roman"/>
          <w:color w:val="000000"/>
          <w:kern w:val="0"/>
          <w:sz w:val="18"/>
          <w:szCs w:val="18"/>
        </w:rPr>
        <w:t>•</w:t>
      </w:r>
    </w:p>
    <w:p w14:paraId="39D3D692" w14:textId="77777777" w:rsidR="002F3D36" w:rsidRPr="002F3D36" w:rsidRDefault="002F3D36" w:rsidP="002F3D36">
      <w:pPr>
        <w:widowControl/>
        <w:rPr>
          <w:rFonts w:ascii="Arial" w:eastAsia="宋体" w:hAnsi="Arial" w:cs="Arial"/>
          <w:color w:val="000000"/>
          <w:kern w:val="0"/>
          <w:sz w:val="22"/>
        </w:rPr>
      </w:pPr>
      <w:r w:rsidRPr="002F3D36">
        <w:rPr>
          <w:rFonts w:ascii="Arial" w:eastAsia="宋体" w:hAnsi="Arial" w:cs="Arial"/>
          <w:color w:val="000000"/>
          <w:kern w:val="0"/>
          <w:sz w:val="18"/>
          <w:szCs w:val="18"/>
        </w:rPr>
        <w:t>Its operating results are regularly reviewed by the CODM to make decisions about resources to be allocated to the segment and assess its performance.</w:t>
      </w:r>
    </w:p>
    <w:p w14:paraId="0EDB6BD8" w14:textId="77777777" w:rsidR="002F3D36" w:rsidRPr="002F3D36" w:rsidRDefault="002F3D36" w:rsidP="002F3D36">
      <w:pPr>
        <w:widowControl/>
        <w:rPr>
          <w:rFonts w:ascii="Arial" w:eastAsia="宋体" w:hAnsi="Arial" w:cs="Arial"/>
          <w:color w:val="000000"/>
          <w:kern w:val="0"/>
          <w:sz w:val="22"/>
        </w:rPr>
      </w:pPr>
      <w:r w:rsidRPr="002F3D36">
        <w:rPr>
          <w:rFonts w:ascii="Times New Roman" w:eastAsia="宋体" w:hAnsi="Times New Roman" w:cs="Times New Roman"/>
          <w:color w:val="000000"/>
          <w:kern w:val="0"/>
          <w:sz w:val="18"/>
          <w:szCs w:val="18"/>
        </w:rPr>
        <w:t>•</w:t>
      </w:r>
    </w:p>
    <w:p w14:paraId="12C4F7EA" w14:textId="77777777" w:rsidR="002F3D36" w:rsidRPr="002F3D36" w:rsidRDefault="002F3D36" w:rsidP="002F3D36">
      <w:pPr>
        <w:widowControl/>
        <w:rPr>
          <w:rFonts w:ascii="Arial" w:eastAsia="宋体" w:hAnsi="Arial" w:cs="Arial"/>
          <w:color w:val="000000"/>
          <w:kern w:val="0"/>
          <w:sz w:val="22"/>
        </w:rPr>
      </w:pPr>
      <w:r w:rsidRPr="002F3D36">
        <w:rPr>
          <w:rFonts w:ascii="Arial" w:eastAsia="宋体" w:hAnsi="Arial" w:cs="Arial"/>
          <w:color w:val="000000"/>
          <w:kern w:val="0"/>
          <w:sz w:val="18"/>
          <w:szCs w:val="18"/>
        </w:rPr>
        <w:t xml:space="preserve">Its discrete financial information is available. </w:t>
      </w:r>
    </w:p>
    <w:p w14:paraId="2967998F"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xml:space="preserve">The Company as a whole has met the definition of an operating segment as it engages in business activities from which it may earn revenues and incur expenses, the consolidated operating results are regularly reviewed by the CEO/CODM to allocate resources and assess performance, and discrete financial information is available. Additionally, as Autoliv supplies customers on a global basis it also manages the business on a global basis. Therefore, based on the above analysis, the Company has concluded that the Company is the single operating and reportable segment under ASC 280, </w:t>
      </w:r>
      <w:r w:rsidRPr="002F3D36">
        <w:rPr>
          <w:rFonts w:ascii="Arial" w:eastAsia="宋体" w:hAnsi="Arial" w:cs="Arial"/>
          <w:i/>
          <w:iCs/>
          <w:color w:val="000000"/>
          <w:kern w:val="0"/>
          <w:sz w:val="18"/>
          <w:szCs w:val="18"/>
        </w:rPr>
        <w:t>Segment Reporting</w:t>
      </w:r>
      <w:r w:rsidRPr="002F3D36">
        <w:rPr>
          <w:rFonts w:ascii="Arial" w:eastAsia="宋体" w:hAnsi="Arial" w:cs="Arial"/>
          <w:color w:val="000000"/>
          <w:kern w:val="0"/>
          <w:sz w:val="18"/>
          <w:szCs w:val="18"/>
        </w:rPr>
        <w:t>. For more information on the Company's segment, see Note 20.</w:t>
      </w:r>
    </w:p>
    <w:p w14:paraId="067ADCB8"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w:t>
      </w:r>
    </w:p>
    <w:p w14:paraId="3272232F" w14:textId="77777777" w:rsidR="002F3D36" w:rsidRPr="002F3D36" w:rsidRDefault="002F3D36" w:rsidP="002F3D36">
      <w:pPr>
        <w:widowControl/>
        <w:spacing w:before="16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RECLASSIFICATIONS AND ROUNDINGS</w:t>
      </w:r>
    </w:p>
    <w:p w14:paraId="5FBC9F95"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Certain prior-year amounts have been reclassified to conform to current year presentation.</w:t>
      </w:r>
    </w:p>
    <w:p w14:paraId="62430B57"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xml:space="preserve">Certain amounts in the consolidated financial statements and associated notes may not reconcile due to rounding. All percentages have been calculated using unrounded amounts. </w:t>
      </w:r>
    </w:p>
    <w:p w14:paraId="4116FE3E" w14:textId="77777777" w:rsidR="002F3D36" w:rsidRPr="002F3D36" w:rsidRDefault="002F3D36" w:rsidP="002F3D36">
      <w:pPr>
        <w:widowControl/>
        <w:spacing w:before="240"/>
        <w:jc w:val="center"/>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61</w:t>
      </w:r>
    </w:p>
    <w:p w14:paraId="2A24711C" w14:textId="77777777" w:rsidR="002F3D36" w:rsidRPr="002F3D36" w:rsidRDefault="002F3D36" w:rsidP="002F3D36">
      <w:pPr>
        <w:widowControl/>
        <w:jc w:val="left"/>
        <w:rPr>
          <w:rFonts w:ascii="宋体" w:eastAsia="宋体" w:hAnsi="宋体" w:cs="宋体"/>
          <w:kern w:val="0"/>
          <w:sz w:val="24"/>
          <w:szCs w:val="24"/>
        </w:rPr>
      </w:pPr>
      <w:r w:rsidRPr="002F3D36">
        <w:rPr>
          <w:rFonts w:ascii="宋体" w:eastAsia="宋体" w:hAnsi="宋体" w:cs="宋体"/>
          <w:kern w:val="0"/>
          <w:sz w:val="24"/>
          <w:szCs w:val="24"/>
        </w:rPr>
        <w:pict w14:anchorId="03F136DE">
          <v:rect id="_x0000_i1088" style="width:0;height:1.5pt" o:hralign="center" o:hrstd="t" o:hrnoshade="t" o:hr="t" fillcolor="black" stroked="f"/>
        </w:pict>
      </w:r>
    </w:p>
    <w:p w14:paraId="5313F7D1" w14:textId="77777777" w:rsidR="002F3D36" w:rsidRPr="002F3D36" w:rsidRDefault="002F3D36" w:rsidP="002F3D36">
      <w:pPr>
        <w:widowControl/>
        <w:spacing w:line="20" w:lineRule="atLeast"/>
        <w:jc w:val="left"/>
        <w:rPr>
          <w:rFonts w:ascii="Times New Roman" w:eastAsia="宋体" w:hAnsi="Times New Roman" w:cs="Times New Roman"/>
          <w:color w:val="000000"/>
          <w:kern w:val="0"/>
          <w:sz w:val="20"/>
          <w:szCs w:val="20"/>
        </w:rPr>
      </w:pPr>
      <w:r w:rsidRPr="002F3D36">
        <w:rPr>
          <w:rFonts w:ascii="Arial" w:eastAsia="宋体" w:hAnsi="Arial" w:cs="Arial"/>
          <w:color w:val="000000"/>
          <w:kern w:val="0"/>
          <w:sz w:val="2"/>
          <w:szCs w:val="2"/>
        </w:rPr>
        <w:t> </w:t>
      </w:r>
    </w:p>
    <w:p w14:paraId="4016F30E"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22"/>
        </w:rPr>
        <w:t>2. Summary of Significant Accounting Policies</w:t>
      </w:r>
    </w:p>
    <w:p w14:paraId="4B7729AA"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BUSINESS COMBINATIONS</w:t>
      </w:r>
    </w:p>
    <w:p w14:paraId="358646D6"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xml:space="preserve">Transactions in which the Company obtains control of a business are accounted for according to the acquisition method as described in ASC 805, </w:t>
      </w:r>
      <w:r w:rsidRPr="002F3D36">
        <w:rPr>
          <w:rFonts w:ascii="Arial" w:eastAsia="宋体" w:hAnsi="Arial" w:cs="Arial"/>
          <w:i/>
          <w:iCs/>
          <w:color w:val="000000"/>
          <w:kern w:val="0"/>
          <w:sz w:val="18"/>
          <w:szCs w:val="18"/>
        </w:rPr>
        <w:t>Business Combinations</w:t>
      </w:r>
      <w:r w:rsidRPr="002F3D36">
        <w:rPr>
          <w:rFonts w:ascii="Arial" w:eastAsia="宋体" w:hAnsi="Arial" w:cs="Arial"/>
          <w:color w:val="000000"/>
          <w:kern w:val="0"/>
          <w:sz w:val="18"/>
          <w:szCs w:val="18"/>
        </w:rPr>
        <w:t>. The assets acquired and liabilities assumed are recognized and measured at their fair values as of the date control is obtained. Acquisition related costs in connection with a business combination are expensed as incurred. Contingent consideration is recognized and measured at fair value at the acquisition date and until paid is re-measured on a recurring basis and classified as a liability.</w:t>
      </w:r>
    </w:p>
    <w:p w14:paraId="7B583EAE"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EQUITY METHOD INVESTMENT</w:t>
      </w:r>
    </w:p>
    <w:p w14:paraId="0369893C"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Investments accounted for under the equity method, means that a proportional share of the equity method investment’s net income increases the investment, and a proportional share of losses and payment of dividends decreases it. In the Consolidated Statements of Income, the proportional share of the net income (loss) is reported as Income from equity method investment.</w:t>
      </w:r>
    </w:p>
    <w:p w14:paraId="02C26531"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USE OF ESTIMATES</w:t>
      </w:r>
    </w:p>
    <w:p w14:paraId="76B0CA96"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lastRenderedPageBreak/>
        <w:t>The preparation of consolidated financial statements in conformity with U.S. GAAP requires management to make estimates and assumptions that affect the reported amounts of assets and liabilities, disclosures of contingent assets and liabilities at the date of the consolidated financial statements, and the reported amounts of net sales and expenses during the reporting period. The accounting estimates that require management’s most significant judgments include the estimation of variable consideration for the Company's contracts with customers, valuation of stock-based compensation payments, assessment of recoverability of goodwill and intangible assets, estimation of pension benefit obligations based on actuarial assumptions, estimation of accruals for warranty and recalls, restructuring charges, uncertain tax positions, valuation allowances and legal proceedings. Actual results could differ from those estimates.</w:t>
      </w:r>
    </w:p>
    <w:p w14:paraId="7758C8C3"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REVENUE RECOGNITION</w:t>
      </w:r>
    </w:p>
    <w:p w14:paraId="241AE3BE"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xml:space="preserve">In accordance with ASC 606, </w:t>
      </w:r>
      <w:r w:rsidRPr="002F3D36">
        <w:rPr>
          <w:rFonts w:ascii="Arial" w:eastAsia="宋体" w:hAnsi="Arial" w:cs="Arial"/>
          <w:i/>
          <w:iCs/>
          <w:color w:val="000000"/>
          <w:kern w:val="0"/>
          <w:sz w:val="18"/>
          <w:szCs w:val="18"/>
        </w:rPr>
        <w:t>Revenue from Contracts with Customers</w:t>
      </w:r>
      <w:r w:rsidRPr="002F3D36">
        <w:rPr>
          <w:rFonts w:ascii="Arial" w:eastAsia="宋体" w:hAnsi="Arial" w:cs="Arial"/>
          <w:color w:val="000000"/>
          <w:kern w:val="0"/>
          <w:sz w:val="18"/>
          <w:szCs w:val="18"/>
        </w:rPr>
        <w:t>, revenue is measured based on consideration specified in a contract with a customer, adjusted for any variable consideration (i.e. price concessions) and estimated at contract inception. The estimated amount of variable consideration that will be received by the Company is based on historical experience and trends, management´s understanding of the status of negotiations with customers and anticipated future pricing strategies. The Company recognizes revenue when it satisfies a performance obligation by transferring control over a product to a customer.</w:t>
      </w:r>
    </w:p>
    <w:p w14:paraId="369FB017"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In addition, from time to time, the Company may make payments to customers in connection with ongoing and future business. These payments to customers are generally recognized as a reduction to revenue at the time of the commitment to make these payments unless the payment can be clearly linked to the future business. If the payments are capitalized, the amounts are amortized to revenue as the related goods are transferred.</w:t>
      </w:r>
    </w:p>
    <w:p w14:paraId="27332172"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Taxes assessed by a governmental authority that are both imposed on and concurrent with a specific revenue-producing transaction and collected by the Company from a customer, are excluded from revenue.</w:t>
      </w:r>
    </w:p>
    <w:p w14:paraId="6F96EA01"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Shipping and handling costs associated with outbound freight before control of a product has transferred to a customer are accounted for as a fulfillment cost and are included in cost of sales.</w:t>
      </w:r>
    </w:p>
    <w:p w14:paraId="0B9C0F2B"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u w:val="single"/>
        </w:rPr>
        <w:t>Nature of goods and services</w:t>
      </w:r>
    </w:p>
    <w:p w14:paraId="7CFEA030"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The Company generates revenue from the sale of parts, which includes airbag and seatbelt products and components, to original equipment manufacturers (“OEMs”).</w:t>
      </w:r>
    </w:p>
    <w:p w14:paraId="4F543AC9"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The Company accounts for individual products separately if they are distinct (i.e., if a product is separately identifiable from other items and if a customer can benefit from it on its own or with other resources that are readily available to the customer). The consideration for each of the products, including any price concessions, is based on their stand-alone selling prices. The stand-alone selling prices are determined based on the cost-plus margin approach.</w:t>
      </w:r>
    </w:p>
    <w:p w14:paraId="6D6019D7"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xml:space="preserve">The Company recognizes revenue for parts primarily at a point in time. For parts with revenue recognized at a point in time, the Company recognizes revenue upon shipment to the customers and transfer of title and risk of loss under standard commercial terms (typically FOB shipping point). </w:t>
      </w:r>
    </w:p>
    <w:p w14:paraId="1ACC51BB"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lastRenderedPageBreak/>
        <w:t>There are certain contracts where the criteria to recognize revenue over time have been met (e.g., there is no alternative use to the Company and the Company has an enforceable right to payment). In such cases, at period end, the Company recognizes revenue and a related asset and associated cost of goods sold and reduction in inventory. However, the financial impact of these contracts is immaterial considering the very short production cycles and limited inventory days on hand. The contract balances with customers, included in other current assets, amounted to $20 million as of December 31, 2021 and 2020.</w:t>
      </w:r>
    </w:p>
    <w:p w14:paraId="2B6839E4"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The amount of revenue recognized is based on the purchase order price and adjusted for variable consideration (i.e. price concessions). Customers typically pay for the parts based on customary business practices.</w:t>
      </w:r>
    </w:p>
    <w:p w14:paraId="5881BA31" w14:textId="77777777" w:rsidR="002F3D36" w:rsidRPr="002F3D36" w:rsidRDefault="002F3D36" w:rsidP="002F3D36">
      <w:pPr>
        <w:widowControl/>
        <w:jc w:val="left"/>
        <w:rPr>
          <w:rFonts w:ascii="Times New Roman" w:eastAsia="宋体" w:hAnsi="Times New Roman" w:cs="Times New Roman"/>
          <w:color w:val="000000"/>
          <w:kern w:val="0"/>
          <w:sz w:val="20"/>
          <w:szCs w:val="20"/>
        </w:rPr>
      </w:pPr>
      <w:r w:rsidRPr="002F3D36">
        <w:rPr>
          <w:rFonts w:ascii="Times New Roman" w:eastAsia="宋体" w:hAnsi="Times New Roman" w:cs="Times New Roman"/>
          <w:color w:val="000000"/>
          <w:kern w:val="0"/>
          <w:sz w:val="20"/>
          <w:szCs w:val="20"/>
        </w:rPr>
        <w:t> </w:t>
      </w:r>
    </w:p>
    <w:p w14:paraId="03D0C5E4" w14:textId="77777777" w:rsidR="002F3D36" w:rsidRPr="002F3D36" w:rsidRDefault="002F3D36" w:rsidP="002F3D36">
      <w:pPr>
        <w:widowControl/>
        <w:spacing w:before="240"/>
        <w:jc w:val="center"/>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62</w:t>
      </w:r>
    </w:p>
    <w:p w14:paraId="7B44785E" w14:textId="77777777" w:rsidR="002F3D36" w:rsidRPr="002F3D36" w:rsidRDefault="002F3D36" w:rsidP="002F3D36">
      <w:pPr>
        <w:widowControl/>
        <w:jc w:val="left"/>
        <w:rPr>
          <w:rFonts w:ascii="Arial" w:eastAsia="宋体" w:hAnsi="Arial" w:cs="Arial"/>
          <w:color w:val="000000"/>
          <w:kern w:val="0"/>
          <w:sz w:val="22"/>
        </w:rPr>
      </w:pPr>
      <w:r w:rsidRPr="002F3D36">
        <w:rPr>
          <w:rFonts w:ascii="Arial" w:eastAsia="宋体" w:hAnsi="Arial" w:cs="Arial"/>
          <w:color w:val="000000"/>
          <w:kern w:val="0"/>
          <w:sz w:val="22"/>
        </w:rPr>
        <w:pict w14:anchorId="57D28D35">
          <v:rect id="_x0000_i1089" style="width:0;height:1.5pt" o:hralign="center" o:hrstd="t" o:hr="t" fillcolor="#a0a0a0" stroked="f"/>
        </w:pict>
      </w:r>
    </w:p>
    <w:p w14:paraId="0CCAA55D" w14:textId="77777777" w:rsidR="002F3D36" w:rsidRPr="002F3D36" w:rsidRDefault="002F3D36" w:rsidP="002F3D36">
      <w:pPr>
        <w:widowControl/>
        <w:spacing w:line="20" w:lineRule="atLeast"/>
        <w:jc w:val="left"/>
        <w:rPr>
          <w:rFonts w:ascii="Times New Roman" w:eastAsia="宋体" w:hAnsi="Times New Roman" w:cs="Times New Roman"/>
          <w:color w:val="000000"/>
          <w:kern w:val="0"/>
          <w:sz w:val="20"/>
          <w:szCs w:val="20"/>
        </w:rPr>
      </w:pPr>
      <w:r w:rsidRPr="002F3D36">
        <w:rPr>
          <w:rFonts w:ascii="Arial" w:eastAsia="宋体" w:hAnsi="Arial" w:cs="Arial"/>
          <w:color w:val="000000"/>
          <w:kern w:val="0"/>
          <w:sz w:val="2"/>
          <w:szCs w:val="2"/>
        </w:rPr>
        <w:t> </w:t>
      </w:r>
    </w:p>
    <w:p w14:paraId="553693F6"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GOVERNMENT GRANTS</w:t>
      </w:r>
    </w:p>
    <w:p w14:paraId="29D72088"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Generally, the Company receives grants related to assets or grants related to income. The Company account for government grants as follows depending on which category the grants fall into. Government grants connected to Capital Expenditure are offset against the capitalized costs of the asset in the balance sheet when: a) all performance obligations connected to the government grant have been fulfilled; and b) the cash has been received. Other government grants including those reimbursing expenses are recognized in the profit and loss when: a) all performance obligations connected to the government grant have been fulfilled; and b) the cash has been received.</w:t>
      </w:r>
    </w:p>
    <w:p w14:paraId="3D07C4EB"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When the cash has been received but there are outstanding performance obligations connected to the government grants received, the cash received is recognized as other payables and offset against the capitalized costs when the outstanding performance obligations are fulfilled.</w:t>
      </w:r>
    </w:p>
    <w:p w14:paraId="6E1A3818"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RESEARCH, DEVELOPMENT AND ENGINEERING, NET (R,D&amp;E)</w:t>
      </w:r>
    </w:p>
    <w:p w14:paraId="7EE6F0EB"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Re</w:t>
      </w:r>
      <w:r w:rsidRPr="002F3D36">
        <w:rPr>
          <w:rFonts w:ascii="Arial" w:eastAsia="宋体" w:hAnsi="Arial" w:cs="Arial"/>
          <w:color w:val="000000"/>
          <w:kern w:val="0"/>
          <w:sz w:val="18"/>
          <w:szCs w:val="18"/>
          <w:shd w:val="clear" w:color="auto" w:fill="FFFFFF"/>
        </w:rPr>
        <w:t xml:space="preserve">search and development and most engineering expenses are expensed as incurred. These expenses are reported net of expense </w:t>
      </w:r>
      <w:r w:rsidRPr="002F3D36">
        <w:rPr>
          <w:rFonts w:ascii="Arial" w:eastAsia="宋体" w:hAnsi="Arial" w:cs="Arial"/>
          <w:color w:val="000000"/>
          <w:kern w:val="0"/>
          <w:sz w:val="18"/>
          <w:szCs w:val="18"/>
        </w:rPr>
        <w:t>reimbursements from contracts to perform engineering design and product development fulfillment activities related to the production of parts. For t</w:t>
      </w:r>
      <w:r w:rsidRPr="002F3D36">
        <w:rPr>
          <w:rFonts w:ascii="Arial" w:eastAsia="宋体" w:hAnsi="Arial" w:cs="Arial"/>
          <w:color w:val="000000"/>
          <w:kern w:val="0"/>
          <w:sz w:val="18"/>
          <w:szCs w:val="18"/>
          <w:shd w:val="clear" w:color="auto" w:fill="FFFFFF"/>
        </w:rPr>
        <w:t>he year</w:t>
      </w:r>
      <w:r w:rsidRPr="002F3D36">
        <w:rPr>
          <w:rFonts w:ascii="Arial" w:eastAsia="宋体" w:hAnsi="Arial" w:cs="Arial"/>
          <w:color w:val="000000"/>
          <w:kern w:val="0"/>
          <w:sz w:val="18"/>
          <w:szCs w:val="18"/>
        </w:rPr>
        <w:t>s 2021, 2020 and 2019 total reimbursements from customers were $203 million, $181 million and $199 millio</w:t>
      </w:r>
      <w:r w:rsidRPr="002F3D36">
        <w:rPr>
          <w:rFonts w:ascii="Arial" w:eastAsia="宋体" w:hAnsi="Arial" w:cs="Arial"/>
          <w:color w:val="000000"/>
          <w:kern w:val="0"/>
          <w:sz w:val="18"/>
          <w:szCs w:val="18"/>
          <w:shd w:val="clear" w:color="auto" w:fill="FFFFFF"/>
        </w:rPr>
        <w:t>n, respectively.</w:t>
      </w:r>
    </w:p>
    <w:p w14:paraId="7CB55F7A"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Certain engineering expenses related to long-term supply arrangements are capitalized when defined criteria, such as the existence of a contractual guarantee for reimbursement, are met. The aggregate amount of such assets is not significant in any period presented.</w:t>
      </w:r>
    </w:p>
    <w:p w14:paraId="551CD21E"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Tooling is generally agreed upon as a separate contract or a separate component of an engineering contract, as a pre-production project. Capitalization of tooling costs is made only when the specific criteria for capitalization of customer funded tooling is met or the criteria for capitalization as Property, Plant &amp; Equipment (P,P&amp;E) for tools owned by the Company are fulfilled. Depreciation on the Company’s own tooling is recognized in the Consolidated Statements of Income as Cost of sales.</w:t>
      </w:r>
    </w:p>
    <w:p w14:paraId="4DB59A0C"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STOCK-BASED COMPENSATION</w:t>
      </w:r>
    </w:p>
    <w:p w14:paraId="4AE38D55"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lastRenderedPageBreak/>
        <w:t xml:space="preserve">The compensation costs for all of the Company’s stock-based compensation awards are determined based on the fair value method as defined in ASC 718, </w:t>
      </w:r>
      <w:r w:rsidRPr="002F3D36">
        <w:rPr>
          <w:rFonts w:ascii="Arial" w:eastAsia="宋体" w:hAnsi="Arial" w:cs="Arial"/>
          <w:i/>
          <w:iCs/>
          <w:color w:val="000000"/>
          <w:kern w:val="0"/>
          <w:sz w:val="18"/>
          <w:szCs w:val="18"/>
        </w:rPr>
        <w:t>Compensation - Stock Compensation</w:t>
      </w:r>
      <w:r w:rsidRPr="002F3D36">
        <w:rPr>
          <w:rFonts w:ascii="Arial" w:eastAsia="宋体" w:hAnsi="Arial" w:cs="Arial"/>
          <w:color w:val="000000"/>
          <w:kern w:val="0"/>
          <w:sz w:val="18"/>
          <w:szCs w:val="18"/>
        </w:rPr>
        <w:t>. The Company records the compensation expense for awards under the Stock Incentive Plan, including Restricted Stock Units (RSUs), Performance Shares (PSs) and stock options (SOs), over the respective vesting period. For further details, see Note 16.</w:t>
      </w:r>
    </w:p>
    <w:p w14:paraId="16B1E0F4"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INCOME TAXES</w:t>
      </w:r>
    </w:p>
    <w:p w14:paraId="410FB9C5"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Current tax liabilities and assets are recognized for the estimated taxes payable or refundable on the tax returns for the current year. In certain circumstances, payments or refunds may extend beyond twelve months, in such cases amounts would be classified as non-current taxes payable or receivable. Deferred tax liabilities or assets are recognized for the estimated future tax effects attributable to temporary differences and carryforwards that result from events that have been recognized in either the financial statements or the tax returns, but not both. The measurement of current and deferred tax liabilities and assets is based on provisions of enacted tax laws. Deferred tax assets are reduced by the amount of any tax benefits that are not expected to be realized. A valuation allowance is recognized if, based on the weight of all available evidence, it is more likely than not that some portion, or all, of the deferred tax asset will not be realized. Evaluation of the realizability of deferred tax assets is subject to significant judgment requiring careful consideration of all facts and circumstances. The Company classifies deferred tax assets and liabilities as non-current in the Consolidated Balance Sheet. Tax assets and liabilities are not offset unless attributable to the same tax jurisdiction and netting is possible according to law and, as it relates to payables and receivables, expected to take place in the same period.</w:t>
      </w:r>
    </w:p>
    <w:p w14:paraId="13569F33"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Tax benefits associated with tax positions taken in the Company’s income tax returns are initially recognized when it is more likely than not that those tax positions will be sustained upon examination by the relevant taxing authorities. The Company’s evaluation of its tax benefits is based on the probability of the tax position being upheld if challenged by the taxing authorities (including through negotiation, appeals, settlement and litigation). Whenever a tax position does not meet the initial recognition criteria, the tax benefit is subsequently recognized if there is a substantive change in the facts and circumstances that cause a change in judgment concerning the sustainability of the tax position upon examination by the relevant taxing authorities. In cases where tax benefits meet the initial recognition criterion, the Company continues, in subsequent periods, to assess its ability to sustain those positions. A previously recognized tax benefit is derecognized when it is no longer more likely than not that the tax position would be sustained upon examination. Liabilities for unrecognized tax benefits are classified as non-current unless the payment of the liability is expected to be made within the next 12 months.</w:t>
      </w:r>
    </w:p>
    <w:p w14:paraId="7D2618D4" w14:textId="77777777" w:rsidR="002F3D36" w:rsidRPr="002F3D36" w:rsidRDefault="002F3D36" w:rsidP="002F3D36">
      <w:pPr>
        <w:widowControl/>
        <w:spacing w:before="240"/>
        <w:jc w:val="center"/>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63</w:t>
      </w:r>
    </w:p>
    <w:p w14:paraId="39936AC9" w14:textId="77777777" w:rsidR="002F3D36" w:rsidRPr="002F3D36" w:rsidRDefault="002F3D36" w:rsidP="002F3D36">
      <w:pPr>
        <w:widowControl/>
        <w:jc w:val="left"/>
        <w:rPr>
          <w:rFonts w:ascii="Arial" w:eastAsia="宋体" w:hAnsi="Arial" w:cs="Arial"/>
          <w:color w:val="000000"/>
          <w:kern w:val="0"/>
          <w:sz w:val="22"/>
        </w:rPr>
      </w:pPr>
      <w:r w:rsidRPr="002F3D36">
        <w:rPr>
          <w:rFonts w:ascii="Arial" w:eastAsia="宋体" w:hAnsi="Arial" w:cs="Arial"/>
          <w:color w:val="000000"/>
          <w:kern w:val="0"/>
          <w:sz w:val="22"/>
        </w:rPr>
        <w:pict w14:anchorId="43800AB0">
          <v:rect id="_x0000_i1090" style="width:0;height:1.5pt" o:hralign="center" o:hrstd="t" o:hr="t" fillcolor="#a0a0a0" stroked="f"/>
        </w:pict>
      </w:r>
    </w:p>
    <w:p w14:paraId="67747EE7" w14:textId="77777777" w:rsidR="002F3D36" w:rsidRPr="002F3D36" w:rsidRDefault="002F3D36" w:rsidP="002F3D36">
      <w:pPr>
        <w:widowControl/>
        <w:spacing w:line="20" w:lineRule="atLeast"/>
        <w:jc w:val="left"/>
        <w:rPr>
          <w:rFonts w:ascii="Times New Roman" w:eastAsia="宋体" w:hAnsi="Times New Roman" w:cs="Times New Roman"/>
          <w:color w:val="000000"/>
          <w:kern w:val="0"/>
          <w:sz w:val="20"/>
          <w:szCs w:val="20"/>
        </w:rPr>
      </w:pPr>
      <w:r w:rsidRPr="002F3D36">
        <w:rPr>
          <w:rFonts w:ascii="Arial" w:eastAsia="宋体" w:hAnsi="Arial" w:cs="Arial"/>
          <w:color w:val="000000"/>
          <w:kern w:val="0"/>
          <w:sz w:val="2"/>
          <w:szCs w:val="2"/>
        </w:rPr>
        <w:t> </w:t>
      </w:r>
    </w:p>
    <w:p w14:paraId="7B35549B"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EARNINGS PER SHARE</w:t>
      </w:r>
    </w:p>
    <w:p w14:paraId="47FBC5B4"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xml:space="preserve">The Company calculates basic earnings per share (EPS) by dividing net income attributable to controlling interest by the weighted-average number of shares of common stock outstanding for the period (net of treasury shares). The Company’s unvested RSUs and PSs, of which some include the right to receive non-forfeitable dividend equivalents, are considered participating securities. The diluted EPS reflects the </w:t>
      </w:r>
      <w:r w:rsidRPr="002F3D36">
        <w:rPr>
          <w:rFonts w:ascii="Arial" w:eastAsia="宋体" w:hAnsi="Arial" w:cs="Arial"/>
          <w:color w:val="000000"/>
          <w:kern w:val="0"/>
          <w:sz w:val="18"/>
          <w:szCs w:val="18"/>
        </w:rPr>
        <w:lastRenderedPageBreak/>
        <w:t>potential dilution that could occur if common stock was issued for awards under the Stock Incentive Plan and is calculated using the more dilutive method of either the two-class method or the treasury stock method. The treasury stock method assumes that the Company uses the proceeds from the exercise of stock option awards to repurchase ordinary shares at the average market price during the period. For unvested restricted stock, assumed proceeds under the treasury stock method will include unamortized compensation cost and windfall tax benefits or shortfalls. Post spin-off assumed proceeds under the treasury stock method related to RSUs will only include unamortized compensation cost related to Autoliv employees holding Autoliv RSUs. Calculations of EPS under the two-class method exclude from the numerator any dividends paid or owed on participating securities and any undistributed earnings considered to be attributable to participating securities. The related participating securities are similarly excluded from the denominator. For further details, see Notes 16 and 21.</w:t>
      </w:r>
    </w:p>
    <w:p w14:paraId="20DC6CEC"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CASH EQUIVALENTS</w:t>
      </w:r>
    </w:p>
    <w:p w14:paraId="434B6E1B"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The Company considers all highly liquid investment instruments purchased with a maturity of three months or less to be cash equivalents.</w:t>
      </w:r>
    </w:p>
    <w:p w14:paraId="3FCBC984"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RECEIVABLES AND ALLOWANCE FOR EXPECTED CREDIT LOSSES</w:t>
      </w:r>
    </w:p>
    <w:p w14:paraId="07FEA047"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In addition to individually assess overdue customer balances for expected credit losses, the Company also calculates an allowance that reflects the expected credit losses on receivables considering both historical experience as well as forward looking assumptions. The method calculates the expected credit loss for a group of customers by using the customer groups’ average short-term default rates based on officially published credit ratings and the Company’s historical experience. These default rates are considered the Company’s best estimate of the customer’s ability to pay. The Company regularly reassess the customer group’s and the applied customer group’s default rates by using its best judgement when considering changes in customer’s credit ratings, customer’s historical payments and loss experience, current market and economic conditions and the Company’s expectations of future market and economic conditions.</w:t>
      </w:r>
    </w:p>
    <w:p w14:paraId="4E5776AB"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There can be no assurance that the amount ultimately realized for receivables will not be materially different than that assumed in the calculation of the allowance for expected credit losses.</w:t>
      </w:r>
    </w:p>
    <w:p w14:paraId="0C7064C7"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DERIVATIVE INSTRUMENTS AND HEDGING ACTIVITIES</w:t>
      </w:r>
    </w:p>
    <w:p w14:paraId="4ED6D3EC"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All derivatives are recognized at fair value.</w:t>
      </w:r>
    </w:p>
    <w:p w14:paraId="228CF654"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Hedge accounting is not applied either because non-hedge accounting treatment creates the same accounting result or the hedge does not meet the hedge accounting requirements, although entered into applying the same rationale concerning mitigating market risk that occurs from changes in interest and foreign exchange rates.</w:t>
      </w:r>
    </w:p>
    <w:p w14:paraId="14D2B615"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For further details on the Company’s financial instruments, see Notes 4 and 13.</w:t>
      </w:r>
    </w:p>
    <w:p w14:paraId="729FF4A1"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INVENTORIES</w:t>
      </w:r>
    </w:p>
    <w:p w14:paraId="7D78BCBF"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xml:space="preserve">The cost of inventories is computed according to the first-in first-out method (FIFO). Cost includes the cost of materials, direct labor and the applicable share of manufacturing overhead. Inventories are </w:t>
      </w:r>
      <w:r w:rsidRPr="002F3D36">
        <w:rPr>
          <w:rFonts w:ascii="Arial" w:eastAsia="宋体" w:hAnsi="Arial" w:cs="Arial"/>
          <w:color w:val="000000"/>
          <w:kern w:val="0"/>
          <w:sz w:val="18"/>
          <w:szCs w:val="18"/>
        </w:rPr>
        <w:lastRenderedPageBreak/>
        <w:t>evaluated based on individual or, in some cases, groups of inventory items. Reserves are established to reduce the value of inventories to the lower of cost or net realizable value. Net realizable value is the estimated selling prices in the ordinary course of business, less reasonably predictable costs of completion, disposal and transportation. Excess inventories are quantities of items that exceed anticipated sales or usage for a reasonable period. The Company calculates provisions for excess inventories based on the number of months of inventories on hand compared to anticipated sales or usage. Management uses its judgment to forecast sales or usage and to determine what constitutes a reasonable period. There can be no assurance that the amount ultimately realized for inventories will not be materially different than that assumed in the calculation of the reserves.</w:t>
      </w:r>
    </w:p>
    <w:p w14:paraId="1BEDD9C2"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PROPERTY, PLANT AND EQUIPMENT</w:t>
      </w:r>
    </w:p>
    <w:p w14:paraId="0EC7B063"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Property, Plant and Equipment is recorded at historical cost. Construction in progress generally involves short-term projects for which capitalized interest is not significant. The Company provides for depreciation of property, plant and equipment computed under the straight-line method over the assets’ estimated useful lives, or in the case of leasehold improvements over the shorter of the useful life or the lease term. Amortization on capital leases is recognized with depreciation expense in the Consolidated Statements of Income over the shorter of the assets’ expected life or the lease contract term. Repairs and maintenance are expensed as incurred.</w:t>
      </w:r>
    </w:p>
    <w:p w14:paraId="1DC66F54" w14:textId="77777777" w:rsidR="002F3D36" w:rsidRPr="002F3D36" w:rsidRDefault="002F3D36" w:rsidP="002F3D36">
      <w:pPr>
        <w:widowControl/>
        <w:spacing w:before="240"/>
        <w:jc w:val="center"/>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64</w:t>
      </w:r>
    </w:p>
    <w:p w14:paraId="60A9A72E" w14:textId="77777777" w:rsidR="002F3D36" w:rsidRPr="002F3D36" w:rsidRDefault="002F3D36" w:rsidP="002F3D36">
      <w:pPr>
        <w:widowControl/>
        <w:jc w:val="left"/>
        <w:rPr>
          <w:rFonts w:ascii="Arial" w:eastAsia="宋体" w:hAnsi="Arial" w:cs="Arial"/>
          <w:color w:val="000000"/>
          <w:kern w:val="0"/>
          <w:sz w:val="22"/>
        </w:rPr>
      </w:pPr>
      <w:r w:rsidRPr="002F3D36">
        <w:rPr>
          <w:rFonts w:ascii="Arial" w:eastAsia="宋体" w:hAnsi="Arial" w:cs="Arial"/>
          <w:color w:val="000000"/>
          <w:kern w:val="0"/>
          <w:sz w:val="22"/>
        </w:rPr>
        <w:pict w14:anchorId="2226D303">
          <v:rect id="_x0000_i1091" style="width:0;height:1.5pt" o:hralign="center" o:hrstd="t" o:hr="t" fillcolor="#a0a0a0" stroked="f"/>
        </w:pict>
      </w:r>
    </w:p>
    <w:p w14:paraId="677F7C5B" w14:textId="77777777" w:rsidR="002F3D36" w:rsidRPr="002F3D36" w:rsidRDefault="002F3D36" w:rsidP="002F3D36">
      <w:pPr>
        <w:widowControl/>
        <w:spacing w:line="20" w:lineRule="atLeast"/>
        <w:jc w:val="left"/>
        <w:rPr>
          <w:rFonts w:ascii="Times New Roman" w:eastAsia="宋体" w:hAnsi="Times New Roman" w:cs="Times New Roman"/>
          <w:color w:val="000000"/>
          <w:kern w:val="0"/>
          <w:sz w:val="20"/>
          <w:szCs w:val="20"/>
        </w:rPr>
      </w:pPr>
      <w:r w:rsidRPr="002F3D36">
        <w:rPr>
          <w:rFonts w:ascii="Arial" w:eastAsia="宋体" w:hAnsi="Arial" w:cs="Arial"/>
          <w:color w:val="000000"/>
          <w:kern w:val="0"/>
          <w:sz w:val="2"/>
          <w:szCs w:val="2"/>
        </w:rPr>
        <w:t> </w:t>
      </w:r>
    </w:p>
    <w:p w14:paraId="20D29770"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LEASES</w:t>
      </w:r>
    </w:p>
    <w:p w14:paraId="4A085823"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xml:space="preserve">In accordance with ASC 842, </w:t>
      </w:r>
      <w:r w:rsidRPr="002F3D36">
        <w:rPr>
          <w:rFonts w:ascii="Arial" w:eastAsia="宋体" w:hAnsi="Arial" w:cs="Arial"/>
          <w:i/>
          <w:iCs/>
          <w:color w:val="000000"/>
          <w:kern w:val="0"/>
          <w:sz w:val="18"/>
          <w:szCs w:val="18"/>
        </w:rPr>
        <w:t>Leases</w:t>
      </w:r>
      <w:r w:rsidRPr="002F3D36">
        <w:rPr>
          <w:rFonts w:ascii="Arial" w:eastAsia="宋体" w:hAnsi="Arial" w:cs="Arial"/>
          <w:color w:val="000000"/>
          <w:kern w:val="0"/>
          <w:sz w:val="18"/>
          <w:szCs w:val="18"/>
        </w:rPr>
        <w:t>, the Company recognizes contracts that is, or contains, a lease when the contract conveys the right to control the use of a physically identified asset for a period of time in exchange for consideration in the balance sheet as a right-of-use asset and lease liability. The Company recognizes a right-of-use asset and a lease liability at lease commencement. The lease liability for both finance and operating leases is measured at the present value of the remaining lease payments, discounted at the Company's incremental borrowing rate (if the implicit interest rate in the lease contract is not readily determinable). The right-of-use asset (ROU) for finance and operating leases is initially measured at the sum of the Initial lease liability plus initial direct costs plus prepaid lease payments minus lease incentives received. Lease payments include undiscounted fixed payments plus optional payments that are reasonably certain to be owed. Lease payments do not include variable lease payments other than those that depend on an index or rate. Variable lease payments that depend on an index or a rate are included in the calculation of lease payments and in the measurement of the lease liability.</w:t>
      </w:r>
    </w:p>
    <w:p w14:paraId="3D2A1640"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If the rate implicit in the lease is not readily determinable, the Company uses its incremental borrowing rate as the discount rate. The Company uses its best judgement when determining the incremental borrowing rate, which is the rate of interest that the Company would have to pay to borrow on a collateralized basis over a similar term to the lease payments in a similar currency.</w:t>
      </w:r>
    </w:p>
    <w:p w14:paraId="12A45F6F"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xml:space="preserve">The Company has elected the practical expedient of not separating lease components from non-lease components for all its classes of underlying assets. The Company has also elected to recognize the lease payments for short-term leases in its consolidated statement of income on a straight-line basis over the </w:t>
      </w:r>
      <w:r w:rsidRPr="002F3D36">
        <w:rPr>
          <w:rFonts w:ascii="Arial" w:eastAsia="宋体" w:hAnsi="Arial" w:cs="Arial"/>
          <w:color w:val="000000"/>
          <w:kern w:val="0"/>
          <w:sz w:val="18"/>
          <w:szCs w:val="18"/>
        </w:rPr>
        <w:lastRenderedPageBreak/>
        <w:t>lease term and recognize the variable lease payments in the period in which the obligation for those payments is incurred.</w:t>
      </w:r>
    </w:p>
    <w:p w14:paraId="46EDD20E"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Finance lease right-of-use assets are presented together with other property, plant and equipment assets and finance lease liabilities are presented together with other current and non-current liabilities in the Consolidated Balance Sheets.</w:t>
      </w:r>
    </w:p>
    <w:p w14:paraId="2CA04DC9"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For further details on the Company’s leases, see Note 3.</w:t>
      </w:r>
    </w:p>
    <w:p w14:paraId="1CD4E4AC"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LONG-LIVED ASSET IMPAIRMENT</w:t>
      </w:r>
    </w:p>
    <w:p w14:paraId="2E556D5B"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The Company evaluates the carrying value and useful lives of long-lived assets, other than goodwill and intangible assets, when indications of impairment are evident or it is likely that the useful lives have decreased, in which case the Company depreciates the assets over the remaining useful lives. Impairment testing is primarily done by using the cash flow method based on undiscounted future cash flows. Estimated undiscounted cash flows for a long-lived asset being evaluated for recoverability are compared with the respective carrying amount of that asset. If the estimated undiscounted cash flows exceed the carrying amount of the assets, the carrying amounts of the long-lived asset are considered recoverable and an impairment cannot be recorded. However, if the carrying amount of a group of assets exceeds the undiscounted cash flows, an entity must then measure the long-lived assets’ fair value to determine whether an impairment loss should be recognized, generally using a discounted cash flow model.</w:t>
      </w:r>
      <w:r w:rsidRPr="002F3D36">
        <w:rPr>
          <w:rFonts w:ascii="Arial" w:eastAsia="宋体" w:hAnsi="Arial" w:cs="Arial"/>
          <w:color w:val="000000"/>
          <w:kern w:val="0"/>
          <w:sz w:val="20"/>
          <w:szCs w:val="20"/>
        </w:rPr>
        <w:t xml:space="preserve"> </w:t>
      </w:r>
      <w:r w:rsidRPr="002F3D36">
        <w:rPr>
          <w:rFonts w:ascii="Arial" w:eastAsia="宋体" w:hAnsi="Arial" w:cs="Arial"/>
          <w:color w:val="000000"/>
          <w:kern w:val="0"/>
          <w:sz w:val="18"/>
          <w:szCs w:val="18"/>
        </w:rPr>
        <w:t>Generally, the lowest level of cash flows for impairment assessment is customer platform level.</w:t>
      </w:r>
    </w:p>
    <w:p w14:paraId="1E5111DB"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GOODWILL AND INTANGIBLE ASSETS</w:t>
      </w:r>
    </w:p>
    <w:p w14:paraId="2726B136"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Goodwill represents the excess of the fair value of consideration transferred over the fair value of net assets of businesses acquired. Goodwill is not amortized but subject to at least an annual review for impairment. Other intangible assets, principally related to acquired technology, are amortized over their useful lives which range from 3 to 25 years.</w:t>
      </w:r>
    </w:p>
    <w:p w14:paraId="1269365E"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The Company performs its annual impairment testing in the fourth quarter of each year. Impairment testing is required more often than annually if an event or circumstance indicates that an impairment, or decline in value, may have occurred. The Company uses either a qualitative assessment or a quantitative calculation for its impairment testing. The qualitative assessment permits the Company to assess whether it is more than likely than not (i.e. a likelihood of greater than 50%) that goodwill or an indefinite-lived intangible asset is impaired. If the Company concludes based on the qualitative assessment that it is not more likely than not that the fair value of goodwill or an indefinite-lived intangible asset is less than its carrying amount, it would not have to quantitatively determine the asset’s fair value. The Company also consider external factors that could affect the significant inputs used to determine fair value.</w:t>
      </w:r>
    </w:p>
    <w:p w14:paraId="69576E24"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xml:space="preserve">In 2021, the Company performed a quantitative impairment test by calculating the fair value of its goodwill. The estimated fair market value of goodwill is determined by the discounted cash flow method. The Company discounts projected operating cash flows using its weighted average cost of capital. Estimating the fair value requires the Company to make judgments about appropriate discount rates, growth rates, relevant comparable company earnings multiples and the amount and timing of expected future cash flows. If the estimated fair value of a reporting unit exceeds its carrying value, goodwill is considered not to be impaired. If the carrying value of a reporting unit exceeds its estimated fair value, an impairment loss is recognized for the excess of carrying amount over the fair value of the respective reporting unit. To </w:t>
      </w:r>
      <w:r w:rsidRPr="002F3D36">
        <w:rPr>
          <w:rFonts w:ascii="Arial" w:eastAsia="宋体" w:hAnsi="Arial" w:cs="Arial"/>
          <w:color w:val="000000"/>
          <w:kern w:val="0"/>
          <w:sz w:val="18"/>
          <w:szCs w:val="18"/>
        </w:rPr>
        <w:lastRenderedPageBreak/>
        <w:t xml:space="preserve">supplement this analysis, the Company compares the market value of its equity, calculated by reference to the quoted market prices of its shares, with the book value of its equity. </w:t>
      </w:r>
    </w:p>
    <w:p w14:paraId="5A294B8B"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There were no impairments of goodwill from 2019 through 2021.</w:t>
      </w:r>
    </w:p>
    <w:p w14:paraId="7D4405FC" w14:textId="77777777" w:rsidR="002F3D36" w:rsidRPr="002F3D36" w:rsidRDefault="002F3D36" w:rsidP="002F3D36">
      <w:pPr>
        <w:widowControl/>
        <w:spacing w:before="240"/>
        <w:jc w:val="center"/>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65</w:t>
      </w:r>
    </w:p>
    <w:p w14:paraId="35A6835E" w14:textId="77777777" w:rsidR="002F3D36" w:rsidRPr="002F3D36" w:rsidRDefault="002F3D36" w:rsidP="002F3D36">
      <w:pPr>
        <w:widowControl/>
        <w:jc w:val="left"/>
        <w:rPr>
          <w:rFonts w:ascii="Arial" w:eastAsia="宋体" w:hAnsi="Arial" w:cs="Arial"/>
          <w:color w:val="000000"/>
          <w:kern w:val="0"/>
          <w:sz w:val="22"/>
        </w:rPr>
      </w:pPr>
      <w:r w:rsidRPr="002F3D36">
        <w:rPr>
          <w:rFonts w:ascii="Arial" w:eastAsia="宋体" w:hAnsi="Arial" w:cs="Arial"/>
          <w:color w:val="000000"/>
          <w:kern w:val="0"/>
          <w:sz w:val="22"/>
        </w:rPr>
        <w:pict w14:anchorId="4679E219">
          <v:rect id="_x0000_i1092" style="width:0;height:1.5pt" o:hralign="center" o:hrstd="t" o:hr="t" fillcolor="#a0a0a0" stroked="f"/>
        </w:pict>
      </w:r>
    </w:p>
    <w:p w14:paraId="500A7980" w14:textId="77777777" w:rsidR="002F3D36" w:rsidRPr="002F3D36" w:rsidRDefault="002F3D36" w:rsidP="002F3D36">
      <w:pPr>
        <w:widowControl/>
        <w:spacing w:line="20" w:lineRule="atLeast"/>
        <w:jc w:val="left"/>
        <w:rPr>
          <w:rFonts w:ascii="Times New Roman" w:eastAsia="宋体" w:hAnsi="Times New Roman" w:cs="Times New Roman"/>
          <w:color w:val="000000"/>
          <w:kern w:val="0"/>
          <w:sz w:val="20"/>
          <w:szCs w:val="20"/>
        </w:rPr>
      </w:pPr>
      <w:r w:rsidRPr="002F3D36">
        <w:rPr>
          <w:rFonts w:ascii="Arial" w:eastAsia="宋体" w:hAnsi="Arial" w:cs="Arial"/>
          <w:color w:val="000000"/>
          <w:kern w:val="0"/>
          <w:sz w:val="2"/>
          <w:szCs w:val="2"/>
        </w:rPr>
        <w:t> </w:t>
      </w:r>
    </w:p>
    <w:p w14:paraId="3CE400DC"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WARRANTIES AND RECALLS</w:t>
      </w:r>
    </w:p>
    <w:p w14:paraId="1201DE34"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The Company records liabilities for product recalls when probable claims are identified and when it is possible to reasonably estimate costs. Recall costs are costs incurred when the customer decides to formally recall a product due to a known or suspected safety concern. Product recall costs are estimated based on the expected cost of replacing the product and the customer´s cost of carrying out the recall, which is affected by the number of vehicles subject to recall and the cost of labor and materials to remove and replace the defective product. Insurance receivables, related to recall issues covered by the insurance, are included within other current and non-current assets in the Consolidated Balance Sheets. Provisions for warranty claims are estimated based on prior experience, likely changes in performance of newer products and the mix and volume of products sold. The provisions are recorded on an accrual basis.</w:t>
      </w:r>
    </w:p>
    <w:p w14:paraId="6CB6220B"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RESTRUCTURING PROVISIONS</w:t>
      </w:r>
    </w:p>
    <w:p w14:paraId="2244DFD5"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The Company defines restructuring expense to include costs directly associated with rightsizing, exit or disposal activities. Estimates of restructuring charges are based on information available at the time such charges are recorded. In general, management anticipates that restructuring activities will be completed within a timeframe such that significant changes to the exit plan are not likely. Due to inherent uncertainty involved in estimating restructuring expenses, actual amounts paid for such activities may differ from amounts initially estimated.</w:t>
      </w:r>
    </w:p>
    <w:p w14:paraId="474BAE25"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PENSION OBLIGATIONS</w:t>
      </w:r>
    </w:p>
    <w:p w14:paraId="3D648B05"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The Company provides for both defined contribution plans and defined benefit plans. A defined contribution plan generally specifies the periodic amount that the employer must contribute to the plan and how that amount will be allocated to the eligible employees who perform services during the same period. A defined benefit pension plan is one that contains pension benefit formulas, which generally determine the amount of pension benefits that each employee will receive for services performed during a specified period of employment.</w:t>
      </w:r>
    </w:p>
    <w:p w14:paraId="553626E4"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xml:space="preserve">The amount recognized as a defined benefit liability is the net total of projected benefit obligation (PBO) minus the fair value of plan assets (if any) (see Note 18). </w:t>
      </w:r>
    </w:p>
    <w:p w14:paraId="197EDE22"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CONTINGENT LIABILITIES</w:t>
      </w:r>
    </w:p>
    <w:p w14:paraId="331C8802"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xml:space="preserve">Various claims, lawsuits and proceedings are pending or threatened against the Company or its subsidiaries, covering a range of matters that arise in the ordinary course of its business activities with respect to commercial, product liability or other matters (see Note 12). The Company diligently defends itself in such matters and, in addition, carries insurance coverage to the extent reasonably available </w:t>
      </w:r>
      <w:r w:rsidRPr="002F3D36">
        <w:rPr>
          <w:rFonts w:ascii="Arial" w:eastAsia="宋体" w:hAnsi="Arial" w:cs="Arial"/>
          <w:color w:val="000000"/>
          <w:kern w:val="0"/>
          <w:sz w:val="18"/>
          <w:szCs w:val="18"/>
        </w:rPr>
        <w:lastRenderedPageBreak/>
        <w:t>against insurable risks. The Company records liabilities for claims, lawsuits and proceedings when they are probable and it is possible to reasonably estimate the cost of such liabilities. Legal costs expected to be incurred in connection with a loss contingency are expensed as such costs are incurred.</w:t>
      </w:r>
    </w:p>
    <w:p w14:paraId="689A7D68"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The Company believes, based on currently available information, that the resolution of outstanding matters, other than any antitrust related matters described in Note 17 after taking into account recorded liabilities and available insurance coverage, should not have a material effect on the Company’s financial position or results of operations. However, due to the inherent uncertainty associated with such matters, there can be no assurance that the final outcomes of these matters will not be materially different than currently estimated.</w:t>
      </w:r>
    </w:p>
    <w:p w14:paraId="09C9DFF8"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TRANSLATION OF NON-U.S. SUBSIDIARIES</w:t>
      </w:r>
    </w:p>
    <w:p w14:paraId="20A1D0C3"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The balance sheets of subsidiaries with functional currency other than U.S. dollars are translated into U.S. dollars using year-end exchange rates. The Statements of Income of these subsidiaries is translated into U.S. dollars using the average exchange rates for the year. Translation differences are reflected in equity as a component of OCI.</w:t>
      </w:r>
    </w:p>
    <w:p w14:paraId="7AD28DFF"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RECEIVABLES AND LIABILITIES IN NON-FUNCTIONAL CURRENCIES</w:t>
      </w:r>
    </w:p>
    <w:p w14:paraId="7A9E6293"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Receivables and liabilities not denominated in functional currencies are converted at year-end exchange rates. Net transaction losses, reflected in the Consolidated Statements of Income, amounted to $(29) million in 2021, $(24) million in 2020 and $(15) million in 2019, and are recorded in operating income if they relate to operational receivables and liabilities or are recorded in other non-operating items, net if they relate to financial receivables and liabilities.</w:t>
      </w:r>
    </w:p>
    <w:p w14:paraId="293893D2" w14:textId="77777777" w:rsidR="002F3D36" w:rsidRPr="002F3D36" w:rsidRDefault="002F3D36" w:rsidP="002F3D36">
      <w:pPr>
        <w:widowControl/>
        <w:jc w:val="left"/>
        <w:rPr>
          <w:rFonts w:ascii="Times New Roman" w:eastAsia="宋体" w:hAnsi="Times New Roman" w:cs="Times New Roman"/>
          <w:color w:val="000000"/>
          <w:kern w:val="0"/>
          <w:sz w:val="20"/>
          <w:szCs w:val="20"/>
        </w:rPr>
      </w:pPr>
      <w:r w:rsidRPr="002F3D36">
        <w:rPr>
          <w:rFonts w:ascii="Times New Roman" w:eastAsia="宋体" w:hAnsi="Times New Roman" w:cs="Times New Roman"/>
          <w:color w:val="000000"/>
          <w:kern w:val="0"/>
          <w:sz w:val="20"/>
          <w:szCs w:val="20"/>
        </w:rPr>
        <w:t> </w:t>
      </w:r>
    </w:p>
    <w:p w14:paraId="7A8BA0D9" w14:textId="77777777" w:rsidR="002F3D36" w:rsidRPr="002F3D36" w:rsidRDefault="002F3D36" w:rsidP="002F3D36">
      <w:pPr>
        <w:widowControl/>
        <w:spacing w:before="240"/>
        <w:jc w:val="center"/>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66</w:t>
      </w:r>
    </w:p>
    <w:p w14:paraId="59A6A28F" w14:textId="77777777" w:rsidR="002F3D36" w:rsidRPr="002F3D36" w:rsidRDefault="002F3D36" w:rsidP="002F3D36">
      <w:pPr>
        <w:widowControl/>
        <w:jc w:val="left"/>
        <w:rPr>
          <w:rFonts w:ascii="Arial" w:eastAsia="宋体" w:hAnsi="Arial" w:cs="Arial"/>
          <w:color w:val="000000"/>
          <w:kern w:val="0"/>
          <w:sz w:val="22"/>
        </w:rPr>
      </w:pPr>
      <w:r w:rsidRPr="002F3D36">
        <w:rPr>
          <w:rFonts w:ascii="Arial" w:eastAsia="宋体" w:hAnsi="Arial" w:cs="Arial"/>
          <w:color w:val="000000"/>
          <w:kern w:val="0"/>
          <w:sz w:val="22"/>
        </w:rPr>
        <w:pict w14:anchorId="4CE3A1E9">
          <v:rect id="_x0000_i1093" style="width:0;height:1.5pt" o:hralign="center" o:hrstd="t" o:hr="t" fillcolor="#a0a0a0" stroked="f"/>
        </w:pict>
      </w:r>
    </w:p>
    <w:p w14:paraId="68B7405B" w14:textId="77777777" w:rsidR="002F3D36" w:rsidRPr="002F3D36" w:rsidRDefault="002F3D36" w:rsidP="002F3D36">
      <w:pPr>
        <w:widowControl/>
        <w:spacing w:line="20" w:lineRule="atLeast"/>
        <w:jc w:val="left"/>
        <w:rPr>
          <w:rFonts w:ascii="Times New Roman" w:eastAsia="宋体" w:hAnsi="Times New Roman" w:cs="Times New Roman"/>
          <w:color w:val="000000"/>
          <w:kern w:val="0"/>
          <w:sz w:val="20"/>
          <w:szCs w:val="20"/>
        </w:rPr>
      </w:pPr>
      <w:r w:rsidRPr="002F3D36">
        <w:rPr>
          <w:rFonts w:ascii="Arial" w:eastAsia="宋体" w:hAnsi="Arial" w:cs="Arial"/>
          <w:color w:val="000000"/>
          <w:kern w:val="0"/>
          <w:sz w:val="2"/>
          <w:szCs w:val="2"/>
        </w:rPr>
        <w:t> </w:t>
      </w:r>
    </w:p>
    <w:p w14:paraId="592CDF4A"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NEW ACCOUNTING STANDARDS</w:t>
      </w:r>
    </w:p>
    <w:p w14:paraId="297EF9DE"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Changes to U.S. GAAP are established by the Financial Accounting Standards Board (“FASB”) in the form of accounting standards updates (“ASUs”) to the FASB’s Accounting Standards Codification (ASC). The Company considers the applicability and impact of all ASUs. ASUs not listed below were assessed and determined to be either not applicable or are expected to have an immaterial impact on the Company’s consolidated financial statements.</w:t>
      </w:r>
    </w:p>
    <w:p w14:paraId="07448747"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Adoption of New Accounting Standards</w:t>
      </w:r>
    </w:p>
    <w:p w14:paraId="6B066929"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xml:space="preserve">In December 2019, the FASB issued ASU 2019-12, </w:t>
      </w:r>
      <w:r w:rsidRPr="002F3D36">
        <w:rPr>
          <w:rFonts w:ascii="Arial" w:eastAsia="宋体" w:hAnsi="Arial" w:cs="Arial"/>
          <w:i/>
          <w:iCs/>
          <w:color w:val="000000"/>
          <w:kern w:val="0"/>
          <w:sz w:val="18"/>
          <w:szCs w:val="18"/>
        </w:rPr>
        <w:t>Income Taxes (Topic 740), Simplifying the Accounting for Income Taxes</w:t>
      </w:r>
      <w:r w:rsidRPr="002F3D36">
        <w:rPr>
          <w:rFonts w:ascii="Arial" w:eastAsia="宋体" w:hAnsi="Arial" w:cs="Arial"/>
          <w:color w:val="000000"/>
          <w:kern w:val="0"/>
          <w:sz w:val="18"/>
          <w:szCs w:val="18"/>
        </w:rPr>
        <w:t>, which simplifies the accounting for income taxes. ASU 2019-12 is effective for public business entities for annual periods beginning after December 15, 2020, and early adoption is permitted. The amendments related to changes in ownership of foreign equity method investments or foreign subsidiaries should be applied on a modified retrospective basis through a cumulative-effect adjustment to retained earnings as of the beginning of the fiscal year of adoption. The Company adopted ASU 2019-</w:t>
      </w:r>
      <w:r w:rsidRPr="002F3D36">
        <w:rPr>
          <w:rFonts w:ascii="Arial" w:eastAsia="宋体" w:hAnsi="Arial" w:cs="Arial"/>
          <w:color w:val="000000"/>
          <w:kern w:val="0"/>
          <w:sz w:val="18"/>
          <w:szCs w:val="18"/>
        </w:rPr>
        <w:lastRenderedPageBreak/>
        <w:t>12 as of January 1, 2021, and the adoption did not have a material impact on the Company's consolidated financial statements.</w:t>
      </w:r>
    </w:p>
    <w:p w14:paraId="6FFD36D6"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Accounting Standards Issued But Not Yet Adopted</w:t>
      </w:r>
    </w:p>
    <w:p w14:paraId="602DB424"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None that are expected to have an impact on the Company. </w:t>
      </w:r>
    </w:p>
    <w:p w14:paraId="5464A16B"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22"/>
        </w:rPr>
        <w:t>3. Leases</w:t>
      </w:r>
    </w:p>
    <w:p w14:paraId="339165A1"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The Company has operating leases for offices, manufacturing and research buildings, machinery, cars, data processing and other equipment. The Company’s leases have remaining lease terms of 1-46 years, some of which include options to extend the leases for up to 25 years, and some of which include options to terminate the leases within 1 year.</w:t>
      </w:r>
    </w:p>
    <w:p w14:paraId="6BF4B092"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As of December 31, 2021, the Company has no additional material operating leases that have not yet commenced.</w:t>
      </w:r>
    </w:p>
    <w:p w14:paraId="2526BE23"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The following tables provide information about the Company’s operating leases. The Company has not identified any material finance leases as of December 31, 2021 and therefore the finance lease cost components have not been disclosed in the tables below.</w:t>
      </w:r>
    </w:p>
    <w:p w14:paraId="5A590A2C"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w:t>
      </w:r>
    </w:p>
    <w:tbl>
      <w:tblPr>
        <w:tblW w:w="12369" w:type="dxa"/>
        <w:tblCellSpacing w:w="15" w:type="dxa"/>
        <w:tblCellMar>
          <w:top w:w="15" w:type="dxa"/>
          <w:left w:w="15" w:type="dxa"/>
          <w:bottom w:w="15" w:type="dxa"/>
          <w:right w:w="15" w:type="dxa"/>
        </w:tblCellMar>
        <w:tblLook w:val="04A0" w:firstRow="1" w:lastRow="0" w:firstColumn="1" w:lastColumn="0" w:noHBand="0" w:noVBand="1"/>
      </w:tblPr>
      <w:tblGrid>
        <w:gridCol w:w="7764"/>
        <w:gridCol w:w="217"/>
        <w:gridCol w:w="331"/>
        <w:gridCol w:w="1534"/>
        <w:gridCol w:w="211"/>
        <w:gridCol w:w="218"/>
        <w:gridCol w:w="331"/>
        <w:gridCol w:w="1536"/>
        <w:gridCol w:w="227"/>
      </w:tblGrid>
      <w:tr w:rsidR="002F3D36" w:rsidRPr="002F3D36" w14:paraId="02F30B6A" w14:textId="77777777" w:rsidTr="002F3D36">
        <w:trPr>
          <w:tblCellSpacing w:w="15" w:type="dxa"/>
        </w:trPr>
        <w:tc>
          <w:tcPr>
            <w:tcW w:w="7740" w:type="dxa"/>
            <w:vAlign w:val="center"/>
            <w:hideMark/>
          </w:tcPr>
          <w:p w14:paraId="24E82270" w14:textId="77777777" w:rsidR="002F3D36" w:rsidRPr="002F3D36" w:rsidRDefault="002F3D36" w:rsidP="002F3D36">
            <w:pPr>
              <w:widowControl/>
              <w:jc w:val="left"/>
              <w:rPr>
                <w:rFonts w:ascii="Times New Roman" w:eastAsia="宋体" w:hAnsi="Times New Roman" w:cs="Times New Roman"/>
                <w:color w:val="000000"/>
                <w:kern w:val="0"/>
                <w:sz w:val="20"/>
                <w:szCs w:val="20"/>
              </w:rPr>
            </w:pPr>
          </w:p>
        </w:tc>
        <w:tc>
          <w:tcPr>
            <w:tcW w:w="188" w:type="dxa"/>
            <w:vAlign w:val="center"/>
            <w:hideMark/>
          </w:tcPr>
          <w:p w14:paraId="787DDE1A"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301" w:type="dxa"/>
            <w:vAlign w:val="center"/>
            <w:hideMark/>
          </w:tcPr>
          <w:p w14:paraId="0FBE8D39"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508" w:type="dxa"/>
            <w:vAlign w:val="center"/>
            <w:hideMark/>
          </w:tcPr>
          <w:p w14:paraId="1C3C8E43"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81" w:type="dxa"/>
            <w:vAlign w:val="center"/>
            <w:hideMark/>
          </w:tcPr>
          <w:p w14:paraId="5A2A6FEA"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88" w:type="dxa"/>
            <w:vAlign w:val="center"/>
            <w:hideMark/>
          </w:tcPr>
          <w:p w14:paraId="29143A1A"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301" w:type="dxa"/>
            <w:vAlign w:val="center"/>
            <w:hideMark/>
          </w:tcPr>
          <w:p w14:paraId="0805C5F9"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510" w:type="dxa"/>
            <w:vAlign w:val="center"/>
            <w:hideMark/>
          </w:tcPr>
          <w:p w14:paraId="6088A2B8"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82" w:type="dxa"/>
            <w:vAlign w:val="center"/>
            <w:hideMark/>
          </w:tcPr>
          <w:p w14:paraId="74D74EB2" w14:textId="77777777" w:rsidR="002F3D36" w:rsidRPr="002F3D36" w:rsidRDefault="002F3D36" w:rsidP="002F3D36">
            <w:pPr>
              <w:widowControl/>
              <w:jc w:val="left"/>
              <w:rPr>
                <w:rFonts w:ascii="Times New Roman" w:eastAsia="Times New Roman" w:hAnsi="Times New Roman" w:cs="Times New Roman"/>
                <w:kern w:val="0"/>
                <w:sz w:val="20"/>
                <w:szCs w:val="20"/>
              </w:rPr>
            </w:pPr>
          </w:p>
        </w:tc>
      </w:tr>
      <w:tr w:rsidR="002F3D36" w:rsidRPr="002F3D36" w14:paraId="2B892032" w14:textId="77777777" w:rsidTr="002F3D36">
        <w:trPr>
          <w:trHeight w:val="180"/>
          <w:tblCellSpacing w:w="15" w:type="dxa"/>
        </w:trPr>
        <w:tc>
          <w:tcPr>
            <w:tcW w:w="0" w:type="auto"/>
            <w:vAlign w:val="bottom"/>
            <w:hideMark/>
          </w:tcPr>
          <w:p w14:paraId="410981A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Lease cost</w:t>
            </w:r>
          </w:p>
        </w:tc>
        <w:tc>
          <w:tcPr>
            <w:tcW w:w="0" w:type="auto"/>
            <w:vAlign w:val="bottom"/>
            <w:hideMark/>
          </w:tcPr>
          <w:p w14:paraId="24BFBA9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gridSpan w:val="2"/>
            <w:vAlign w:val="bottom"/>
            <w:hideMark/>
          </w:tcPr>
          <w:p w14:paraId="6A65F1F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63FFA88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61F043A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gridSpan w:val="2"/>
            <w:vAlign w:val="bottom"/>
            <w:hideMark/>
          </w:tcPr>
          <w:p w14:paraId="5960B2B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6DB3F34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02412E06" w14:textId="77777777" w:rsidTr="002F3D36">
        <w:trPr>
          <w:trHeight w:val="160"/>
          <w:tblCellSpacing w:w="15" w:type="dxa"/>
        </w:trPr>
        <w:tc>
          <w:tcPr>
            <w:tcW w:w="0" w:type="auto"/>
            <w:hideMark/>
          </w:tcPr>
          <w:p w14:paraId="46A4EE90"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color w:val="000000"/>
                <w:kern w:val="0"/>
                <w:sz w:val="16"/>
                <w:szCs w:val="16"/>
              </w:rPr>
              <w:t>(Dollars in millions)</w:t>
            </w:r>
          </w:p>
        </w:tc>
        <w:tc>
          <w:tcPr>
            <w:tcW w:w="0" w:type="auto"/>
            <w:hideMark/>
          </w:tcPr>
          <w:p w14:paraId="4060E055" w14:textId="77777777" w:rsidR="002F3D36" w:rsidRPr="002F3D36" w:rsidRDefault="002F3D36" w:rsidP="002F3D36">
            <w:pPr>
              <w:widowControl/>
              <w:jc w:val="left"/>
              <w:rPr>
                <w:rFonts w:ascii="Times New Roman" w:eastAsia="宋体" w:hAnsi="Times New Roman" w:cs="Times New Roman"/>
                <w:kern w:val="0"/>
                <w:sz w:val="20"/>
                <w:szCs w:val="20"/>
              </w:rPr>
            </w:pPr>
            <w:r w:rsidRPr="002F3D36">
              <w:rPr>
                <w:rFonts w:ascii="Arial" w:eastAsia="宋体" w:hAnsi="Arial" w:cs="Arial"/>
                <w:kern w:val="0"/>
                <w:sz w:val="20"/>
                <w:szCs w:val="20"/>
              </w:rPr>
              <w:t> </w:t>
            </w:r>
          </w:p>
        </w:tc>
        <w:tc>
          <w:tcPr>
            <w:tcW w:w="0" w:type="auto"/>
            <w:gridSpan w:val="6"/>
            <w:tcBorders>
              <w:bottom w:val="single" w:sz="4" w:space="0" w:color="000000"/>
            </w:tcBorders>
            <w:vAlign w:val="bottom"/>
            <w:hideMark/>
          </w:tcPr>
          <w:p w14:paraId="5F8AE46F"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Year ended December 31</w:t>
            </w:r>
          </w:p>
        </w:tc>
        <w:tc>
          <w:tcPr>
            <w:tcW w:w="0" w:type="auto"/>
            <w:vAlign w:val="bottom"/>
            <w:hideMark/>
          </w:tcPr>
          <w:p w14:paraId="6E6A6212"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r>
      <w:tr w:rsidR="002F3D36" w:rsidRPr="002F3D36" w14:paraId="3AD43802" w14:textId="77777777" w:rsidTr="002F3D36">
        <w:trPr>
          <w:trHeight w:val="160"/>
          <w:tblCellSpacing w:w="15" w:type="dxa"/>
        </w:trPr>
        <w:tc>
          <w:tcPr>
            <w:tcW w:w="0" w:type="auto"/>
            <w:vAlign w:val="bottom"/>
            <w:hideMark/>
          </w:tcPr>
          <w:p w14:paraId="198F5BCC"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vAlign w:val="bottom"/>
            <w:hideMark/>
          </w:tcPr>
          <w:p w14:paraId="2BC15CC2"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2"/>
            <w:tcBorders>
              <w:bottom w:val="single" w:sz="4" w:space="0" w:color="000000"/>
            </w:tcBorders>
            <w:vAlign w:val="bottom"/>
            <w:hideMark/>
          </w:tcPr>
          <w:p w14:paraId="34103912"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2021</w:t>
            </w:r>
          </w:p>
        </w:tc>
        <w:tc>
          <w:tcPr>
            <w:tcW w:w="0" w:type="auto"/>
            <w:vAlign w:val="bottom"/>
            <w:hideMark/>
          </w:tcPr>
          <w:p w14:paraId="6D6A4306"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vAlign w:val="bottom"/>
            <w:hideMark/>
          </w:tcPr>
          <w:p w14:paraId="209A3511"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2"/>
            <w:tcBorders>
              <w:bottom w:val="single" w:sz="4" w:space="0" w:color="000000"/>
            </w:tcBorders>
            <w:vAlign w:val="bottom"/>
            <w:hideMark/>
          </w:tcPr>
          <w:p w14:paraId="56F298A1"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2020</w:t>
            </w:r>
          </w:p>
        </w:tc>
        <w:tc>
          <w:tcPr>
            <w:tcW w:w="0" w:type="auto"/>
            <w:vAlign w:val="bottom"/>
            <w:hideMark/>
          </w:tcPr>
          <w:p w14:paraId="33D62EF5"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r>
      <w:tr w:rsidR="002F3D36" w:rsidRPr="002F3D36" w14:paraId="752D0E81" w14:textId="77777777" w:rsidTr="002F3D36">
        <w:trPr>
          <w:trHeight w:val="180"/>
          <w:tblCellSpacing w:w="15" w:type="dxa"/>
        </w:trPr>
        <w:tc>
          <w:tcPr>
            <w:tcW w:w="0" w:type="auto"/>
            <w:shd w:val="clear" w:color="auto" w:fill="CFF0FC"/>
            <w:vAlign w:val="bottom"/>
            <w:hideMark/>
          </w:tcPr>
          <w:p w14:paraId="7A7577BE"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Operating lease cost</w:t>
            </w:r>
          </w:p>
        </w:tc>
        <w:tc>
          <w:tcPr>
            <w:tcW w:w="0" w:type="auto"/>
            <w:shd w:val="clear" w:color="auto" w:fill="CFF0FC"/>
            <w:vAlign w:val="bottom"/>
            <w:hideMark/>
          </w:tcPr>
          <w:p w14:paraId="077FBE1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4AAD55B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76BF59D9"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44</w:t>
            </w:r>
          </w:p>
        </w:tc>
        <w:tc>
          <w:tcPr>
            <w:tcW w:w="0" w:type="auto"/>
            <w:shd w:val="clear" w:color="auto" w:fill="CFF0FC"/>
            <w:vAlign w:val="bottom"/>
            <w:hideMark/>
          </w:tcPr>
          <w:p w14:paraId="25E6D56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2395250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2BBA9D9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313C8319"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46</w:t>
            </w:r>
          </w:p>
        </w:tc>
        <w:tc>
          <w:tcPr>
            <w:tcW w:w="0" w:type="auto"/>
            <w:shd w:val="clear" w:color="auto" w:fill="CFF0FC"/>
            <w:vAlign w:val="bottom"/>
            <w:hideMark/>
          </w:tcPr>
          <w:p w14:paraId="797E165E"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60F9D3DE" w14:textId="77777777" w:rsidTr="002F3D36">
        <w:trPr>
          <w:trHeight w:val="180"/>
          <w:tblCellSpacing w:w="15" w:type="dxa"/>
        </w:trPr>
        <w:tc>
          <w:tcPr>
            <w:tcW w:w="0" w:type="auto"/>
            <w:vAlign w:val="bottom"/>
            <w:hideMark/>
          </w:tcPr>
          <w:p w14:paraId="5C925C8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Short-term lease cost</w:t>
            </w:r>
          </w:p>
        </w:tc>
        <w:tc>
          <w:tcPr>
            <w:tcW w:w="0" w:type="auto"/>
            <w:vAlign w:val="bottom"/>
            <w:hideMark/>
          </w:tcPr>
          <w:p w14:paraId="75F4960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432BCB4E"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02233D7E"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10</w:t>
            </w:r>
          </w:p>
        </w:tc>
        <w:tc>
          <w:tcPr>
            <w:tcW w:w="0" w:type="auto"/>
            <w:vAlign w:val="bottom"/>
            <w:hideMark/>
          </w:tcPr>
          <w:p w14:paraId="1CFAA93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5739B34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5B9F08D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7F23622B"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8</w:t>
            </w:r>
          </w:p>
        </w:tc>
        <w:tc>
          <w:tcPr>
            <w:tcW w:w="0" w:type="auto"/>
            <w:vAlign w:val="bottom"/>
            <w:hideMark/>
          </w:tcPr>
          <w:p w14:paraId="0B79F6B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6D1E3CEC" w14:textId="77777777" w:rsidTr="002F3D36">
        <w:trPr>
          <w:trHeight w:val="180"/>
          <w:tblCellSpacing w:w="15" w:type="dxa"/>
        </w:trPr>
        <w:tc>
          <w:tcPr>
            <w:tcW w:w="0" w:type="auto"/>
            <w:shd w:val="clear" w:color="auto" w:fill="CFF0FC"/>
            <w:vAlign w:val="bottom"/>
            <w:hideMark/>
          </w:tcPr>
          <w:p w14:paraId="6B41D73E"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Variable lease cost</w:t>
            </w:r>
          </w:p>
        </w:tc>
        <w:tc>
          <w:tcPr>
            <w:tcW w:w="0" w:type="auto"/>
            <w:shd w:val="clear" w:color="auto" w:fill="CFF0FC"/>
            <w:vAlign w:val="bottom"/>
            <w:hideMark/>
          </w:tcPr>
          <w:p w14:paraId="57EB5F6E"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7BB8ED2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006FDEF9"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4</w:t>
            </w:r>
          </w:p>
        </w:tc>
        <w:tc>
          <w:tcPr>
            <w:tcW w:w="0" w:type="auto"/>
            <w:shd w:val="clear" w:color="auto" w:fill="CFF0FC"/>
            <w:vAlign w:val="bottom"/>
            <w:hideMark/>
          </w:tcPr>
          <w:p w14:paraId="5EC9A13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783B967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21097CA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0400BA1D"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2</w:t>
            </w:r>
          </w:p>
        </w:tc>
        <w:tc>
          <w:tcPr>
            <w:tcW w:w="0" w:type="auto"/>
            <w:shd w:val="clear" w:color="auto" w:fill="CFF0FC"/>
            <w:vAlign w:val="bottom"/>
            <w:hideMark/>
          </w:tcPr>
          <w:p w14:paraId="2AF0A60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435D2376" w14:textId="77777777" w:rsidTr="002F3D36">
        <w:trPr>
          <w:trHeight w:val="180"/>
          <w:tblCellSpacing w:w="15" w:type="dxa"/>
        </w:trPr>
        <w:tc>
          <w:tcPr>
            <w:tcW w:w="0" w:type="auto"/>
            <w:vAlign w:val="bottom"/>
            <w:hideMark/>
          </w:tcPr>
          <w:p w14:paraId="3C14168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Sublease income</w:t>
            </w:r>
          </w:p>
        </w:tc>
        <w:tc>
          <w:tcPr>
            <w:tcW w:w="0" w:type="auto"/>
            <w:vAlign w:val="bottom"/>
            <w:hideMark/>
          </w:tcPr>
          <w:p w14:paraId="69B12F5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4D7288A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3DF068C6"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(2</w:t>
            </w:r>
          </w:p>
        </w:tc>
        <w:tc>
          <w:tcPr>
            <w:tcW w:w="0" w:type="auto"/>
            <w:vAlign w:val="bottom"/>
            <w:hideMark/>
          </w:tcPr>
          <w:p w14:paraId="4AF0371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vAlign w:val="bottom"/>
            <w:hideMark/>
          </w:tcPr>
          <w:p w14:paraId="7C7D576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6F8FB8A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77ACBB28"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(2</w:t>
            </w:r>
          </w:p>
        </w:tc>
        <w:tc>
          <w:tcPr>
            <w:tcW w:w="0" w:type="auto"/>
            <w:vAlign w:val="bottom"/>
            <w:hideMark/>
          </w:tcPr>
          <w:p w14:paraId="3894E68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r>
      <w:tr w:rsidR="002F3D36" w:rsidRPr="002F3D36" w14:paraId="3D0580FA" w14:textId="77777777" w:rsidTr="002F3D36">
        <w:trPr>
          <w:trHeight w:val="180"/>
          <w:tblCellSpacing w:w="15" w:type="dxa"/>
        </w:trPr>
        <w:tc>
          <w:tcPr>
            <w:tcW w:w="0" w:type="auto"/>
            <w:shd w:val="clear" w:color="auto" w:fill="CFF0FC"/>
            <w:vAlign w:val="bottom"/>
            <w:hideMark/>
          </w:tcPr>
          <w:p w14:paraId="67262BD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Total lease cost</w:t>
            </w:r>
          </w:p>
        </w:tc>
        <w:tc>
          <w:tcPr>
            <w:tcW w:w="0" w:type="auto"/>
            <w:shd w:val="clear" w:color="auto" w:fill="CFF0FC"/>
            <w:vAlign w:val="bottom"/>
            <w:hideMark/>
          </w:tcPr>
          <w:p w14:paraId="3E6D16B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7A0C95F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shd w:val="clear" w:color="auto" w:fill="CFF0FC"/>
            <w:vAlign w:val="bottom"/>
            <w:hideMark/>
          </w:tcPr>
          <w:p w14:paraId="4FE1DC67"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57</w:t>
            </w:r>
          </w:p>
        </w:tc>
        <w:tc>
          <w:tcPr>
            <w:tcW w:w="0" w:type="auto"/>
            <w:shd w:val="clear" w:color="auto" w:fill="CFF0FC"/>
            <w:vAlign w:val="bottom"/>
            <w:hideMark/>
          </w:tcPr>
          <w:p w14:paraId="26D133C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42BB793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2D26D1E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shd w:val="clear" w:color="auto" w:fill="CFF0FC"/>
            <w:vAlign w:val="bottom"/>
            <w:hideMark/>
          </w:tcPr>
          <w:p w14:paraId="454E91D5"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55</w:t>
            </w:r>
          </w:p>
        </w:tc>
        <w:tc>
          <w:tcPr>
            <w:tcW w:w="0" w:type="auto"/>
            <w:shd w:val="clear" w:color="auto" w:fill="CFF0FC"/>
            <w:vAlign w:val="bottom"/>
            <w:hideMark/>
          </w:tcPr>
          <w:p w14:paraId="723D843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bl>
    <w:p w14:paraId="1731D8C1"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Times New Roman" w:eastAsia="宋体" w:hAnsi="Times New Roman" w:cs="Times New Roman"/>
          <w:color w:val="000000"/>
          <w:kern w:val="0"/>
          <w:sz w:val="20"/>
          <w:szCs w:val="20"/>
        </w:rPr>
        <w:t> </w:t>
      </w:r>
    </w:p>
    <w:tbl>
      <w:tblPr>
        <w:tblW w:w="12369" w:type="dxa"/>
        <w:tblCellSpacing w:w="15" w:type="dxa"/>
        <w:tblCellMar>
          <w:top w:w="15" w:type="dxa"/>
          <w:left w:w="15" w:type="dxa"/>
          <w:bottom w:w="15" w:type="dxa"/>
          <w:right w:w="15" w:type="dxa"/>
        </w:tblCellMar>
        <w:tblLook w:val="04A0" w:firstRow="1" w:lastRow="0" w:firstColumn="1" w:lastColumn="0" w:noHBand="0" w:noVBand="1"/>
      </w:tblPr>
      <w:tblGrid>
        <w:gridCol w:w="7475"/>
        <w:gridCol w:w="116"/>
        <w:gridCol w:w="319"/>
        <w:gridCol w:w="1510"/>
        <w:gridCol w:w="497"/>
        <w:gridCol w:w="111"/>
        <w:gridCol w:w="319"/>
        <w:gridCol w:w="1510"/>
        <w:gridCol w:w="512"/>
      </w:tblGrid>
      <w:tr w:rsidR="002F3D36" w:rsidRPr="002F3D36" w14:paraId="500E46B7" w14:textId="77777777" w:rsidTr="002F3D36">
        <w:trPr>
          <w:tblCellSpacing w:w="15" w:type="dxa"/>
        </w:trPr>
        <w:tc>
          <w:tcPr>
            <w:tcW w:w="7458" w:type="dxa"/>
            <w:vAlign w:val="center"/>
            <w:hideMark/>
          </w:tcPr>
          <w:p w14:paraId="6E552719" w14:textId="77777777" w:rsidR="002F3D36" w:rsidRPr="002F3D36" w:rsidRDefault="002F3D36" w:rsidP="002F3D36">
            <w:pPr>
              <w:widowControl/>
              <w:jc w:val="left"/>
              <w:rPr>
                <w:rFonts w:ascii="Times New Roman" w:eastAsia="宋体" w:hAnsi="Times New Roman" w:cs="Times New Roman"/>
                <w:color w:val="000000"/>
                <w:kern w:val="0"/>
                <w:sz w:val="20"/>
                <w:szCs w:val="20"/>
              </w:rPr>
            </w:pPr>
          </w:p>
        </w:tc>
        <w:tc>
          <w:tcPr>
            <w:tcW w:w="78" w:type="dxa"/>
            <w:vAlign w:val="center"/>
            <w:hideMark/>
          </w:tcPr>
          <w:p w14:paraId="53C9D2C2"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90" w:type="dxa"/>
            <w:vAlign w:val="center"/>
            <w:hideMark/>
          </w:tcPr>
          <w:p w14:paraId="00A72CE1"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485" w:type="dxa"/>
            <w:vAlign w:val="center"/>
            <w:hideMark/>
          </w:tcPr>
          <w:p w14:paraId="28716365"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468" w:type="dxa"/>
            <w:vAlign w:val="center"/>
            <w:hideMark/>
          </w:tcPr>
          <w:p w14:paraId="20FEE140"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78" w:type="dxa"/>
            <w:vAlign w:val="center"/>
            <w:hideMark/>
          </w:tcPr>
          <w:p w14:paraId="6D142522"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90" w:type="dxa"/>
            <w:vAlign w:val="center"/>
            <w:hideMark/>
          </w:tcPr>
          <w:p w14:paraId="38E1797C"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485" w:type="dxa"/>
            <w:vAlign w:val="center"/>
            <w:hideMark/>
          </w:tcPr>
          <w:p w14:paraId="3CFE4A1C"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468" w:type="dxa"/>
            <w:vAlign w:val="center"/>
            <w:hideMark/>
          </w:tcPr>
          <w:p w14:paraId="026DF9A1" w14:textId="77777777" w:rsidR="002F3D36" w:rsidRPr="002F3D36" w:rsidRDefault="002F3D36" w:rsidP="002F3D36">
            <w:pPr>
              <w:widowControl/>
              <w:jc w:val="left"/>
              <w:rPr>
                <w:rFonts w:ascii="Times New Roman" w:eastAsia="Times New Roman" w:hAnsi="Times New Roman" w:cs="Times New Roman"/>
                <w:kern w:val="0"/>
                <w:sz w:val="20"/>
                <w:szCs w:val="20"/>
              </w:rPr>
            </w:pPr>
          </w:p>
        </w:tc>
      </w:tr>
      <w:tr w:rsidR="002F3D36" w:rsidRPr="002F3D36" w14:paraId="48BBFB23" w14:textId="77777777" w:rsidTr="002F3D36">
        <w:trPr>
          <w:trHeight w:val="180"/>
          <w:tblCellSpacing w:w="15" w:type="dxa"/>
        </w:trPr>
        <w:tc>
          <w:tcPr>
            <w:tcW w:w="0" w:type="auto"/>
            <w:vAlign w:val="bottom"/>
            <w:hideMark/>
          </w:tcPr>
          <w:p w14:paraId="4EBBC14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Other information</w:t>
            </w:r>
          </w:p>
        </w:tc>
        <w:tc>
          <w:tcPr>
            <w:tcW w:w="0" w:type="auto"/>
            <w:vAlign w:val="bottom"/>
            <w:hideMark/>
          </w:tcPr>
          <w:p w14:paraId="13F2E01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gridSpan w:val="2"/>
            <w:vAlign w:val="bottom"/>
            <w:hideMark/>
          </w:tcPr>
          <w:p w14:paraId="678BB2A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755100B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3F953CB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gridSpan w:val="2"/>
            <w:vAlign w:val="bottom"/>
            <w:hideMark/>
          </w:tcPr>
          <w:p w14:paraId="5B479A1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64EF3B1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49A65EB0" w14:textId="77777777" w:rsidTr="002F3D36">
        <w:trPr>
          <w:trHeight w:val="160"/>
          <w:tblCellSpacing w:w="15" w:type="dxa"/>
        </w:trPr>
        <w:tc>
          <w:tcPr>
            <w:tcW w:w="0" w:type="auto"/>
            <w:hideMark/>
          </w:tcPr>
          <w:p w14:paraId="6E9E569D"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color w:val="000000"/>
                <w:kern w:val="0"/>
                <w:sz w:val="16"/>
                <w:szCs w:val="16"/>
              </w:rPr>
              <w:t>(Dollars in millions)</w:t>
            </w:r>
          </w:p>
        </w:tc>
        <w:tc>
          <w:tcPr>
            <w:tcW w:w="0" w:type="auto"/>
            <w:hideMark/>
          </w:tcPr>
          <w:p w14:paraId="4B6DAA43" w14:textId="77777777" w:rsidR="002F3D36" w:rsidRPr="002F3D36" w:rsidRDefault="002F3D36" w:rsidP="002F3D36">
            <w:pPr>
              <w:widowControl/>
              <w:jc w:val="left"/>
              <w:rPr>
                <w:rFonts w:ascii="Times New Roman" w:eastAsia="宋体" w:hAnsi="Times New Roman" w:cs="Times New Roman"/>
                <w:kern w:val="0"/>
                <w:sz w:val="20"/>
                <w:szCs w:val="20"/>
              </w:rPr>
            </w:pPr>
            <w:r w:rsidRPr="002F3D36">
              <w:rPr>
                <w:rFonts w:ascii="Arial" w:eastAsia="宋体" w:hAnsi="Arial" w:cs="Arial"/>
                <w:kern w:val="0"/>
                <w:sz w:val="20"/>
                <w:szCs w:val="20"/>
              </w:rPr>
              <w:t> </w:t>
            </w:r>
          </w:p>
        </w:tc>
        <w:tc>
          <w:tcPr>
            <w:tcW w:w="0" w:type="auto"/>
            <w:gridSpan w:val="6"/>
            <w:tcBorders>
              <w:bottom w:val="single" w:sz="4" w:space="0" w:color="000000"/>
            </w:tcBorders>
            <w:vAlign w:val="bottom"/>
            <w:hideMark/>
          </w:tcPr>
          <w:p w14:paraId="4929B577"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Year ended or as of</w:t>
            </w:r>
            <w:r w:rsidRPr="002F3D36">
              <w:rPr>
                <w:rFonts w:ascii="Arial" w:eastAsia="宋体" w:hAnsi="Arial" w:cs="Arial"/>
                <w:b/>
                <w:bCs/>
                <w:color w:val="000000"/>
                <w:kern w:val="0"/>
                <w:sz w:val="16"/>
                <w:szCs w:val="16"/>
              </w:rPr>
              <w:br/>
              <w:t>December 31,</w:t>
            </w:r>
          </w:p>
        </w:tc>
        <w:tc>
          <w:tcPr>
            <w:tcW w:w="0" w:type="auto"/>
            <w:vAlign w:val="bottom"/>
            <w:hideMark/>
          </w:tcPr>
          <w:p w14:paraId="60236A00"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r>
      <w:tr w:rsidR="002F3D36" w:rsidRPr="002F3D36" w14:paraId="7027C721" w14:textId="77777777" w:rsidTr="002F3D36">
        <w:trPr>
          <w:trHeight w:val="160"/>
          <w:tblCellSpacing w:w="15" w:type="dxa"/>
        </w:trPr>
        <w:tc>
          <w:tcPr>
            <w:tcW w:w="0" w:type="auto"/>
            <w:vAlign w:val="bottom"/>
            <w:hideMark/>
          </w:tcPr>
          <w:p w14:paraId="0E8B53DE"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vAlign w:val="bottom"/>
            <w:hideMark/>
          </w:tcPr>
          <w:p w14:paraId="121D1B88"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2"/>
            <w:tcBorders>
              <w:bottom w:val="single" w:sz="4" w:space="0" w:color="000000"/>
            </w:tcBorders>
            <w:vAlign w:val="bottom"/>
            <w:hideMark/>
          </w:tcPr>
          <w:p w14:paraId="01B5E682"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2021</w:t>
            </w:r>
          </w:p>
        </w:tc>
        <w:tc>
          <w:tcPr>
            <w:tcW w:w="0" w:type="auto"/>
            <w:vAlign w:val="bottom"/>
            <w:hideMark/>
          </w:tcPr>
          <w:p w14:paraId="3A58C23F"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vAlign w:val="bottom"/>
            <w:hideMark/>
          </w:tcPr>
          <w:p w14:paraId="7A20CD7E"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2"/>
            <w:tcBorders>
              <w:bottom w:val="single" w:sz="4" w:space="0" w:color="000000"/>
            </w:tcBorders>
            <w:vAlign w:val="bottom"/>
            <w:hideMark/>
          </w:tcPr>
          <w:p w14:paraId="57784D1D"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2020</w:t>
            </w:r>
          </w:p>
        </w:tc>
        <w:tc>
          <w:tcPr>
            <w:tcW w:w="0" w:type="auto"/>
            <w:vAlign w:val="bottom"/>
            <w:hideMark/>
          </w:tcPr>
          <w:p w14:paraId="3D333291"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r>
      <w:tr w:rsidR="002F3D36" w:rsidRPr="002F3D36" w14:paraId="48E1ECAF" w14:textId="77777777" w:rsidTr="002F3D36">
        <w:trPr>
          <w:trHeight w:val="180"/>
          <w:tblCellSpacing w:w="15" w:type="dxa"/>
        </w:trPr>
        <w:tc>
          <w:tcPr>
            <w:tcW w:w="0" w:type="auto"/>
            <w:shd w:val="clear" w:color="auto" w:fill="CFF0FC"/>
            <w:vAlign w:val="bottom"/>
            <w:hideMark/>
          </w:tcPr>
          <w:p w14:paraId="410F30C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Cash paid for amounts included in the measurement of operating lease liabilities</w:t>
            </w:r>
          </w:p>
        </w:tc>
        <w:tc>
          <w:tcPr>
            <w:tcW w:w="0" w:type="auto"/>
            <w:shd w:val="clear" w:color="auto" w:fill="CFF0FC"/>
            <w:vAlign w:val="bottom"/>
            <w:hideMark/>
          </w:tcPr>
          <w:p w14:paraId="7ECE280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45E1FB5E"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09751DCB"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46</w:t>
            </w:r>
          </w:p>
        </w:tc>
        <w:tc>
          <w:tcPr>
            <w:tcW w:w="0" w:type="auto"/>
            <w:shd w:val="clear" w:color="auto" w:fill="CFF0FC"/>
            <w:vAlign w:val="bottom"/>
            <w:hideMark/>
          </w:tcPr>
          <w:p w14:paraId="6D04A3A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66070C4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376E7B6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247FD038"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46</w:t>
            </w:r>
          </w:p>
        </w:tc>
        <w:tc>
          <w:tcPr>
            <w:tcW w:w="0" w:type="auto"/>
            <w:shd w:val="clear" w:color="auto" w:fill="CFF0FC"/>
            <w:vAlign w:val="bottom"/>
            <w:hideMark/>
          </w:tcPr>
          <w:p w14:paraId="5663AC9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3F929312" w14:textId="77777777" w:rsidTr="002F3D36">
        <w:trPr>
          <w:trHeight w:val="180"/>
          <w:tblCellSpacing w:w="15" w:type="dxa"/>
        </w:trPr>
        <w:tc>
          <w:tcPr>
            <w:tcW w:w="0" w:type="auto"/>
            <w:vAlign w:val="bottom"/>
            <w:hideMark/>
          </w:tcPr>
          <w:p w14:paraId="1E41D3C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Right-of-use assets obtained in exchange for new operating lease liabilities</w:t>
            </w:r>
          </w:p>
        </w:tc>
        <w:tc>
          <w:tcPr>
            <w:tcW w:w="0" w:type="auto"/>
            <w:vAlign w:val="bottom"/>
            <w:hideMark/>
          </w:tcPr>
          <w:p w14:paraId="5E659FA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7BABA6C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0329446F"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41</w:t>
            </w:r>
          </w:p>
        </w:tc>
        <w:tc>
          <w:tcPr>
            <w:tcW w:w="0" w:type="auto"/>
            <w:vAlign w:val="bottom"/>
            <w:hideMark/>
          </w:tcPr>
          <w:p w14:paraId="613315C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7FD7BA7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1218DD5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5EF02D58"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48</w:t>
            </w:r>
          </w:p>
        </w:tc>
        <w:tc>
          <w:tcPr>
            <w:tcW w:w="0" w:type="auto"/>
            <w:vAlign w:val="bottom"/>
            <w:hideMark/>
          </w:tcPr>
          <w:p w14:paraId="3F08618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47D42A93" w14:textId="77777777" w:rsidTr="002F3D36">
        <w:trPr>
          <w:trHeight w:val="180"/>
          <w:tblCellSpacing w:w="15" w:type="dxa"/>
        </w:trPr>
        <w:tc>
          <w:tcPr>
            <w:tcW w:w="0" w:type="auto"/>
            <w:shd w:val="clear" w:color="auto" w:fill="CFF0FC"/>
            <w:vAlign w:val="bottom"/>
            <w:hideMark/>
          </w:tcPr>
          <w:p w14:paraId="7520EC4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Weighted-average remaining lease term - operating leases</w:t>
            </w:r>
          </w:p>
        </w:tc>
        <w:tc>
          <w:tcPr>
            <w:tcW w:w="0" w:type="auto"/>
            <w:shd w:val="clear" w:color="auto" w:fill="CFF0FC"/>
            <w:vAlign w:val="bottom"/>
            <w:hideMark/>
          </w:tcPr>
          <w:p w14:paraId="0B148E3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gridSpan w:val="2"/>
            <w:shd w:val="clear" w:color="auto" w:fill="CFF0FC"/>
            <w:vAlign w:val="bottom"/>
            <w:hideMark/>
          </w:tcPr>
          <w:p w14:paraId="2E9FF57F"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7 years</w:t>
            </w:r>
          </w:p>
        </w:tc>
        <w:tc>
          <w:tcPr>
            <w:tcW w:w="0" w:type="auto"/>
            <w:shd w:val="clear" w:color="auto" w:fill="CFF0FC"/>
            <w:vAlign w:val="bottom"/>
            <w:hideMark/>
          </w:tcPr>
          <w:p w14:paraId="4999E11A"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2F5D85B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gridSpan w:val="2"/>
            <w:shd w:val="clear" w:color="auto" w:fill="CFF0FC"/>
            <w:vAlign w:val="bottom"/>
            <w:hideMark/>
          </w:tcPr>
          <w:p w14:paraId="31DFFDE6"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6 years</w:t>
            </w:r>
          </w:p>
        </w:tc>
        <w:tc>
          <w:tcPr>
            <w:tcW w:w="0" w:type="auto"/>
            <w:shd w:val="clear" w:color="auto" w:fill="CFF0FC"/>
            <w:vAlign w:val="bottom"/>
            <w:hideMark/>
          </w:tcPr>
          <w:p w14:paraId="791C2569"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7DE19A3F" w14:textId="77777777" w:rsidTr="002F3D36">
        <w:trPr>
          <w:trHeight w:val="180"/>
          <w:tblCellSpacing w:w="15" w:type="dxa"/>
        </w:trPr>
        <w:tc>
          <w:tcPr>
            <w:tcW w:w="0" w:type="auto"/>
            <w:vAlign w:val="bottom"/>
            <w:hideMark/>
          </w:tcPr>
          <w:p w14:paraId="317225F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Weighted-average discount rate - operating leases</w:t>
            </w:r>
          </w:p>
        </w:tc>
        <w:tc>
          <w:tcPr>
            <w:tcW w:w="0" w:type="auto"/>
            <w:vAlign w:val="bottom"/>
            <w:hideMark/>
          </w:tcPr>
          <w:p w14:paraId="03264E8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6F9FE29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63C5A31C"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2.1</w:t>
            </w:r>
          </w:p>
        </w:tc>
        <w:tc>
          <w:tcPr>
            <w:tcW w:w="0" w:type="auto"/>
            <w:vAlign w:val="bottom"/>
            <w:hideMark/>
          </w:tcPr>
          <w:p w14:paraId="300F66AE"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vAlign w:val="bottom"/>
            <w:hideMark/>
          </w:tcPr>
          <w:p w14:paraId="59E2DE3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6F73452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3432032D"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1.9</w:t>
            </w:r>
          </w:p>
        </w:tc>
        <w:tc>
          <w:tcPr>
            <w:tcW w:w="0" w:type="auto"/>
            <w:vAlign w:val="bottom"/>
            <w:hideMark/>
          </w:tcPr>
          <w:p w14:paraId="7DB0ACC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r>
    </w:tbl>
    <w:p w14:paraId="52E74D36"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Times New Roman" w:eastAsia="宋体" w:hAnsi="Times New Roman" w:cs="Times New Roman"/>
          <w:color w:val="000000"/>
          <w:kern w:val="0"/>
          <w:sz w:val="20"/>
          <w:szCs w:val="20"/>
        </w:rPr>
        <w:t> </w:t>
      </w:r>
    </w:p>
    <w:tbl>
      <w:tblPr>
        <w:tblW w:w="12369" w:type="dxa"/>
        <w:tblCellSpacing w:w="15" w:type="dxa"/>
        <w:tblCellMar>
          <w:top w:w="15" w:type="dxa"/>
          <w:left w:w="15" w:type="dxa"/>
          <w:bottom w:w="15" w:type="dxa"/>
          <w:right w:w="15" w:type="dxa"/>
        </w:tblCellMar>
        <w:tblLook w:val="04A0" w:firstRow="1" w:lastRow="0" w:firstColumn="1" w:lastColumn="0" w:noHBand="0" w:noVBand="1"/>
      </w:tblPr>
      <w:tblGrid>
        <w:gridCol w:w="9373"/>
        <w:gridCol w:w="211"/>
        <w:gridCol w:w="328"/>
        <w:gridCol w:w="2232"/>
        <w:gridCol w:w="225"/>
      </w:tblGrid>
      <w:tr w:rsidR="002F3D36" w:rsidRPr="002F3D36" w14:paraId="789C7B5E" w14:textId="77777777" w:rsidTr="002F3D36">
        <w:trPr>
          <w:tblCellSpacing w:w="15" w:type="dxa"/>
        </w:trPr>
        <w:tc>
          <w:tcPr>
            <w:tcW w:w="9352" w:type="dxa"/>
            <w:vAlign w:val="center"/>
            <w:hideMark/>
          </w:tcPr>
          <w:p w14:paraId="0E89E0DE" w14:textId="77777777" w:rsidR="002F3D36" w:rsidRPr="002F3D36" w:rsidRDefault="002F3D36" w:rsidP="002F3D36">
            <w:pPr>
              <w:widowControl/>
              <w:jc w:val="left"/>
              <w:rPr>
                <w:rFonts w:ascii="Times New Roman" w:eastAsia="宋体" w:hAnsi="Times New Roman" w:cs="Times New Roman"/>
                <w:color w:val="000000"/>
                <w:kern w:val="0"/>
                <w:sz w:val="20"/>
                <w:szCs w:val="20"/>
              </w:rPr>
            </w:pPr>
          </w:p>
        </w:tc>
        <w:tc>
          <w:tcPr>
            <w:tcW w:w="181" w:type="dxa"/>
            <w:vAlign w:val="center"/>
            <w:hideMark/>
          </w:tcPr>
          <w:p w14:paraId="5A846CBA"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98" w:type="dxa"/>
            <w:vAlign w:val="center"/>
            <w:hideMark/>
          </w:tcPr>
          <w:p w14:paraId="254C11BC"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207" w:type="dxa"/>
            <w:vAlign w:val="center"/>
            <w:hideMark/>
          </w:tcPr>
          <w:p w14:paraId="72511DEE"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80" w:type="dxa"/>
            <w:vAlign w:val="center"/>
            <w:hideMark/>
          </w:tcPr>
          <w:p w14:paraId="2CF61BFD" w14:textId="77777777" w:rsidR="002F3D36" w:rsidRPr="002F3D36" w:rsidRDefault="002F3D36" w:rsidP="002F3D36">
            <w:pPr>
              <w:widowControl/>
              <w:jc w:val="left"/>
              <w:rPr>
                <w:rFonts w:ascii="Times New Roman" w:eastAsia="Times New Roman" w:hAnsi="Times New Roman" w:cs="Times New Roman"/>
                <w:kern w:val="0"/>
                <w:sz w:val="20"/>
                <w:szCs w:val="20"/>
              </w:rPr>
            </w:pPr>
          </w:p>
        </w:tc>
      </w:tr>
      <w:tr w:rsidR="002F3D36" w:rsidRPr="002F3D36" w14:paraId="4A91A62B" w14:textId="77777777" w:rsidTr="002F3D36">
        <w:trPr>
          <w:trHeight w:val="180"/>
          <w:tblCellSpacing w:w="15" w:type="dxa"/>
        </w:trPr>
        <w:tc>
          <w:tcPr>
            <w:tcW w:w="0" w:type="auto"/>
            <w:vAlign w:val="bottom"/>
            <w:hideMark/>
          </w:tcPr>
          <w:p w14:paraId="2635C9C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Maturities of operating lease liabilities (undiscounted cash flows) are as follows:</w:t>
            </w:r>
          </w:p>
        </w:tc>
        <w:tc>
          <w:tcPr>
            <w:tcW w:w="0" w:type="auto"/>
            <w:vAlign w:val="bottom"/>
            <w:hideMark/>
          </w:tcPr>
          <w:p w14:paraId="788A77E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gridSpan w:val="2"/>
            <w:vAlign w:val="bottom"/>
            <w:hideMark/>
          </w:tcPr>
          <w:p w14:paraId="732619D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17B9B64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7EDCD08E" w14:textId="77777777" w:rsidTr="002F3D36">
        <w:trPr>
          <w:trHeight w:val="160"/>
          <w:tblCellSpacing w:w="15" w:type="dxa"/>
        </w:trPr>
        <w:tc>
          <w:tcPr>
            <w:tcW w:w="0" w:type="auto"/>
            <w:vAlign w:val="bottom"/>
            <w:hideMark/>
          </w:tcPr>
          <w:p w14:paraId="50A08F32"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color w:val="000000"/>
                <w:kern w:val="0"/>
                <w:sz w:val="16"/>
                <w:szCs w:val="16"/>
              </w:rPr>
              <w:t>(Dollars in millions)</w:t>
            </w:r>
          </w:p>
        </w:tc>
        <w:tc>
          <w:tcPr>
            <w:tcW w:w="0" w:type="auto"/>
            <w:vAlign w:val="bottom"/>
            <w:hideMark/>
          </w:tcPr>
          <w:p w14:paraId="3AA24742" w14:textId="77777777" w:rsidR="002F3D36" w:rsidRPr="002F3D36" w:rsidRDefault="002F3D36" w:rsidP="002F3D36">
            <w:pPr>
              <w:widowControl/>
              <w:jc w:val="left"/>
              <w:rPr>
                <w:rFonts w:ascii="Times New Roman" w:eastAsia="宋体" w:hAnsi="Times New Roman" w:cs="Times New Roman"/>
                <w:kern w:val="0"/>
                <w:sz w:val="20"/>
                <w:szCs w:val="20"/>
              </w:rPr>
            </w:pPr>
            <w:r w:rsidRPr="002F3D36">
              <w:rPr>
                <w:rFonts w:ascii="Arial" w:eastAsia="宋体" w:hAnsi="Arial" w:cs="Arial"/>
                <w:kern w:val="0"/>
                <w:sz w:val="20"/>
                <w:szCs w:val="20"/>
              </w:rPr>
              <w:t> </w:t>
            </w:r>
          </w:p>
        </w:tc>
        <w:tc>
          <w:tcPr>
            <w:tcW w:w="0" w:type="auto"/>
            <w:gridSpan w:val="2"/>
            <w:vAlign w:val="bottom"/>
            <w:hideMark/>
          </w:tcPr>
          <w:p w14:paraId="7E947D7F" w14:textId="77777777" w:rsidR="002F3D36" w:rsidRPr="002F3D36" w:rsidRDefault="002F3D36" w:rsidP="002F3D36">
            <w:pPr>
              <w:widowControl/>
              <w:jc w:val="left"/>
              <w:rPr>
                <w:rFonts w:ascii="Times New Roman" w:eastAsia="宋体" w:hAnsi="Times New Roman" w:cs="Times New Roman"/>
                <w:kern w:val="0"/>
                <w:sz w:val="20"/>
                <w:szCs w:val="20"/>
              </w:rPr>
            </w:pPr>
            <w:r w:rsidRPr="002F3D36">
              <w:rPr>
                <w:rFonts w:ascii="Arial" w:eastAsia="宋体" w:hAnsi="Arial" w:cs="Arial"/>
                <w:kern w:val="0"/>
                <w:sz w:val="20"/>
                <w:szCs w:val="20"/>
              </w:rPr>
              <w:t> </w:t>
            </w:r>
          </w:p>
        </w:tc>
        <w:tc>
          <w:tcPr>
            <w:tcW w:w="0" w:type="auto"/>
            <w:vAlign w:val="bottom"/>
            <w:hideMark/>
          </w:tcPr>
          <w:p w14:paraId="219F7F21" w14:textId="77777777" w:rsidR="002F3D36" w:rsidRPr="002F3D36" w:rsidRDefault="002F3D36" w:rsidP="002F3D36">
            <w:pPr>
              <w:widowControl/>
              <w:jc w:val="left"/>
              <w:rPr>
                <w:rFonts w:ascii="Times New Roman" w:eastAsia="宋体" w:hAnsi="Times New Roman" w:cs="Times New Roman"/>
                <w:kern w:val="0"/>
                <w:sz w:val="20"/>
                <w:szCs w:val="20"/>
              </w:rPr>
            </w:pPr>
            <w:r w:rsidRPr="002F3D36">
              <w:rPr>
                <w:rFonts w:ascii="Arial" w:eastAsia="宋体" w:hAnsi="Arial" w:cs="Arial"/>
                <w:kern w:val="0"/>
                <w:sz w:val="20"/>
                <w:szCs w:val="20"/>
              </w:rPr>
              <w:t> </w:t>
            </w:r>
          </w:p>
        </w:tc>
      </w:tr>
      <w:tr w:rsidR="002F3D36" w:rsidRPr="002F3D36" w14:paraId="6ADE3383" w14:textId="77777777" w:rsidTr="002F3D36">
        <w:trPr>
          <w:trHeight w:val="160"/>
          <w:tblCellSpacing w:w="15" w:type="dxa"/>
        </w:trPr>
        <w:tc>
          <w:tcPr>
            <w:tcW w:w="0" w:type="auto"/>
            <w:vAlign w:val="bottom"/>
            <w:hideMark/>
          </w:tcPr>
          <w:p w14:paraId="7839C0E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5AAB79A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gridSpan w:val="2"/>
            <w:tcBorders>
              <w:bottom w:val="single" w:sz="4" w:space="0" w:color="000000"/>
            </w:tcBorders>
            <w:vAlign w:val="bottom"/>
            <w:hideMark/>
          </w:tcPr>
          <w:p w14:paraId="7F66B3A3"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Maturities</w:t>
            </w:r>
          </w:p>
        </w:tc>
        <w:tc>
          <w:tcPr>
            <w:tcW w:w="0" w:type="auto"/>
            <w:vAlign w:val="bottom"/>
            <w:hideMark/>
          </w:tcPr>
          <w:p w14:paraId="2206685B"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r>
      <w:tr w:rsidR="002F3D36" w:rsidRPr="002F3D36" w14:paraId="49742D9C" w14:textId="77777777" w:rsidTr="002F3D36">
        <w:trPr>
          <w:trHeight w:val="180"/>
          <w:tblCellSpacing w:w="15" w:type="dxa"/>
        </w:trPr>
        <w:tc>
          <w:tcPr>
            <w:tcW w:w="0" w:type="auto"/>
            <w:shd w:val="clear" w:color="auto" w:fill="CFF0FC"/>
            <w:vAlign w:val="bottom"/>
            <w:hideMark/>
          </w:tcPr>
          <w:p w14:paraId="696B1B3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lastRenderedPageBreak/>
              <w:t>2022</w:t>
            </w:r>
          </w:p>
        </w:tc>
        <w:tc>
          <w:tcPr>
            <w:tcW w:w="0" w:type="auto"/>
            <w:shd w:val="clear" w:color="auto" w:fill="CFF0FC"/>
            <w:vAlign w:val="bottom"/>
            <w:hideMark/>
          </w:tcPr>
          <w:p w14:paraId="4D007CF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26C754C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480CBEA5"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38</w:t>
            </w:r>
          </w:p>
        </w:tc>
        <w:tc>
          <w:tcPr>
            <w:tcW w:w="0" w:type="auto"/>
            <w:shd w:val="clear" w:color="auto" w:fill="CFF0FC"/>
            <w:vAlign w:val="bottom"/>
            <w:hideMark/>
          </w:tcPr>
          <w:p w14:paraId="2BFAA40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62570D47" w14:textId="77777777" w:rsidTr="002F3D36">
        <w:trPr>
          <w:trHeight w:val="180"/>
          <w:tblCellSpacing w:w="15" w:type="dxa"/>
        </w:trPr>
        <w:tc>
          <w:tcPr>
            <w:tcW w:w="0" w:type="auto"/>
            <w:vAlign w:val="bottom"/>
            <w:hideMark/>
          </w:tcPr>
          <w:p w14:paraId="09069DEE"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2023</w:t>
            </w:r>
          </w:p>
        </w:tc>
        <w:tc>
          <w:tcPr>
            <w:tcW w:w="0" w:type="auto"/>
            <w:vAlign w:val="bottom"/>
            <w:hideMark/>
          </w:tcPr>
          <w:p w14:paraId="5DE5684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44DE948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29F50158"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28</w:t>
            </w:r>
          </w:p>
        </w:tc>
        <w:tc>
          <w:tcPr>
            <w:tcW w:w="0" w:type="auto"/>
            <w:vAlign w:val="bottom"/>
            <w:hideMark/>
          </w:tcPr>
          <w:p w14:paraId="374161F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108C9563" w14:textId="77777777" w:rsidTr="002F3D36">
        <w:trPr>
          <w:trHeight w:val="180"/>
          <w:tblCellSpacing w:w="15" w:type="dxa"/>
        </w:trPr>
        <w:tc>
          <w:tcPr>
            <w:tcW w:w="0" w:type="auto"/>
            <w:shd w:val="clear" w:color="auto" w:fill="CFF0FC"/>
            <w:vAlign w:val="bottom"/>
            <w:hideMark/>
          </w:tcPr>
          <w:p w14:paraId="40A5358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2024</w:t>
            </w:r>
          </w:p>
        </w:tc>
        <w:tc>
          <w:tcPr>
            <w:tcW w:w="0" w:type="auto"/>
            <w:shd w:val="clear" w:color="auto" w:fill="CFF0FC"/>
            <w:vAlign w:val="bottom"/>
            <w:hideMark/>
          </w:tcPr>
          <w:p w14:paraId="1D02987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079FD7B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1A2329BA"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19</w:t>
            </w:r>
          </w:p>
        </w:tc>
        <w:tc>
          <w:tcPr>
            <w:tcW w:w="0" w:type="auto"/>
            <w:shd w:val="clear" w:color="auto" w:fill="CFF0FC"/>
            <w:vAlign w:val="bottom"/>
            <w:hideMark/>
          </w:tcPr>
          <w:p w14:paraId="5204786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63ADA75B" w14:textId="77777777" w:rsidTr="002F3D36">
        <w:trPr>
          <w:trHeight w:val="180"/>
          <w:tblCellSpacing w:w="15" w:type="dxa"/>
        </w:trPr>
        <w:tc>
          <w:tcPr>
            <w:tcW w:w="0" w:type="auto"/>
            <w:vAlign w:val="bottom"/>
            <w:hideMark/>
          </w:tcPr>
          <w:p w14:paraId="7C4BBBB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2025</w:t>
            </w:r>
          </w:p>
        </w:tc>
        <w:tc>
          <w:tcPr>
            <w:tcW w:w="0" w:type="auto"/>
            <w:vAlign w:val="bottom"/>
            <w:hideMark/>
          </w:tcPr>
          <w:p w14:paraId="006E84D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2AEB596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21D21685"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14</w:t>
            </w:r>
          </w:p>
        </w:tc>
        <w:tc>
          <w:tcPr>
            <w:tcW w:w="0" w:type="auto"/>
            <w:vAlign w:val="bottom"/>
            <w:hideMark/>
          </w:tcPr>
          <w:p w14:paraId="13B6B79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0542BAB9" w14:textId="77777777" w:rsidTr="002F3D36">
        <w:trPr>
          <w:trHeight w:val="180"/>
          <w:tblCellSpacing w:w="15" w:type="dxa"/>
        </w:trPr>
        <w:tc>
          <w:tcPr>
            <w:tcW w:w="0" w:type="auto"/>
            <w:shd w:val="clear" w:color="auto" w:fill="CFF0FC"/>
            <w:vAlign w:val="bottom"/>
            <w:hideMark/>
          </w:tcPr>
          <w:p w14:paraId="17FA368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2026</w:t>
            </w:r>
          </w:p>
        </w:tc>
        <w:tc>
          <w:tcPr>
            <w:tcW w:w="0" w:type="auto"/>
            <w:shd w:val="clear" w:color="auto" w:fill="CFF0FC"/>
            <w:vAlign w:val="bottom"/>
            <w:hideMark/>
          </w:tcPr>
          <w:p w14:paraId="750B6AF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5213FC0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63B827C0"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11</w:t>
            </w:r>
          </w:p>
        </w:tc>
        <w:tc>
          <w:tcPr>
            <w:tcW w:w="0" w:type="auto"/>
            <w:shd w:val="clear" w:color="auto" w:fill="CFF0FC"/>
            <w:vAlign w:val="bottom"/>
            <w:hideMark/>
          </w:tcPr>
          <w:p w14:paraId="2AD9EC1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217DA5B3" w14:textId="77777777" w:rsidTr="002F3D36">
        <w:trPr>
          <w:trHeight w:val="180"/>
          <w:tblCellSpacing w:w="15" w:type="dxa"/>
        </w:trPr>
        <w:tc>
          <w:tcPr>
            <w:tcW w:w="0" w:type="auto"/>
            <w:vAlign w:val="bottom"/>
            <w:hideMark/>
          </w:tcPr>
          <w:p w14:paraId="6C01FD8E"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Thereafter</w:t>
            </w:r>
          </w:p>
        </w:tc>
        <w:tc>
          <w:tcPr>
            <w:tcW w:w="0" w:type="auto"/>
            <w:vAlign w:val="bottom"/>
            <w:hideMark/>
          </w:tcPr>
          <w:p w14:paraId="2369333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15DD82FE"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6DF719D8"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33</w:t>
            </w:r>
          </w:p>
        </w:tc>
        <w:tc>
          <w:tcPr>
            <w:tcW w:w="0" w:type="auto"/>
            <w:vAlign w:val="bottom"/>
            <w:hideMark/>
          </w:tcPr>
          <w:p w14:paraId="3BA76FE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26228104" w14:textId="77777777" w:rsidTr="002F3D36">
        <w:trPr>
          <w:trHeight w:val="180"/>
          <w:tblCellSpacing w:w="15" w:type="dxa"/>
        </w:trPr>
        <w:tc>
          <w:tcPr>
            <w:tcW w:w="0" w:type="auto"/>
            <w:shd w:val="clear" w:color="auto" w:fill="CFF0FC"/>
            <w:vAlign w:val="bottom"/>
            <w:hideMark/>
          </w:tcPr>
          <w:p w14:paraId="6C4A8C4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Total operating lease payments</w:t>
            </w:r>
          </w:p>
        </w:tc>
        <w:tc>
          <w:tcPr>
            <w:tcW w:w="0" w:type="auto"/>
            <w:shd w:val="clear" w:color="auto" w:fill="CFF0FC"/>
            <w:vAlign w:val="bottom"/>
            <w:hideMark/>
          </w:tcPr>
          <w:p w14:paraId="02F39DB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56F631F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3DE70129"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142</w:t>
            </w:r>
          </w:p>
        </w:tc>
        <w:tc>
          <w:tcPr>
            <w:tcW w:w="0" w:type="auto"/>
            <w:shd w:val="clear" w:color="auto" w:fill="CFF0FC"/>
            <w:vAlign w:val="bottom"/>
            <w:hideMark/>
          </w:tcPr>
          <w:p w14:paraId="6224501E"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26BD04C0" w14:textId="77777777" w:rsidTr="002F3D36">
        <w:trPr>
          <w:trHeight w:val="180"/>
          <w:tblCellSpacing w:w="15" w:type="dxa"/>
        </w:trPr>
        <w:tc>
          <w:tcPr>
            <w:tcW w:w="0" w:type="auto"/>
            <w:vAlign w:val="bottom"/>
            <w:hideMark/>
          </w:tcPr>
          <w:p w14:paraId="14BC426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Less imputed interest</w:t>
            </w:r>
          </w:p>
        </w:tc>
        <w:tc>
          <w:tcPr>
            <w:tcW w:w="0" w:type="auto"/>
            <w:vAlign w:val="bottom"/>
            <w:hideMark/>
          </w:tcPr>
          <w:p w14:paraId="154D56D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530970F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2C406F8E"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(11</w:t>
            </w:r>
          </w:p>
        </w:tc>
        <w:tc>
          <w:tcPr>
            <w:tcW w:w="0" w:type="auto"/>
            <w:vAlign w:val="bottom"/>
            <w:hideMark/>
          </w:tcPr>
          <w:p w14:paraId="3F0465A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r>
      <w:tr w:rsidR="002F3D36" w:rsidRPr="002F3D36" w14:paraId="4DAB4B7F" w14:textId="77777777" w:rsidTr="002F3D36">
        <w:trPr>
          <w:trHeight w:val="180"/>
          <w:tblCellSpacing w:w="15" w:type="dxa"/>
        </w:trPr>
        <w:tc>
          <w:tcPr>
            <w:tcW w:w="0" w:type="auto"/>
            <w:shd w:val="clear" w:color="auto" w:fill="CFF0FC"/>
            <w:vAlign w:val="bottom"/>
            <w:hideMark/>
          </w:tcPr>
          <w:p w14:paraId="3C6BF2F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Total operating lease liabilities</w:t>
            </w:r>
          </w:p>
        </w:tc>
        <w:tc>
          <w:tcPr>
            <w:tcW w:w="0" w:type="auto"/>
            <w:shd w:val="clear" w:color="auto" w:fill="CFF0FC"/>
            <w:vAlign w:val="bottom"/>
            <w:hideMark/>
          </w:tcPr>
          <w:p w14:paraId="1455F1C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40297AF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shd w:val="clear" w:color="auto" w:fill="CFF0FC"/>
            <w:vAlign w:val="bottom"/>
            <w:hideMark/>
          </w:tcPr>
          <w:p w14:paraId="12604D59"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132</w:t>
            </w:r>
          </w:p>
        </w:tc>
        <w:tc>
          <w:tcPr>
            <w:tcW w:w="0" w:type="auto"/>
            <w:shd w:val="clear" w:color="auto" w:fill="CFF0FC"/>
            <w:vAlign w:val="bottom"/>
            <w:hideMark/>
          </w:tcPr>
          <w:p w14:paraId="1384187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bl>
    <w:p w14:paraId="3F7C1ECE"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w:t>
      </w:r>
    </w:p>
    <w:p w14:paraId="17B68C3F" w14:textId="77777777" w:rsidR="002F3D36" w:rsidRPr="002F3D36" w:rsidRDefault="002F3D36" w:rsidP="002F3D36">
      <w:pPr>
        <w:widowControl/>
        <w:jc w:val="left"/>
        <w:rPr>
          <w:rFonts w:ascii="Times New Roman" w:eastAsia="宋体" w:hAnsi="Times New Roman" w:cs="Times New Roman"/>
          <w:color w:val="000000"/>
          <w:kern w:val="0"/>
          <w:sz w:val="20"/>
          <w:szCs w:val="20"/>
        </w:rPr>
      </w:pPr>
      <w:r w:rsidRPr="002F3D36">
        <w:rPr>
          <w:rFonts w:ascii="Times New Roman" w:eastAsia="宋体" w:hAnsi="Times New Roman" w:cs="Times New Roman"/>
          <w:color w:val="000000"/>
          <w:kern w:val="0"/>
          <w:sz w:val="20"/>
          <w:szCs w:val="20"/>
        </w:rPr>
        <w:t> </w:t>
      </w:r>
    </w:p>
    <w:p w14:paraId="512F0455" w14:textId="77777777" w:rsidR="002F3D36" w:rsidRPr="002F3D36" w:rsidRDefault="002F3D36" w:rsidP="002F3D36">
      <w:pPr>
        <w:widowControl/>
        <w:spacing w:before="240"/>
        <w:jc w:val="center"/>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67</w:t>
      </w:r>
    </w:p>
    <w:p w14:paraId="13C61A9B" w14:textId="77777777" w:rsidR="002F3D36" w:rsidRPr="002F3D36" w:rsidRDefault="002F3D36" w:rsidP="002F3D36">
      <w:pPr>
        <w:widowControl/>
        <w:jc w:val="left"/>
        <w:rPr>
          <w:rFonts w:ascii="宋体" w:eastAsia="宋体" w:hAnsi="宋体" w:cs="宋体"/>
          <w:kern w:val="0"/>
          <w:sz w:val="24"/>
          <w:szCs w:val="24"/>
        </w:rPr>
      </w:pPr>
      <w:r w:rsidRPr="002F3D36">
        <w:rPr>
          <w:rFonts w:ascii="宋体" w:eastAsia="宋体" w:hAnsi="宋体" w:cs="宋体"/>
          <w:kern w:val="0"/>
          <w:sz w:val="24"/>
          <w:szCs w:val="24"/>
        </w:rPr>
        <w:pict w14:anchorId="53C756C3">
          <v:rect id="_x0000_i1094" style="width:0;height:1.5pt" o:hralign="center" o:hrstd="t" o:hrnoshade="t" o:hr="t" fillcolor="black" stroked="f"/>
        </w:pict>
      </w:r>
    </w:p>
    <w:p w14:paraId="31F76B1A" w14:textId="77777777" w:rsidR="002F3D36" w:rsidRPr="002F3D36" w:rsidRDefault="002F3D36" w:rsidP="002F3D36">
      <w:pPr>
        <w:widowControl/>
        <w:spacing w:line="20" w:lineRule="atLeast"/>
        <w:jc w:val="left"/>
        <w:rPr>
          <w:rFonts w:ascii="Times New Roman" w:eastAsia="宋体" w:hAnsi="Times New Roman" w:cs="Times New Roman"/>
          <w:color w:val="000000"/>
          <w:kern w:val="0"/>
          <w:sz w:val="20"/>
          <w:szCs w:val="20"/>
        </w:rPr>
      </w:pPr>
      <w:r w:rsidRPr="002F3D36">
        <w:rPr>
          <w:rFonts w:ascii="Arial" w:eastAsia="宋体" w:hAnsi="Arial" w:cs="Arial"/>
          <w:color w:val="000000"/>
          <w:kern w:val="0"/>
          <w:sz w:val="2"/>
          <w:szCs w:val="2"/>
        </w:rPr>
        <w:t> </w:t>
      </w:r>
    </w:p>
    <w:p w14:paraId="7BD48029" w14:textId="77777777" w:rsidR="002F3D36" w:rsidRPr="002F3D36" w:rsidRDefault="002F3D36" w:rsidP="002F3D36">
      <w:pPr>
        <w:widowControl/>
        <w:spacing w:before="16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22"/>
        </w:rPr>
        <w:t>4. Fair Value Measurements</w:t>
      </w:r>
    </w:p>
    <w:p w14:paraId="22459C2F"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8"/>
          <w:szCs w:val="8"/>
        </w:rPr>
        <w:t> </w:t>
      </w:r>
    </w:p>
    <w:p w14:paraId="63857124"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ASSETS AND LIABILITIES MEASURED AT FAIR VALUE ON A RECURRING BASIS</w:t>
      </w:r>
    </w:p>
    <w:p w14:paraId="11526984" w14:textId="77777777" w:rsidR="002F3D36" w:rsidRPr="002F3D36" w:rsidRDefault="002F3D36" w:rsidP="002F3D36">
      <w:pPr>
        <w:widowControl/>
        <w:spacing w:before="8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xml:space="preserve">The carrying value of cash and cash equivalents, accounts receivable, accounts payable, other current liabilities and short-term debt approximate their fair value because of the short-term maturity of these instruments. </w:t>
      </w:r>
    </w:p>
    <w:p w14:paraId="21A6B4F6" w14:textId="77777777" w:rsidR="002F3D36" w:rsidRPr="002F3D36" w:rsidRDefault="002F3D36" w:rsidP="002F3D36">
      <w:pPr>
        <w:widowControl/>
        <w:spacing w:before="8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The Company uses derivative financial instruments, “derivatives”, as part of its debt management to mitigate the market risk that occurs from its exposure to changes in interest and foreign exchange rates. The Company does not enter into derivatives for trading or other speculative purposes. The Company’s use of derivatives is in accordance with the strategies contained in the Company’s overall financial policy. All derivatives are recognized in the consolidated financial statements at fair value. Certain derivatives are from time to time designated either as fair value hedges or cash flow hedges in line with the hedge accounting criteria. For certain other derivatives hedge accounting is not applied either because non-hedge accounting treatment creates the same accounting result or the hedge does not meet the hedge accounting requirements, although entered into applying the same rationale concerning mitigating market risk that occurs from changes in interest and foreign exchange rates.</w:t>
      </w:r>
    </w:p>
    <w:p w14:paraId="13790A33" w14:textId="77777777" w:rsidR="002F3D36" w:rsidRPr="002F3D36" w:rsidRDefault="002F3D36" w:rsidP="002F3D36">
      <w:pPr>
        <w:widowControl/>
        <w:spacing w:before="8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The degree of judgment utilized in measuring the fair value of the instruments generally correlates to the level of pricing observability. Pricing observability is impacted by several factors, including the type of asset or liability, whether the asset or liability has an established market and the characteristics specific to the transaction. Instruments with readily active quoted prices or for which fair value can be measured from actively quoted prices generally will have a higher degree of pricing observability and a lesser degree of judgment utilized in measuring fair value. Conversely, assets rarely traded or not quoted will generally have less, or no, pricing observability and a higher degree of judgment utilized in measuring fair value.</w:t>
      </w:r>
    </w:p>
    <w:p w14:paraId="25890F49" w14:textId="77777777" w:rsidR="002F3D36" w:rsidRPr="002F3D36" w:rsidRDefault="002F3D36" w:rsidP="002F3D36">
      <w:pPr>
        <w:widowControl/>
        <w:spacing w:before="8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Under U.S. GAAP, there is a disclosure framework hierarchy associated with the level of pricing observability utilized in measuring assets and liabilities at fair value. The three broad levels defined by the hierarchy are as follows:</w:t>
      </w:r>
    </w:p>
    <w:p w14:paraId="161C254F" w14:textId="77777777" w:rsidR="002F3D36" w:rsidRPr="002F3D36" w:rsidRDefault="002F3D36" w:rsidP="002F3D36">
      <w:pPr>
        <w:widowControl/>
        <w:spacing w:before="8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lastRenderedPageBreak/>
        <w:t xml:space="preserve">Level 1 </w:t>
      </w:r>
      <w:r w:rsidRPr="002F3D36">
        <w:rPr>
          <w:rFonts w:ascii="Arial" w:eastAsia="宋体" w:hAnsi="Arial" w:cs="Arial"/>
          <w:color w:val="000000"/>
          <w:kern w:val="0"/>
          <w:sz w:val="18"/>
          <w:szCs w:val="18"/>
        </w:rPr>
        <w:t>- Quoted prices are available in active markets for identical assets or liabilities as of the reported date.</w:t>
      </w:r>
    </w:p>
    <w:p w14:paraId="50D00D9B" w14:textId="77777777" w:rsidR="002F3D36" w:rsidRPr="002F3D36" w:rsidRDefault="002F3D36" w:rsidP="002F3D36">
      <w:pPr>
        <w:widowControl/>
        <w:spacing w:before="8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 xml:space="preserve">Level 2 </w:t>
      </w:r>
      <w:r w:rsidRPr="002F3D36">
        <w:rPr>
          <w:rFonts w:ascii="Arial" w:eastAsia="宋体" w:hAnsi="Arial" w:cs="Arial"/>
          <w:color w:val="000000"/>
          <w:kern w:val="0"/>
          <w:sz w:val="18"/>
          <w:szCs w:val="18"/>
        </w:rPr>
        <w:t>- Pricing inputs are other than quoted prices in active markets, which are either directly or indirectly observable as of the reported date. The nature of these assets and liabilities include items for which quoted prices are available but traded less frequently, and items that are fair valued using other financial instruments, the parameters of which can be directly observed.</w:t>
      </w:r>
    </w:p>
    <w:p w14:paraId="58A6DF34" w14:textId="77777777" w:rsidR="002F3D36" w:rsidRPr="002F3D36" w:rsidRDefault="002F3D36" w:rsidP="002F3D36">
      <w:pPr>
        <w:widowControl/>
        <w:spacing w:before="8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 xml:space="preserve">Level 3 </w:t>
      </w:r>
      <w:r w:rsidRPr="002F3D36">
        <w:rPr>
          <w:rFonts w:ascii="Arial" w:eastAsia="宋体" w:hAnsi="Arial" w:cs="Arial"/>
          <w:color w:val="000000"/>
          <w:kern w:val="0"/>
          <w:sz w:val="18"/>
          <w:szCs w:val="18"/>
        </w:rPr>
        <w:t>- Assets and liabilities that have little to no pricing observability as of the reported date. These items do not have two-way markets and are measured using management’s best estimate of fair value, where the inputs into the determination of fair value require significant management judgment or estimation.</w:t>
      </w:r>
    </w:p>
    <w:p w14:paraId="14CDBD50" w14:textId="77777777" w:rsidR="002F3D36" w:rsidRPr="002F3D36" w:rsidRDefault="002F3D36" w:rsidP="002F3D36">
      <w:pPr>
        <w:widowControl/>
        <w:spacing w:before="8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xml:space="preserve">The Company’s derivatives are all classified as Level 2 of the fair value hierarchy. </w:t>
      </w:r>
    </w:p>
    <w:p w14:paraId="33E45D5C" w14:textId="77777777" w:rsidR="002F3D36" w:rsidRPr="002F3D36" w:rsidRDefault="002F3D36" w:rsidP="002F3D36">
      <w:pPr>
        <w:widowControl/>
        <w:spacing w:before="8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The tables below present information about the Company’s financial assets and liabilities measured at fair value on a recurring basis for the continuing operations as of December 31, 2021 and December 31, 2020. The carrying value is the same as the fair value as these instruments are recognized in the consolidated financial statements at fair value. Although the Company is party to close-out netting agreements (ISDA agreements) with all derivative counterparties, the fair values in the tables below and in the Consolidated Balance Sheets at December 31, 2021 and December 31, 2020 have been presented on a gross basis. According to the close-out netting agreements, transaction amounts payable to a counterparty on the same date and in the same currency can be netted. The amounts subject to netting agreements that the Company choose not to offset are presented below.</w:t>
      </w:r>
    </w:p>
    <w:p w14:paraId="5ADE6E35" w14:textId="77777777" w:rsidR="002F3D36" w:rsidRPr="002F3D36" w:rsidRDefault="002F3D36" w:rsidP="002F3D36">
      <w:pPr>
        <w:widowControl/>
        <w:spacing w:before="32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DERIVATIVES DESIGNATED AS HEDGING INSTRUMENTS</w:t>
      </w:r>
    </w:p>
    <w:p w14:paraId="2236D4A7" w14:textId="77777777" w:rsidR="002F3D36" w:rsidRPr="002F3D36" w:rsidRDefault="002F3D36" w:rsidP="002F3D36">
      <w:pPr>
        <w:widowControl/>
        <w:spacing w:before="8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There were no derivatives designated as hedging instruments as of December 31, 2021 and December 31, 2020 related to the continuing operations.</w:t>
      </w:r>
    </w:p>
    <w:p w14:paraId="2C88C5A3" w14:textId="77777777" w:rsidR="002F3D36" w:rsidRPr="002F3D36" w:rsidRDefault="002F3D36" w:rsidP="002F3D36">
      <w:pPr>
        <w:widowControl/>
        <w:jc w:val="left"/>
        <w:rPr>
          <w:rFonts w:ascii="Times New Roman" w:eastAsia="宋体" w:hAnsi="Times New Roman" w:cs="Times New Roman"/>
          <w:color w:val="000000"/>
          <w:kern w:val="0"/>
          <w:sz w:val="20"/>
          <w:szCs w:val="20"/>
        </w:rPr>
      </w:pPr>
      <w:r w:rsidRPr="002F3D36">
        <w:rPr>
          <w:rFonts w:ascii="Times New Roman" w:eastAsia="宋体" w:hAnsi="Times New Roman" w:cs="Times New Roman"/>
          <w:color w:val="000000"/>
          <w:kern w:val="0"/>
          <w:sz w:val="20"/>
          <w:szCs w:val="20"/>
        </w:rPr>
        <w:t> </w:t>
      </w:r>
    </w:p>
    <w:p w14:paraId="1612D62F" w14:textId="77777777" w:rsidR="002F3D36" w:rsidRPr="002F3D36" w:rsidRDefault="002F3D36" w:rsidP="002F3D36">
      <w:pPr>
        <w:widowControl/>
        <w:spacing w:before="240"/>
        <w:jc w:val="center"/>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68</w:t>
      </w:r>
    </w:p>
    <w:p w14:paraId="6BAF85FD" w14:textId="77777777" w:rsidR="002F3D36" w:rsidRPr="002F3D36" w:rsidRDefault="002F3D36" w:rsidP="002F3D36">
      <w:pPr>
        <w:widowControl/>
        <w:jc w:val="left"/>
        <w:rPr>
          <w:rFonts w:ascii="Times New Roman" w:eastAsia="宋体" w:hAnsi="Times New Roman" w:cs="Times New Roman"/>
          <w:color w:val="000000"/>
          <w:kern w:val="0"/>
          <w:sz w:val="20"/>
          <w:szCs w:val="20"/>
        </w:rPr>
      </w:pPr>
      <w:r w:rsidRPr="002F3D36">
        <w:rPr>
          <w:rFonts w:ascii="Times New Roman" w:eastAsia="宋体" w:hAnsi="Times New Roman" w:cs="Times New Roman"/>
          <w:color w:val="000000"/>
          <w:kern w:val="0"/>
          <w:sz w:val="20"/>
          <w:szCs w:val="20"/>
        </w:rPr>
        <w:pict w14:anchorId="21585EFE">
          <v:rect id="_x0000_i1095" style="width:0;height:1.5pt" o:hralign="center" o:hrstd="t" o:hr="t" fillcolor="#a0a0a0" stroked="f"/>
        </w:pict>
      </w:r>
    </w:p>
    <w:p w14:paraId="47B42E99" w14:textId="77777777" w:rsidR="002F3D36" w:rsidRPr="002F3D36" w:rsidRDefault="002F3D36" w:rsidP="002F3D36">
      <w:pPr>
        <w:widowControl/>
        <w:spacing w:line="20" w:lineRule="atLeast"/>
        <w:jc w:val="left"/>
        <w:rPr>
          <w:rFonts w:ascii="Times New Roman" w:eastAsia="宋体" w:hAnsi="Times New Roman" w:cs="Times New Roman"/>
          <w:color w:val="000000"/>
          <w:kern w:val="0"/>
          <w:sz w:val="20"/>
          <w:szCs w:val="20"/>
        </w:rPr>
      </w:pPr>
      <w:r w:rsidRPr="002F3D36">
        <w:rPr>
          <w:rFonts w:ascii="Arial" w:eastAsia="宋体" w:hAnsi="Arial" w:cs="Arial"/>
          <w:color w:val="000000"/>
          <w:kern w:val="0"/>
          <w:sz w:val="2"/>
          <w:szCs w:val="2"/>
        </w:rPr>
        <w:t> </w:t>
      </w:r>
    </w:p>
    <w:p w14:paraId="666C8ECD" w14:textId="77777777" w:rsidR="002F3D36" w:rsidRPr="002F3D36" w:rsidRDefault="002F3D36" w:rsidP="002F3D36">
      <w:pPr>
        <w:widowControl/>
        <w:spacing w:before="32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DERIVATIVES NOT DESIGNATED AS HEDGING INSTRUMENTS</w:t>
      </w:r>
    </w:p>
    <w:p w14:paraId="6DAF4BE6" w14:textId="77777777" w:rsidR="002F3D36" w:rsidRPr="002F3D36" w:rsidRDefault="002F3D36" w:rsidP="002F3D36">
      <w:pPr>
        <w:widowControl/>
        <w:spacing w:before="8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xml:space="preserve">Derivatives not designated as hedging instruments, relate to economic hedges and are marked to market with all amounts recognized in the Consolidated Statements of Income. The derivatives not designated as hedging instruments outstanding at December 31, 2021 and December 31, 2020 were foreign exchange swaps. </w:t>
      </w:r>
    </w:p>
    <w:p w14:paraId="78FFB94D" w14:textId="77777777" w:rsidR="002F3D36" w:rsidRPr="002F3D36" w:rsidRDefault="002F3D36" w:rsidP="002F3D36">
      <w:pPr>
        <w:widowControl/>
        <w:spacing w:before="8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For 2021, the gains and losses recognized in other non-operating items, net are a loss of $33 million for derivative instruments not designated as hedging instruments. For 2020, the Company recognized a gain of $19 million in other non-operating items, net for derivative instruments not designated as hedging instruments. For 2019, the Company recognized a gain of $4 million in other non-operating items, net for derivative instruments not designated as hedging instruments. The realized part of the losses referred to above are reported under financing activities in the statement of cash flows</w:t>
      </w:r>
      <w:r w:rsidRPr="002F3D36">
        <w:rPr>
          <w:rFonts w:ascii="Times New Roman" w:eastAsia="宋体" w:hAnsi="Times New Roman" w:cs="Times New Roman"/>
          <w:color w:val="000000"/>
          <w:kern w:val="0"/>
          <w:sz w:val="20"/>
          <w:szCs w:val="20"/>
        </w:rPr>
        <w:t xml:space="preserve">. </w:t>
      </w:r>
      <w:r w:rsidRPr="002F3D36">
        <w:rPr>
          <w:rFonts w:ascii="Arial" w:eastAsia="宋体" w:hAnsi="Arial" w:cs="Arial"/>
          <w:color w:val="000000"/>
          <w:kern w:val="0"/>
          <w:sz w:val="18"/>
          <w:szCs w:val="18"/>
        </w:rPr>
        <w:t>For 2021, 2020 and 2019, the gains and losses recognized as interest expense were immaterial.</w:t>
      </w:r>
    </w:p>
    <w:p w14:paraId="0574BDD5"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8"/>
          <w:szCs w:val="8"/>
        </w:rPr>
        <w:t> </w:t>
      </w:r>
    </w:p>
    <w:tbl>
      <w:tblPr>
        <w:tblW w:w="20614" w:type="dxa"/>
        <w:tblCellSpacing w:w="15" w:type="dxa"/>
        <w:tblCellMar>
          <w:top w:w="15" w:type="dxa"/>
          <w:left w:w="15" w:type="dxa"/>
          <w:bottom w:w="15" w:type="dxa"/>
          <w:right w:w="15" w:type="dxa"/>
        </w:tblCellMar>
        <w:tblLook w:val="04A0" w:firstRow="1" w:lastRow="0" w:firstColumn="1" w:lastColumn="0" w:noHBand="0" w:noVBand="1"/>
      </w:tblPr>
      <w:tblGrid>
        <w:gridCol w:w="4935"/>
        <w:gridCol w:w="234"/>
        <w:gridCol w:w="243"/>
        <w:gridCol w:w="1476"/>
        <w:gridCol w:w="136"/>
        <w:gridCol w:w="355"/>
        <w:gridCol w:w="244"/>
        <w:gridCol w:w="1958"/>
        <w:gridCol w:w="136"/>
        <w:gridCol w:w="355"/>
        <w:gridCol w:w="244"/>
        <w:gridCol w:w="2075"/>
        <w:gridCol w:w="136"/>
        <w:gridCol w:w="355"/>
        <w:gridCol w:w="244"/>
        <w:gridCol w:w="1477"/>
        <w:gridCol w:w="136"/>
        <w:gridCol w:w="355"/>
        <w:gridCol w:w="244"/>
        <w:gridCol w:w="1958"/>
        <w:gridCol w:w="136"/>
        <w:gridCol w:w="355"/>
        <w:gridCol w:w="244"/>
        <w:gridCol w:w="2075"/>
        <w:gridCol w:w="136"/>
        <w:gridCol w:w="372"/>
      </w:tblGrid>
      <w:tr w:rsidR="002F3D36" w:rsidRPr="002F3D36" w14:paraId="62B9FE01" w14:textId="77777777" w:rsidTr="002F3D36">
        <w:trPr>
          <w:tblCellSpacing w:w="15" w:type="dxa"/>
        </w:trPr>
        <w:tc>
          <w:tcPr>
            <w:tcW w:w="4899" w:type="dxa"/>
            <w:vAlign w:val="center"/>
            <w:hideMark/>
          </w:tcPr>
          <w:p w14:paraId="6AA3356C" w14:textId="77777777" w:rsidR="002F3D36" w:rsidRPr="002F3D36" w:rsidRDefault="002F3D36" w:rsidP="002F3D36">
            <w:pPr>
              <w:widowControl/>
              <w:jc w:val="left"/>
              <w:rPr>
                <w:rFonts w:ascii="Times New Roman" w:eastAsia="宋体" w:hAnsi="Times New Roman" w:cs="Times New Roman"/>
                <w:color w:val="000000"/>
                <w:kern w:val="0"/>
                <w:sz w:val="20"/>
                <w:szCs w:val="20"/>
              </w:rPr>
            </w:pPr>
          </w:p>
        </w:tc>
        <w:tc>
          <w:tcPr>
            <w:tcW w:w="205" w:type="dxa"/>
            <w:vAlign w:val="center"/>
            <w:hideMark/>
          </w:tcPr>
          <w:p w14:paraId="12454E0C"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14" w:type="dxa"/>
            <w:vAlign w:val="center"/>
            <w:hideMark/>
          </w:tcPr>
          <w:p w14:paraId="07CFE5B9"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449" w:type="dxa"/>
            <w:vAlign w:val="center"/>
            <w:hideMark/>
          </w:tcPr>
          <w:p w14:paraId="4DACA8FF"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06" w:type="dxa"/>
            <w:vAlign w:val="center"/>
            <w:hideMark/>
          </w:tcPr>
          <w:p w14:paraId="73DC20B7"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325" w:type="dxa"/>
            <w:vAlign w:val="center"/>
            <w:hideMark/>
          </w:tcPr>
          <w:p w14:paraId="5EE003C4"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14" w:type="dxa"/>
            <w:vAlign w:val="center"/>
            <w:hideMark/>
          </w:tcPr>
          <w:p w14:paraId="52FD56A3"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931" w:type="dxa"/>
            <w:vAlign w:val="center"/>
            <w:hideMark/>
          </w:tcPr>
          <w:p w14:paraId="5BF17C49"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06" w:type="dxa"/>
            <w:vAlign w:val="center"/>
            <w:hideMark/>
          </w:tcPr>
          <w:p w14:paraId="5A39EAE3"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325" w:type="dxa"/>
            <w:vAlign w:val="center"/>
            <w:hideMark/>
          </w:tcPr>
          <w:p w14:paraId="7AF4F5A8"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14" w:type="dxa"/>
            <w:vAlign w:val="center"/>
            <w:hideMark/>
          </w:tcPr>
          <w:p w14:paraId="22811D27"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049" w:type="dxa"/>
            <w:vAlign w:val="center"/>
            <w:hideMark/>
          </w:tcPr>
          <w:p w14:paraId="4E482308"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06" w:type="dxa"/>
            <w:vAlign w:val="center"/>
            <w:hideMark/>
          </w:tcPr>
          <w:p w14:paraId="4074B6C8"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325" w:type="dxa"/>
            <w:vAlign w:val="center"/>
            <w:hideMark/>
          </w:tcPr>
          <w:p w14:paraId="5894FE6E"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14" w:type="dxa"/>
            <w:vAlign w:val="center"/>
            <w:hideMark/>
          </w:tcPr>
          <w:p w14:paraId="66F1B1C0"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449" w:type="dxa"/>
            <w:vAlign w:val="center"/>
            <w:hideMark/>
          </w:tcPr>
          <w:p w14:paraId="613D1340"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06" w:type="dxa"/>
            <w:vAlign w:val="center"/>
            <w:hideMark/>
          </w:tcPr>
          <w:p w14:paraId="7F186BCB"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325" w:type="dxa"/>
            <w:vAlign w:val="center"/>
            <w:hideMark/>
          </w:tcPr>
          <w:p w14:paraId="66EC3A03"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14" w:type="dxa"/>
            <w:vAlign w:val="center"/>
            <w:hideMark/>
          </w:tcPr>
          <w:p w14:paraId="0F7A7B41"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931" w:type="dxa"/>
            <w:vAlign w:val="center"/>
            <w:hideMark/>
          </w:tcPr>
          <w:p w14:paraId="68D7313F"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06" w:type="dxa"/>
            <w:vAlign w:val="center"/>
            <w:hideMark/>
          </w:tcPr>
          <w:p w14:paraId="2289266A"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325" w:type="dxa"/>
            <w:vAlign w:val="center"/>
            <w:hideMark/>
          </w:tcPr>
          <w:p w14:paraId="029372E6"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14" w:type="dxa"/>
            <w:vAlign w:val="center"/>
            <w:hideMark/>
          </w:tcPr>
          <w:p w14:paraId="6DAB927B"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049" w:type="dxa"/>
            <w:vAlign w:val="center"/>
            <w:hideMark/>
          </w:tcPr>
          <w:p w14:paraId="6A1F69FA"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06" w:type="dxa"/>
            <w:vAlign w:val="center"/>
            <w:hideMark/>
          </w:tcPr>
          <w:p w14:paraId="52317EF3"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327" w:type="dxa"/>
            <w:vAlign w:val="center"/>
            <w:hideMark/>
          </w:tcPr>
          <w:p w14:paraId="4FE01608" w14:textId="77777777" w:rsidR="002F3D36" w:rsidRPr="002F3D36" w:rsidRDefault="002F3D36" w:rsidP="002F3D36">
            <w:pPr>
              <w:widowControl/>
              <w:jc w:val="left"/>
              <w:rPr>
                <w:rFonts w:ascii="Times New Roman" w:eastAsia="Times New Roman" w:hAnsi="Times New Roman" w:cs="Times New Roman"/>
                <w:kern w:val="0"/>
                <w:sz w:val="20"/>
                <w:szCs w:val="20"/>
              </w:rPr>
            </w:pPr>
          </w:p>
        </w:tc>
      </w:tr>
      <w:tr w:rsidR="002F3D36" w:rsidRPr="002F3D36" w14:paraId="15D63332" w14:textId="77777777" w:rsidTr="002F3D36">
        <w:trPr>
          <w:trHeight w:val="140"/>
          <w:tblCellSpacing w:w="15" w:type="dxa"/>
        </w:trPr>
        <w:tc>
          <w:tcPr>
            <w:tcW w:w="0" w:type="auto"/>
            <w:vAlign w:val="bottom"/>
            <w:hideMark/>
          </w:tcPr>
          <w:p w14:paraId="1452690C" w14:textId="77777777" w:rsidR="002F3D36" w:rsidRPr="002F3D36" w:rsidRDefault="002F3D36" w:rsidP="002F3D36">
            <w:pPr>
              <w:widowControl/>
              <w:jc w:val="center"/>
              <w:rPr>
                <w:rFonts w:ascii="Times New Roman" w:eastAsia="宋体" w:hAnsi="Times New Roman" w:cs="Times New Roman"/>
                <w:kern w:val="0"/>
                <w:sz w:val="14"/>
                <w:szCs w:val="14"/>
              </w:rPr>
            </w:pPr>
            <w:r w:rsidRPr="002F3D36">
              <w:rPr>
                <w:rFonts w:ascii="Arial" w:eastAsia="宋体" w:hAnsi="Arial" w:cs="Arial"/>
                <w:kern w:val="0"/>
                <w:sz w:val="14"/>
                <w:szCs w:val="14"/>
              </w:rPr>
              <w:lastRenderedPageBreak/>
              <w:t> </w:t>
            </w:r>
          </w:p>
        </w:tc>
        <w:tc>
          <w:tcPr>
            <w:tcW w:w="0" w:type="auto"/>
            <w:vAlign w:val="bottom"/>
            <w:hideMark/>
          </w:tcPr>
          <w:p w14:paraId="3894AE6D" w14:textId="77777777" w:rsidR="002F3D36" w:rsidRPr="002F3D36" w:rsidRDefault="002F3D36" w:rsidP="002F3D36">
            <w:pPr>
              <w:widowControl/>
              <w:jc w:val="center"/>
              <w:rPr>
                <w:rFonts w:ascii="Times New Roman" w:eastAsia="宋体" w:hAnsi="Times New Roman" w:cs="Times New Roman"/>
                <w:kern w:val="0"/>
                <w:sz w:val="14"/>
                <w:szCs w:val="14"/>
              </w:rPr>
            </w:pPr>
            <w:r w:rsidRPr="002F3D36">
              <w:rPr>
                <w:rFonts w:ascii="Arial" w:eastAsia="宋体" w:hAnsi="Arial" w:cs="Arial"/>
                <w:kern w:val="0"/>
                <w:sz w:val="14"/>
                <w:szCs w:val="14"/>
              </w:rPr>
              <w:t> </w:t>
            </w:r>
          </w:p>
        </w:tc>
        <w:tc>
          <w:tcPr>
            <w:tcW w:w="0" w:type="auto"/>
            <w:gridSpan w:val="10"/>
            <w:tcBorders>
              <w:bottom w:val="single" w:sz="4" w:space="0" w:color="000000"/>
            </w:tcBorders>
            <w:vAlign w:val="bottom"/>
            <w:hideMark/>
          </w:tcPr>
          <w:p w14:paraId="3AF466DC" w14:textId="77777777" w:rsidR="002F3D36" w:rsidRPr="002F3D36" w:rsidRDefault="002F3D36" w:rsidP="002F3D36">
            <w:pPr>
              <w:widowControl/>
              <w:jc w:val="center"/>
              <w:rPr>
                <w:rFonts w:ascii="Times New Roman" w:eastAsia="宋体" w:hAnsi="Times New Roman" w:cs="Times New Roman"/>
                <w:kern w:val="0"/>
                <w:sz w:val="14"/>
                <w:szCs w:val="14"/>
              </w:rPr>
            </w:pPr>
            <w:r w:rsidRPr="002F3D36">
              <w:rPr>
                <w:rFonts w:ascii="Arial" w:eastAsia="宋体" w:hAnsi="Arial" w:cs="Arial"/>
                <w:b/>
                <w:bCs/>
                <w:color w:val="000000"/>
                <w:kern w:val="0"/>
                <w:sz w:val="14"/>
                <w:szCs w:val="14"/>
              </w:rPr>
              <w:t>DECEMBER 31, 2021</w:t>
            </w:r>
          </w:p>
        </w:tc>
        <w:tc>
          <w:tcPr>
            <w:tcW w:w="0" w:type="auto"/>
            <w:vAlign w:val="bottom"/>
            <w:hideMark/>
          </w:tcPr>
          <w:p w14:paraId="4D1AE8E7" w14:textId="77777777" w:rsidR="002F3D36" w:rsidRPr="002F3D36" w:rsidRDefault="002F3D36" w:rsidP="002F3D36">
            <w:pPr>
              <w:widowControl/>
              <w:jc w:val="center"/>
              <w:rPr>
                <w:rFonts w:ascii="Times New Roman" w:eastAsia="宋体" w:hAnsi="Times New Roman" w:cs="Times New Roman"/>
                <w:kern w:val="0"/>
                <w:sz w:val="14"/>
                <w:szCs w:val="14"/>
              </w:rPr>
            </w:pPr>
            <w:r w:rsidRPr="002F3D36">
              <w:rPr>
                <w:rFonts w:ascii="Arial" w:eastAsia="宋体" w:hAnsi="Arial" w:cs="Arial"/>
                <w:kern w:val="0"/>
                <w:sz w:val="14"/>
                <w:szCs w:val="14"/>
              </w:rPr>
              <w:t> </w:t>
            </w:r>
          </w:p>
        </w:tc>
        <w:tc>
          <w:tcPr>
            <w:tcW w:w="0" w:type="auto"/>
            <w:vAlign w:val="bottom"/>
            <w:hideMark/>
          </w:tcPr>
          <w:p w14:paraId="1C65BDBD" w14:textId="77777777" w:rsidR="002F3D36" w:rsidRPr="002F3D36" w:rsidRDefault="002F3D36" w:rsidP="002F3D36">
            <w:pPr>
              <w:widowControl/>
              <w:jc w:val="center"/>
              <w:rPr>
                <w:rFonts w:ascii="Times New Roman" w:eastAsia="宋体" w:hAnsi="Times New Roman" w:cs="Times New Roman"/>
                <w:kern w:val="0"/>
                <w:sz w:val="14"/>
                <w:szCs w:val="14"/>
              </w:rPr>
            </w:pPr>
            <w:r w:rsidRPr="002F3D36">
              <w:rPr>
                <w:rFonts w:ascii="Arial" w:eastAsia="宋体" w:hAnsi="Arial" w:cs="Arial"/>
                <w:kern w:val="0"/>
                <w:sz w:val="14"/>
                <w:szCs w:val="14"/>
              </w:rPr>
              <w:t> </w:t>
            </w:r>
          </w:p>
        </w:tc>
        <w:tc>
          <w:tcPr>
            <w:tcW w:w="0" w:type="auto"/>
            <w:gridSpan w:val="10"/>
            <w:tcBorders>
              <w:bottom w:val="single" w:sz="4" w:space="0" w:color="000000"/>
            </w:tcBorders>
            <w:vAlign w:val="bottom"/>
            <w:hideMark/>
          </w:tcPr>
          <w:p w14:paraId="062CAAA5" w14:textId="77777777" w:rsidR="002F3D36" w:rsidRPr="002F3D36" w:rsidRDefault="002F3D36" w:rsidP="002F3D36">
            <w:pPr>
              <w:widowControl/>
              <w:jc w:val="center"/>
              <w:rPr>
                <w:rFonts w:ascii="Times New Roman" w:eastAsia="宋体" w:hAnsi="Times New Roman" w:cs="Times New Roman"/>
                <w:kern w:val="0"/>
                <w:sz w:val="14"/>
                <w:szCs w:val="14"/>
              </w:rPr>
            </w:pPr>
            <w:r w:rsidRPr="002F3D36">
              <w:rPr>
                <w:rFonts w:ascii="Arial" w:eastAsia="宋体" w:hAnsi="Arial" w:cs="Arial"/>
                <w:b/>
                <w:bCs/>
                <w:color w:val="000000"/>
                <w:kern w:val="0"/>
                <w:sz w:val="14"/>
                <w:szCs w:val="14"/>
              </w:rPr>
              <w:t>DECEMBER 31, 2020</w:t>
            </w:r>
          </w:p>
        </w:tc>
        <w:tc>
          <w:tcPr>
            <w:tcW w:w="0" w:type="auto"/>
            <w:vAlign w:val="bottom"/>
            <w:hideMark/>
          </w:tcPr>
          <w:p w14:paraId="7A9B2B25" w14:textId="77777777" w:rsidR="002F3D36" w:rsidRPr="002F3D36" w:rsidRDefault="002F3D36" w:rsidP="002F3D36">
            <w:pPr>
              <w:widowControl/>
              <w:jc w:val="center"/>
              <w:rPr>
                <w:rFonts w:ascii="Times New Roman" w:eastAsia="宋体" w:hAnsi="Times New Roman" w:cs="Times New Roman"/>
                <w:kern w:val="0"/>
                <w:sz w:val="14"/>
                <w:szCs w:val="14"/>
              </w:rPr>
            </w:pPr>
            <w:r w:rsidRPr="002F3D36">
              <w:rPr>
                <w:rFonts w:ascii="Arial" w:eastAsia="宋体" w:hAnsi="Arial" w:cs="Arial"/>
                <w:kern w:val="0"/>
                <w:sz w:val="14"/>
                <w:szCs w:val="14"/>
              </w:rPr>
              <w:t> </w:t>
            </w:r>
          </w:p>
        </w:tc>
        <w:tc>
          <w:tcPr>
            <w:tcW w:w="0" w:type="auto"/>
            <w:vAlign w:val="bottom"/>
            <w:hideMark/>
          </w:tcPr>
          <w:p w14:paraId="2DD314EA" w14:textId="77777777" w:rsidR="002F3D36" w:rsidRPr="002F3D36" w:rsidRDefault="002F3D36" w:rsidP="002F3D36">
            <w:pPr>
              <w:widowControl/>
              <w:jc w:val="center"/>
              <w:rPr>
                <w:rFonts w:ascii="Times New Roman" w:eastAsia="宋体" w:hAnsi="Times New Roman" w:cs="Times New Roman"/>
                <w:kern w:val="0"/>
                <w:sz w:val="14"/>
                <w:szCs w:val="14"/>
              </w:rPr>
            </w:pPr>
            <w:r w:rsidRPr="002F3D36">
              <w:rPr>
                <w:rFonts w:ascii="Arial" w:eastAsia="宋体" w:hAnsi="Arial" w:cs="Arial"/>
                <w:kern w:val="0"/>
                <w:sz w:val="14"/>
                <w:szCs w:val="14"/>
              </w:rPr>
              <w:t> </w:t>
            </w:r>
          </w:p>
        </w:tc>
      </w:tr>
      <w:tr w:rsidR="002F3D36" w:rsidRPr="002F3D36" w14:paraId="2D9ABFFF" w14:textId="77777777" w:rsidTr="002F3D36">
        <w:trPr>
          <w:trHeight w:val="140"/>
          <w:tblCellSpacing w:w="15" w:type="dxa"/>
        </w:trPr>
        <w:tc>
          <w:tcPr>
            <w:tcW w:w="0" w:type="auto"/>
            <w:vAlign w:val="bottom"/>
            <w:hideMark/>
          </w:tcPr>
          <w:p w14:paraId="5576C501" w14:textId="77777777" w:rsidR="002F3D36" w:rsidRPr="002F3D36" w:rsidRDefault="002F3D36" w:rsidP="002F3D36">
            <w:pPr>
              <w:widowControl/>
              <w:jc w:val="center"/>
              <w:rPr>
                <w:rFonts w:ascii="Times New Roman" w:eastAsia="宋体" w:hAnsi="Times New Roman" w:cs="Times New Roman"/>
                <w:kern w:val="0"/>
                <w:sz w:val="14"/>
                <w:szCs w:val="14"/>
              </w:rPr>
            </w:pPr>
            <w:r w:rsidRPr="002F3D36">
              <w:rPr>
                <w:rFonts w:ascii="Arial" w:eastAsia="宋体" w:hAnsi="Arial" w:cs="Arial"/>
                <w:kern w:val="0"/>
                <w:sz w:val="14"/>
                <w:szCs w:val="14"/>
              </w:rPr>
              <w:t> </w:t>
            </w:r>
          </w:p>
        </w:tc>
        <w:tc>
          <w:tcPr>
            <w:tcW w:w="0" w:type="auto"/>
            <w:vAlign w:val="bottom"/>
            <w:hideMark/>
          </w:tcPr>
          <w:p w14:paraId="487087E9" w14:textId="77777777" w:rsidR="002F3D36" w:rsidRPr="002F3D36" w:rsidRDefault="002F3D36" w:rsidP="002F3D36">
            <w:pPr>
              <w:widowControl/>
              <w:jc w:val="center"/>
              <w:rPr>
                <w:rFonts w:ascii="Times New Roman" w:eastAsia="宋体" w:hAnsi="Times New Roman" w:cs="Times New Roman"/>
                <w:kern w:val="0"/>
                <w:sz w:val="14"/>
                <w:szCs w:val="14"/>
              </w:rPr>
            </w:pPr>
            <w:r w:rsidRPr="002F3D36">
              <w:rPr>
                <w:rFonts w:ascii="Arial" w:eastAsia="宋体" w:hAnsi="Arial" w:cs="Arial"/>
                <w:kern w:val="0"/>
                <w:sz w:val="14"/>
                <w:szCs w:val="14"/>
              </w:rPr>
              <w:t> </w:t>
            </w:r>
          </w:p>
        </w:tc>
        <w:tc>
          <w:tcPr>
            <w:tcW w:w="0" w:type="auto"/>
            <w:gridSpan w:val="2"/>
            <w:vAlign w:val="bottom"/>
            <w:hideMark/>
          </w:tcPr>
          <w:p w14:paraId="201AD99A" w14:textId="77777777" w:rsidR="002F3D36" w:rsidRPr="002F3D36" w:rsidRDefault="002F3D36" w:rsidP="002F3D36">
            <w:pPr>
              <w:widowControl/>
              <w:jc w:val="center"/>
              <w:rPr>
                <w:rFonts w:ascii="Times New Roman" w:eastAsia="宋体" w:hAnsi="Times New Roman" w:cs="Times New Roman"/>
                <w:kern w:val="0"/>
                <w:sz w:val="14"/>
                <w:szCs w:val="14"/>
              </w:rPr>
            </w:pPr>
            <w:r w:rsidRPr="002F3D36">
              <w:rPr>
                <w:rFonts w:ascii="Arial" w:eastAsia="宋体" w:hAnsi="Arial" w:cs="Arial"/>
                <w:kern w:val="0"/>
                <w:sz w:val="14"/>
                <w:szCs w:val="14"/>
              </w:rPr>
              <w:t> </w:t>
            </w:r>
          </w:p>
        </w:tc>
        <w:tc>
          <w:tcPr>
            <w:tcW w:w="0" w:type="auto"/>
            <w:vAlign w:val="bottom"/>
            <w:hideMark/>
          </w:tcPr>
          <w:p w14:paraId="411AA843" w14:textId="77777777" w:rsidR="002F3D36" w:rsidRPr="002F3D36" w:rsidRDefault="002F3D36" w:rsidP="002F3D36">
            <w:pPr>
              <w:widowControl/>
              <w:jc w:val="center"/>
              <w:rPr>
                <w:rFonts w:ascii="Times New Roman" w:eastAsia="宋体" w:hAnsi="Times New Roman" w:cs="Times New Roman"/>
                <w:kern w:val="0"/>
                <w:sz w:val="14"/>
                <w:szCs w:val="14"/>
              </w:rPr>
            </w:pPr>
            <w:r w:rsidRPr="002F3D36">
              <w:rPr>
                <w:rFonts w:ascii="Arial" w:eastAsia="宋体" w:hAnsi="Arial" w:cs="Arial"/>
                <w:kern w:val="0"/>
                <w:sz w:val="14"/>
                <w:szCs w:val="14"/>
              </w:rPr>
              <w:t> </w:t>
            </w:r>
          </w:p>
        </w:tc>
        <w:tc>
          <w:tcPr>
            <w:tcW w:w="0" w:type="auto"/>
            <w:vAlign w:val="bottom"/>
            <w:hideMark/>
          </w:tcPr>
          <w:p w14:paraId="36B5D879" w14:textId="77777777" w:rsidR="002F3D36" w:rsidRPr="002F3D36" w:rsidRDefault="002F3D36" w:rsidP="002F3D36">
            <w:pPr>
              <w:widowControl/>
              <w:jc w:val="center"/>
              <w:rPr>
                <w:rFonts w:ascii="Times New Roman" w:eastAsia="宋体" w:hAnsi="Times New Roman" w:cs="Times New Roman"/>
                <w:kern w:val="0"/>
                <w:sz w:val="14"/>
                <w:szCs w:val="14"/>
              </w:rPr>
            </w:pPr>
            <w:r w:rsidRPr="002F3D36">
              <w:rPr>
                <w:rFonts w:ascii="Arial" w:eastAsia="宋体" w:hAnsi="Arial" w:cs="Arial"/>
                <w:kern w:val="0"/>
                <w:sz w:val="14"/>
                <w:szCs w:val="14"/>
              </w:rPr>
              <w:t> </w:t>
            </w:r>
          </w:p>
        </w:tc>
        <w:tc>
          <w:tcPr>
            <w:tcW w:w="0" w:type="auto"/>
            <w:gridSpan w:val="6"/>
            <w:tcBorders>
              <w:bottom w:val="single" w:sz="4" w:space="0" w:color="000000"/>
            </w:tcBorders>
            <w:vAlign w:val="bottom"/>
            <w:hideMark/>
          </w:tcPr>
          <w:p w14:paraId="793E7464" w14:textId="77777777" w:rsidR="002F3D36" w:rsidRPr="002F3D36" w:rsidRDefault="002F3D36" w:rsidP="002F3D36">
            <w:pPr>
              <w:widowControl/>
              <w:jc w:val="center"/>
              <w:rPr>
                <w:rFonts w:ascii="Times New Roman" w:eastAsia="宋体" w:hAnsi="Times New Roman" w:cs="Times New Roman"/>
                <w:kern w:val="0"/>
                <w:sz w:val="14"/>
                <w:szCs w:val="14"/>
              </w:rPr>
            </w:pPr>
            <w:r w:rsidRPr="002F3D36">
              <w:rPr>
                <w:rFonts w:ascii="Arial" w:eastAsia="宋体" w:hAnsi="Arial" w:cs="Arial"/>
                <w:b/>
                <w:bCs/>
                <w:color w:val="000000"/>
                <w:kern w:val="0"/>
                <w:sz w:val="14"/>
                <w:szCs w:val="14"/>
              </w:rPr>
              <w:t>Fair Value Measurements</w:t>
            </w:r>
          </w:p>
        </w:tc>
        <w:tc>
          <w:tcPr>
            <w:tcW w:w="0" w:type="auto"/>
            <w:vAlign w:val="bottom"/>
            <w:hideMark/>
          </w:tcPr>
          <w:p w14:paraId="6C0429BF" w14:textId="77777777" w:rsidR="002F3D36" w:rsidRPr="002F3D36" w:rsidRDefault="002F3D36" w:rsidP="002F3D36">
            <w:pPr>
              <w:widowControl/>
              <w:jc w:val="center"/>
              <w:rPr>
                <w:rFonts w:ascii="Times New Roman" w:eastAsia="宋体" w:hAnsi="Times New Roman" w:cs="Times New Roman"/>
                <w:kern w:val="0"/>
                <w:sz w:val="14"/>
                <w:szCs w:val="14"/>
              </w:rPr>
            </w:pPr>
            <w:r w:rsidRPr="002F3D36">
              <w:rPr>
                <w:rFonts w:ascii="Arial" w:eastAsia="宋体" w:hAnsi="Arial" w:cs="Arial"/>
                <w:kern w:val="0"/>
                <w:sz w:val="14"/>
                <w:szCs w:val="14"/>
              </w:rPr>
              <w:t> </w:t>
            </w:r>
          </w:p>
        </w:tc>
        <w:tc>
          <w:tcPr>
            <w:tcW w:w="0" w:type="auto"/>
            <w:vAlign w:val="bottom"/>
            <w:hideMark/>
          </w:tcPr>
          <w:p w14:paraId="76C26351" w14:textId="77777777" w:rsidR="002F3D36" w:rsidRPr="002F3D36" w:rsidRDefault="002F3D36" w:rsidP="002F3D36">
            <w:pPr>
              <w:widowControl/>
              <w:jc w:val="center"/>
              <w:rPr>
                <w:rFonts w:ascii="Times New Roman" w:eastAsia="宋体" w:hAnsi="Times New Roman" w:cs="Times New Roman"/>
                <w:kern w:val="0"/>
                <w:sz w:val="14"/>
                <w:szCs w:val="14"/>
              </w:rPr>
            </w:pPr>
            <w:r w:rsidRPr="002F3D36">
              <w:rPr>
                <w:rFonts w:ascii="Arial" w:eastAsia="宋体" w:hAnsi="Arial" w:cs="Arial"/>
                <w:kern w:val="0"/>
                <w:sz w:val="14"/>
                <w:szCs w:val="14"/>
              </w:rPr>
              <w:t> </w:t>
            </w:r>
          </w:p>
        </w:tc>
        <w:tc>
          <w:tcPr>
            <w:tcW w:w="0" w:type="auto"/>
            <w:gridSpan w:val="2"/>
            <w:vAlign w:val="bottom"/>
            <w:hideMark/>
          </w:tcPr>
          <w:p w14:paraId="1A692007" w14:textId="77777777" w:rsidR="002F3D36" w:rsidRPr="002F3D36" w:rsidRDefault="002F3D36" w:rsidP="002F3D36">
            <w:pPr>
              <w:widowControl/>
              <w:jc w:val="center"/>
              <w:rPr>
                <w:rFonts w:ascii="Times New Roman" w:eastAsia="宋体" w:hAnsi="Times New Roman" w:cs="Times New Roman"/>
                <w:kern w:val="0"/>
                <w:sz w:val="14"/>
                <w:szCs w:val="14"/>
              </w:rPr>
            </w:pPr>
            <w:r w:rsidRPr="002F3D36">
              <w:rPr>
                <w:rFonts w:ascii="Arial" w:eastAsia="宋体" w:hAnsi="Arial" w:cs="Arial"/>
                <w:kern w:val="0"/>
                <w:sz w:val="14"/>
                <w:szCs w:val="14"/>
              </w:rPr>
              <w:t> </w:t>
            </w:r>
          </w:p>
        </w:tc>
        <w:tc>
          <w:tcPr>
            <w:tcW w:w="0" w:type="auto"/>
            <w:vAlign w:val="bottom"/>
            <w:hideMark/>
          </w:tcPr>
          <w:p w14:paraId="4DFE5AEC" w14:textId="77777777" w:rsidR="002F3D36" w:rsidRPr="002F3D36" w:rsidRDefault="002F3D36" w:rsidP="002F3D36">
            <w:pPr>
              <w:widowControl/>
              <w:jc w:val="center"/>
              <w:rPr>
                <w:rFonts w:ascii="Times New Roman" w:eastAsia="宋体" w:hAnsi="Times New Roman" w:cs="Times New Roman"/>
                <w:kern w:val="0"/>
                <w:sz w:val="14"/>
                <w:szCs w:val="14"/>
              </w:rPr>
            </w:pPr>
            <w:r w:rsidRPr="002F3D36">
              <w:rPr>
                <w:rFonts w:ascii="Arial" w:eastAsia="宋体" w:hAnsi="Arial" w:cs="Arial"/>
                <w:kern w:val="0"/>
                <w:sz w:val="14"/>
                <w:szCs w:val="14"/>
              </w:rPr>
              <w:t> </w:t>
            </w:r>
          </w:p>
        </w:tc>
        <w:tc>
          <w:tcPr>
            <w:tcW w:w="0" w:type="auto"/>
            <w:vAlign w:val="bottom"/>
            <w:hideMark/>
          </w:tcPr>
          <w:p w14:paraId="31F2FA49" w14:textId="77777777" w:rsidR="002F3D36" w:rsidRPr="002F3D36" w:rsidRDefault="002F3D36" w:rsidP="002F3D36">
            <w:pPr>
              <w:widowControl/>
              <w:jc w:val="center"/>
              <w:rPr>
                <w:rFonts w:ascii="Times New Roman" w:eastAsia="宋体" w:hAnsi="Times New Roman" w:cs="Times New Roman"/>
                <w:kern w:val="0"/>
                <w:sz w:val="14"/>
                <w:szCs w:val="14"/>
              </w:rPr>
            </w:pPr>
            <w:r w:rsidRPr="002F3D36">
              <w:rPr>
                <w:rFonts w:ascii="Arial" w:eastAsia="宋体" w:hAnsi="Arial" w:cs="Arial"/>
                <w:kern w:val="0"/>
                <w:sz w:val="14"/>
                <w:szCs w:val="14"/>
              </w:rPr>
              <w:t> </w:t>
            </w:r>
          </w:p>
        </w:tc>
        <w:tc>
          <w:tcPr>
            <w:tcW w:w="0" w:type="auto"/>
            <w:gridSpan w:val="6"/>
            <w:tcBorders>
              <w:bottom w:val="single" w:sz="4" w:space="0" w:color="000000"/>
            </w:tcBorders>
            <w:vAlign w:val="bottom"/>
            <w:hideMark/>
          </w:tcPr>
          <w:p w14:paraId="5178813C" w14:textId="77777777" w:rsidR="002F3D36" w:rsidRPr="002F3D36" w:rsidRDefault="002F3D36" w:rsidP="002F3D36">
            <w:pPr>
              <w:widowControl/>
              <w:jc w:val="center"/>
              <w:rPr>
                <w:rFonts w:ascii="Times New Roman" w:eastAsia="宋体" w:hAnsi="Times New Roman" w:cs="Times New Roman"/>
                <w:kern w:val="0"/>
                <w:sz w:val="14"/>
                <w:szCs w:val="14"/>
              </w:rPr>
            </w:pPr>
            <w:r w:rsidRPr="002F3D36">
              <w:rPr>
                <w:rFonts w:ascii="Arial" w:eastAsia="宋体" w:hAnsi="Arial" w:cs="Arial"/>
                <w:b/>
                <w:bCs/>
                <w:color w:val="000000"/>
                <w:kern w:val="0"/>
                <w:sz w:val="14"/>
                <w:szCs w:val="14"/>
              </w:rPr>
              <w:t>Fair Value Measurements</w:t>
            </w:r>
          </w:p>
        </w:tc>
        <w:tc>
          <w:tcPr>
            <w:tcW w:w="0" w:type="auto"/>
            <w:vAlign w:val="bottom"/>
            <w:hideMark/>
          </w:tcPr>
          <w:p w14:paraId="1702B5EA" w14:textId="77777777" w:rsidR="002F3D36" w:rsidRPr="002F3D36" w:rsidRDefault="002F3D36" w:rsidP="002F3D36">
            <w:pPr>
              <w:widowControl/>
              <w:jc w:val="center"/>
              <w:rPr>
                <w:rFonts w:ascii="Times New Roman" w:eastAsia="宋体" w:hAnsi="Times New Roman" w:cs="Times New Roman"/>
                <w:kern w:val="0"/>
                <w:sz w:val="14"/>
                <w:szCs w:val="14"/>
              </w:rPr>
            </w:pPr>
            <w:r w:rsidRPr="002F3D36">
              <w:rPr>
                <w:rFonts w:ascii="Arial" w:eastAsia="宋体" w:hAnsi="Arial" w:cs="Arial"/>
                <w:kern w:val="0"/>
                <w:sz w:val="14"/>
                <w:szCs w:val="14"/>
              </w:rPr>
              <w:t> </w:t>
            </w:r>
          </w:p>
        </w:tc>
        <w:tc>
          <w:tcPr>
            <w:tcW w:w="0" w:type="auto"/>
            <w:vAlign w:val="bottom"/>
            <w:hideMark/>
          </w:tcPr>
          <w:p w14:paraId="5E0980B0" w14:textId="77777777" w:rsidR="002F3D36" w:rsidRPr="002F3D36" w:rsidRDefault="002F3D36" w:rsidP="002F3D36">
            <w:pPr>
              <w:widowControl/>
              <w:jc w:val="center"/>
              <w:rPr>
                <w:rFonts w:ascii="Times New Roman" w:eastAsia="宋体" w:hAnsi="Times New Roman" w:cs="Times New Roman"/>
                <w:kern w:val="0"/>
                <w:sz w:val="14"/>
                <w:szCs w:val="14"/>
              </w:rPr>
            </w:pPr>
            <w:r w:rsidRPr="002F3D36">
              <w:rPr>
                <w:rFonts w:ascii="Arial" w:eastAsia="宋体" w:hAnsi="Arial" w:cs="Arial"/>
                <w:kern w:val="0"/>
                <w:sz w:val="14"/>
                <w:szCs w:val="14"/>
              </w:rPr>
              <w:t> </w:t>
            </w:r>
          </w:p>
        </w:tc>
      </w:tr>
      <w:tr w:rsidR="002F3D36" w:rsidRPr="002F3D36" w14:paraId="0B20830F" w14:textId="77777777" w:rsidTr="002F3D36">
        <w:trPr>
          <w:trHeight w:val="140"/>
          <w:tblCellSpacing w:w="15" w:type="dxa"/>
        </w:trPr>
        <w:tc>
          <w:tcPr>
            <w:tcW w:w="0" w:type="auto"/>
            <w:vAlign w:val="bottom"/>
            <w:hideMark/>
          </w:tcPr>
          <w:p w14:paraId="24C46E3C" w14:textId="77777777" w:rsidR="002F3D36" w:rsidRPr="002F3D36" w:rsidRDefault="002F3D36" w:rsidP="002F3D36">
            <w:pPr>
              <w:widowControl/>
              <w:jc w:val="center"/>
              <w:rPr>
                <w:rFonts w:ascii="Times New Roman" w:eastAsia="宋体" w:hAnsi="Times New Roman" w:cs="Times New Roman"/>
                <w:kern w:val="0"/>
                <w:sz w:val="14"/>
                <w:szCs w:val="14"/>
              </w:rPr>
            </w:pPr>
            <w:r w:rsidRPr="002F3D36">
              <w:rPr>
                <w:rFonts w:ascii="Arial" w:eastAsia="宋体" w:hAnsi="Arial" w:cs="Arial"/>
                <w:kern w:val="0"/>
                <w:sz w:val="14"/>
                <w:szCs w:val="14"/>
              </w:rPr>
              <w:t> </w:t>
            </w:r>
          </w:p>
        </w:tc>
        <w:tc>
          <w:tcPr>
            <w:tcW w:w="0" w:type="auto"/>
            <w:vAlign w:val="bottom"/>
            <w:hideMark/>
          </w:tcPr>
          <w:p w14:paraId="1EC5AA0C" w14:textId="77777777" w:rsidR="002F3D36" w:rsidRPr="002F3D36" w:rsidRDefault="002F3D36" w:rsidP="002F3D36">
            <w:pPr>
              <w:widowControl/>
              <w:jc w:val="center"/>
              <w:rPr>
                <w:rFonts w:ascii="Times New Roman" w:eastAsia="宋体" w:hAnsi="Times New Roman" w:cs="Times New Roman"/>
                <w:kern w:val="0"/>
                <w:sz w:val="14"/>
                <w:szCs w:val="14"/>
              </w:rPr>
            </w:pPr>
            <w:r w:rsidRPr="002F3D36">
              <w:rPr>
                <w:rFonts w:ascii="Arial" w:eastAsia="宋体" w:hAnsi="Arial" w:cs="Arial"/>
                <w:kern w:val="0"/>
                <w:sz w:val="14"/>
                <w:szCs w:val="14"/>
              </w:rPr>
              <w:t> </w:t>
            </w:r>
          </w:p>
        </w:tc>
        <w:tc>
          <w:tcPr>
            <w:tcW w:w="0" w:type="auto"/>
            <w:gridSpan w:val="2"/>
            <w:vAlign w:val="bottom"/>
            <w:hideMark/>
          </w:tcPr>
          <w:p w14:paraId="20195552" w14:textId="77777777" w:rsidR="002F3D36" w:rsidRPr="002F3D36" w:rsidRDefault="002F3D36" w:rsidP="002F3D36">
            <w:pPr>
              <w:widowControl/>
              <w:jc w:val="center"/>
              <w:rPr>
                <w:rFonts w:ascii="Times New Roman" w:eastAsia="宋体" w:hAnsi="Times New Roman" w:cs="Times New Roman"/>
                <w:kern w:val="0"/>
                <w:sz w:val="14"/>
                <w:szCs w:val="14"/>
              </w:rPr>
            </w:pPr>
            <w:r w:rsidRPr="002F3D36">
              <w:rPr>
                <w:rFonts w:ascii="Arial" w:eastAsia="宋体" w:hAnsi="Arial" w:cs="Arial"/>
                <w:kern w:val="0"/>
                <w:sz w:val="14"/>
                <w:szCs w:val="14"/>
              </w:rPr>
              <w:t> </w:t>
            </w:r>
          </w:p>
        </w:tc>
        <w:tc>
          <w:tcPr>
            <w:tcW w:w="0" w:type="auto"/>
            <w:vAlign w:val="bottom"/>
            <w:hideMark/>
          </w:tcPr>
          <w:p w14:paraId="06EADECB" w14:textId="77777777" w:rsidR="002F3D36" w:rsidRPr="002F3D36" w:rsidRDefault="002F3D36" w:rsidP="002F3D36">
            <w:pPr>
              <w:widowControl/>
              <w:jc w:val="center"/>
              <w:rPr>
                <w:rFonts w:ascii="Times New Roman" w:eastAsia="宋体" w:hAnsi="Times New Roman" w:cs="Times New Roman"/>
                <w:kern w:val="0"/>
                <w:sz w:val="14"/>
                <w:szCs w:val="14"/>
              </w:rPr>
            </w:pPr>
            <w:r w:rsidRPr="002F3D36">
              <w:rPr>
                <w:rFonts w:ascii="Arial" w:eastAsia="宋体" w:hAnsi="Arial" w:cs="Arial"/>
                <w:kern w:val="0"/>
                <w:sz w:val="14"/>
                <w:szCs w:val="14"/>
              </w:rPr>
              <w:t> </w:t>
            </w:r>
          </w:p>
        </w:tc>
        <w:tc>
          <w:tcPr>
            <w:tcW w:w="0" w:type="auto"/>
            <w:vAlign w:val="bottom"/>
            <w:hideMark/>
          </w:tcPr>
          <w:p w14:paraId="7B71C777" w14:textId="77777777" w:rsidR="002F3D36" w:rsidRPr="002F3D36" w:rsidRDefault="002F3D36" w:rsidP="002F3D36">
            <w:pPr>
              <w:widowControl/>
              <w:jc w:val="center"/>
              <w:rPr>
                <w:rFonts w:ascii="Times New Roman" w:eastAsia="宋体" w:hAnsi="Times New Roman" w:cs="Times New Roman"/>
                <w:kern w:val="0"/>
                <w:sz w:val="14"/>
                <w:szCs w:val="14"/>
              </w:rPr>
            </w:pPr>
            <w:r w:rsidRPr="002F3D36">
              <w:rPr>
                <w:rFonts w:ascii="Arial" w:eastAsia="宋体" w:hAnsi="Arial" w:cs="Arial"/>
                <w:kern w:val="0"/>
                <w:sz w:val="14"/>
                <w:szCs w:val="14"/>
              </w:rPr>
              <w:t> </w:t>
            </w:r>
          </w:p>
        </w:tc>
        <w:tc>
          <w:tcPr>
            <w:tcW w:w="0" w:type="auto"/>
            <w:gridSpan w:val="2"/>
            <w:vAlign w:val="bottom"/>
            <w:hideMark/>
          </w:tcPr>
          <w:p w14:paraId="56FE297F" w14:textId="77777777" w:rsidR="002F3D36" w:rsidRPr="002F3D36" w:rsidRDefault="002F3D36" w:rsidP="002F3D36">
            <w:pPr>
              <w:widowControl/>
              <w:jc w:val="center"/>
              <w:rPr>
                <w:rFonts w:ascii="Times New Roman" w:eastAsia="宋体" w:hAnsi="Times New Roman" w:cs="Times New Roman"/>
                <w:kern w:val="0"/>
                <w:sz w:val="14"/>
                <w:szCs w:val="14"/>
              </w:rPr>
            </w:pPr>
            <w:r w:rsidRPr="002F3D36">
              <w:rPr>
                <w:rFonts w:ascii="Arial" w:eastAsia="宋体" w:hAnsi="Arial" w:cs="Arial"/>
                <w:b/>
                <w:bCs/>
                <w:color w:val="000000"/>
                <w:kern w:val="0"/>
                <w:sz w:val="14"/>
                <w:szCs w:val="14"/>
              </w:rPr>
              <w:t>Derivative asset</w:t>
            </w:r>
          </w:p>
        </w:tc>
        <w:tc>
          <w:tcPr>
            <w:tcW w:w="0" w:type="auto"/>
            <w:vAlign w:val="bottom"/>
            <w:hideMark/>
          </w:tcPr>
          <w:p w14:paraId="6F8AE458" w14:textId="77777777" w:rsidR="002F3D36" w:rsidRPr="002F3D36" w:rsidRDefault="002F3D36" w:rsidP="002F3D36">
            <w:pPr>
              <w:widowControl/>
              <w:jc w:val="center"/>
              <w:rPr>
                <w:rFonts w:ascii="Times New Roman" w:eastAsia="宋体" w:hAnsi="Times New Roman" w:cs="Times New Roman"/>
                <w:kern w:val="0"/>
                <w:sz w:val="14"/>
                <w:szCs w:val="14"/>
              </w:rPr>
            </w:pPr>
            <w:r w:rsidRPr="002F3D36">
              <w:rPr>
                <w:rFonts w:ascii="Arial" w:eastAsia="宋体" w:hAnsi="Arial" w:cs="Arial"/>
                <w:kern w:val="0"/>
                <w:sz w:val="14"/>
                <w:szCs w:val="14"/>
              </w:rPr>
              <w:t> </w:t>
            </w:r>
          </w:p>
        </w:tc>
        <w:tc>
          <w:tcPr>
            <w:tcW w:w="0" w:type="auto"/>
            <w:vAlign w:val="bottom"/>
            <w:hideMark/>
          </w:tcPr>
          <w:p w14:paraId="3E6703CC" w14:textId="77777777" w:rsidR="002F3D36" w:rsidRPr="002F3D36" w:rsidRDefault="002F3D36" w:rsidP="002F3D36">
            <w:pPr>
              <w:widowControl/>
              <w:jc w:val="center"/>
              <w:rPr>
                <w:rFonts w:ascii="Times New Roman" w:eastAsia="宋体" w:hAnsi="Times New Roman" w:cs="Times New Roman"/>
                <w:kern w:val="0"/>
                <w:sz w:val="14"/>
                <w:szCs w:val="14"/>
              </w:rPr>
            </w:pPr>
            <w:r w:rsidRPr="002F3D36">
              <w:rPr>
                <w:rFonts w:ascii="Arial" w:eastAsia="宋体" w:hAnsi="Arial" w:cs="Arial"/>
                <w:kern w:val="0"/>
                <w:sz w:val="14"/>
                <w:szCs w:val="14"/>
              </w:rPr>
              <w:t> </w:t>
            </w:r>
          </w:p>
        </w:tc>
        <w:tc>
          <w:tcPr>
            <w:tcW w:w="0" w:type="auto"/>
            <w:gridSpan w:val="2"/>
            <w:vAlign w:val="bottom"/>
            <w:hideMark/>
          </w:tcPr>
          <w:p w14:paraId="11097E75" w14:textId="77777777" w:rsidR="002F3D36" w:rsidRPr="002F3D36" w:rsidRDefault="002F3D36" w:rsidP="002F3D36">
            <w:pPr>
              <w:widowControl/>
              <w:jc w:val="center"/>
              <w:rPr>
                <w:rFonts w:ascii="Times New Roman" w:eastAsia="宋体" w:hAnsi="Times New Roman" w:cs="Times New Roman"/>
                <w:kern w:val="0"/>
                <w:sz w:val="14"/>
                <w:szCs w:val="14"/>
              </w:rPr>
            </w:pPr>
            <w:r w:rsidRPr="002F3D36">
              <w:rPr>
                <w:rFonts w:ascii="Arial" w:eastAsia="宋体" w:hAnsi="Arial" w:cs="Arial"/>
                <w:b/>
                <w:bCs/>
                <w:color w:val="000000"/>
                <w:kern w:val="0"/>
                <w:sz w:val="14"/>
                <w:szCs w:val="14"/>
              </w:rPr>
              <w:t>Derivative liability</w:t>
            </w:r>
          </w:p>
        </w:tc>
        <w:tc>
          <w:tcPr>
            <w:tcW w:w="0" w:type="auto"/>
            <w:vAlign w:val="bottom"/>
            <w:hideMark/>
          </w:tcPr>
          <w:p w14:paraId="3444FDB6" w14:textId="77777777" w:rsidR="002F3D36" w:rsidRPr="002F3D36" w:rsidRDefault="002F3D36" w:rsidP="002F3D36">
            <w:pPr>
              <w:widowControl/>
              <w:jc w:val="center"/>
              <w:rPr>
                <w:rFonts w:ascii="Times New Roman" w:eastAsia="宋体" w:hAnsi="Times New Roman" w:cs="Times New Roman"/>
                <w:kern w:val="0"/>
                <w:sz w:val="14"/>
                <w:szCs w:val="14"/>
              </w:rPr>
            </w:pPr>
            <w:r w:rsidRPr="002F3D36">
              <w:rPr>
                <w:rFonts w:ascii="Arial" w:eastAsia="宋体" w:hAnsi="Arial" w:cs="Arial"/>
                <w:kern w:val="0"/>
                <w:sz w:val="14"/>
                <w:szCs w:val="14"/>
              </w:rPr>
              <w:t> </w:t>
            </w:r>
          </w:p>
        </w:tc>
        <w:tc>
          <w:tcPr>
            <w:tcW w:w="0" w:type="auto"/>
            <w:vAlign w:val="bottom"/>
            <w:hideMark/>
          </w:tcPr>
          <w:p w14:paraId="55C5F33A" w14:textId="77777777" w:rsidR="002F3D36" w:rsidRPr="002F3D36" w:rsidRDefault="002F3D36" w:rsidP="002F3D36">
            <w:pPr>
              <w:widowControl/>
              <w:jc w:val="center"/>
              <w:rPr>
                <w:rFonts w:ascii="Times New Roman" w:eastAsia="宋体" w:hAnsi="Times New Roman" w:cs="Times New Roman"/>
                <w:kern w:val="0"/>
                <w:sz w:val="14"/>
                <w:szCs w:val="14"/>
              </w:rPr>
            </w:pPr>
            <w:r w:rsidRPr="002F3D36">
              <w:rPr>
                <w:rFonts w:ascii="Arial" w:eastAsia="宋体" w:hAnsi="Arial" w:cs="Arial"/>
                <w:kern w:val="0"/>
                <w:sz w:val="14"/>
                <w:szCs w:val="14"/>
              </w:rPr>
              <w:t> </w:t>
            </w:r>
          </w:p>
        </w:tc>
        <w:tc>
          <w:tcPr>
            <w:tcW w:w="0" w:type="auto"/>
            <w:gridSpan w:val="2"/>
            <w:vAlign w:val="bottom"/>
            <w:hideMark/>
          </w:tcPr>
          <w:p w14:paraId="2610D62F" w14:textId="77777777" w:rsidR="002F3D36" w:rsidRPr="002F3D36" w:rsidRDefault="002F3D36" w:rsidP="002F3D36">
            <w:pPr>
              <w:widowControl/>
              <w:jc w:val="center"/>
              <w:rPr>
                <w:rFonts w:ascii="Times New Roman" w:eastAsia="宋体" w:hAnsi="Times New Roman" w:cs="Times New Roman"/>
                <w:kern w:val="0"/>
                <w:sz w:val="14"/>
                <w:szCs w:val="14"/>
              </w:rPr>
            </w:pPr>
            <w:r w:rsidRPr="002F3D36">
              <w:rPr>
                <w:rFonts w:ascii="Arial" w:eastAsia="宋体" w:hAnsi="Arial" w:cs="Arial"/>
                <w:kern w:val="0"/>
                <w:sz w:val="14"/>
                <w:szCs w:val="14"/>
              </w:rPr>
              <w:t> </w:t>
            </w:r>
          </w:p>
        </w:tc>
        <w:tc>
          <w:tcPr>
            <w:tcW w:w="0" w:type="auto"/>
            <w:vAlign w:val="bottom"/>
            <w:hideMark/>
          </w:tcPr>
          <w:p w14:paraId="6EF581F1" w14:textId="77777777" w:rsidR="002F3D36" w:rsidRPr="002F3D36" w:rsidRDefault="002F3D36" w:rsidP="002F3D36">
            <w:pPr>
              <w:widowControl/>
              <w:jc w:val="center"/>
              <w:rPr>
                <w:rFonts w:ascii="Times New Roman" w:eastAsia="宋体" w:hAnsi="Times New Roman" w:cs="Times New Roman"/>
                <w:kern w:val="0"/>
                <w:sz w:val="14"/>
                <w:szCs w:val="14"/>
              </w:rPr>
            </w:pPr>
            <w:r w:rsidRPr="002F3D36">
              <w:rPr>
                <w:rFonts w:ascii="Arial" w:eastAsia="宋体" w:hAnsi="Arial" w:cs="Arial"/>
                <w:kern w:val="0"/>
                <w:sz w:val="14"/>
                <w:szCs w:val="14"/>
              </w:rPr>
              <w:t> </w:t>
            </w:r>
          </w:p>
        </w:tc>
        <w:tc>
          <w:tcPr>
            <w:tcW w:w="0" w:type="auto"/>
            <w:vAlign w:val="bottom"/>
            <w:hideMark/>
          </w:tcPr>
          <w:p w14:paraId="5B86F595" w14:textId="77777777" w:rsidR="002F3D36" w:rsidRPr="002F3D36" w:rsidRDefault="002F3D36" w:rsidP="002F3D36">
            <w:pPr>
              <w:widowControl/>
              <w:jc w:val="center"/>
              <w:rPr>
                <w:rFonts w:ascii="Times New Roman" w:eastAsia="宋体" w:hAnsi="Times New Roman" w:cs="Times New Roman"/>
                <w:kern w:val="0"/>
                <w:sz w:val="14"/>
                <w:szCs w:val="14"/>
              </w:rPr>
            </w:pPr>
            <w:r w:rsidRPr="002F3D36">
              <w:rPr>
                <w:rFonts w:ascii="Arial" w:eastAsia="宋体" w:hAnsi="Arial" w:cs="Arial"/>
                <w:kern w:val="0"/>
                <w:sz w:val="14"/>
                <w:szCs w:val="14"/>
              </w:rPr>
              <w:t> </w:t>
            </w:r>
          </w:p>
        </w:tc>
        <w:tc>
          <w:tcPr>
            <w:tcW w:w="0" w:type="auto"/>
            <w:gridSpan w:val="2"/>
            <w:vAlign w:val="bottom"/>
            <w:hideMark/>
          </w:tcPr>
          <w:p w14:paraId="638838DB" w14:textId="77777777" w:rsidR="002F3D36" w:rsidRPr="002F3D36" w:rsidRDefault="002F3D36" w:rsidP="002F3D36">
            <w:pPr>
              <w:widowControl/>
              <w:jc w:val="center"/>
              <w:rPr>
                <w:rFonts w:ascii="Times New Roman" w:eastAsia="宋体" w:hAnsi="Times New Roman" w:cs="Times New Roman"/>
                <w:kern w:val="0"/>
                <w:sz w:val="14"/>
                <w:szCs w:val="14"/>
              </w:rPr>
            </w:pPr>
            <w:r w:rsidRPr="002F3D36">
              <w:rPr>
                <w:rFonts w:ascii="Arial" w:eastAsia="宋体" w:hAnsi="Arial" w:cs="Arial"/>
                <w:b/>
                <w:bCs/>
                <w:color w:val="000000"/>
                <w:kern w:val="0"/>
                <w:sz w:val="14"/>
                <w:szCs w:val="14"/>
              </w:rPr>
              <w:t>Derivative asset</w:t>
            </w:r>
          </w:p>
        </w:tc>
        <w:tc>
          <w:tcPr>
            <w:tcW w:w="0" w:type="auto"/>
            <w:vAlign w:val="bottom"/>
            <w:hideMark/>
          </w:tcPr>
          <w:p w14:paraId="7BFA20B1" w14:textId="77777777" w:rsidR="002F3D36" w:rsidRPr="002F3D36" w:rsidRDefault="002F3D36" w:rsidP="002F3D36">
            <w:pPr>
              <w:widowControl/>
              <w:jc w:val="center"/>
              <w:rPr>
                <w:rFonts w:ascii="Times New Roman" w:eastAsia="宋体" w:hAnsi="Times New Roman" w:cs="Times New Roman"/>
                <w:kern w:val="0"/>
                <w:sz w:val="14"/>
                <w:szCs w:val="14"/>
              </w:rPr>
            </w:pPr>
            <w:r w:rsidRPr="002F3D36">
              <w:rPr>
                <w:rFonts w:ascii="Arial" w:eastAsia="宋体" w:hAnsi="Arial" w:cs="Arial"/>
                <w:kern w:val="0"/>
                <w:sz w:val="14"/>
                <w:szCs w:val="14"/>
              </w:rPr>
              <w:t> </w:t>
            </w:r>
          </w:p>
        </w:tc>
        <w:tc>
          <w:tcPr>
            <w:tcW w:w="0" w:type="auto"/>
            <w:vAlign w:val="bottom"/>
            <w:hideMark/>
          </w:tcPr>
          <w:p w14:paraId="45C51F29" w14:textId="77777777" w:rsidR="002F3D36" w:rsidRPr="002F3D36" w:rsidRDefault="002F3D36" w:rsidP="002F3D36">
            <w:pPr>
              <w:widowControl/>
              <w:jc w:val="center"/>
              <w:rPr>
                <w:rFonts w:ascii="Times New Roman" w:eastAsia="宋体" w:hAnsi="Times New Roman" w:cs="Times New Roman"/>
                <w:kern w:val="0"/>
                <w:sz w:val="14"/>
                <w:szCs w:val="14"/>
              </w:rPr>
            </w:pPr>
            <w:r w:rsidRPr="002F3D36">
              <w:rPr>
                <w:rFonts w:ascii="Arial" w:eastAsia="宋体" w:hAnsi="Arial" w:cs="Arial"/>
                <w:kern w:val="0"/>
                <w:sz w:val="14"/>
                <w:szCs w:val="14"/>
              </w:rPr>
              <w:t> </w:t>
            </w:r>
          </w:p>
        </w:tc>
        <w:tc>
          <w:tcPr>
            <w:tcW w:w="0" w:type="auto"/>
            <w:gridSpan w:val="2"/>
            <w:vAlign w:val="bottom"/>
            <w:hideMark/>
          </w:tcPr>
          <w:p w14:paraId="36494149" w14:textId="77777777" w:rsidR="002F3D36" w:rsidRPr="002F3D36" w:rsidRDefault="002F3D36" w:rsidP="002F3D36">
            <w:pPr>
              <w:widowControl/>
              <w:jc w:val="center"/>
              <w:rPr>
                <w:rFonts w:ascii="Times New Roman" w:eastAsia="宋体" w:hAnsi="Times New Roman" w:cs="Times New Roman"/>
                <w:kern w:val="0"/>
                <w:sz w:val="14"/>
                <w:szCs w:val="14"/>
              </w:rPr>
            </w:pPr>
            <w:r w:rsidRPr="002F3D36">
              <w:rPr>
                <w:rFonts w:ascii="Arial" w:eastAsia="宋体" w:hAnsi="Arial" w:cs="Arial"/>
                <w:b/>
                <w:bCs/>
                <w:color w:val="000000"/>
                <w:kern w:val="0"/>
                <w:sz w:val="14"/>
                <w:szCs w:val="14"/>
              </w:rPr>
              <w:t>Derivative liability</w:t>
            </w:r>
          </w:p>
        </w:tc>
        <w:tc>
          <w:tcPr>
            <w:tcW w:w="0" w:type="auto"/>
            <w:vAlign w:val="bottom"/>
            <w:hideMark/>
          </w:tcPr>
          <w:p w14:paraId="335A5BBF" w14:textId="77777777" w:rsidR="002F3D36" w:rsidRPr="002F3D36" w:rsidRDefault="002F3D36" w:rsidP="002F3D36">
            <w:pPr>
              <w:widowControl/>
              <w:jc w:val="center"/>
              <w:rPr>
                <w:rFonts w:ascii="Times New Roman" w:eastAsia="宋体" w:hAnsi="Times New Roman" w:cs="Times New Roman"/>
                <w:kern w:val="0"/>
                <w:sz w:val="14"/>
                <w:szCs w:val="14"/>
              </w:rPr>
            </w:pPr>
            <w:r w:rsidRPr="002F3D36">
              <w:rPr>
                <w:rFonts w:ascii="Arial" w:eastAsia="宋体" w:hAnsi="Arial" w:cs="Arial"/>
                <w:kern w:val="0"/>
                <w:sz w:val="14"/>
                <w:szCs w:val="14"/>
              </w:rPr>
              <w:t> </w:t>
            </w:r>
          </w:p>
        </w:tc>
        <w:tc>
          <w:tcPr>
            <w:tcW w:w="0" w:type="auto"/>
            <w:vAlign w:val="bottom"/>
            <w:hideMark/>
          </w:tcPr>
          <w:p w14:paraId="2C7E7A24" w14:textId="77777777" w:rsidR="002F3D36" w:rsidRPr="002F3D36" w:rsidRDefault="002F3D36" w:rsidP="002F3D36">
            <w:pPr>
              <w:widowControl/>
              <w:jc w:val="center"/>
              <w:rPr>
                <w:rFonts w:ascii="Times New Roman" w:eastAsia="宋体" w:hAnsi="Times New Roman" w:cs="Times New Roman"/>
                <w:kern w:val="0"/>
                <w:sz w:val="14"/>
                <w:szCs w:val="14"/>
              </w:rPr>
            </w:pPr>
            <w:r w:rsidRPr="002F3D36">
              <w:rPr>
                <w:rFonts w:ascii="Arial" w:eastAsia="宋体" w:hAnsi="Arial" w:cs="Arial"/>
                <w:kern w:val="0"/>
                <w:sz w:val="14"/>
                <w:szCs w:val="14"/>
              </w:rPr>
              <w:t> </w:t>
            </w:r>
          </w:p>
        </w:tc>
      </w:tr>
      <w:tr w:rsidR="002F3D36" w:rsidRPr="002F3D36" w14:paraId="328DF3FE" w14:textId="77777777" w:rsidTr="002F3D36">
        <w:trPr>
          <w:trHeight w:val="140"/>
          <w:tblCellSpacing w:w="15" w:type="dxa"/>
        </w:trPr>
        <w:tc>
          <w:tcPr>
            <w:tcW w:w="0" w:type="auto"/>
            <w:vAlign w:val="bottom"/>
            <w:hideMark/>
          </w:tcPr>
          <w:p w14:paraId="795090F7" w14:textId="77777777" w:rsidR="002F3D36" w:rsidRPr="002F3D36" w:rsidRDefault="002F3D36" w:rsidP="002F3D36">
            <w:pPr>
              <w:widowControl/>
              <w:jc w:val="center"/>
              <w:rPr>
                <w:rFonts w:ascii="Times New Roman" w:eastAsia="宋体" w:hAnsi="Times New Roman" w:cs="Times New Roman"/>
                <w:kern w:val="0"/>
                <w:sz w:val="14"/>
                <w:szCs w:val="14"/>
              </w:rPr>
            </w:pPr>
            <w:r w:rsidRPr="002F3D36">
              <w:rPr>
                <w:rFonts w:ascii="Arial" w:eastAsia="宋体" w:hAnsi="Arial" w:cs="Arial"/>
                <w:kern w:val="0"/>
                <w:sz w:val="14"/>
                <w:szCs w:val="14"/>
              </w:rPr>
              <w:t> </w:t>
            </w:r>
          </w:p>
        </w:tc>
        <w:tc>
          <w:tcPr>
            <w:tcW w:w="0" w:type="auto"/>
            <w:vAlign w:val="bottom"/>
            <w:hideMark/>
          </w:tcPr>
          <w:p w14:paraId="22D64E9D" w14:textId="77777777" w:rsidR="002F3D36" w:rsidRPr="002F3D36" w:rsidRDefault="002F3D36" w:rsidP="002F3D36">
            <w:pPr>
              <w:widowControl/>
              <w:jc w:val="center"/>
              <w:rPr>
                <w:rFonts w:ascii="Times New Roman" w:eastAsia="宋体" w:hAnsi="Times New Roman" w:cs="Times New Roman"/>
                <w:kern w:val="0"/>
                <w:sz w:val="14"/>
                <w:szCs w:val="14"/>
              </w:rPr>
            </w:pPr>
            <w:r w:rsidRPr="002F3D36">
              <w:rPr>
                <w:rFonts w:ascii="Arial" w:eastAsia="宋体" w:hAnsi="Arial" w:cs="Arial"/>
                <w:kern w:val="0"/>
                <w:sz w:val="14"/>
                <w:szCs w:val="14"/>
              </w:rPr>
              <w:t> </w:t>
            </w:r>
          </w:p>
        </w:tc>
        <w:tc>
          <w:tcPr>
            <w:tcW w:w="0" w:type="auto"/>
            <w:gridSpan w:val="2"/>
            <w:vAlign w:val="bottom"/>
            <w:hideMark/>
          </w:tcPr>
          <w:p w14:paraId="1292B2AE" w14:textId="77777777" w:rsidR="002F3D36" w:rsidRPr="002F3D36" w:rsidRDefault="002F3D36" w:rsidP="002F3D36">
            <w:pPr>
              <w:widowControl/>
              <w:jc w:val="center"/>
              <w:rPr>
                <w:rFonts w:ascii="Times New Roman" w:eastAsia="宋体" w:hAnsi="Times New Roman" w:cs="Times New Roman"/>
                <w:kern w:val="0"/>
                <w:sz w:val="14"/>
                <w:szCs w:val="14"/>
              </w:rPr>
            </w:pPr>
            <w:r w:rsidRPr="002F3D36">
              <w:rPr>
                <w:rFonts w:ascii="Arial" w:eastAsia="宋体" w:hAnsi="Arial" w:cs="Arial"/>
                <w:b/>
                <w:bCs/>
                <w:color w:val="000000"/>
                <w:kern w:val="0"/>
                <w:sz w:val="14"/>
                <w:szCs w:val="14"/>
              </w:rPr>
              <w:t>Nominal</w:t>
            </w:r>
          </w:p>
        </w:tc>
        <w:tc>
          <w:tcPr>
            <w:tcW w:w="0" w:type="auto"/>
            <w:vAlign w:val="bottom"/>
            <w:hideMark/>
          </w:tcPr>
          <w:p w14:paraId="20DD884B" w14:textId="77777777" w:rsidR="002F3D36" w:rsidRPr="002F3D36" w:rsidRDefault="002F3D36" w:rsidP="002F3D36">
            <w:pPr>
              <w:widowControl/>
              <w:jc w:val="center"/>
              <w:rPr>
                <w:rFonts w:ascii="Times New Roman" w:eastAsia="宋体" w:hAnsi="Times New Roman" w:cs="Times New Roman"/>
                <w:kern w:val="0"/>
                <w:sz w:val="14"/>
                <w:szCs w:val="14"/>
              </w:rPr>
            </w:pPr>
            <w:r w:rsidRPr="002F3D36">
              <w:rPr>
                <w:rFonts w:ascii="Arial" w:eastAsia="宋体" w:hAnsi="Arial" w:cs="Arial"/>
                <w:kern w:val="0"/>
                <w:sz w:val="14"/>
                <w:szCs w:val="14"/>
              </w:rPr>
              <w:t> </w:t>
            </w:r>
          </w:p>
        </w:tc>
        <w:tc>
          <w:tcPr>
            <w:tcW w:w="0" w:type="auto"/>
            <w:vAlign w:val="bottom"/>
            <w:hideMark/>
          </w:tcPr>
          <w:p w14:paraId="6DC258DF" w14:textId="77777777" w:rsidR="002F3D36" w:rsidRPr="002F3D36" w:rsidRDefault="002F3D36" w:rsidP="002F3D36">
            <w:pPr>
              <w:widowControl/>
              <w:jc w:val="center"/>
              <w:rPr>
                <w:rFonts w:ascii="Times New Roman" w:eastAsia="宋体" w:hAnsi="Times New Roman" w:cs="Times New Roman"/>
                <w:kern w:val="0"/>
                <w:sz w:val="14"/>
                <w:szCs w:val="14"/>
              </w:rPr>
            </w:pPr>
            <w:r w:rsidRPr="002F3D36">
              <w:rPr>
                <w:rFonts w:ascii="Arial" w:eastAsia="宋体" w:hAnsi="Arial" w:cs="Arial"/>
                <w:kern w:val="0"/>
                <w:sz w:val="14"/>
                <w:szCs w:val="14"/>
              </w:rPr>
              <w:t> </w:t>
            </w:r>
          </w:p>
        </w:tc>
        <w:tc>
          <w:tcPr>
            <w:tcW w:w="0" w:type="auto"/>
            <w:gridSpan w:val="2"/>
            <w:vAlign w:val="bottom"/>
            <w:hideMark/>
          </w:tcPr>
          <w:p w14:paraId="53D8429F" w14:textId="77777777" w:rsidR="002F3D36" w:rsidRPr="002F3D36" w:rsidRDefault="002F3D36" w:rsidP="002F3D36">
            <w:pPr>
              <w:widowControl/>
              <w:jc w:val="center"/>
              <w:rPr>
                <w:rFonts w:ascii="Times New Roman" w:eastAsia="宋体" w:hAnsi="Times New Roman" w:cs="Times New Roman"/>
                <w:kern w:val="0"/>
                <w:sz w:val="14"/>
                <w:szCs w:val="14"/>
              </w:rPr>
            </w:pPr>
            <w:r w:rsidRPr="002F3D36">
              <w:rPr>
                <w:rFonts w:ascii="Arial" w:eastAsia="宋体" w:hAnsi="Arial" w:cs="Arial"/>
                <w:b/>
                <w:bCs/>
                <w:color w:val="000000"/>
                <w:kern w:val="0"/>
                <w:sz w:val="14"/>
                <w:szCs w:val="14"/>
              </w:rPr>
              <w:t>(Other current</w:t>
            </w:r>
          </w:p>
        </w:tc>
        <w:tc>
          <w:tcPr>
            <w:tcW w:w="0" w:type="auto"/>
            <w:vAlign w:val="bottom"/>
            <w:hideMark/>
          </w:tcPr>
          <w:p w14:paraId="2A809EE9" w14:textId="77777777" w:rsidR="002F3D36" w:rsidRPr="002F3D36" w:rsidRDefault="002F3D36" w:rsidP="002F3D36">
            <w:pPr>
              <w:widowControl/>
              <w:jc w:val="center"/>
              <w:rPr>
                <w:rFonts w:ascii="Times New Roman" w:eastAsia="宋体" w:hAnsi="Times New Roman" w:cs="Times New Roman"/>
                <w:kern w:val="0"/>
                <w:sz w:val="14"/>
                <w:szCs w:val="14"/>
              </w:rPr>
            </w:pPr>
            <w:r w:rsidRPr="002F3D36">
              <w:rPr>
                <w:rFonts w:ascii="Arial" w:eastAsia="宋体" w:hAnsi="Arial" w:cs="Arial"/>
                <w:kern w:val="0"/>
                <w:sz w:val="14"/>
                <w:szCs w:val="14"/>
              </w:rPr>
              <w:t> </w:t>
            </w:r>
          </w:p>
        </w:tc>
        <w:tc>
          <w:tcPr>
            <w:tcW w:w="0" w:type="auto"/>
            <w:vAlign w:val="bottom"/>
            <w:hideMark/>
          </w:tcPr>
          <w:p w14:paraId="235D1F9F" w14:textId="77777777" w:rsidR="002F3D36" w:rsidRPr="002F3D36" w:rsidRDefault="002F3D36" w:rsidP="002F3D36">
            <w:pPr>
              <w:widowControl/>
              <w:jc w:val="center"/>
              <w:rPr>
                <w:rFonts w:ascii="Times New Roman" w:eastAsia="宋体" w:hAnsi="Times New Roman" w:cs="Times New Roman"/>
                <w:kern w:val="0"/>
                <w:sz w:val="14"/>
                <w:szCs w:val="14"/>
              </w:rPr>
            </w:pPr>
            <w:r w:rsidRPr="002F3D36">
              <w:rPr>
                <w:rFonts w:ascii="Arial" w:eastAsia="宋体" w:hAnsi="Arial" w:cs="Arial"/>
                <w:kern w:val="0"/>
                <w:sz w:val="14"/>
                <w:szCs w:val="14"/>
              </w:rPr>
              <w:t> </w:t>
            </w:r>
          </w:p>
        </w:tc>
        <w:tc>
          <w:tcPr>
            <w:tcW w:w="0" w:type="auto"/>
            <w:gridSpan w:val="2"/>
            <w:vAlign w:val="bottom"/>
            <w:hideMark/>
          </w:tcPr>
          <w:p w14:paraId="4692DB79" w14:textId="77777777" w:rsidR="002F3D36" w:rsidRPr="002F3D36" w:rsidRDefault="002F3D36" w:rsidP="002F3D36">
            <w:pPr>
              <w:widowControl/>
              <w:jc w:val="center"/>
              <w:rPr>
                <w:rFonts w:ascii="Times New Roman" w:eastAsia="宋体" w:hAnsi="Times New Roman" w:cs="Times New Roman"/>
                <w:kern w:val="0"/>
                <w:sz w:val="14"/>
                <w:szCs w:val="14"/>
              </w:rPr>
            </w:pPr>
            <w:r w:rsidRPr="002F3D36">
              <w:rPr>
                <w:rFonts w:ascii="Arial" w:eastAsia="宋体" w:hAnsi="Arial" w:cs="Arial"/>
                <w:b/>
                <w:bCs/>
                <w:color w:val="000000"/>
                <w:kern w:val="0"/>
                <w:sz w:val="14"/>
                <w:szCs w:val="14"/>
              </w:rPr>
              <w:t>(Other current</w:t>
            </w:r>
          </w:p>
        </w:tc>
        <w:tc>
          <w:tcPr>
            <w:tcW w:w="0" w:type="auto"/>
            <w:vAlign w:val="bottom"/>
            <w:hideMark/>
          </w:tcPr>
          <w:p w14:paraId="0AFA7A17" w14:textId="77777777" w:rsidR="002F3D36" w:rsidRPr="002F3D36" w:rsidRDefault="002F3D36" w:rsidP="002F3D36">
            <w:pPr>
              <w:widowControl/>
              <w:jc w:val="center"/>
              <w:rPr>
                <w:rFonts w:ascii="Times New Roman" w:eastAsia="宋体" w:hAnsi="Times New Roman" w:cs="Times New Roman"/>
                <w:kern w:val="0"/>
                <w:sz w:val="14"/>
                <w:szCs w:val="14"/>
              </w:rPr>
            </w:pPr>
            <w:r w:rsidRPr="002F3D36">
              <w:rPr>
                <w:rFonts w:ascii="Arial" w:eastAsia="宋体" w:hAnsi="Arial" w:cs="Arial"/>
                <w:kern w:val="0"/>
                <w:sz w:val="14"/>
                <w:szCs w:val="14"/>
              </w:rPr>
              <w:t> </w:t>
            </w:r>
          </w:p>
        </w:tc>
        <w:tc>
          <w:tcPr>
            <w:tcW w:w="0" w:type="auto"/>
            <w:vAlign w:val="bottom"/>
            <w:hideMark/>
          </w:tcPr>
          <w:p w14:paraId="462A829F" w14:textId="77777777" w:rsidR="002F3D36" w:rsidRPr="002F3D36" w:rsidRDefault="002F3D36" w:rsidP="002F3D36">
            <w:pPr>
              <w:widowControl/>
              <w:jc w:val="center"/>
              <w:rPr>
                <w:rFonts w:ascii="Times New Roman" w:eastAsia="宋体" w:hAnsi="Times New Roman" w:cs="Times New Roman"/>
                <w:kern w:val="0"/>
                <w:sz w:val="14"/>
                <w:szCs w:val="14"/>
              </w:rPr>
            </w:pPr>
            <w:r w:rsidRPr="002F3D36">
              <w:rPr>
                <w:rFonts w:ascii="Arial" w:eastAsia="宋体" w:hAnsi="Arial" w:cs="Arial"/>
                <w:kern w:val="0"/>
                <w:sz w:val="14"/>
                <w:szCs w:val="14"/>
              </w:rPr>
              <w:t> </w:t>
            </w:r>
          </w:p>
        </w:tc>
        <w:tc>
          <w:tcPr>
            <w:tcW w:w="0" w:type="auto"/>
            <w:gridSpan w:val="2"/>
            <w:vAlign w:val="bottom"/>
            <w:hideMark/>
          </w:tcPr>
          <w:p w14:paraId="67E1E56D" w14:textId="77777777" w:rsidR="002F3D36" w:rsidRPr="002F3D36" w:rsidRDefault="002F3D36" w:rsidP="002F3D36">
            <w:pPr>
              <w:widowControl/>
              <w:jc w:val="center"/>
              <w:rPr>
                <w:rFonts w:ascii="Times New Roman" w:eastAsia="宋体" w:hAnsi="Times New Roman" w:cs="Times New Roman"/>
                <w:kern w:val="0"/>
                <w:sz w:val="14"/>
                <w:szCs w:val="14"/>
              </w:rPr>
            </w:pPr>
            <w:r w:rsidRPr="002F3D36">
              <w:rPr>
                <w:rFonts w:ascii="Arial" w:eastAsia="宋体" w:hAnsi="Arial" w:cs="Arial"/>
                <w:b/>
                <w:bCs/>
                <w:color w:val="000000"/>
                <w:kern w:val="0"/>
                <w:sz w:val="14"/>
                <w:szCs w:val="14"/>
              </w:rPr>
              <w:t>Nominal</w:t>
            </w:r>
          </w:p>
        </w:tc>
        <w:tc>
          <w:tcPr>
            <w:tcW w:w="0" w:type="auto"/>
            <w:vAlign w:val="bottom"/>
            <w:hideMark/>
          </w:tcPr>
          <w:p w14:paraId="602B745E" w14:textId="77777777" w:rsidR="002F3D36" w:rsidRPr="002F3D36" w:rsidRDefault="002F3D36" w:rsidP="002F3D36">
            <w:pPr>
              <w:widowControl/>
              <w:jc w:val="center"/>
              <w:rPr>
                <w:rFonts w:ascii="Times New Roman" w:eastAsia="宋体" w:hAnsi="Times New Roman" w:cs="Times New Roman"/>
                <w:kern w:val="0"/>
                <w:sz w:val="14"/>
                <w:szCs w:val="14"/>
              </w:rPr>
            </w:pPr>
            <w:r w:rsidRPr="002F3D36">
              <w:rPr>
                <w:rFonts w:ascii="Arial" w:eastAsia="宋体" w:hAnsi="Arial" w:cs="Arial"/>
                <w:kern w:val="0"/>
                <w:sz w:val="14"/>
                <w:szCs w:val="14"/>
              </w:rPr>
              <w:t> </w:t>
            </w:r>
          </w:p>
        </w:tc>
        <w:tc>
          <w:tcPr>
            <w:tcW w:w="0" w:type="auto"/>
            <w:vAlign w:val="bottom"/>
            <w:hideMark/>
          </w:tcPr>
          <w:p w14:paraId="7E1C17F5" w14:textId="77777777" w:rsidR="002F3D36" w:rsidRPr="002F3D36" w:rsidRDefault="002F3D36" w:rsidP="002F3D36">
            <w:pPr>
              <w:widowControl/>
              <w:jc w:val="center"/>
              <w:rPr>
                <w:rFonts w:ascii="Times New Roman" w:eastAsia="宋体" w:hAnsi="Times New Roman" w:cs="Times New Roman"/>
                <w:kern w:val="0"/>
                <w:sz w:val="14"/>
                <w:szCs w:val="14"/>
              </w:rPr>
            </w:pPr>
            <w:r w:rsidRPr="002F3D36">
              <w:rPr>
                <w:rFonts w:ascii="Arial" w:eastAsia="宋体" w:hAnsi="Arial" w:cs="Arial"/>
                <w:kern w:val="0"/>
                <w:sz w:val="14"/>
                <w:szCs w:val="14"/>
              </w:rPr>
              <w:t> </w:t>
            </w:r>
          </w:p>
        </w:tc>
        <w:tc>
          <w:tcPr>
            <w:tcW w:w="0" w:type="auto"/>
            <w:gridSpan w:val="2"/>
            <w:vAlign w:val="bottom"/>
            <w:hideMark/>
          </w:tcPr>
          <w:p w14:paraId="16CFFBBB" w14:textId="77777777" w:rsidR="002F3D36" w:rsidRPr="002F3D36" w:rsidRDefault="002F3D36" w:rsidP="002F3D36">
            <w:pPr>
              <w:widowControl/>
              <w:jc w:val="center"/>
              <w:rPr>
                <w:rFonts w:ascii="Times New Roman" w:eastAsia="宋体" w:hAnsi="Times New Roman" w:cs="Times New Roman"/>
                <w:kern w:val="0"/>
                <w:sz w:val="14"/>
                <w:szCs w:val="14"/>
              </w:rPr>
            </w:pPr>
            <w:r w:rsidRPr="002F3D36">
              <w:rPr>
                <w:rFonts w:ascii="Arial" w:eastAsia="宋体" w:hAnsi="Arial" w:cs="Arial"/>
                <w:b/>
                <w:bCs/>
                <w:color w:val="000000"/>
                <w:kern w:val="0"/>
                <w:sz w:val="14"/>
                <w:szCs w:val="14"/>
              </w:rPr>
              <w:t>(Other current</w:t>
            </w:r>
          </w:p>
        </w:tc>
        <w:tc>
          <w:tcPr>
            <w:tcW w:w="0" w:type="auto"/>
            <w:vAlign w:val="bottom"/>
            <w:hideMark/>
          </w:tcPr>
          <w:p w14:paraId="43F8F3CC" w14:textId="77777777" w:rsidR="002F3D36" w:rsidRPr="002F3D36" w:rsidRDefault="002F3D36" w:rsidP="002F3D36">
            <w:pPr>
              <w:widowControl/>
              <w:jc w:val="center"/>
              <w:rPr>
                <w:rFonts w:ascii="Times New Roman" w:eastAsia="宋体" w:hAnsi="Times New Roman" w:cs="Times New Roman"/>
                <w:kern w:val="0"/>
                <w:sz w:val="14"/>
                <w:szCs w:val="14"/>
              </w:rPr>
            </w:pPr>
            <w:r w:rsidRPr="002F3D36">
              <w:rPr>
                <w:rFonts w:ascii="Arial" w:eastAsia="宋体" w:hAnsi="Arial" w:cs="Arial"/>
                <w:kern w:val="0"/>
                <w:sz w:val="14"/>
                <w:szCs w:val="14"/>
              </w:rPr>
              <w:t> </w:t>
            </w:r>
          </w:p>
        </w:tc>
        <w:tc>
          <w:tcPr>
            <w:tcW w:w="0" w:type="auto"/>
            <w:vAlign w:val="bottom"/>
            <w:hideMark/>
          </w:tcPr>
          <w:p w14:paraId="40ADC229" w14:textId="77777777" w:rsidR="002F3D36" w:rsidRPr="002F3D36" w:rsidRDefault="002F3D36" w:rsidP="002F3D36">
            <w:pPr>
              <w:widowControl/>
              <w:jc w:val="center"/>
              <w:rPr>
                <w:rFonts w:ascii="Times New Roman" w:eastAsia="宋体" w:hAnsi="Times New Roman" w:cs="Times New Roman"/>
                <w:kern w:val="0"/>
                <w:sz w:val="14"/>
                <w:szCs w:val="14"/>
              </w:rPr>
            </w:pPr>
            <w:r w:rsidRPr="002F3D36">
              <w:rPr>
                <w:rFonts w:ascii="Arial" w:eastAsia="宋体" w:hAnsi="Arial" w:cs="Arial"/>
                <w:kern w:val="0"/>
                <w:sz w:val="14"/>
                <w:szCs w:val="14"/>
              </w:rPr>
              <w:t> </w:t>
            </w:r>
          </w:p>
        </w:tc>
        <w:tc>
          <w:tcPr>
            <w:tcW w:w="0" w:type="auto"/>
            <w:gridSpan w:val="2"/>
            <w:vAlign w:val="bottom"/>
            <w:hideMark/>
          </w:tcPr>
          <w:p w14:paraId="64FE6BB2" w14:textId="77777777" w:rsidR="002F3D36" w:rsidRPr="002F3D36" w:rsidRDefault="002F3D36" w:rsidP="002F3D36">
            <w:pPr>
              <w:widowControl/>
              <w:jc w:val="center"/>
              <w:rPr>
                <w:rFonts w:ascii="Times New Roman" w:eastAsia="宋体" w:hAnsi="Times New Roman" w:cs="Times New Roman"/>
                <w:kern w:val="0"/>
                <w:sz w:val="14"/>
                <w:szCs w:val="14"/>
              </w:rPr>
            </w:pPr>
            <w:r w:rsidRPr="002F3D36">
              <w:rPr>
                <w:rFonts w:ascii="Arial" w:eastAsia="宋体" w:hAnsi="Arial" w:cs="Arial"/>
                <w:b/>
                <w:bCs/>
                <w:color w:val="000000"/>
                <w:kern w:val="0"/>
                <w:sz w:val="14"/>
                <w:szCs w:val="14"/>
              </w:rPr>
              <w:t>(Other current</w:t>
            </w:r>
          </w:p>
        </w:tc>
        <w:tc>
          <w:tcPr>
            <w:tcW w:w="0" w:type="auto"/>
            <w:vAlign w:val="bottom"/>
            <w:hideMark/>
          </w:tcPr>
          <w:p w14:paraId="0F766C7A" w14:textId="77777777" w:rsidR="002F3D36" w:rsidRPr="002F3D36" w:rsidRDefault="002F3D36" w:rsidP="002F3D36">
            <w:pPr>
              <w:widowControl/>
              <w:jc w:val="center"/>
              <w:rPr>
                <w:rFonts w:ascii="Times New Roman" w:eastAsia="宋体" w:hAnsi="Times New Roman" w:cs="Times New Roman"/>
                <w:kern w:val="0"/>
                <w:sz w:val="14"/>
                <w:szCs w:val="14"/>
              </w:rPr>
            </w:pPr>
            <w:r w:rsidRPr="002F3D36">
              <w:rPr>
                <w:rFonts w:ascii="Arial" w:eastAsia="宋体" w:hAnsi="Arial" w:cs="Arial"/>
                <w:kern w:val="0"/>
                <w:sz w:val="14"/>
                <w:szCs w:val="14"/>
              </w:rPr>
              <w:t> </w:t>
            </w:r>
          </w:p>
        </w:tc>
        <w:tc>
          <w:tcPr>
            <w:tcW w:w="0" w:type="auto"/>
            <w:vAlign w:val="bottom"/>
            <w:hideMark/>
          </w:tcPr>
          <w:p w14:paraId="4D2C2B82" w14:textId="77777777" w:rsidR="002F3D36" w:rsidRPr="002F3D36" w:rsidRDefault="002F3D36" w:rsidP="002F3D36">
            <w:pPr>
              <w:widowControl/>
              <w:jc w:val="center"/>
              <w:rPr>
                <w:rFonts w:ascii="Times New Roman" w:eastAsia="宋体" w:hAnsi="Times New Roman" w:cs="Times New Roman"/>
                <w:kern w:val="0"/>
                <w:sz w:val="14"/>
                <w:szCs w:val="14"/>
              </w:rPr>
            </w:pPr>
            <w:r w:rsidRPr="002F3D36">
              <w:rPr>
                <w:rFonts w:ascii="Arial" w:eastAsia="宋体" w:hAnsi="Arial" w:cs="Arial"/>
                <w:kern w:val="0"/>
                <w:sz w:val="14"/>
                <w:szCs w:val="14"/>
              </w:rPr>
              <w:t> </w:t>
            </w:r>
          </w:p>
        </w:tc>
      </w:tr>
      <w:tr w:rsidR="002F3D36" w:rsidRPr="002F3D36" w14:paraId="7A28101F" w14:textId="77777777" w:rsidTr="002F3D36">
        <w:trPr>
          <w:trHeight w:val="140"/>
          <w:tblCellSpacing w:w="15" w:type="dxa"/>
        </w:trPr>
        <w:tc>
          <w:tcPr>
            <w:tcW w:w="0" w:type="auto"/>
            <w:vAlign w:val="bottom"/>
            <w:hideMark/>
          </w:tcPr>
          <w:p w14:paraId="0AD621FB" w14:textId="77777777" w:rsidR="002F3D36" w:rsidRPr="002F3D36" w:rsidRDefault="002F3D36" w:rsidP="002F3D36">
            <w:pPr>
              <w:widowControl/>
              <w:jc w:val="left"/>
              <w:rPr>
                <w:rFonts w:ascii="Times New Roman" w:eastAsia="宋体" w:hAnsi="Times New Roman" w:cs="Times New Roman"/>
                <w:kern w:val="0"/>
                <w:sz w:val="14"/>
                <w:szCs w:val="14"/>
              </w:rPr>
            </w:pPr>
            <w:r w:rsidRPr="002F3D36">
              <w:rPr>
                <w:rFonts w:ascii="Arial" w:eastAsia="宋体" w:hAnsi="Arial" w:cs="Arial"/>
                <w:b/>
                <w:bCs/>
                <w:color w:val="000000"/>
                <w:kern w:val="0"/>
                <w:sz w:val="14"/>
                <w:szCs w:val="14"/>
                <w:u w:val="single"/>
              </w:rPr>
              <w:t>(Dollars in millions)</w:t>
            </w:r>
          </w:p>
        </w:tc>
        <w:tc>
          <w:tcPr>
            <w:tcW w:w="0" w:type="auto"/>
            <w:vAlign w:val="bottom"/>
            <w:hideMark/>
          </w:tcPr>
          <w:p w14:paraId="53E25154" w14:textId="77777777" w:rsidR="002F3D36" w:rsidRPr="002F3D36" w:rsidRDefault="002F3D36" w:rsidP="002F3D36">
            <w:pPr>
              <w:widowControl/>
              <w:jc w:val="center"/>
              <w:rPr>
                <w:rFonts w:ascii="Times New Roman" w:eastAsia="宋体" w:hAnsi="Times New Roman" w:cs="Times New Roman"/>
                <w:kern w:val="0"/>
                <w:sz w:val="14"/>
                <w:szCs w:val="14"/>
              </w:rPr>
            </w:pPr>
            <w:r w:rsidRPr="002F3D36">
              <w:rPr>
                <w:rFonts w:ascii="Arial" w:eastAsia="宋体" w:hAnsi="Arial" w:cs="Arial"/>
                <w:kern w:val="0"/>
                <w:sz w:val="14"/>
                <w:szCs w:val="14"/>
              </w:rPr>
              <w:t> </w:t>
            </w:r>
          </w:p>
        </w:tc>
        <w:tc>
          <w:tcPr>
            <w:tcW w:w="0" w:type="auto"/>
            <w:gridSpan w:val="2"/>
            <w:tcBorders>
              <w:bottom w:val="single" w:sz="4" w:space="0" w:color="000000"/>
            </w:tcBorders>
            <w:vAlign w:val="bottom"/>
            <w:hideMark/>
          </w:tcPr>
          <w:p w14:paraId="2C56F7BB" w14:textId="77777777" w:rsidR="002F3D36" w:rsidRPr="002F3D36" w:rsidRDefault="002F3D36" w:rsidP="002F3D36">
            <w:pPr>
              <w:widowControl/>
              <w:jc w:val="center"/>
              <w:rPr>
                <w:rFonts w:ascii="Times New Roman" w:eastAsia="宋体" w:hAnsi="Times New Roman" w:cs="Times New Roman"/>
                <w:kern w:val="0"/>
                <w:sz w:val="14"/>
                <w:szCs w:val="14"/>
              </w:rPr>
            </w:pPr>
            <w:r w:rsidRPr="002F3D36">
              <w:rPr>
                <w:rFonts w:ascii="Arial" w:eastAsia="宋体" w:hAnsi="Arial" w:cs="Arial"/>
                <w:b/>
                <w:bCs/>
                <w:color w:val="000000"/>
                <w:kern w:val="0"/>
                <w:sz w:val="14"/>
                <w:szCs w:val="14"/>
              </w:rPr>
              <w:t>volume</w:t>
            </w:r>
          </w:p>
        </w:tc>
        <w:tc>
          <w:tcPr>
            <w:tcW w:w="0" w:type="auto"/>
            <w:vAlign w:val="bottom"/>
            <w:hideMark/>
          </w:tcPr>
          <w:p w14:paraId="1F6A9036" w14:textId="77777777" w:rsidR="002F3D36" w:rsidRPr="002F3D36" w:rsidRDefault="002F3D36" w:rsidP="002F3D36">
            <w:pPr>
              <w:widowControl/>
              <w:jc w:val="center"/>
              <w:rPr>
                <w:rFonts w:ascii="Times New Roman" w:eastAsia="宋体" w:hAnsi="Times New Roman" w:cs="Times New Roman"/>
                <w:kern w:val="0"/>
                <w:sz w:val="14"/>
                <w:szCs w:val="14"/>
              </w:rPr>
            </w:pPr>
            <w:r w:rsidRPr="002F3D36">
              <w:rPr>
                <w:rFonts w:ascii="Arial" w:eastAsia="宋体" w:hAnsi="Arial" w:cs="Arial"/>
                <w:kern w:val="0"/>
                <w:sz w:val="14"/>
                <w:szCs w:val="14"/>
              </w:rPr>
              <w:t> </w:t>
            </w:r>
          </w:p>
        </w:tc>
        <w:tc>
          <w:tcPr>
            <w:tcW w:w="0" w:type="auto"/>
            <w:vAlign w:val="bottom"/>
            <w:hideMark/>
          </w:tcPr>
          <w:p w14:paraId="562B21D6" w14:textId="77777777" w:rsidR="002F3D36" w:rsidRPr="002F3D36" w:rsidRDefault="002F3D36" w:rsidP="002F3D36">
            <w:pPr>
              <w:widowControl/>
              <w:jc w:val="center"/>
              <w:rPr>
                <w:rFonts w:ascii="Times New Roman" w:eastAsia="宋体" w:hAnsi="Times New Roman" w:cs="Times New Roman"/>
                <w:kern w:val="0"/>
                <w:sz w:val="14"/>
                <w:szCs w:val="14"/>
              </w:rPr>
            </w:pPr>
            <w:r w:rsidRPr="002F3D36">
              <w:rPr>
                <w:rFonts w:ascii="Arial" w:eastAsia="宋体" w:hAnsi="Arial" w:cs="Arial"/>
                <w:kern w:val="0"/>
                <w:sz w:val="14"/>
                <w:szCs w:val="14"/>
              </w:rPr>
              <w:t> </w:t>
            </w:r>
          </w:p>
        </w:tc>
        <w:tc>
          <w:tcPr>
            <w:tcW w:w="0" w:type="auto"/>
            <w:gridSpan w:val="2"/>
            <w:tcBorders>
              <w:bottom w:val="single" w:sz="4" w:space="0" w:color="000000"/>
            </w:tcBorders>
            <w:vAlign w:val="bottom"/>
            <w:hideMark/>
          </w:tcPr>
          <w:p w14:paraId="4FBDEDC0" w14:textId="77777777" w:rsidR="002F3D36" w:rsidRPr="002F3D36" w:rsidRDefault="002F3D36" w:rsidP="002F3D36">
            <w:pPr>
              <w:widowControl/>
              <w:jc w:val="center"/>
              <w:rPr>
                <w:rFonts w:ascii="Times New Roman" w:eastAsia="宋体" w:hAnsi="Times New Roman" w:cs="Times New Roman"/>
                <w:kern w:val="0"/>
                <w:sz w:val="14"/>
                <w:szCs w:val="14"/>
              </w:rPr>
            </w:pPr>
            <w:r w:rsidRPr="002F3D36">
              <w:rPr>
                <w:rFonts w:ascii="Arial" w:eastAsia="宋体" w:hAnsi="Arial" w:cs="Arial"/>
                <w:b/>
                <w:bCs/>
                <w:color w:val="000000"/>
                <w:kern w:val="0"/>
                <w:sz w:val="14"/>
                <w:szCs w:val="14"/>
              </w:rPr>
              <w:t>assets)</w:t>
            </w:r>
          </w:p>
        </w:tc>
        <w:tc>
          <w:tcPr>
            <w:tcW w:w="0" w:type="auto"/>
            <w:vAlign w:val="bottom"/>
            <w:hideMark/>
          </w:tcPr>
          <w:p w14:paraId="4456C4E1" w14:textId="77777777" w:rsidR="002F3D36" w:rsidRPr="002F3D36" w:rsidRDefault="002F3D36" w:rsidP="002F3D36">
            <w:pPr>
              <w:widowControl/>
              <w:jc w:val="center"/>
              <w:rPr>
                <w:rFonts w:ascii="Times New Roman" w:eastAsia="宋体" w:hAnsi="Times New Roman" w:cs="Times New Roman"/>
                <w:kern w:val="0"/>
                <w:sz w:val="14"/>
                <w:szCs w:val="14"/>
              </w:rPr>
            </w:pPr>
            <w:r w:rsidRPr="002F3D36">
              <w:rPr>
                <w:rFonts w:ascii="Arial" w:eastAsia="宋体" w:hAnsi="Arial" w:cs="Arial"/>
                <w:kern w:val="0"/>
                <w:sz w:val="14"/>
                <w:szCs w:val="14"/>
              </w:rPr>
              <w:t> </w:t>
            </w:r>
          </w:p>
        </w:tc>
        <w:tc>
          <w:tcPr>
            <w:tcW w:w="0" w:type="auto"/>
            <w:vAlign w:val="bottom"/>
            <w:hideMark/>
          </w:tcPr>
          <w:p w14:paraId="4FCBB551" w14:textId="77777777" w:rsidR="002F3D36" w:rsidRPr="002F3D36" w:rsidRDefault="002F3D36" w:rsidP="002F3D36">
            <w:pPr>
              <w:widowControl/>
              <w:jc w:val="center"/>
              <w:rPr>
                <w:rFonts w:ascii="Times New Roman" w:eastAsia="宋体" w:hAnsi="Times New Roman" w:cs="Times New Roman"/>
                <w:kern w:val="0"/>
                <w:sz w:val="14"/>
                <w:szCs w:val="14"/>
              </w:rPr>
            </w:pPr>
            <w:r w:rsidRPr="002F3D36">
              <w:rPr>
                <w:rFonts w:ascii="Arial" w:eastAsia="宋体" w:hAnsi="Arial" w:cs="Arial"/>
                <w:kern w:val="0"/>
                <w:sz w:val="14"/>
                <w:szCs w:val="14"/>
              </w:rPr>
              <w:t> </w:t>
            </w:r>
          </w:p>
        </w:tc>
        <w:tc>
          <w:tcPr>
            <w:tcW w:w="0" w:type="auto"/>
            <w:gridSpan w:val="2"/>
            <w:tcBorders>
              <w:bottom w:val="single" w:sz="4" w:space="0" w:color="000000"/>
            </w:tcBorders>
            <w:vAlign w:val="bottom"/>
            <w:hideMark/>
          </w:tcPr>
          <w:p w14:paraId="54F7CC80" w14:textId="77777777" w:rsidR="002F3D36" w:rsidRPr="002F3D36" w:rsidRDefault="002F3D36" w:rsidP="002F3D36">
            <w:pPr>
              <w:widowControl/>
              <w:jc w:val="center"/>
              <w:rPr>
                <w:rFonts w:ascii="Times New Roman" w:eastAsia="宋体" w:hAnsi="Times New Roman" w:cs="Times New Roman"/>
                <w:kern w:val="0"/>
                <w:sz w:val="14"/>
                <w:szCs w:val="14"/>
              </w:rPr>
            </w:pPr>
            <w:r w:rsidRPr="002F3D36">
              <w:rPr>
                <w:rFonts w:ascii="Arial" w:eastAsia="宋体" w:hAnsi="Arial" w:cs="Arial"/>
                <w:b/>
                <w:bCs/>
                <w:color w:val="000000"/>
                <w:kern w:val="0"/>
                <w:sz w:val="14"/>
                <w:szCs w:val="14"/>
              </w:rPr>
              <w:t>liabilities)</w:t>
            </w:r>
          </w:p>
        </w:tc>
        <w:tc>
          <w:tcPr>
            <w:tcW w:w="0" w:type="auto"/>
            <w:vAlign w:val="bottom"/>
            <w:hideMark/>
          </w:tcPr>
          <w:p w14:paraId="416D2FCE" w14:textId="77777777" w:rsidR="002F3D36" w:rsidRPr="002F3D36" w:rsidRDefault="002F3D36" w:rsidP="002F3D36">
            <w:pPr>
              <w:widowControl/>
              <w:jc w:val="center"/>
              <w:rPr>
                <w:rFonts w:ascii="Times New Roman" w:eastAsia="宋体" w:hAnsi="Times New Roman" w:cs="Times New Roman"/>
                <w:kern w:val="0"/>
                <w:sz w:val="14"/>
                <w:szCs w:val="14"/>
              </w:rPr>
            </w:pPr>
            <w:r w:rsidRPr="002F3D36">
              <w:rPr>
                <w:rFonts w:ascii="Arial" w:eastAsia="宋体" w:hAnsi="Arial" w:cs="Arial"/>
                <w:kern w:val="0"/>
                <w:sz w:val="14"/>
                <w:szCs w:val="14"/>
              </w:rPr>
              <w:t> </w:t>
            </w:r>
          </w:p>
        </w:tc>
        <w:tc>
          <w:tcPr>
            <w:tcW w:w="0" w:type="auto"/>
            <w:vAlign w:val="bottom"/>
            <w:hideMark/>
          </w:tcPr>
          <w:p w14:paraId="14CFBB7E" w14:textId="77777777" w:rsidR="002F3D36" w:rsidRPr="002F3D36" w:rsidRDefault="002F3D36" w:rsidP="002F3D36">
            <w:pPr>
              <w:widowControl/>
              <w:jc w:val="center"/>
              <w:rPr>
                <w:rFonts w:ascii="Times New Roman" w:eastAsia="宋体" w:hAnsi="Times New Roman" w:cs="Times New Roman"/>
                <w:kern w:val="0"/>
                <w:sz w:val="14"/>
                <w:szCs w:val="14"/>
              </w:rPr>
            </w:pPr>
            <w:r w:rsidRPr="002F3D36">
              <w:rPr>
                <w:rFonts w:ascii="Arial" w:eastAsia="宋体" w:hAnsi="Arial" w:cs="Arial"/>
                <w:kern w:val="0"/>
                <w:sz w:val="14"/>
                <w:szCs w:val="14"/>
              </w:rPr>
              <w:t> </w:t>
            </w:r>
          </w:p>
        </w:tc>
        <w:tc>
          <w:tcPr>
            <w:tcW w:w="0" w:type="auto"/>
            <w:gridSpan w:val="2"/>
            <w:tcBorders>
              <w:bottom w:val="single" w:sz="4" w:space="0" w:color="000000"/>
            </w:tcBorders>
            <w:vAlign w:val="bottom"/>
            <w:hideMark/>
          </w:tcPr>
          <w:p w14:paraId="00589975" w14:textId="77777777" w:rsidR="002F3D36" w:rsidRPr="002F3D36" w:rsidRDefault="002F3D36" w:rsidP="002F3D36">
            <w:pPr>
              <w:widowControl/>
              <w:jc w:val="center"/>
              <w:rPr>
                <w:rFonts w:ascii="Times New Roman" w:eastAsia="宋体" w:hAnsi="Times New Roman" w:cs="Times New Roman"/>
                <w:kern w:val="0"/>
                <w:sz w:val="14"/>
                <w:szCs w:val="14"/>
              </w:rPr>
            </w:pPr>
            <w:r w:rsidRPr="002F3D36">
              <w:rPr>
                <w:rFonts w:ascii="Arial" w:eastAsia="宋体" w:hAnsi="Arial" w:cs="Arial"/>
                <w:b/>
                <w:bCs/>
                <w:color w:val="000000"/>
                <w:kern w:val="0"/>
                <w:sz w:val="14"/>
                <w:szCs w:val="14"/>
              </w:rPr>
              <w:t>volume</w:t>
            </w:r>
          </w:p>
        </w:tc>
        <w:tc>
          <w:tcPr>
            <w:tcW w:w="0" w:type="auto"/>
            <w:vAlign w:val="bottom"/>
            <w:hideMark/>
          </w:tcPr>
          <w:p w14:paraId="6203D852" w14:textId="77777777" w:rsidR="002F3D36" w:rsidRPr="002F3D36" w:rsidRDefault="002F3D36" w:rsidP="002F3D36">
            <w:pPr>
              <w:widowControl/>
              <w:jc w:val="center"/>
              <w:rPr>
                <w:rFonts w:ascii="Times New Roman" w:eastAsia="宋体" w:hAnsi="Times New Roman" w:cs="Times New Roman"/>
                <w:kern w:val="0"/>
                <w:sz w:val="14"/>
                <w:szCs w:val="14"/>
              </w:rPr>
            </w:pPr>
            <w:r w:rsidRPr="002F3D36">
              <w:rPr>
                <w:rFonts w:ascii="Arial" w:eastAsia="宋体" w:hAnsi="Arial" w:cs="Arial"/>
                <w:kern w:val="0"/>
                <w:sz w:val="14"/>
                <w:szCs w:val="14"/>
              </w:rPr>
              <w:t> </w:t>
            </w:r>
          </w:p>
        </w:tc>
        <w:tc>
          <w:tcPr>
            <w:tcW w:w="0" w:type="auto"/>
            <w:vAlign w:val="bottom"/>
            <w:hideMark/>
          </w:tcPr>
          <w:p w14:paraId="488EB22F" w14:textId="77777777" w:rsidR="002F3D36" w:rsidRPr="002F3D36" w:rsidRDefault="002F3D36" w:rsidP="002F3D36">
            <w:pPr>
              <w:widowControl/>
              <w:jc w:val="center"/>
              <w:rPr>
                <w:rFonts w:ascii="Times New Roman" w:eastAsia="宋体" w:hAnsi="Times New Roman" w:cs="Times New Roman"/>
                <w:kern w:val="0"/>
                <w:sz w:val="14"/>
                <w:szCs w:val="14"/>
              </w:rPr>
            </w:pPr>
            <w:r w:rsidRPr="002F3D36">
              <w:rPr>
                <w:rFonts w:ascii="Arial" w:eastAsia="宋体" w:hAnsi="Arial" w:cs="Arial"/>
                <w:kern w:val="0"/>
                <w:sz w:val="14"/>
                <w:szCs w:val="14"/>
              </w:rPr>
              <w:t> </w:t>
            </w:r>
          </w:p>
        </w:tc>
        <w:tc>
          <w:tcPr>
            <w:tcW w:w="0" w:type="auto"/>
            <w:gridSpan w:val="2"/>
            <w:tcBorders>
              <w:bottom w:val="single" w:sz="4" w:space="0" w:color="000000"/>
            </w:tcBorders>
            <w:vAlign w:val="bottom"/>
            <w:hideMark/>
          </w:tcPr>
          <w:p w14:paraId="2556889F" w14:textId="77777777" w:rsidR="002F3D36" w:rsidRPr="002F3D36" w:rsidRDefault="002F3D36" w:rsidP="002F3D36">
            <w:pPr>
              <w:widowControl/>
              <w:jc w:val="center"/>
              <w:rPr>
                <w:rFonts w:ascii="Times New Roman" w:eastAsia="宋体" w:hAnsi="Times New Roman" w:cs="Times New Roman"/>
                <w:kern w:val="0"/>
                <w:sz w:val="14"/>
                <w:szCs w:val="14"/>
              </w:rPr>
            </w:pPr>
            <w:r w:rsidRPr="002F3D36">
              <w:rPr>
                <w:rFonts w:ascii="Arial" w:eastAsia="宋体" w:hAnsi="Arial" w:cs="Arial"/>
                <w:b/>
                <w:bCs/>
                <w:color w:val="000000"/>
                <w:kern w:val="0"/>
                <w:sz w:val="14"/>
                <w:szCs w:val="14"/>
              </w:rPr>
              <w:t>assets)</w:t>
            </w:r>
          </w:p>
        </w:tc>
        <w:tc>
          <w:tcPr>
            <w:tcW w:w="0" w:type="auto"/>
            <w:vAlign w:val="bottom"/>
            <w:hideMark/>
          </w:tcPr>
          <w:p w14:paraId="03C4038C" w14:textId="77777777" w:rsidR="002F3D36" w:rsidRPr="002F3D36" w:rsidRDefault="002F3D36" w:rsidP="002F3D36">
            <w:pPr>
              <w:widowControl/>
              <w:jc w:val="center"/>
              <w:rPr>
                <w:rFonts w:ascii="Times New Roman" w:eastAsia="宋体" w:hAnsi="Times New Roman" w:cs="Times New Roman"/>
                <w:kern w:val="0"/>
                <w:sz w:val="14"/>
                <w:szCs w:val="14"/>
              </w:rPr>
            </w:pPr>
            <w:r w:rsidRPr="002F3D36">
              <w:rPr>
                <w:rFonts w:ascii="Arial" w:eastAsia="宋体" w:hAnsi="Arial" w:cs="Arial"/>
                <w:kern w:val="0"/>
                <w:sz w:val="14"/>
                <w:szCs w:val="14"/>
              </w:rPr>
              <w:t> </w:t>
            </w:r>
          </w:p>
        </w:tc>
        <w:tc>
          <w:tcPr>
            <w:tcW w:w="0" w:type="auto"/>
            <w:vAlign w:val="bottom"/>
            <w:hideMark/>
          </w:tcPr>
          <w:p w14:paraId="11C8C5CA" w14:textId="77777777" w:rsidR="002F3D36" w:rsidRPr="002F3D36" w:rsidRDefault="002F3D36" w:rsidP="002F3D36">
            <w:pPr>
              <w:widowControl/>
              <w:jc w:val="center"/>
              <w:rPr>
                <w:rFonts w:ascii="Times New Roman" w:eastAsia="宋体" w:hAnsi="Times New Roman" w:cs="Times New Roman"/>
                <w:kern w:val="0"/>
                <w:sz w:val="14"/>
                <w:szCs w:val="14"/>
              </w:rPr>
            </w:pPr>
            <w:r w:rsidRPr="002F3D36">
              <w:rPr>
                <w:rFonts w:ascii="Arial" w:eastAsia="宋体" w:hAnsi="Arial" w:cs="Arial"/>
                <w:kern w:val="0"/>
                <w:sz w:val="14"/>
                <w:szCs w:val="14"/>
              </w:rPr>
              <w:t> </w:t>
            </w:r>
          </w:p>
        </w:tc>
        <w:tc>
          <w:tcPr>
            <w:tcW w:w="0" w:type="auto"/>
            <w:gridSpan w:val="2"/>
            <w:tcBorders>
              <w:bottom w:val="single" w:sz="4" w:space="0" w:color="000000"/>
            </w:tcBorders>
            <w:vAlign w:val="bottom"/>
            <w:hideMark/>
          </w:tcPr>
          <w:p w14:paraId="5E588523" w14:textId="77777777" w:rsidR="002F3D36" w:rsidRPr="002F3D36" w:rsidRDefault="002F3D36" w:rsidP="002F3D36">
            <w:pPr>
              <w:widowControl/>
              <w:jc w:val="center"/>
              <w:rPr>
                <w:rFonts w:ascii="Times New Roman" w:eastAsia="宋体" w:hAnsi="Times New Roman" w:cs="Times New Roman"/>
                <w:kern w:val="0"/>
                <w:sz w:val="14"/>
                <w:szCs w:val="14"/>
              </w:rPr>
            </w:pPr>
            <w:r w:rsidRPr="002F3D36">
              <w:rPr>
                <w:rFonts w:ascii="Arial" w:eastAsia="宋体" w:hAnsi="Arial" w:cs="Arial"/>
                <w:b/>
                <w:bCs/>
                <w:color w:val="000000"/>
                <w:kern w:val="0"/>
                <w:sz w:val="14"/>
                <w:szCs w:val="14"/>
              </w:rPr>
              <w:t>liabilities)</w:t>
            </w:r>
          </w:p>
        </w:tc>
        <w:tc>
          <w:tcPr>
            <w:tcW w:w="0" w:type="auto"/>
            <w:vAlign w:val="bottom"/>
            <w:hideMark/>
          </w:tcPr>
          <w:p w14:paraId="04F876BF" w14:textId="77777777" w:rsidR="002F3D36" w:rsidRPr="002F3D36" w:rsidRDefault="002F3D36" w:rsidP="002F3D36">
            <w:pPr>
              <w:widowControl/>
              <w:jc w:val="center"/>
              <w:rPr>
                <w:rFonts w:ascii="Times New Roman" w:eastAsia="宋体" w:hAnsi="Times New Roman" w:cs="Times New Roman"/>
                <w:kern w:val="0"/>
                <w:sz w:val="14"/>
                <w:szCs w:val="14"/>
              </w:rPr>
            </w:pPr>
            <w:r w:rsidRPr="002F3D36">
              <w:rPr>
                <w:rFonts w:ascii="Arial" w:eastAsia="宋体" w:hAnsi="Arial" w:cs="Arial"/>
                <w:kern w:val="0"/>
                <w:sz w:val="14"/>
                <w:szCs w:val="14"/>
              </w:rPr>
              <w:t> </w:t>
            </w:r>
          </w:p>
        </w:tc>
        <w:tc>
          <w:tcPr>
            <w:tcW w:w="0" w:type="auto"/>
            <w:vAlign w:val="bottom"/>
            <w:hideMark/>
          </w:tcPr>
          <w:p w14:paraId="4AF0277F" w14:textId="77777777" w:rsidR="002F3D36" w:rsidRPr="002F3D36" w:rsidRDefault="002F3D36" w:rsidP="002F3D36">
            <w:pPr>
              <w:widowControl/>
              <w:jc w:val="center"/>
              <w:rPr>
                <w:rFonts w:ascii="Times New Roman" w:eastAsia="宋体" w:hAnsi="Times New Roman" w:cs="Times New Roman"/>
                <w:kern w:val="0"/>
                <w:sz w:val="14"/>
                <w:szCs w:val="14"/>
              </w:rPr>
            </w:pPr>
            <w:r w:rsidRPr="002F3D36">
              <w:rPr>
                <w:rFonts w:ascii="Arial" w:eastAsia="宋体" w:hAnsi="Arial" w:cs="Arial"/>
                <w:kern w:val="0"/>
                <w:sz w:val="14"/>
                <w:szCs w:val="14"/>
              </w:rPr>
              <w:t> </w:t>
            </w:r>
          </w:p>
        </w:tc>
      </w:tr>
      <w:tr w:rsidR="002F3D36" w:rsidRPr="002F3D36" w14:paraId="6B890997" w14:textId="77777777" w:rsidTr="002F3D36">
        <w:trPr>
          <w:trHeight w:val="160"/>
          <w:tblCellSpacing w:w="15" w:type="dxa"/>
        </w:trPr>
        <w:tc>
          <w:tcPr>
            <w:tcW w:w="0" w:type="auto"/>
            <w:shd w:val="clear" w:color="auto" w:fill="CFF0FC"/>
            <w:vAlign w:val="bottom"/>
            <w:hideMark/>
          </w:tcPr>
          <w:p w14:paraId="6DFF5F0F"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DERIVATIVES NOT DESIGNATED</w:t>
            </w:r>
            <w:r w:rsidRPr="002F3D36">
              <w:rPr>
                <w:rFonts w:ascii="Arial" w:eastAsia="宋体" w:hAnsi="Arial" w:cs="Arial"/>
                <w:b/>
                <w:bCs/>
                <w:color w:val="000000"/>
                <w:kern w:val="0"/>
                <w:sz w:val="16"/>
                <w:szCs w:val="16"/>
              </w:rPr>
              <w:br/>
              <w:t>   AS HEDGING INSTRUMENTS</w:t>
            </w:r>
          </w:p>
        </w:tc>
        <w:tc>
          <w:tcPr>
            <w:tcW w:w="0" w:type="auto"/>
            <w:shd w:val="clear" w:color="auto" w:fill="CFF0FC"/>
            <w:vAlign w:val="bottom"/>
            <w:hideMark/>
          </w:tcPr>
          <w:p w14:paraId="78EEAE91"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2"/>
            <w:shd w:val="clear" w:color="auto" w:fill="CFF0FC"/>
            <w:vAlign w:val="bottom"/>
            <w:hideMark/>
          </w:tcPr>
          <w:p w14:paraId="77ABF512"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shd w:val="clear" w:color="auto" w:fill="CFF0FC"/>
            <w:vAlign w:val="bottom"/>
            <w:hideMark/>
          </w:tcPr>
          <w:p w14:paraId="1AE5B23F"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shd w:val="clear" w:color="auto" w:fill="CFF0FC"/>
            <w:vAlign w:val="bottom"/>
            <w:hideMark/>
          </w:tcPr>
          <w:p w14:paraId="78F3D45B"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2"/>
            <w:shd w:val="clear" w:color="auto" w:fill="CFF0FC"/>
            <w:vAlign w:val="bottom"/>
            <w:hideMark/>
          </w:tcPr>
          <w:p w14:paraId="3D268D1D"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shd w:val="clear" w:color="auto" w:fill="CFF0FC"/>
            <w:vAlign w:val="bottom"/>
            <w:hideMark/>
          </w:tcPr>
          <w:p w14:paraId="0B00544D"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shd w:val="clear" w:color="auto" w:fill="CFF0FC"/>
            <w:vAlign w:val="bottom"/>
            <w:hideMark/>
          </w:tcPr>
          <w:p w14:paraId="26AEBB62"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2"/>
            <w:shd w:val="clear" w:color="auto" w:fill="CFF0FC"/>
            <w:vAlign w:val="bottom"/>
            <w:hideMark/>
          </w:tcPr>
          <w:p w14:paraId="185754ED"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shd w:val="clear" w:color="auto" w:fill="CFF0FC"/>
            <w:vAlign w:val="bottom"/>
            <w:hideMark/>
          </w:tcPr>
          <w:p w14:paraId="6961D605"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shd w:val="clear" w:color="auto" w:fill="CFF0FC"/>
            <w:vAlign w:val="bottom"/>
            <w:hideMark/>
          </w:tcPr>
          <w:p w14:paraId="695C7A6C"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2"/>
            <w:shd w:val="clear" w:color="auto" w:fill="CFF0FC"/>
            <w:vAlign w:val="bottom"/>
            <w:hideMark/>
          </w:tcPr>
          <w:p w14:paraId="1BD15DB3"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shd w:val="clear" w:color="auto" w:fill="CFF0FC"/>
            <w:vAlign w:val="bottom"/>
            <w:hideMark/>
          </w:tcPr>
          <w:p w14:paraId="4A04550C"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shd w:val="clear" w:color="auto" w:fill="CFF0FC"/>
            <w:vAlign w:val="bottom"/>
            <w:hideMark/>
          </w:tcPr>
          <w:p w14:paraId="233F8FF8"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2"/>
            <w:shd w:val="clear" w:color="auto" w:fill="CFF0FC"/>
            <w:vAlign w:val="bottom"/>
            <w:hideMark/>
          </w:tcPr>
          <w:p w14:paraId="5882D211"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shd w:val="clear" w:color="auto" w:fill="CFF0FC"/>
            <w:vAlign w:val="bottom"/>
            <w:hideMark/>
          </w:tcPr>
          <w:p w14:paraId="2DC1C020"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shd w:val="clear" w:color="auto" w:fill="CFF0FC"/>
            <w:vAlign w:val="bottom"/>
            <w:hideMark/>
          </w:tcPr>
          <w:p w14:paraId="7CF45F51"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2"/>
            <w:shd w:val="clear" w:color="auto" w:fill="CFF0FC"/>
            <w:vAlign w:val="bottom"/>
            <w:hideMark/>
          </w:tcPr>
          <w:p w14:paraId="45F9A282"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shd w:val="clear" w:color="auto" w:fill="CFF0FC"/>
            <w:vAlign w:val="bottom"/>
            <w:hideMark/>
          </w:tcPr>
          <w:p w14:paraId="14DC2747"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shd w:val="clear" w:color="auto" w:fill="CFF0FC"/>
            <w:vAlign w:val="bottom"/>
            <w:hideMark/>
          </w:tcPr>
          <w:p w14:paraId="5CDB7E4C"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r>
      <w:tr w:rsidR="002F3D36" w:rsidRPr="002F3D36" w14:paraId="7A610E5B" w14:textId="77777777" w:rsidTr="002F3D36">
        <w:trPr>
          <w:trHeight w:val="160"/>
          <w:tblCellSpacing w:w="15" w:type="dxa"/>
        </w:trPr>
        <w:tc>
          <w:tcPr>
            <w:tcW w:w="0" w:type="auto"/>
            <w:hideMark/>
          </w:tcPr>
          <w:p w14:paraId="0341D9D9"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color w:val="000000"/>
                <w:kern w:val="0"/>
                <w:sz w:val="16"/>
                <w:szCs w:val="16"/>
              </w:rPr>
              <w:t>Foreign exchange swaps, less</w:t>
            </w:r>
            <w:r w:rsidRPr="002F3D36">
              <w:rPr>
                <w:rFonts w:ascii="Arial" w:eastAsia="宋体" w:hAnsi="Arial" w:cs="Arial"/>
                <w:color w:val="000000"/>
                <w:kern w:val="0"/>
                <w:sz w:val="16"/>
                <w:szCs w:val="16"/>
              </w:rPr>
              <w:br/>
              <w:t>   than 6 months</w:t>
            </w:r>
          </w:p>
        </w:tc>
        <w:tc>
          <w:tcPr>
            <w:tcW w:w="0" w:type="auto"/>
            <w:vAlign w:val="bottom"/>
            <w:hideMark/>
          </w:tcPr>
          <w:p w14:paraId="104F1434"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tcBorders>
              <w:bottom w:val="single" w:sz="4" w:space="0" w:color="000000"/>
            </w:tcBorders>
            <w:vAlign w:val="bottom"/>
            <w:hideMark/>
          </w:tcPr>
          <w:p w14:paraId="44C6D57A"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color w:val="000000"/>
                <w:kern w:val="0"/>
                <w:sz w:val="16"/>
                <w:szCs w:val="16"/>
              </w:rPr>
              <w:t>$</w:t>
            </w:r>
          </w:p>
        </w:tc>
        <w:tc>
          <w:tcPr>
            <w:tcW w:w="0" w:type="auto"/>
            <w:tcBorders>
              <w:bottom w:val="single" w:sz="4" w:space="0" w:color="000000"/>
            </w:tcBorders>
            <w:vAlign w:val="bottom"/>
            <w:hideMark/>
          </w:tcPr>
          <w:p w14:paraId="1AF877D9"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6"/>
                <w:szCs w:val="16"/>
              </w:rPr>
              <w:t>1,348</w:t>
            </w:r>
          </w:p>
        </w:tc>
        <w:tc>
          <w:tcPr>
            <w:tcW w:w="0" w:type="auto"/>
            <w:vAlign w:val="bottom"/>
            <w:hideMark/>
          </w:tcPr>
          <w:p w14:paraId="491A8118"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vAlign w:val="bottom"/>
            <w:hideMark/>
          </w:tcPr>
          <w:p w14:paraId="18D75794"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color w:val="000000"/>
                <w:kern w:val="0"/>
                <w:sz w:val="11"/>
                <w:szCs w:val="11"/>
              </w:rPr>
              <w:t>1)</w:t>
            </w:r>
          </w:p>
        </w:tc>
        <w:tc>
          <w:tcPr>
            <w:tcW w:w="0" w:type="auto"/>
            <w:tcBorders>
              <w:bottom w:val="single" w:sz="4" w:space="0" w:color="000000"/>
            </w:tcBorders>
            <w:vAlign w:val="bottom"/>
            <w:hideMark/>
          </w:tcPr>
          <w:p w14:paraId="184784C9"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color w:val="000000"/>
                <w:kern w:val="0"/>
                <w:sz w:val="16"/>
                <w:szCs w:val="16"/>
              </w:rPr>
              <w:t>$</w:t>
            </w:r>
          </w:p>
        </w:tc>
        <w:tc>
          <w:tcPr>
            <w:tcW w:w="0" w:type="auto"/>
            <w:tcBorders>
              <w:bottom w:val="single" w:sz="4" w:space="0" w:color="000000"/>
            </w:tcBorders>
            <w:vAlign w:val="bottom"/>
            <w:hideMark/>
          </w:tcPr>
          <w:p w14:paraId="0ABDD975"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6"/>
                <w:szCs w:val="16"/>
              </w:rPr>
              <w:t>5</w:t>
            </w:r>
          </w:p>
        </w:tc>
        <w:tc>
          <w:tcPr>
            <w:tcW w:w="0" w:type="auto"/>
            <w:vAlign w:val="bottom"/>
            <w:hideMark/>
          </w:tcPr>
          <w:p w14:paraId="304C0717"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vAlign w:val="bottom"/>
            <w:hideMark/>
          </w:tcPr>
          <w:p w14:paraId="6FB8CFED"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color w:val="000000"/>
                <w:kern w:val="0"/>
                <w:sz w:val="11"/>
                <w:szCs w:val="11"/>
              </w:rPr>
              <w:t>2)</w:t>
            </w:r>
          </w:p>
        </w:tc>
        <w:tc>
          <w:tcPr>
            <w:tcW w:w="0" w:type="auto"/>
            <w:tcBorders>
              <w:bottom w:val="single" w:sz="4" w:space="0" w:color="000000"/>
            </w:tcBorders>
            <w:vAlign w:val="bottom"/>
            <w:hideMark/>
          </w:tcPr>
          <w:p w14:paraId="200D9762"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color w:val="000000"/>
                <w:kern w:val="0"/>
                <w:sz w:val="16"/>
                <w:szCs w:val="16"/>
              </w:rPr>
              <w:t>$</w:t>
            </w:r>
          </w:p>
        </w:tc>
        <w:tc>
          <w:tcPr>
            <w:tcW w:w="0" w:type="auto"/>
            <w:tcBorders>
              <w:bottom w:val="single" w:sz="4" w:space="0" w:color="000000"/>
            </w:tcBorders>
            <w:vAlign w:val="bottom"/>
            <w:hideMark/>
          </w:tcPr>
          <w:p w14:paraId="44754DD0"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6"/>
                <w:szCs w:val="16"/>
              </w:rPr>
              <w:t>16</w:t>
            </w:r>
          </w:p>
        </w:tc>
        <w:tc>
          <w:tcPr>
            <w:tcW w:w="0" w:type="auto"/>
            <w:vAlign w:val="bottom"/>
            <w:hideMark/>
          </w:tcPr>
          <w:p w14:paraId="6336FBC7"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vAlign w:val="bottom"/>
            <w:hideMark/>
          </w:tcPr>
          <w:p w14:paraId="4F65EB9E"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color w:val="000000"/>
                <w:kern w:val="0"/>
                <w:sz w:val="11"/>
                <w:szCs w:val="11"/>
              </w:rPr>
              <w:t>3)</w:t>
            </w:r>
          </w:p>
        </w:tc>
        <w:tc>
          <w:tcPr>
            <w:tcW w:w="0" w:type="auto"/>
            <w:tcBorders>
              <w:bottom w:val="single" w:sz="4" w:space="0" w:color="000000"/>
            </w:tcBorders>
            <w:vAlign w:val="bottom"/>
            <w:hideMark/>
          </w:tcPr>
          <w:p w14:paraId="140CDC93"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color w:val="000000"/>
                <w:kern w:val="0"/>
                <w:sz w:val="16"/>
                <w:szCs w:val="16"/>
              </w:rPr>
              <w:t>$</w:t>
            </w:r>
          </w:p>
        </w:tc>
        <w:tc>
          <w:tcPr>
            <w:tcW w:w="0" w:type="auto"/>
            <w:tcBorders>
              <w:bottom w:val="single" w:sz="4" w:space="0" w:color="000000"/>
            </w:tcBorders>
            <w:vAlign w:val="bottom"/>
            <w:hideMark/>
          </w:tcPr>
          <w:p w14:paraId="4C76B484"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6"/>
                <w:szCs w:val="16"/>
              </w:rPr>
              <w:t>1,463</w:t>
            </w:r>
          </w:p>
        </w:tc>
        <w:tc>
          <w:tcPr>
            <w:tcW w:w="0" w:type="auto"/>
            <w:vAlign w:val="bottom"/>
            <w:hideMark/>
          </w:tcPr>
          <w:p w14:paraId="00F7FFE1"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vAlign w:val="bottom"/>
            <w:hideMark/>
          </w:tcPr>
          <w:p w14:paraId="451FF8A2"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color w:val="000000"/>
                <w:kern w:val="0"/>
                <w:sz w:val="11"/>
                <w:szCs w:val="11"/>
              </w:rPr>
              <w:t>4)</w:t>
            </w:r>
          </w:p>
        </w:tc>
        <w:tc>
          <w:tcPr>
            <w:tcW w:w="0" w:type="auto"/>
            <w:tcBorders>
              <w:bottom w:val="single" w:sz="4" w:space="0" w:color="000000"/>
            </w:tcBorders>
            <w:vAlign w:val="bottom"/>
            <w:hideMark/>
          </w:tcPr>
          <w:p w14:paraId="76924AE5"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color w:val="000000"/>
                <w:kern w:val="0"/>
                <w:sz w:val="16"/>
                <w:szCs w:val="16"/>
              </w:rPr>
              <w:t>$</w:t>
            </w:r>
          </w:p>
        </w:tc>
        <w:tc>
          <w:tcPr>
            <w:tcW w:w="0" w:type="auto"/>
            <w:tcBorders>
              <w:bottom w:val="single" w:sz="4" w:space="0" w:color="000000"/>
            </w:tcBorders>
            <w:vAlign w:val="bottom"/>
            <w:hideMark/>
          </w:tcPr>
          <w:p w14:paraId="65503C02"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6"/>
                <w:szCs w:val="16"/>
              </w:rPr>
              <w:t>25</w:t>
            </w:r>
          </w:p>
        </w:tc>
        <w:tc>
          <w:tcPr>
            <w:tcW w:w="0" w:type="auto"/>
            <w:vAlign w:val="bottom"/>
            <w:hideMark/>
          </w:tcPr>
          <w:p w14:paraId="521B0CA4"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vAlign w:val="bottom"/>
            <w:hideMark/>
          </w:tcPr>
          <w:p w14:paraId="72C0C957"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color w:val="000000"/>
                <w:kern w:val="0"/>
                <w:sz w:val="11"/>
                <w:szCs w:val="11"/>
              </w:rPr>
              <w:t>5)</w:t>
            </w:r>
          </w:p>
        </w:tc>
        <w:tc>
          <w:tcPr>
            <w:tcW w:w="0" w:type="auto"/>
            <w:tcBorders>
              <w:bottom w:val="single" w:sz="4" w:space="0" w:color="000000"/>
            </w:tcBorders>
            <w:vAlign w:val="bottom"/>
            <w:hideMark/>
          </w:tcPr>
          <w:p w14:paraId="68F8FFAC"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color w:val="000000"/>
                <w:kern w:val="0"/>
                <w:sz w:val="16"/>
                <w:szCs w:val="16"/>
              </w:rPr>
              <w:t>$</w:t>
            </w:r>
          </w:p>
        </w:tc>
        <w:tc>
          <w:tcPr>
            <w:tcW w:w="0" w:type="auto"/>
            <w:tcBorders>
              <w:bottom w:val="single" w:sz="4" w:space="0" w:color="000000"/>
            </w:tcBorders>
            <w:vAlign w:val="bottom"/>
            <w:hideMark/>
          </w:tcPr>
          <w:p w14:paraId="33754712"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6"/>
                <w:szCs w:val="16"/>
              </w:rPr>
              <w:t>3</w:t>
            </w:r>
          </w:p>
        </w:tc>
        <w:tc>
          <w:tcPr>
            <w:tcW w:w="0" w:type="auto"/>
            <w:vAlign w:val="bottom"/>
            <w:hideMark/>
          </w:tcPr>
          <w:p w14:paraId="3534525C"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vAlign w:val="bottom"/>
            <w:hideMark/>
          </w:tcPr>
          <w:p w14:paraId="33485E93"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color w:val="000000"/>
                <w:kern w:val="0"/>
                <w:sz w:val="11"/>
                <w:szCs w:val="11"/>
              </w:rPr>
              <w:t>6)</w:t>
            </w:r>
          </w:p>
        </w:tc>
      </w:tr>
      <w:tr w:rsidR="002F3D36" w:rsidRPr="002F3D36" w14:paraId="659BDBB5" w14:textId="77777777" w:rsidTr="002F3D36">
        <w:trPr>
          <w:trHeight w:val="160"/>
          <w:tblCellSpacing w:w="15" w:type="dxa"/>
        </w:trPr>
        <w:tc>
          <w:tcPr>
            <w:tcW w:w="0" w:type="auto"/>
            <w:shd w:val="clear" w:color="auto" w:fill="CFF0FC"/>
            <w:hideMark/>
          </w:tcPr>
          <w:p w14:paraId="7870BAE8"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TOTAL DERIVATIVES NOT</w:t>
            </w:r>
            <w:r w:rsidRPr="002F3D36">
              <w:rPr>
                <w:rFonts w:ascii="Arial" w:eastAsia="宋体" w:hAnsi="Arial" w:cs="Arial"/>
                <w:b/>
                <w:bCs/>
                <w:color w:val="000000"/>
                <w:kern w:val="0"/>
                <w:sz w:val="16"/>
                <w:szCs w:val="16"/>
              </w:rPr>
              <w:br/>
              <w:t>   DESIGNATED AS HEDGING</w:t>
            </w:r>
            <w:r w:rsidRPr="002F3D36">
              <w:rPr>
                <w:rFonts w:ascii="Arial" w:eastAsia="宋体" w:hAnsi="Arial" w:cs="Arial"/>
                <w:b/>
                <w:bCs/>
                <w:color w:val="000000"/>
                <w:kern w:val="0"/>
                <w:sz w:val="16"/>
                <w:szCs w:val="16"/>
              </w:rPr>
              <w:br/>
              <w:t>   INSTRUMENTS</w:t>
            </w:r>
          </w:p>
        </w:tc>
        <w:tc>
          <w:tcPr>
            <w:tcW w:w="0" w:type="auto"/>
            <w:shd w:val="clear" w:color="auto" w:fill="CFF0FC"/>
            <w:vAlign w:val="bottom"/>
            <w:hideMark/>
          </w:tcPr>
          <w:p w14:paraId="17BF4E3F"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shd w:val="clear" w:color="auto" w:fill="CFF0FC"/>
            <w:vAlign w:val="bottom"/>
            <w:hideMark/>
          </w:tcPr>
          <w:p w14:paraId="21297306"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w:t>
            </w:r>
          </w:p>
        </w:tc>
        <w:tc>
          <w:tcPr>
            <w:tcW w:w="0" w:type="auto"/>
            <w:shd w:val="clear" w:color="auto" w:fill="CFF0FC"/>
            <w:vAlign w:val="bottom"/>
            <w:hideMark/>
          </w:tcPr>
          <w:p w14:paraId="4E2E6021"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6"/>
                <w:szCs w:val="16"/>
              </w:rPr>
              <w:t>1,348</w:t>
            </w:r>
          </w:p>
        </w:tc>
        <w:tc>
          <w:tcPr>
            <w:tcW w:w="0" w:type="auto"/>
            <w:shd w:val="clear" w:color="auto" w:fill="CFF0FC"/>
            <w:vAlign w:val="bottom"/>
            <w:hideMark/>
          </w:tcPr>
          <w:p w14:paraId="642ABF9B"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shd w:val="clear" w:color="auto" w:fill="CFF0FC"/>
            <w:vAlign w:val="bottom"/>
            <w:hideMark/>
          </w:tcPr>
          <w:p w14:paraId="5705938B"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shd w:val="clear" w:color="auto" w:fill="CFF0FC"/>
            <w:vAlign w:val="bottom"/>
            <w:hideMark/>
          </w:tcPr>
          <w:p w14:paraId="0BFA2D77"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w:t>
            </w:r>
          </w:p>
        </w:tc>
        <w:tc>
          <w:tcPr>
            <w:tcW w:w="0" w:type="auto"/>
            <w:shd w:val="clear" w:color="auto" w:fill="CFF0FC"/>
            <w:vAlign w:val="bottom"/>
            <w:hideMark/>
          </w:tcPr>
          <w:p w14:paraId="17AEEC46"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6"/>
                <w:szCs w:val="16"/>
              </w:rPr>
              <w:t>5</w:t>
            </w:r>
          </w:p>
        </w:tc>
        <w:tc>
          <w:tcPr>
            <w:tcW w:w="0" w:type="auto"/>
            <w:shd w:val="clear" w:color="auto" w:fill="CFF0FC"/>
            <w:vAlign w:val="bottom"/>
            <w:hideMark/>
          </w:tcPr>
          <w:p w14:paraId="2CAAFC31"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shd w:val="clear" w:color="auto" w:fill="CFF0FC"/>
            <w:vAlign w:val="bottom"/>
            <w:hideMark/>
          </w:tcPr>
          <w:p w14:paraId="3699B792"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shd w:val="clear" w:color="auto" w:fill="CFF0FC"/>
            <w:vAlign w:val="bottom"/>
            <w:hideMark/>
          </w:tcPr>
          <w:p w14:paraId="422438BA"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w:t>
            </w:r>
          </w:p>
        </w:tc>
        <w:tc>
          <w:tcPr>
            <w:tcW w:w="0" w:type="auto"/>
            <w:shd w:val="clear" w:color="auto" w:fill="CFF0FC"/>
            <w:vAlign w:val="bottom"/>
            <w:hideMark/>
          </w:tcPr>
          <w:p w14:paraId="02A10580"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6"/>
                <w:szCs w:val="16"/>
              </w:rPr>
              <w:t>16</w:t>
            </w:r>
          </w:p>
        </w:tc>
        <w:tc>
          <w:tcPr>
            <w:tcW w:w="0" w:type="auto"/>
            <w:shd w:val="clear" w:color="auto" w:fill="CFF0FC"/>
            <w:vAlign w:val="bottom"/>
            <w:hideMark/>
          </w:tcPr>
          <w:p w14:paraId="765CAF60"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shd w:val="clear" w:color="auto" w:fill="CFF0FC"/>
            <w:vAlign w:val="bottom"/>
            <w:hideMark/>
          </w:tcPr>
          <w:p w14:paraId="5CC0F8B3"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shd w:val="clear" w:color="auto" w:fill="CFF0FC"/>
            <w:vAlign w:val="bottom"/>
            <w:hideMark/>
          </w:tcPr>
          <w:p w14:paraId="7211E17C"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w:t>
            </w:r>
          </w:p>
        </w:tc>
        <w:tc>
          <w:tcPr>
            <w:tcW w:w="0" w:type="auto"/>
            <w:shd w:val="clear" w:color="auto" w:fill="CFF0FC"/>
            <w:vAlign w:val="bottom"/>
            <w:hideMark/>
          </w:tcPr>
          <w:p w14:paraId="330458EB"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6"/>
                <w:szCs w:val="16"/>
              </w:rPr>
              <w:t>1,463</w:t>
            </w:r>
          </w:p>
        </w:tc>
        <w:tc>
          <w:tcPr>
            <w:tcW w:w="0" w:type="auto"/>
            <w:shd w:val="clear" w:color="auto" w:fill="CFF0FC"/>
            <w:vAlign w:val="bottom"/>
            <w:hideMark/>
          </w:tcPr>
          <w:p w14:paraId="48D40769"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shd w:val="clear" w:color="auto" w:fill="CFF0FC"/>
            <w:vAlign w:val="bottom"/>
            <w:hideMark/>
          </w:tcPr>
          <w:p w14:paraId="092D3166"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shd w:val="clear" w:color="auto" w:fill="CFF0FC"/>
            <w:vAlign w:val="bottom"/>
            <w:hideMark/>
          </w:tcPr>
          <w:p w14:paraId="25CCB8E6"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w:t>
            </w:r>
          </w:p>
        </w:tc>
        <w:tc>
          <w:tcPr>
            <w:tcW w:w="0" w:type="auto"/>
            <w:shd w:val="clear" w:color="auto" w:fill="CFF0FC"/>
            <w:vAlign w:val="bottom"/>
            <w:hideMark/>
          </w:tcPr>
          <w:p w14:paraId="39DE14CA"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6"/>
                <w:szCs w:val="16"/>
              </w:rPr>
              <w:t>25</w:t>
            </w:r>
          </w:p>
        </w:tc>
        <w:tc>
          <w:tcPr>
            <w:tcW w:w="0" w:type="auto"/>
            <w:shd w:val="clear" w:color="auto" w:fill="CFF0FC"/>
            <w:vAlign w:val="bottom"/>
            <w:hideMark/>
          </w:tcPr>
          <w:p w14:paraId="17D05CEE"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shd w:val="clear" w:color="auto" w:fill="CFF0FC"/>
            <w:vAlign w:val="bottom"/>
            <w:hideMark/>
          </w:tcPr>
          <w:p w14:paraId="2F89DE3E"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shd w:val="clear" w:color="auto" w:fill="CFF0FC"/>
            <w:vAlign w:val="bottom"/>
            <w:hideMark/>
          </w:tcPr>
          <w:p w14:paraId="571FCAD0"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w:t>
            </w:r>
          </w:p>
        </w:tc>
        <w:tc>
          <w:tcPr>
            <w:tcW w:w="0" w:type="auto"/>
            <w:shd w:val="clear" w:color="auto" w:fill="CFF0FC"/>
            <w:vAlign w:val="bottom"/>
            <w:hideMark/>
          </w:tcPr>
          <w:p w14:paraId="79B462AE"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6"/>
                <w:szCs w:val="16"/>
              </w:rPr>
              <w:t>3</w:t>
            </w:r>
          </w:p>
        </w:tc>
        <w:tc>
          <w:tcPr>
            <w:tcW w:w="0" w:type="auto"/>
            <w:shd w:val="clear" w:color="auto" w:fill="CFF0FC"/>
            <w:vAlign w:val="bottom"/>
            <w:hideMark/>
          </w:tcPr>
          <w:p w14:paraId="183A943D"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shd w:val="clear" w:color="auto" w:fill="CFF0FC"/>
            <w:vAlign w:val="bottom"/>
            <w:hideMark/>
          </w:tcPr>
          <w:p w14:paraId="1A55B8B6"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r>
    </w:tbl>
    <w:p w14:paraId="2748946F"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2"/>
          <w:szCs w:val="2"/>
        </w:rPr>
        <w:t> </w:t>
      </w:r>
    </w:p>
    <w:p w14:paraId="26732C76"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6"/>
          <w:szCs w:val="16"/>
        </w:rPr>
        <w:t xml:space="preserve">1) Net nominal amount after deducting for offsetting swaps under ISDA agreements is $1,326 million. </w:t>
      </w:r>
    </w:p>
    <w:p w14:paraId="2B7D5EF2"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6"/>
          <w:szCs w:val="16"/>
        </w:rPr>
        <w:t xml:space="preserve">2) Net amount after deducting for offsetting swaps under ISDA agreements is $5 million. </w:t>
      </w:r>
    </w:p>
    <w:p w14:paraId="03B0269C"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6"/>
          <w:szCs w:val="16"/>
        </w:rPr>
        <w:t xml:space="preserve">3) Net amount after deducting for offsetting swaps under ISDA agreements is $16 million. </w:t>
      </w:r>
    </w:p>
    <w:p w14:paraId="17C5E718"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6"/>
          <w:szCs w:val="16"/>
        </w:rPr>
        <w:t xml:space="preserve">4) Net nominal amount after deducting for offsetting swaps under ISDA agreements is $1,463 million. </w:t>
      </w:r>
    </w:p>
    <w:p w14:paraId="1E3F54F2"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6"/>
          <w:szCs w:val="16"/>
        </w:rPr>
        <w:t xml:space="preserve">5) Net amount after deducting for offsetting swaps under ISDA agreements is $25 million. </w:t>
      </w:r>
    </w:p>
    <w:p w14:paraId="7EAA777D"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6"/>
          <w:szCs w:val="16"/>
        </w:rPr>
        <w:t>6) Net amount after deducting for offsetting swaps under ISDA agreements is $3 million.</w:t>
      </w:r>
    </w:p>
    <w:p w14:paraId="6CB703B9"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FAIR VALUE OF DEBT</w:t>
      </w:r>
    </w:p>
    <w:p w14:paraId="4416C03A"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The fair value of long-term debt is determined either from quoted market prices as provided by participants in the secondary market or for long-term debt without quoted market prices, estimated using a discounted cash flow method based on the Company’s current borrowing rates for similar types of financing. The fair value and carrying value of debt is summarized in the table below. The Company has determined that each of these fair value measurements of debt reside within Level 2 of the fair value hierarchy.</w:t>
      </w:r>
    </w:p>
    <w:p w14:paraId="37D939D4"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The fair value and carrying value of debt for the continuing operations are summarized in the table below (dollars in millions).</w:t>
      </w:r>
    </w:p>
    <w:p w14:paraId="238C3BCE" w14:textId="77777777" w:rsidR="002F3D36" w:rsidRPr="002F3D36" w:rsidRDefault="002F3D36" w:rsidP="002F3D36">
      <w:pPr>
        <w:widowControl/>
        <w:jc w:val="left"/>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w:t>
      </w:r>
    </w:p>
    <w:tbl>
      <w:tblPr>
        <w:tblW w:w="18553" w:type="dxa"/>
        <w:tblCellSpacing w:w="15" w:type="dxa"/>
        <w:tblCellMar>
          <w:top w:w="15" w:type="dxa"/>
          <w:left w:w="15" w:type="dxa"/>
          <w:bottom w:w="15" w:type="dxa"/>
          <w:right w:w="15" w:type="dxa"/>
        </w:tblCellMar>
        <w:tblLook w:val="04A0" w:firstRow="1" w:lastRow="0" w:firstColumn="1" w:lastColumn="0" w:noHBand="0" w:noVBand="1"/>
      </w:tblPr>
      <w:tblGrid>
        <w:gridCol w:w="5971"/>
        <w:gridCol w:w="290"/>
        <w:gridCol w:w="285"/>
        <w:gridCol w:w="2468"/>
        <w:gridCol w:w="144"/>
        <w:gridCol w:w="291"/>
        <w:gridCol w:w="286"/>
        <w:gridCol w:w="2374"/>
        <w:gridCol w:w="144"/>
        <w:gridCol w:w="291"/>
        <w:gridCol w:w="286"/>
        <w:gridCol w:w="2468"/>
        <w:gridCol w:w="144"/>
        <w:gridCol w:w="291"/>
        <w:gridCol w:w="286"/>
        <w:gridCol w:w="2374"/>
        <w:gridCol w:w="160"/>
      </w:tblGrid>
      <w:tr w:rsidR="002F3D36" w:rsidRPr="002F3D36" w14:paraId="7D89B7D6" w14:textId="77777777" w:rsidTr="002F3D36">
        <w:trPr>
          <w:tblCellSpacing w:w="15" w:type="dxa"/>
        </w:trPr>
        <w:tc>
          <w:tcPr>
            <w:tcW w:w="5937" w:type="dxa"/>
            <w:vAlign w:val="center"/>
            <w:hideMark/>
          </w:tcPr>
          <w:p w14:paraId="55DF13BE" w14:textId="77777777" w:rsidR="002F3D36" w:rsidRPr="002F3D36" w:rsidRDefault="002F3D36" w:rsidP="002F3D36">
            <w:pPr>
              <w:widowControl/>
              <w:jc w:val="left"/>
              <w:rPr>
                <w:rFonts w:ascii="Times New Roman" w:eastAsia="宋体" w:hAnsi="Times New Roman" w:cs="Times New Roman"/>
                <w:color w:val="000000"/>
                <w:kern w:val="0"/>
                <w:sz w:val="20"/>
                <w:szCs w:val="20"/>
              </w:rPr>
            </w:pPr>
          </w:p>
        </w:tc>
        <w:tc>
          <w:tcPr>
            <w:tcW w:w="261" w:type="dxa"/>
            <w:vAlign w:val="center"/>
            <w:hideMark/>
          </w:tcPr>
          <w:p w14:paraId="6A054BEB"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56" w:type="dxa"/>
            <w:vAlign w:val="center"/>
            <w:hideMark/>
          </w:tcPr>
          <w:p w14:paraId="683E65CA"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441" w:type="dxa"/>
            <w:vAlign w:val="center"/>
            <w:hideMark/>
          </w:tcPr>
          <w:p w14:paraId="3CD3D40B"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14" w:type="dxa"/>
            <w:vAlign w:val="center"/>
            <w:hideMark/>
          </w:tcPr>
          <w:p w14:paraId="257A85C9"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61" w:type="dxa"/>
            <w:vAlign w:val="center"/>
            <w:hideMark/>
          </w:tcPr>
          <w:p w14:paraId="686B370D"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56" w:type="dxa"/>
            <w:vAlign w:val="center"/>
            <w:hideMark/>
          </w:tcPr>
          <w:p w14:paraId="742BCF0D"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348" w:type="dxa"/>
            <w:vAlign w:val="center"/>
            <w:hideMark/>
          </w:tcPr>
          <w:p w14:paraId="4FB3240D"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14" w:type="dxa"/>
            <w:vAlign w:val="center"/>
            <w:hideMark/>
          </w:tcPr>
          <w:p w14:paraId="267AEA28"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61" w:type="dxa"/>
            <w:vAlign w:val="center"/>
            <w:hideMark/>
          </w:tcPr>
          <w:p w14:paraId="5475B56E"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56" w:type="dxa"/>
            <w:vAlign w:val="center"/>
            <w:hideMark/>
          </w:tcPr>
          <w:p w14:paraId="42BE1FF1"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441" w:type="dxa"/>
            <w:vAlign w:val="center"/>
            <w:hideMark/>
          </w:tcPr>
          <w:p w14:paraId="12DC385F"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14" w:type="dxa"/>
            <w:vAlign w:val="center"/>
            <w:hideMark/>
          </w:tcPr>
          <w:p w14:paraId="256B437E"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61" w:type="dxa"/>
            <w:vAlign w:val="center"/>
            <w:hideMark/>
          </w:tcPr>
          <w:p w14:paraId="1F090E58"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56" w:type="dxa"/>
            <w:vAlign w:val="center"/>
            <w:hideMark/>
          </w:tcPr>
          <w:p w14:paraId="39780A14"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348" w:type="dxa"/>
            <w:vAlign w:val="center"/>
            <w:hideMark/>
          </w:tcPr>
          <w:p w14:paraId="4D277F60"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15" w:type="dxa"/>
            <w:vAlign w:val="center"/>
            <w:hideMark/>
          </w:tcPr>
          <w:p w14:paraId="7F4E651B" w14:textId="77777777" w:rsidR="002F3D36" w:rsidRPr="002F3D36" w:rsidRDefault="002F3D36" w:rsidP="002F3D36">
            <w:pPr>
              <w:widowControl/>
              <w:jc w:val="left"/>
              <w:rPr>
                <w:rFonts w:ascii="Times New Roman" w:eastAsia="Times New Roman" w:hAnsi="Times New Roman" w:cs="Times New Roman"/>
                <w:kern w:val="0"/>
                <w:sz w:val="20"/>
                <w:szCs w:val="20"/>
              </w:rPr>
            </w:pPr>
          </w:p>
        </w:tc>
      </w:tr>
      <w:tr w:rsidR="002F3D36" w:rsidRPr="002F3D36" w14:paraId="399C0400" w14:textId="77777777" w:rsidTr="002F3D36">
        <w:trPr>
          <w:trHeight w:val="160"/>
          <w:tblCellSpacing w:w="15" w:type="dxa"/>
        </w:trPr>
        <w:tc>
          <w:tcPr>
            <w:tcW w:w="0" w:type="auto"/>
            <w:vAlign w:val="bottom"/>
            <w:hideMark/>
          </w:tcPr>
          <w:p w14:paraId="275E96D6"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vAlign w:val="bottom"/>
            <w:hideMark/>
          </w:tcPr>
          <w:p w14:paraId="72CD6096"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6"/>
            <w:tcBorders>
              <w:bottom w:val="single" w:sz="4" w:space="0" w:color="000000"/>
            </w:tcBorders>
            <w:vAlign w:val="bottom"/>
            <w:hideMark/>
          </w:tcPr>
          <w:p w14:paraId="4BFF5A52"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DECEMBER 31, 2021</w:t>
            </w:r>
          </w:p>
        </w:tc>
        <w:tc>
          <w:tcPr>
            <w:tcW w:w="0" w:type="auto"/>
            <w:vAlign w:val="bottom"/>
            <w:hideMark/>
          </w:tcPr>
          <w:p w14:paraId="1E38D123"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vAlign w:val="bottom"/>
            <w:hideMark/>
          </w:tcPr>
          <w:p w14:paraId="04BBDAEC"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6"/>
            <w:tcBorders>
              <w:bottom w:val="single" w:sz="4" w:space="0" w:color="000000"/>
            </w:tcBorders>
            <w:vAlign w:val="bottom"/>
            <w:hideMark/>
          </w:tcPr>
          <w:p w14:paraId="35CA53D8"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DECEMBER 31, 2020</w:t>
            </w:r>
          </w:p>
        </w:tc>
        <w:tc>
          <w:tcPr>
            <w:tcW w:w="0" w:type="auto"/>
            <w:vAlign w:val="bottom"/>
            <w:hideMark/>
          </w:tcPr>
          <w:p w14:paraId="2DFF6395"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r>
      <w:tr w:rsidR="002F3D36" w:rsidRPr="002F3D36" w14:paraId="6FCADB95" w14:textId="77777777" w:rsidTr="002F3D36">
        <w:trPr>
          <w:trHeight w:val="160"/>
          <w:tblCellSpacing w:w="15" w:type="dxa"/>
        </w:trPr>
        <w:tc>
          <w:tcPr>
            <w:tcW w:w="0" w:type="auto"/>
            <w:vAlign w:val="bottom"/>
            <w:hideMark/>
          </w:tcPr>
          <w:p w14:paraId="315248AC"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vAlign w:val="bottom"/>
            <w:hideMark/>
          </w:tcPr>
          <w:p w14:paraId="3CBAABB4"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2"/>
            <w:tcBorders>
              <w:bottom w:val="single" w:sz="4" w:space="0" w:color="000000"/>
            </w:tcBorders>
            <w:vAlign w:val="bottom"/>
            <w:hideMark/>
          </w:tcPr>
          <w:p w14:paraId="6059DB3A"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CARRYING</w:t>
            </w:r>
            <w:r w:rsidRPr="002F3D36">
              <w:rPr>
                <w:rFonts w:ascii="Arial" w:eastAsia="宋体" w:hAnsi="Arial" w:cs="Arial"/>
                <w:b/>
                <w:bCs/>
                <w:color w:val="000000"/>
                <w:kern w:val="0"/>
                <w:sz w:val="16"/>
                <w:szCs w:val="16"/>
              </w:rPr>
              <w:br/>
              <w:t>VALUE</w:t>
            </w:r>
            <w:r w:rsidRPr="002F3D36">
              <w:rPr>
                <w:rFonts w:ascii="Arial" w:eastAsia="宋体" w:hAnsi="Arial" w:cs="Arial"/>
                <w:b/>
                <w:bCs/>
                <w:color w:val="000000"/>
                <w:kern w:val="0"/>
                <w:sz w:val="11"/>
                <w:szCs w:val="11"/>
              </w:rPr>
              <w:t>1)</w:t>
            </w:r>
          </w:p>
        </w:tc>
        <w:tc>
          <w:tcPr>
            <w:tcW w:w="0" w:type="auto"/>
            <w:vAlign w:val="bottom"/>
            <w:hideMark/>
          </w:tcPr>
          <w:p w14:paraId="723C1ACE"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vAlign w:val="bottom"/>
            <w:hideMark/>
          </w:tcPr>
          <w:p w14:paraId="06DD4FC5"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2"/>
            <w:tcBorders>
              <w:bottom w:val="single" w:sz="4" w:space="0" w:color="000000"/>
            </w:tcBorders>
            <w:vAlign w:val="bottom"/>
            <w:hideMark/>
          </w:tcPr>
          <w:p w14:paraId="7349E0A6"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FAIR</w:t>
            </w:r>
            <w:r w:rsidRPr="002F3D36">
              <w:rPr>
                <w:rFonts w:ascii="Arial" w:eastAsia="宋体" w:hAnsi="Arial" w:cs="Arial"/>
                <w:b/>
                <w:bCs/>
                <w:color w:val="000000"/>
                <w:kern w:val="0"/>
                <w:sz w:val="16"/>
                <w:szCs w:val="16"/>
              </w:rPr>
              <w:br/>
              <w:t>VALUE</w:t>
            </w:r>
          </w:p>
        </w:tc>
        <w:tc>
          <w:tcPr>
            <w:tcW w:w="0" w:type="auto"/>
            <w:vAlign w:val="bottom"/>
            <w:hideMark/>
          </w:tcPr>
          <w:p w14:paraId="743C4753"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vAlign w:val="bottom"/>
            <w:hideMark/>
          </w:tcPr>
          <w:p w14:paraId="47892148"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2"/>
            <w:tcBorders>
              <w:bottom w:val="single" w:sz="4" w:space="0" w:color="000000"/>
            </w:tcBorders>
            <w:vAlign w:val="bottom"/>
            <w:hideMark/>
          </w:tcPr>
          <w:p w14:paraId="72CE90CF"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CARRYING</w:t>
            </w:r>
            <w:r w:rsidRPr="002F3D36">
              <w:rPr>
                <w:rFonts w:ascii="Arial" w:eastAsia="宋体" w:hAnsi="Arial" w:cs="Arial"/>
                <w:b/>
                <w:bCs/>
                <w:color w:val="000000"/>
                <w:kern w:val="0"/>
                <w:sz w:val="16"/>
                <w:szCs w:val="16"/>
              </w:rPr>
              <w:br/>
              <w:t>VALUE</w:t>
            </w:r>
            <w:r w:rsidRPr="002F3D36">
              <w:rPr>
                <w:rFonts w:ascii="Arial" w:eastAsia="宋体" w:hAnsi="Arial" w:cs="Arial"/>
                <w:b/>
                <w:bCs/>
                <w:color w:val="000000"/>
                <w:kern w:val="0"/>
                <w:sz w:val="11"/>
                <w:szCs w:val="11"/>
              </w:rPr>
              <w:t>1)</w:t>
            </w:r>
          </w:p>
        </w:tc>
        <w:tc>
          <w:tcPr>
            <w:tcW w:w="0" w:type="auto"/>
            <w:vAlign w:val="bottom"/>
            <w:hideMark/>
          </w:tcPr>
          <w:p w14:paraId="7996443D"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vAlign w:val="bottom"/>
            <w:hideMark/>
          </w:tcPr>
          <w:p w14:paraId="14C4DFDC"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2"/>
            <w:tcBorders>
              <w:bottom w:val="single" w:sz="4" w:space="0" w:color="000000"/>
            </w:tcBorders>
            <w:vAlign w:val="bottom"/>
            <w:hideMark/>
          </w:tcPr>
          <w:p w14:paraId="5FCCAC99"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FAIR</w:t>
            </w:r>
            <w:r w:rsidRPr="002F3D36">
              <w:rPr>
                <w:rFonts w:ascii="Arial" w:eastAsia="宋体" w:hAnsi="Arial" w:cs="Arial"/>
                <w:b/>
                <w:bCs/>
                <w:color w:val="000000"/>
                <w:kern w:val="0"/>
                <w:sz w:val="16"/>
                <w:szCs w:val="16"/>
              </w:rPr>
              <w:br/>
              <w:t>VALUE</w:t>
            </w:r>
          </w:p>
        </w:tc>
        <w:tc>
          <w:tcPr>
            <w:tcW w:w="0" w:type="auto"/>
            <w:vAlign w:val="bottom"/>
            <w:hideMark/>
          </w:tcPr>
          <w:p w14:paraId="4A0653D4"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r>
      <w:tr w:rsidR="002F3D36" w:rsidRPr="002F3D36" w14:paraId="178AD969" w14:textId="77777777" w:rsidTr="002F3D36">
        <w:trPr>
          <w:trHeight w:val="160"/>
          <w:tblCellSpacing w:w="15" w:type="dxa"/>
        </w:trPr>
        <w:tc>
          <w:tcPr>
            <w:tcW w:w="0" w:type="auto"/>
            <w:shd w:val="clear" w:color="auto" w:fill="CFF0FC"/>
            <w:hideMark/>
          </w:tcPr>
          <w:p w14:paraId="5456CEBA"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u w:val="single"/>
              </w:rPr>
              <w:t>LONG-TERM DEBT</w:t>
            </w:r>
          </w:p>
        </w:tc>
        <w:tc>
          <w:tcPr>
            <w:tcW w:w="0" w:type="auto"/>
            <w:shd w:val="clear" w:color="auto" w:fill="CFF0FC"/>
            <w:vAlign w:val="bottom"/>
            <w:hideMark/>
          </w:tcPr>
          <w:p w14:paraId="2145891E"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gridSpan w:val="2"/>
            <w:shd w:val="clear" w:color="auto" w:fill="CFF0FC"/>
            <w:vAlign w:val="bottom"/>
            <w:hideMark/>
          </w:tcPr>
          <w:p w14:paraId="03AA0BAF" w14:textId="77777777" w:rsidR="002F3D36" w:rsidRPr="002F3D36" w:rsidRDefault="002F3D36" w:rsidP="002F3D36">
            <w:pPr>
              <w:widowControl/>
              <w:jc w:val="center"/>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2D8EEC80" w14:textId="77777777" w:rsidR="002F3D36" w:rsidRPr="002F3D36" w:rsidRDefault="002F3D36" w:rsidP="002F3D36">
            <w:pPr>
              <w:widowControl/>
              <w:jc w:val="center"/>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5F13BF9E"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gridSpan w:val="2"/>
            <w:shd w:val="clear" w:color="auto" w:fill="CFF0FC"/>
            <w:vAlign w:val="bottom"/>
            <w:hideMark/>
          </w:tcPr>
          <w:p w14:paraId="13AAF76E" w14:textId="77777777" w:rsidR="002F3D36" w:rsidRPr="002F3D36" w:rsidRDefault="002F3D36" w:rsidP="002F3D36">
            <w:pPr>
              <w:widowControl/>
              <w:jc w:val="center"/>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20E2E113" w14:textId="77777777" w:rsidR="002F3D36" w:rsidRPr="002F3D36" w:rsidRDefault="002F3D36" w:rsidP="002F3D36">
            <w:pPr>
              <w:widowControl/>
              <w:jc w:val="center"/>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3AE14C8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gridSpan w:val="2"/>
            <w:shd w:val="clear" w:color="auto" w:fill="CFF0FC"/>
            <w:vAlign w:val="bottom"/>
            <w:hideMark/>
          </w:tcPr>
          <w:p w14:paraId="70419A7A" w14:textId="77777777" w:rsidR="002F3D36" w:rsidRPr="002F3D36" w:rsidRDefault="002F3D36" w:rsidP="002F3D36">
            <w:pPr>
              <w:widowControl/>
              <w:jc w:val="center"/>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1FD02672" w14:textId="77777777" w:rsidR="002F3D36" w:rsidRPr="002F3D36" w:rsidRDefault="002F3D36" w:rsidP="002F3D36">
            <w:pPr>
              <w:widowControl/>
              <w:jc w:val="center"/>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0F5F9B1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gridSpan w:val="2"/>
            <w:shd w:val="clear" w:color="auto" w:fill="CFF0FC"/>
            <w:vAlign w:val="bottom"/>
            <w:hideMark/>
          </w:tcPr>
          <w:p w14:paraId="61CD7342" w14:textId="77777777" w:rsidR="002F3D36" w:rsidRPr="002F3D36" w:rsidRDefault="002F3D36" w:rsidP="002F3D36">
            <w:pPr>
              <w:widowControl/>
              <w:jc w:val="center"/>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21CB83C5" w14:textId="77777777" w:rsidR="002F3D36" w:rsidRPr="002F3D36" w:rsidRDefault="002F3D36" w:rsidP="002F3D36">
            <w:pPr>
              <w:widowControl/>
              <w:jc w:val="center"/>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37CE7943" w14:textId="77777777" w:rsidTr="002F3D36">
        <w:trPr>
          <w:trHeight w:val="180"/>
          <w:tblCellSpacing w:w="15" w:type="dxa"/>
        </w:trPr>
        <w:tc>
          <w:tcPr>
            <w:tcW w:w="0" w:type="auto"/>
            <w:hideMark/>
          </w:tcPr>
          <w:p w14:paraId="44C3578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Bonds</w:t>
            </w:r>
          </w:p>
        </w:tc>
        <w:tc>
          <w:tcPr>
            <w:tcW w:w="0" w:type="auto"/>
            <w:vAlign w:val="bottom"/>
            <w:hideMark/>
          </w:tcPr>
          <w:p w14:paraId="1500B8D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57C00D2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vAlign w:val="bottom"/>
            <w:hideMark/>
          </w:tcPr>
          <w:p w14:paraId="7DC5BDCD"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1,330</w:t>
            </w:r>
          </w:p>
        </w:tc>
        <w:tc>
          <w:tcPr>
            <w:tcW w:w="0" w:type="auto"/>
            <w:vAlign w:val="bottom"/>
            <w:hideMark/>
          </w:tcPr>
          <w:p w14:paraId="260F4E7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34431CB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0DB0F29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vAlign w:val="bottom"/>
            <w:hideMark/>
          </w:tcPr>
          <w:p w14:paraId="585681F6"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1,400</w:t>
            </w:r>
          </w:p>
        </w:tc>
        <w:tc>
          <w:tcPr>
            <w:tcW w:w="0" w:type="auto"/>
            <w:vAlign w:val="bottom"/>
            <w:hideMark/>
          </w:tcPr>
          <w:p w14:paraId="09C499AE"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56485D7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31373D8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vAlign w:val="bottom"/>
            <w:hideMark/>
          </w:tcPr>
          <w:p w14:paraId="2F3F6770"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1,377</w:t>
            </w:r>
          </w:p>
        </w:tc>
        <w:tc>
          <w:tcPr>
            <w:tcW w:w="0" w:type="auto"/>
            <w:vAlign w:val="bottom"/>
            <w:hideMark/>
          </w:tcPr>
          <w:p w14:paraId="2E700AE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1B5F2A3E"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2CE45CB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vAlign w:val="bottom"/>
            <w:hideMark/>
          </w:tcPr>
          <w:p w14:paraId="4FC50024"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1,483</w:t>
            </w:r>
          </w:p>
        </w:tc>
        <w:tc>
          <w:tcPr>
            <w:tcW w:w="0" w:type="auto"/>
            <w:vAlign w:val="bottom"/>
            <w:hideMark/>
          </w:tcPr>
          <w:p w14:paraId="53A338F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2DFD4E4F" w14:textId="77777777" w:rsidTr="002F3D36">
        <w:trPr>
          <w:trHeight w:val="180"/>
          <w:tblCellSpacing w:w="15" w:type="dxa"/>
        </w:trPr>
        <w:tc>
          <w:tcPr>
            <w:tcW w:w="0" w:type="auto"/>
            <w:shd w:val="clear" w:color="auto" w:fill="CFF0FC"/>
            <w:hideMark/>
          </w:tcPr>
          <w:p w14:paraId="070EC50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Loans</w:t>
            </w:r>
          </w:p>
        </w:tc>
        <w:tc>
          <w:tcPr>
            <w:tcW w:w="0" w:type="auto"/>
            <w:shd w:val="clear" w:color="auto" w:fill="CFF0FC"/>
            <w:vAlign w:val="bottom"/>
            <w:hideMark/>
          </w:tcPr>
          <w:p w14:paraId="5CA94E2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6628C36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44DD22F4"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332</w:t>
            </w:r>
          </w:p>
        </w:tc>
        <w:tc>
          <w:tcPr>
            <w:tcW w:w="0" w:type="auto"/>
            <w:shd w:val="clear" w:color="auto" w:fill="CFF0FC"/>
            <w:vAlign w:val="bottom"/>
            <w:hideMark/>
          </w:tcPr>
          <w:p w14:paraId="7292D0F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05687EC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14D3B44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18B75BBD"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347</w:t>
            </w:r>
          </w:p>
        </w:tc>
        <w:tc>
          <w:tcPr>
            <w:tcW w:w="0" w:type="auto"/>
            <w:shd w:val="clear" w:color="auto" w:fill="CFF0FC"/>
            <w:vAlign w:val="bottom"/>
            <w:hideMark/>
          </w:tcPr>
          <w:p w14:paraId="4D471CA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3C22247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04DD596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3ABC5190"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733</w:t>
            </w:r>
          </w:p>
        </w:tc>
        <w:tc>
          <w:tcPr>
            <w:tcW w:w="0" w:type="auto"/>
            <w:shd w:val="clear" w:color="auto" w:fill="CFF0FC"/>
            <w:vAlign w:val="bottom"/>
            <w:hideMark/>
          </w:tcPr>
          <w:p w14:paraId="6591C62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246C5D0E"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6C3A981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1EEA4297"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753</w:t>
            </w:r>
          </w:p>
        </w:tc>
        <w:tc>
          <w:tcPr>
            <w:tcW w:w="0" w:type="auto"/>
            <w:shd w:val="clear" w:color="auto" w:fill="CFF0FC"/>
            <w:vAlign w:val="bottom"/>
            <w:hideMark/>
          </w:tcPr>
          <w:p w14:paraId="1C095B3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5036B443" w14:textId="77777777" w:rsidTr="002F3D36">
        <w:trPr>
          <w:trHeight w:val="180"/>
          <w:tblCellSpacing w:w="15" w:type="dxa"/>
        </w:trPr>
        <w:tc>
          <w:tcPr>
            <w:tcW w:w="0" w:type="auto"/>
            <w:hideMark/>
          </w:tcPr>
          <w:p w14:paraId="69B1F3CE"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Other long-term debt</w:t>
            </w:r>
          </w:p>
        </w:tc>
        <w:tc>
          <w:tcPr>
            <w:tcW w:w="0" w:type="auto"/>
            <w:vAlign w:val="bottom"/>
            <w:hideMark/>
          </w:tcPr>
          <w:p w14:paraId="6AE30E2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23A2289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1EFAD9AE"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w:t>
            </w:r>
          </w:p>
        </w:tc>
        <w:tc>
          <w:tcPr>
            <w:tcW w:w="0" w:type="auto"/>
            <w:vAlign w:val="bottom"/>
            <w:hideMark/>
          </w:tcPr>
          <w:p w14:paraId="187DB8F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2A2E6E0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5240754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0DE14553"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w:t>
            </w:r>
          </w:p>
        </w:tc>
        <w:tc>
          <w:tcPr>
            <w:tcW w:w="0" w:type="auto"/>
            <w:vAlign w:val="bottom"/>
            <w:hideMark/>
          </w:tcPr>
          <w:p w14:paraId="162D2AA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5DCA875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3DB7B8D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4C3A5FC7"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w:t>
            </w:r>
          </w:p>
        </w:tc>
        <w:tc>
          <w:tcPr>
            <w:tcW w:w="0" w:type="auto"/>
            <w:vAlign w:val="bottom"/>
            <w:hideMark/>
          </w:tcPr>
          <w:p w14:paraId="7679290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2129278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42DD278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394136B6"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w:t>
            </w:r>
          </w:p>
        </w:tc>
        <w:tc>
          <w:tcPr>
            <w:tcW w:w="0" w:type="auto"/>
            <w:vAlign w:val="bottom"/>
            <w:hideMark/>
          </w:tcPr>
          <w:p w14:paraId="15DCBC7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636DD494" w14:textId="77777777" w:rsidTr="002F3D36">
        <w:trPr>
          <w:trHeight w:val="180"/>
          <w:tblCellSpacing w:w="15" w:type="dxa"/>
        </w:trPr>
        <w:tc>
          <w:tcPr>
            <w:tcW w:w="0" w:type="auto"/>
            <w:shd w:val="clear" w:color="auto" w:fill="CFF0FC"/>
            <w:hideMark/>
          </w:tcPr>
          <w:p w14:paraId="5DAE4D6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TOTAL</w:t>
            </w:r>
          </w:p>
        </w:tc>
        <w:tc>
          <w:tcPr>
            <w:tcW w:w="0" w:type="auto"/>
            <w:shd w:val="clear" w:color="auto" w:fill="CFF0FC"/>
            <w:vAlign w:val="bottom"/>
            <w:hideMark/>
          </w:tcPr>
          <w:p w14:paraId="02DD155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7688235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shd w:val="clear" w:color="auto" w:fill="CFF0FC"/>
            <w:vAlign w:val="bottom"/>
            <w:hideMark/>
          </w:tcPr>
          <w:p w14:paraId="5FC082B1"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1,662</w:t>
            </w:r>
          </w:p>
        </w:tc>
        <w:tc>
          <w:tcPr>
            <w:tcW w:w="0" w:type="auto"/>
            <w:shd w:val="clear" w:color="auto" w:fill="CFF0FC"/>
            <w:vAlign w:val="bottom"/>
            <w:hideMark/>
          </w:tcPr>
          <w:p w14:paraId="7762B92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2166333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68C765D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shd w:val="clear" w:color="auto" w:fill="CFF0FC"/>
            <w:vAlign w:val="bottom"/>
            <w:hideMark/>
          </w:tcPr>
          <w:p w14:paraId="449C1240"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1,747</w:t>
            </w:r>
          </w:p>
        </w:tc>
        <w:tc>
          <w:tcPr>
            <w:tcW w:w="0" w:type="auto"/>
            <w:shd w:val="clear" w:color="auto" w:fill="CFF0FC"/>
            <w:vAlign w:val="bottom"/>
            <w:hideMark/>
          </w:tcPr>
          <w:p w14:paraId="3274ECD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4AAF4B9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41F415B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shd w:val="clear" w:color="auto" w:fill="CFF0FC"/>
            <w:vAlign w:val="bottom"/>
            <w:hideMark/>
          </w:tcPr>
          <w:p w14:paraId="4BF19486"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2,110</w:t>
            </w:r>
          </w:p>
        </w:tc>
        <w:tc>
          <w:tcPr>
            <w:tcW w:w="0" w:type="auto"/>
            <w:shd w:val="clear" w:color="auto" w:fill="CFF0FC"/>
            <w:vAlign w:val="bottom"/>
            <w:hideMark/>
          </w:tcPr>
          <w:p w14:paraId="0DDBB55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40C9A51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12CEA02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shd w:val="clear" w:color="auto" w:fill="CFF0FC"/>
            <w:vAlign w:val="bottom"/>
            <w:hideMark/>
          </w:tcPr>
          <w:p w14:paraId="1BE287E8"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2,237</w:t>
            </w:r>
          </w:p>
        </w:tc>
        <w:tc>
          <w:tcPr>
            <w:tcW w:w="0" w:type="auto"/>
            <w:shd w:val="clear" w:color="auto" w:fill="CFF0FC"/>
            <w:vAlign w:val="bottom"/>
            <w:hideMark/>
          </w:tcPr>
          <w:p w14:paraId="5C84884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032DFD09" w14:textId="77777777" w:rsidTr="002F3D36">
        <w:trPr>
          <w:tblCellSpacing w:w="15" w:type="dxa"/>
        </w:trPr>
        <w:tc>
          <w:tcPr>
            <w:tcW w:w="0" w:type="auto"/>
            <w:hideMark/>
          </w:tcPr>
          <w:p w14:paraId="07810D1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7CE0886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gridSpan w:val="2"/>
            <w:vAlign w:val="bottom"/>
            <w:hideMark/>
          </w:tcPr>
          <w:p w14:paraId="4CDD5E63"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637AD1C2"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79CDD87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gridSpan w:val="2"/>
            <w:vAlign w:val="bottom"/>
            <w:hideMark/>
          </w:tcPr>
          <w:p w14:paraId="68F72B85"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6D4D6DBF"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4E782FD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gridSpan w:val="2"/>
            <w:vAlign w:val="bottom"/>
            <w:hideMark/>
          </w:tcPr>
          <w:p w14:paraId="73CF79CE"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7980D0F7"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5DDD7AC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gridSpan w:val="2"/>
            <w:vAlign w:val="bottom"/>
            <w:hideMark/>
          </w:tcPr>
          <w:p w14:paraId="14BB3507"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6CEE0B22"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6541CDF5" w14:textId="77777777" w:rsidTr="002F3D36">
        <w:trPr>
          <w:trHeight w:val="160"/>
          <w:tblCellSpacing w:w="15" w:type="dxa"/>
        </w:trPr>
        <w:tc>
          <w:tcPr>
            <w:tcW w:w="0" w:type="auto"/>
            <w:shd w:val="clear" w:color="auto" w:fill="CFF0FC"/>
            <w:hideMark/>
          </w:tcPr>
          <w:p w14:paraId="1650E21E"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u w:val="single"/>
              </w:rPr>
              <w:t>SHORT-TERM DEBT</w:t>
            </w:r>
          </w:p>
        </w:tc>
        <w:tc>
          <w:tcPr>
            <w:tcW w:w="0" w:type="auto"/>
            <w:shd w:val="clear" w:color="auto" w:fill="CFF0FC"/>
            <w:vAlign w:val="bottom"/>
            <w:hideMark/>
          </w:tcPr>
          <w:p w14:paraId="37FF53F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gridSpan w:val="2"/>
            <w:shd w:val="clear" w:color="auto" w:fill="CFF0FC"/>
            <w:vAlign w:val="bottom"/>
            <w:hideMark/>
          </w:tcPr>
          <w:p w14:paraId="59443A7D"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2984A381"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60815A6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gridSpan w:val="2"/>
            <w:shd w:val="clear" w:color="auto" w:fill="CFF0FC"/>
            <w:vAlign w:val="bottom"/>
            <w:hideMark/>
          </w:tcPr>
          <w:p w14:paraId="5D756F97"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7D46D5B5"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2181898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gridSpan w:val="2"/>
            <w:shd w:val="clear" w:color="auto" w:fill="CFF0FC"/>
            <w:vAlign w:val="bottom"/>
            <w:hideMark/>
          </w:tcPr>
          <w:p w14:paraId="0184BA03"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5BE0B5A4"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56A5496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gridSpan w:val="2"/>
            <w:shd w:val="clear" w:color="auto" w:fill="CFF0FC"/>
            <w:vAlign w:val="bottom"/>
            <w:hideMark/>
          </w:tcPr>
          <w:p w14:paraId="1DFD6D74"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1E5CB2BD"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11260CE7" w14:textId="77777777" w:rsidTr="002F3D36">
        <w:trPr>
          <w:trHeight w:val="180"/>
          <w:tblCellSpacing w:w="15" w:type="dxa"/>
        </w:trPr>
        <w:tc>
          <w:tcPr>
            <w:tcW w:w="0" w:type="auto"/>
            <w:hideMark/>
          </w:tcPr>
          <w:p w14:paraId="28870CE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lastRenderedPageBreak/>
              <w:t>Short-term portion of long-term debt</w:t>
            </w:r>
          </w:p>
        </w:tc>
        <w:tc>
          <w:tcPr>
            <w:tcW w:w="0" w:type="auto"/>
            <w:vAlign w:val="bottom"/>
            <w:hideMark/>
          </w:tcPr>
          <w:p w14:paraId="60074FD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138EB4F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64C20521"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332</w:t>
            </w:r>
          </w:p>
        </w:tc>
        <w:tc>
          <w:tcPr>
            <w:tcW w:w="0" w:type="auto"/>
            <w:vAlign w:val="bottom"/>
            <w:hideMark/>
          </w:tcPr>
          <w:p w14:paraId="024BBE2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2ECB692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4C8D44A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62906CF9"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333</w:t>
            </w:r>
          </w:p>
        </w:tc>
        <w:tc>
          <w:tcPr>
            <w:tcW w:w="0" w:type="auto"/>
            <w:vAlign w:val="bottom"/>
            <w:hideMark/>
          </w:tcPr>
          <w:p w14:paraId="59B17B4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08D31F1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265BCBE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2AAB53DC"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275</w:t>
            </w:r>
          </w:p>
        </w:tc>
        <w:tc>
          <w:tcPr>
            <w:tcW w:w="0" w:type="auto"/>
            <w:vAlign w:val="bottom"/>
            <w:hideMark/>
          </w:tcPr>
          <w:p w14:paraId="09BCF61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3138A72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6571F0E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5F34281C"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279</w:t>
            </w:r>
          </w:p>
        </w:tc>
        <w:tc>
          <w:tcPr>
            <w:tcW w:w="0" w:type="auto"/>
            <w:vAlign w:val="bottom"/>
            <w:hideMark/>
          </w:tcPr>
          <w:p w14:paraId="6EF3919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44C8F6D4" w14:textId="77777777" w:rsidTr="002F3D36">
        <w:trPr>
          <w:trHeight w:val="180"/>
          <w:tblCellSpacing w:w="15" w:type="dxa"/>
        </w:trPr>
        <w:tc>
          <w:tcPr>
            <w:tcW w:w="0" w:type="auto"/>
            <w:shd w:val="clear" w:color="auto" w:fill="CFF0FC"/>
            <w:hideMark/>
          </w:tcPr>
          <w:p w14:paraId="7BC9BDE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Overdrafts and other short-term debt</w:t>
            </w:r>
          </w:p>
        </w:tc>
        <w:tc>
          <w:tcPr>
            <w:tcW w:w="0" w:type="auto"/>
            <w:shd w:val="clear" w:color="auto" w:fill="CFF0FC"/>
            <w:vAlign w:val="bottom"/>
            <w:hideMark/>
          </w:tcPr>
          <w:p w14:paraId="058630E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080F424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4C6E32EC"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14</w:t>
            </w:r>
          </w:p>
        </w:tc>
        <w:tc>
          <w:tcPr>
            <w:tcW w:w="0" w:type="auto"/>
            <w:shd w:val="clear" w:color="auto" w:fill="CFF0FC"/>
            <w:vAlign w:val="bottom"/>
            <w:hideMark/>
          </w:tcPr>
          <w:p w14:paraId="3AA46A1E"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5087C75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03F6D7D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2FC2B297"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14</w:t>
            </w:r>
          </w:p>
        </w:tc>
        <w:tc>
          <w:tcPr>
            <w:tcW w:w="0" w:type="auto"/>
            <w:shd w:val="clear" w:color="auto" w:fill="CFF0FC"/>
            <w:vAlign w:val="bottom"/>
            <w:hideMark/>
          </w:tcPr>
          <w:p w14:paraId="5B4A04C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41A6096E"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19C4913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25038CB3"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27</w:t>
            </w:r>
          </w:p>
        </w:tc>
        <w:tc>
          <w:tcPr>
            <w:tcW w:w="0" w:type="auto"/>
            <w:shd w:val="clear" w:color="auto" w:fill="CFF0FC"/>
            <w:vAlign w:val="bottom"/>
            <w:hideMark/>
          </w:tcPr>
          <w:p w14:paraId="14397ED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7CC34FA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6BD37BD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2B425CD8"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27</w:t>
            </w:r>
          </w:p>
        </w:tc>
        <w:tc>
          <w:tcPr>
            <w:tcW w:w="0" w:type="auto"/>
            <w:shd w:val="clear" w:color="auto" w:fill="CFF0FC"/>
            <w:vAlign w:val="bottom"/>
            <w:hideMark/>
          </w:tcPr>
          <w:p w14:paraId="2BF0827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2E2E31C4" w14:textId="77777777" w:rsidTr="002F3D36">
        <w:trPr>
          <w:trHeight w:val="180"/>
          <w:tblCellSpacing w:w="15" w:type="dxa"/>
        </w:trPr>
        <w:tc>
          <w:tcPr>
            <w:tcW w:w="0" w:type="auto"/>
            <w:hideMark/>
          </w:tcPr>
          <w:p w14:paraId="6CB1EB5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TOTAL</w:t>
            </w:r>
          </w:p>
        </w:tc>
        <w:tc>
          <w:tcPr>
            <w:tcW w:w="0" w:type="auto"/>
            <w:vAlign w:val="bottom"/>
            <w:hideMark/>
          </w:tcPr>
          <w:p w14:paraId="009D8D7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3749F96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vAlign w:val="bottom"/>
            <w:hideMark/>
          </w:tcPr>
          <w:p w14:paraId="2BF1F46F"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346</w:t>
            </w:r>
          </w:p>
        </w:tc>
        <w:tc>
          <w:tcPr>
            <w:tcW w:w="0" w:type="auto"/>
            <w:vAlign w:val="bottom"/>
            <w:hideMark/>
          </w:tcPr>
          <w:p w14:paraId="7C3B099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7FEC83D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2F8B4ED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vAlign w:val="bottom"/>
            <w:hideMark/>
          </w:tcPr>
          <w:p w14:paraId="0E5C3F56"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348</w:t>
            </w:r>
          </w:p>
        </w:tc>
        <w:tc>
          <w:tcPr>
            <w:tcW w:w="0" w:type="auto"/>
            <w:vAlign w:val="bottom"/>
            <w:hideMark/>
          </w:tcPr>
          <w:p w14:paraId="03F686A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2399A32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5814856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vAlign w:val="bottom"/>
            <w:hideMark/>
          </w:tcPr>
          <w:p w14:paraId="264F8F46"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302</w:t>
            </w:r>
          </w:p>
        </w:tc>
        <w:tc>
          <w:tcPr>
            <w:tcW w:w="0" w:type="auto"/>
            <w:vAlign w:val="bottom"/>
            <w:hideMark/>
          </w:tcPr>
          <w:p w14:paraId="553840C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6A18FB2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5B6845E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vAlign w:val="bottom"/>
            <w:hideMark/>
          </w:tcPr>
          <w:p w14:paraId="4A4FCD32"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305</w:t>
            </w:r>
          </w:p>
        </w:tc>
        <w:tc>
          <w:tcPr>
            <w:tcW w:w="0" w:type="auto"/>
            <w:vAlign w:val="bottom"/>
            <w:hideMark/>
          </w:tcPr>
          <w:p w14:paraId="727FDC2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bl>
    <w:p w14:paraId="3D380571"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2"/>
          <w:szCs w:val="2"/>
        </w:rPr>
        <w:t> </w:t>
      </w:r>
    </w:p>
    <w:p w14:paraId="2935A6B4"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6"/>
          <w:szCs w:val="16"/>
        </w:rPr>
        <w:t>1) Debt as reported in balance sheet.</w:t>
      </w:r>
    </w:p>
    <w:p w14:paraId="0A491B64"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ASSETS AND LIABILITIES MEASURED AT FAIR VALUE ON A NON-RECURRING BASIS</w:t>
      </w:r>
    </w:p>
    <w:p w14:paraId="31AC7032"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In addition to assets and liabilities that are measured at fair value on a recurring basis, the Company also has assets and liabilities in its balance sheet that are measured at fair value on a nonrecurring basis including certain long-lived assets, including equity method investments, goodwill and other intangible assets, typically as it relates to impairment.</w:t>
      </w:r>
    </w:p>
    <w:p w14:paraId="3F58EFBA"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The Company has determined that the fair value measurements included in each of these assets and liabilities rely primarily on Company-specific inputs and the Company’s assumptions about the use of the assets and settlements of liabilities, as observable inputs are not available. The Company has determined that each of these fair value measurements reside within Level 3 of the fair value hierarchy. To determine the fair value of long-lived assets as of the reporting date, the Company utilizes the projected cash flows expected to be generated by the long-lived assets, then discounts the future cash flows over the expected life of the long-lived assets.</w:t>
      </w:r>
    </w:p>
    <w:p w14:paraId="51F189F0"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For the period 2019-2021, the Company did not record any material impairment charges on its long-lived assets for its continuing operations. </w:t>
      </w:r>
    </w:p>
    <w:p w14:paraId="3A458E16"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Times New Roman" w:eastAsia="宋体" w:hAnsi="Times New Roman" w:cs="Times New Roman"/>
          <w:color w:val="000000"/>
          <w:kern w:val="0"/>
          <w:sz w:val="20"/>
          <w:szCs w:val="20"/>
        </w:rPr>
        <w:t> </w:t>
      </w:r>
    </w:p>
    <w:p w14:paraId="1968A9ED" w14:textId="77777777" w:rsidR="002F3D36" w:rsidRPr="002F3D36" w:rsidRDefault="002F3D36" w:rsidP="002F3D36">
      <w:pPr>
        <w:widowControl/>
        <w:spacing w:before="240"/>
        <w:jc w:val="center"/>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69</w:t>
      </w:r>
    </w:p>
    <w:p w14:paraId="5F4BAAF5" w14:textId="77777777" w:rsidR="002F3D36" w:rsidRPr="002F3D36" w:rsidRDefault="002F3D36" w:rsidP="002F3D36">
      <w:pPr>
        <w:widowControl/>
        <w:jc w:val="left"/>
        <w:rPr>
          <w:rFonts w:ascii="宋体" w:eastAsia="宋体" w:hAnsi="宋体" w:cs="宋体"/>
          <w:kern w:val="0"/>
          <w:sz w:val="24"/>
          <w:szCs w:val="24"/>
        </w:rPr>
      </w:pPr>
      <w:r w:rsidRPr="002F3D36">
        <w:rPr>
          <w:rFonts w:ascii="宋体" w:eastAsia="宋体" w:hAnsi="宋体" w:cs="宋体"/>
          <w:kern w:val="0"/>
          <w:sz w:val="24"/>
          <w:szCs w:val="24"/>
        </w:rPr>
        <w:pict w14:anchorId="5640FC2E">
          <v:rect id="_x0000_i1096" style="width:0;height:1.5pt" o:hralign="center" o:hrstd="t" o:hrnoshade="t" o:hr="t" fillcolor="black" stroked="f"/>
        </w:pict>
      </w:r>
    </w:p>
    <w:p w14:paraId="74EA6C3E" w14:textId="77777777" w:rsidR="002F3D36" w:rsidRPr="002F3D36" w:rsidRDefault="002F3D36" w:rsidP="002F3D36">
      <w:pPr>
        <w:widowControl/>
        <w:spacing w:line="20" w:lineRule="atLeast"/>
        <w:jc w:val="left"/>
        <w:rPr>
          <w:rFonts w:ascii="Times New Roman" w:eastAsia="宋体" w:hAnsi="Times New Roman" w:cs="Times New Roman"/>
          <w:color w:val="000000"/>
          <w:kern w:val="0"/>
          <w:sz w:val="20"/>
          <w:szCs w:val="20"/>
        </w:rPr>
      </w:pPr>
      <w:r w:rsidRPr="002F3D36">
        <w:rPr>
          <w:rFonts w:ascii="Arial" w:eastAsia="宋体" w:hAnsi="Arial" w:cs="Arial"/>
          <w:color w:val="000000"/>
          <w:kern w:val="0"/>
          <w:sz w:val="2"/>
          <w:szCs w:val="2"/>
        </w:rPr>
        <w:t> </w:t>
      </w:r>
    </w:p>
    <w:p w14:paraId="60476E4C" w14:textId="77777777" w:rsidR="002F3D36" w:rsidRPr="002F3D36" w:rsidRDefault="002F3D36" w:rsidP="002F3D36">
      <w:pPr>
        <w:widowControl/>
        <w:spacing w:before="340"/>
        <w:rPr>
          <w:rFonts w:ascii="Times New Roman" w:eastAsia="微软雅黑" w:hAnsi="Times New Roman" w:cs="Times New Roman"/>
          <w:color w:val="000000"/>
          <w:kern w:val="0"/>
          <w:sz w:val="20"/>
          <w:szCs w:val="20"/>
        </w:rPr>
      </w:pPr>
      <w:r w:rsidRPr="002F3D36">
        <w:rPr>
          <w:rFonts w:ascii="Arial" w:eastAsia="微软雅黑" w:hAnsi="Arial" w:cs="Arial"/>
          <w:b/>
          <w:bCs/>
          <w:color w:val="000000"/>
          <w:kern w:val="0"/>
          <w:sz w:val="22"/>
        </w:rPr>
        <w:t>5. Income Taxes</w:t>
      </w:r>
    </w:p>
    <w:p w14:paraId="2F5F497B" w14:textId="77777777" w:rsidR="002F3D36" w:rsidRPr="002F3D36" w:rsidRDefault="002F3D36" w:rsidP="002F3D36">
      <w:pPr>
        <w:widowControl/>
        <w:rPr>
          <w:rFonts w:ascii="Times New Roman" w:eastAsia="微软雅黑" w:hAnsi="Times New Roman" w:cs="Times New Roman"/>
          <w:color w:val="000000"/>
          <w:kern w:val="0"/>
          <w:sz w:val="20"/>
          <w:szCs w:val="20"/>
        </w:rPr>
      </w:pPr>
      <w:r w:rsidRPr="002F3D36">
        <w:rPr>
          <w:rFonts w:ascii="Arial" w:eastAsia="微软雅黑" w:hAnsi="Arial" w:cs="Arial"/>
          <w:color w:val="000000"/>
          <w:kern w:val="0"/>
          <w:sz w:val="18"/>
          <w:szCs w:val="18"/>
        </w:rPr>
        <w:t> </w:t>
      </w:r>
    </w:p>
    <w:tbl>
      <w:tblPr>
        <w:tblW w:w="16491" w:type="dxa"/>
        <w:tblCellSpacing w:w="15" w:type="dxa"/>
        <w:tblCellMar>
          <w:top w:w="15" w:type="dxa"/>
          <w:left w:w="15" w:type="dxa"/>
          <w:bottom w:w="15" w:type="dxa"/>
          <w:right w:w="15" w:type="dxa"/>
        </w:tblCellMar>
        <w:tblLook w:val="04A0" w:firstRow="1" w:lastRow="0" w:firstColumn="1" w:lastColumn="0" w:noHBand="0" w:noVBand="1"/>
      </w:tblPr>
      <w:tblGrid>
        <w:gridCol w:w="10164"/>
        <w:gridCol w:w="258"/>
        <w:gridCol w:w="301"/>
        <w:gridCol w:w="1347"/>
        <w:gridCol w:w="194"/>
        <w:gridCol w:w="259"/>
        <w:gridCol w:w="302"/>
        <w:gridCol w:w="1376"/>
        <w:gridCol w:w="194"/>
        <w:gridCol w:w="259"/>
        <w:gridCol w:w="302"/>
        <w:gridCol w:w="1348"/>
        <w:gridCol w:w="187"/>
      </w:tblGrid>
      <w:tr w:rsidR="002F3D36" w:rsidRPr="002F3D36" w14:paraId="1E6CEC17" w14:textId="77777777" w:rsidTr="002F3D36">
        <w:trPr>
          <w:tblCellSpacing w:w="15" w:type="dxa"/>
        </w:trPr>
        <w:tc>
          <w:tcPr>
            <w:tcW w:w="10141" w:type="dxa"/>
            <w:vAlign w:val="center"/>
            <w:hideMark/>
          </w:tcPr>
          <w:p w14:paraId="7592AE6D" w14:textId="77777777" w:rsidR="002F3D36" w:rsidRPr="002F3D36" w:rsidRDefault="002F3D36" w:rsidP="002F3D36">
            <w:pPr>
              <w:widowControl/>
              <w:jc w:val="left"/>
              <w:rPr>
                <w:rFonts w:ascii="Times New Roman" w:eastAsia="微软雅黑" w:hAnsi="Times New Roman" w:cs="Times New Roman"/>
                <w:color w:val="000000"/>
                <w:kern w:val="0"/>
                <w:sz w:val="20"/>
                <w:szCs w:val="20"/>
              </w:rPr>
            </w:pPr>
          </w:p>
        </w:tc>
        <w:tc>
          <w:tcPr>
            <w:tcW w:w="229" w:type="dxa"/>
            <w:vAlign w:val="center"/>
            <w:hideMark/>
          </w:tcPr>
          <w:p w14:paraId="173A7506"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72" w:type="dxa"/>
            <w:vAlign w:val="center"/>
            <w:hideMark/>
          </w:tcPr>
          <w:p w14:paraId="38A83089"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319" w:type="dxa"/>
            <w:vAlign w:val="center"/>
            <w:hideMark/>
          </w:tcPr>
          <w:p w14:paraId="275ACAF1"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64" w:type="dxa"/>
            <w:vAlign w:val="center"/>
            <w:hideMark/>
          </w:tcPr>
          <w:p w14:paraId="61284ADA"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29" w:type="dxa"/>
            <w:vAlign w:val="center"/>
            <w:hideMark/>
          </w:tcPr>
          <w:p w14:paraId="61CC7C16"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72" w:type="dxa"/>
            <w:vAlign w:val="center"/>
            <w:hideMark/>
          </w:tcPr>
          <w:p w14:paraId="7CC15199"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348" w:type="dxa"/>
            <w:vAlign w:val="center"/>
            <w:hideMark/>
          </w:tcPr>
          <w:p w14:paraId="1F645338"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64" w:type="dxa"/>
            <w:vAlign w:val="center"/>
            <w:hideMark/>
          </w:tcPr>
          <w:p w14:paraId="66D94FE7"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29" w:type="dxa"/>
            <w:vAlign w:val="center"/>
            <w:hideMark/>
          </w:tcPr>
          <w:p w14:paraId="39DB327A"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72" w:type="dxa"/>
            <w:vAlign w:val="center"/>
            <w:hideMark/>
          </w:tcPr>
          <w:p w14:paraId="292C38D4"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320" w:type="dxa"/>
            <w:vAlign w:val="center"/>
            <w:hideMark/>
          </w:tcPr>
          <w:p w14:paraId="208CF3EF"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42" w:type="dxa"/>
            <w:vAlign w:val="center"/>
            <w:hideMark/>
          </w:tcPr>
          <w:p w14:paraId="5A76E646" w14:textId="77777777" w:rsidR="002F3D36" w:rsidRPr="002F3D36" w:rsidRDefault="002F3D36" w:rsidP="002F3D36">
            <w:pPr>
              <w:widowControl/>
              <w:jc w:val="left"/>
              <w:rPr>
                <w:rFonts w:ascii="Times New Roman" w:eastAsia="Times New Roman" w:hAnsi="Times New Roman" w:cs="Times New Roman"/>
                <w:kern w:val="0"/>
                <w:sz w:val="20"/>
                <w:szCs w:val="20"/>
              </w:rPr>
            </w:pPr>
          </w:p>
        </w:tc>
      </w:tr>
      <w:tr w:rsidR="002F3D36" w:rsidRPr="002F3D36" w14:paraId="19F0BD66" w14:textId="77777777" w:rsidTr="002F3D36">
        <w:trPr>
          <w:trHeight w:val="160"/>
          <w:tblCellSpacing w:w="15" w:type="dxa"/>
        </w:trPr>
        <w:tc>
          <w:tcPr>
            <w:tcW w:w="0" w:type="auto"/>
            <w:vAlign w:val="bottom"/>
            <w:hideMark/>
          </w:tcPr>
          <w:p w14:paraId="53A9EDF8"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u w:val="single"/>
              </w:rPr>
              <w:t>INCOME BEFORE INCOME TAXES (Dollars in millions)</w:t>
            </w:r>
          </w:p>
        </w:tc>
        <w:tc>
          <w:tcPr>
            <w:tcW w:w="0" w:type="auto"/>
            <w:vAlign w:val="bottom"/>
            <w:hideMark/>
          </w:tcPr>
          <w:p w14:paraId="391B251A"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2"/>
            <w:tcBorders>
              <w:bottom w:val="single" w:sz="4" w:space="0" w:color="000000"/>
            </w:tcBorders>
            <w:vAlign w:val="bottom"/>
            <w:hideMark/>
          </w:tcPr>
          <w:p w14:paraId="616B2066"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2021</w:t>
            </w:r>
          </w:p>
        </w:tc>
        <w:tc>
          <w:tcPr>
            <w:tcW w:w="0" w:type="auto"/>
            <w:vAlign w:val="bottom"/>
            <w:hideMark/>
          </w:tcPr>
          <w:p w14:paraId="65C6CD9B"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vAlign w:val="bottom"/>
            <w:hideMark/>
          </w:tcPr>
          <w:p w14:paraId="16CAAA5F"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2"/>
            <w:tcBorders>
              <w:bottom w:val="single" w:sz="4" w:space="0" w:color="000000"/>
            </w:tcBorders>
            <w:vAlign w:val="bottom"/>
            <w:hideMark/>
          </w:tcPr>
          <w:p w14:paraId="77F6CA09"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2020</w:t>
            </w:r>
          </w:p>
        </w:tc>
        <w:tc>
          <w:tcPr>
            <w:tcW w:w="0" w:type="auto"/>
            <w:vAlign w:val="bottom"/>
            <w:hideMark/>
          </w:tcPr>
          <w:p w14:paraId="51B1BF11"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vAlign w:val="bottom"/>
            <w:hideMark/>
          </w:tcPr>
          <w:p w14:paraId="2AFBDC7F"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2"/>
            <w:tcBorders>
              <w:bottom w:val="single" w:sz="4" w:space="0" w:color="000000"/>
            </w:tcBorders>
            <w:vAlign w:val="bottom"/>
            <w:hideMark/>
          </w:tcPr>
          <w:p w14:paraId="1B46CE81"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2019</w:t>
            </w:r>
          </w:p>
        </w:tc>
        <w:tc>
          <w:tcPr>
            <w:tcW w:w="0" w:type="auto"/>
            <w:vAlign w:val="bottom"/>
            <w:hideMark/>
          </w:tcPr>
          <w:p w14:paraId="066CE097"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r>
      <w:tr w:rsidR="002F3D36" w:rsidRPr="002F3D36" w14:paraId="7CFDF8AD" w14:textId="77777777" w:rsidTr="002F3D36">
        <w:trPr>
          <w:trHeight w:val="180"/>
          <w:tblCellSpacing w:w="15" w:type="dxa"/>
        </w:trPr>
        <w:tc>
          <w:tcPr>
            <w:tcW w:w="0" w:type="auto"/>
            <w:shd w:val="clear" w:color="auto" w:fill="CFF0FC"/>
            <w:hideMark/>
          </w:tcPr>
          <w:p w14:paraId="439EC2E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U.S.</w:t>
            </w:r>
          </w:p>
        </w:tc>
        <w:tc>
          <w:tcPr>
            <w:tcW w:w="0" w:type="auto"/>
            <w:shd w:val="clear" w:color="auto" w:fill="CFF0FC"/>
            <w:vAlign w:val="bottom"/>
            <w:hideMark/>
          </w:tcPr>
          <w:p w14:paraId="3CA7F16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11E411C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758B86BD"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(38</w:t>
            </w:r>
          </w:p>
        </w:tc>
        <w:tc>
          <w:tcPr>
            <w:tcW w:w="0" w:type="auto"/>
            <w:shd w:val="clear" w:color="auto" w:fill="CFF0FC"/>
            <w:vAlign w:val="bottom"/>
            <w:hideMark/>
          </w:tcPr>
          <w:p w14:paraId="04BCF36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5FD1874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0440CEF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454FED4F"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(102</w:t>
            </w:r>
          </w:p>
        </w:tc>
        <w:tc>
          <w:tcPr>
            <w:tcW w:w="0" w:type="auto"/>
            <w:shd w:val="clear" w:color="auto" w:fill="CFF0FC"/>
            <w:vAlign w:val="bottom"/>
            <w:hideMark/>
          </w:tcPr>
          <w:p w14:paraId="264FCFE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5EE7D9C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7F9BD4EE"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18449C89"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67</w:t>
            </w:r>
          </w:p>
        </w:tc>
        <w:tc>
          <w:tcPr>
            <w:tcW w:w="0" w:type="auto"/>
            <w:shd w:val="clear" w:color="auto" w:fill="CFF0FC"/>
            <w:vAlign w:val="bottom"/>
            <w:hideMark/>
          </w:tcPr>
          <w:p w14:paraId="1B35E0CE"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06E588BB" w14:textId="77777777" w:rsidTr="002F3D36">
        <w:trPr>
          <w:trHeight w:val="180"/>
          <w:tblCellSpacing w:w="15" w:type="dxa"/>
        </w:trPr>
        <w:tc>
          <w:tcPr>
            <w:tcW w:w="0" w:type="auto"/>
            <w:hideMark/>
          </w:tcPr>
          <w:p w14:paraId="363A0DBE"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Non-U.S.</w:t>
            </w:r>
          </w:p>
        </w:tc>
        <w:tc>
          <w:tcPr>
            <w:tcW w:w="0" w:type="auto"/>
            <w:vAlign w:val="bottom"/>
            <w:hideMark/>
          </w:tcPr>
          <w:p w14:paraId="6C2E067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3CBAF84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6BD33E6A"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652</w:t>
            </w:r>
          </w:p>
        </w:tc>
        <w:tc>
          <w:tcPr>
            <w:tcW w:w="0" w:type="auto"/>
            <w:vAlign w:val="bottom"/>
            <w:hideMark/>
          </w:tcPr>
          <w:p w14:paraId="220E501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1A222A7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2BC4CB7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37BF383A"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393</w:t>
            </w:r>
          </w:p>
        </w:tc>
        <w:tc>
          <w:tcPr>
            <w:tcW w:w="0" w:type="auto"/>
            <w:vAlign w:val="bottom"/>
            <w:hideMark/>
          </w:tcPr>
          <w:p w14:paraId="3DDCDD4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5D22400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05FEB50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177332F2"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582</w:t>
            </w:r>
          </w:p>
        </w:tc>
        <w:tc>
          <w:tcPr>
            <w:tcW w:w="0" w:type="auto"/>
            <w:vAlign w:val="bottom"/>
            <w:hideMark/>
          </w:tcPr>
          <w:p w14:paraId="3976353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21311DAA" w14:textId="77777777" w:rsidTr="002F3D36">
        <w:trPr>
          <w:trHeight w:val="180"/>
          <w:tblCellSpacing w:w="15" w:type="dxa"/>
        </w:trPr>
        <w:tc>
          <w:tcPr>
            <w:tcW w:w="0" w:type="auto"/>
            <w:shd w:val="clear" w:color="auto" w:fill="CFF0FC"/>
            <w:hideMark/>
          </w:tcPr>
          <w:p w14:paraId="2EBB356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Total</w:t>
            </w:r>
          </w:p>
        </w:tc>
        <w:tc>
          <w:tcPr>
            <w:tcW w:w="0" w:type="auto"/>
            <w:shd w:val="clear" w:color="auto" w:fill="CFF0FC"/>
            <w:vAlign w:val="bottom"/>
            <w:hideMark/>
          </w:tcPr>
          <w:p w14:paraId="5EFD084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2C33BE2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tcBorders>
              <w:bottom w:val="single" w:sz="4" w:space="0" w:color="000000"/>
            </w:tcBorders>
            <w:shd w:val="clear" w:color="auto" w:fill="CFF0FC"/>
            <w:vAlign w:val="bottom"/>
            <w:hideMark/>
          </w:tcPr>
          <w:p w14:paraId="581190CA"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614</w:t>
            </w:r>
          </w:p>
        </w:tc>
        <w:tc>
          <w:tcPr>
            <w:tcW w:w="0" w:type="auto"/>
            <w:shd w:val="clear" w:color="auto" w:fill="CFF0FC"/>
            <w:vAlign w:val="bottom"/>
            <w:hideMark/>
          </w:tcPr>
          <w:p w14:paraId="34EC73F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6E28C73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2D7004BE"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tcBorders>
              <w:bottom w:val="single" w:sz="4" w:space="0" w:color="000000"/>
            </w:tcBorders>
            <w:shd w:val="clear" w:color="auto" w:fill="CFF0FC"/>
            <w:vAlign w:val="bottom"/>
            <w:hideMark/>
          </w:tcPr>
          <w:p w14:paraId="3D72AC7D"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291</w:t>
            </w:r>
          </w:p>
        </w:tc>
        <w:tc>
          <w:tcPr>
            <w:tcW w:w="0" w:type="auto"/>
            <w:shd w:val="clear" w:color="auto" w:fill="CFF0FC"/>
            <w:vAlign w:val="bottom"/>
            <w:hideMark/>
          </w:tcPr>
          <w:p w14:paraId="73500B7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60D53FE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70007E9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tcBorders>
              <w:bottom w:val="single" w:sz="4" w:space="0" w:color="000000"/>
            </w:tcBorders>
            <w:shd w:val="clear" w:color="auto" w:fill="CFF0FC"/>
            <w:vAlign w:val="bottom"/>
            <w:hideMark/>
          </w:tcPr>
          <w:p w14:paraId="5E06521B"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648</w:t>
            </w:r>
          </w:p>
        </w:tc>
        <w:tc>
          <w:tcPr>
            <w:tcW w:w="0" w:type="auto"/>
            <w:shd w:val="clear" w:color="auto" w:fill="CFF0FC"/>
            <w:vAlign w:val="bottom"/>
            <w:hideMark/>
          </w:tcPr>
          <w:p w14:paraId="3388C66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bl>
    <w:p w14:paraId="744BC2F8" w14:textId="77777777" w:rsidR="002F3D36" w:rsidRPr="002F3D36" w:rsidRDefault="002F3D36" w:rsidP="002F3D36">
      <w:pPr>
        <w:widowControl/>
        <w:rPr>
          <w:rFonts w:ascii="Times New Roman" w:eastAsia="微软雅黑" w:hAnsi="Times New Roman" w:cs="Times New Roman"/>
          <w:color w:val="000000"/>
          <w:kern w:val="0"/>
          <w:sz w:val="20"/>
          <w:szCs w:val="20"/>
        </w:rPr>
      </w:pPr>
      <w:r w:rsidRPr="002F3D36">
        <w:rPr>
          <w:rFonts w:ascii="Arial" w:eastAsia="微软雅黑" w:hAnsi="Arial" w:cs="Arial"/>
          <w:color w:val="000000"/>
          <w:kern w:val="0"/>
          <w:sz w:val="18"/>
          <w:szCs w:val="18"/>
        </w:rPr>
        <w:t> </w:t>
      </w:r>
    </w:p>
    <w:tbl>
      <w:tblPr>
        <w:tblW w:w="16491" w:type="dxa"/>
        <w:tblCellSpacing w:w="15" w:type="dxa"/>
        <w:tblCellMar>
          <w:top w:w="15" w:type="dxa"/>
          <w:left w:w="15" w:type="dxa"/>
          <w:bottom w:w="15" w:type="dxa"/>
          <w:right w:w="15" w:type="dxa"/>
        </w:tblCellMar>
        <w:tblLook w:val="04A0" w:firstRow="1" w:lastRow="0" w:firstColumn="1" w:lastColumn="0" w:noHBand="0" w:noVBand="1"/>
      </w:tblPr>
      <w:tblGrid>
        <w:gridCol w:w="10199"/>
        <w:gridCol w:w="256"/>
        <w:gridCol w:w="301"/>
        <w:gridCol w:w="1339"/>
        <w:gridCol w:w="192"/>
        <w:gridCol w:w="257"/>
        <w:gridCol w:w="302"/>
        <w:gridCol w:w="1343"/>
        <w:gridCol w:w="192"/>
        <w:gridCol w:w="257"/>
        <w:gridCol w:w="302"/>
        <w:gridCol w:w="1343"/>
        <w:gridCol w:w="208"/>
      </w:tblGrid>
      <w:tr w:rsidR="002F3D36" w:rsidRPr="002F3D36" w14:paraId="46084D7D" w14:textId="77777777" w:rsidTr="002F3D36">
        <w:trPr>
          <w:tblCellSpacing w:w="15" w:type="dxa"/>
        </w:trPr>
        <w:tc>
          <w:tcPr>
            <w:tcW w:w="10176" w:type="dxa"/>
            <w:vAlign w:val="center"/>
            <w:hideMark/>
          </w:tcPr>
          <w:p w14:paraId="1983977C" w14:textId="77777777" w:rsidR="002F3D36" w:rsidRPr="002F3D36" w:rsidRDefault="002F3D36" w:rsidP="002F3D36">
            <w:pPr>
              <w:widowControl/>
              <w:jc w:val="left"/>
              <w:rPr>
                <w:rFonts w:ascii="Times New Roman" w:eastAsia="微软雅黑" w:hAnsi="Times New Roman" w:cs="Times New Roman"/>
                <w:color w:val="000000"/>
                <w:kern w:val="0"/>
                <w:sz w:val="20"/>
                <w:szCs w:val="20"/>
              </w:rPr>
            </w:pPr>
          </w:p>
        </w:tc>
        <w:tc>
          <w:tcPr>
            <w:tcW w:w="227" w:type="dxa"/>
            <w:vAlign w:val="center"/>
            <w:hideMark/>
          </w:tcPr>
          <w:p w14:paraId="68573F65"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72" w:type="dxa"/>
            <w:vAlign w:val="center"/>
            <w:hideMark/>
          </w:tcPr>
          <w:p w14:paraId="7627ED3D"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311" w:type="dxa"/>
            <w:vAlign w:val="center"/>
            <w:hideMark/>
          </w:tcPr>
          <w:p w14:paraId="74C53E69"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62" w:type="dxa"/>
            <w:vAlign w:val="center"/>
            <w:hideMark/>
          </w:tcPr>
          <w:p w14:paraId="4DF828B9"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27" w:type="dxa"/>
            <w:vAlign w:val="center"/>
            <w:hideMark/>
          </w:tcPr>
          <w:p w14:paraId="443F0E4F"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72" w:type="dxa"/>
            <w:vAlign w:val="center"/>
            <w:hideMark/>
          </w:tcPr>
          <w:p w14:paraId="4214C304"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315" w:type="dxa"/>
            <w:vAlign w:val="center"/>
            <w:hideMark/>
          </w:tcPr>
          <w:p w14:paraId="318A53E2"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62" w:type="dxa"/>
            <w:vAlign w:val="center"/>
            <w:hideMark/>
          </w:tcPr>
          <w:p w14:paraId="22C0E05E"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27" w:type="dxa"/>
            <w:vAlign w:val="center"/>
            <w:hideMark/>
          </w:tcPr>
          <w:p w14:paraId="5C6C32C4"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72" w:type="dxa"/>
            <w:vAlign w:val="center"/>
            <w:hideMark/>
          </w:tcPr>
          <w:p w14:paraId="3DE46105"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315" w:type="dxa"/>
            <w:vAlign w:val="center"/>
            <w:hideMark/>
          </w:tcPr>
          <w:p w14:paraId="7D6AD228"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63" w:type="dxa"/>
            <w:vAlign w:val="center"/>
            <w:hideMark/>
          </w:tcPr>
          <w:p w14:paraId="060D4477" w14:textId="77777777" w:rsidR="002F3D36" w:rsidRPr="002F3D36" w:rsidRDefault="002F3D36" w:rsidP="002F3D36">
            <w:pPr>
              <w:widowControl/>
              <w:jc w:val="left"/>
              <w:rPr>
                <w:rFonts w:ascii="Times New Roman" w:eastAsia="Times New Roman" w:hAnsi="Times New Roman" w:cs="Times New Roman"/>
                <w:kern w:val="0"/>
                <w:sz w:val="20"/>
                <w:szCs w:val="20"/>
              </w:rPr>
            </w:pPr>
          </w:p>
        </w:tc>
      </w:tr>
      <w:tr w:rsidR="002F3D36" w:rsidRPr="002F3D36" w14:paraId="4D1ADF94" w14:textId="77777777" w:rsidTr="002F3D36">
        <w:trPr>
          <w:trHeight w:val="160"/>
          <w:tblCellSpacing w:w="15" w:type="dxa"/>
        </w:trPr>
        <w:tc>
          <w:tcPr>
            <w:tcW w:w="0" w:type="auto"/>
            <w:vAlign w:val="bottom"/>
            <w:hideMark/>
          </w:tcPr>
          <w:p w14:paraId="4791A075"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u w:val="single"/>
              </w:rPr>
              <w:t>PROVISION FOR INCOME TAXES (Dollars in millions)</w:t>
            </w:r>
          </w:p>
        </w:tc>
        <w:tc>
          <w:tcPr>
            <w:tcW w:w="0" w:type="auto"/>
            <w:vAlign w:val="bottom"/>
            <w:hideMark/>
          </w:tcPr>
          <w:p w14:paraId="38C57F7F"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2"/>
            <w:tcBorders>
              <w:bottom w:val="single" w:sz="4" w:space="0" w:color="000000"/>
            </w:tcBorders>
            <w:vAlign w:val="bottom"/>
            <w:hideMark/>
          </w:tcPr>
          <w:p w14:paraId="0BB9008F"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2021</w:t>
            </w:r>
          </w:p>
        </w:tc>
        <w:tc>
          <w:tcPr>
            <w:tcW w:w="0" w:type="auto"/>
            <w:vAlign w:val="bottom"/>
            <w:hideMark/>
          </w:tcPr>
          <w:p w14:paraId="5357241F"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vAlign w:val="bottom"/>
            <w:hideMark/>
          </w:tcPr>
          <w:p w14:paraId="51119F9D"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2"/>
            <w:tcBorders>
              <w:bottom w:val="single" w:sz="4" w:space="0" w:color="000000"/>
            </w:tcBorders>
            <w:vAlign w:val="bottom"/>
            <w:hideMark/>
          </w:tcPr>
          <w:p w14:paraId="2C252885"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2020</w:t>
            </w:r>
          </w:p>
        </w:tc>
        <w:tc>
          <w:tcPr>
            <w:tcW w:w="0" w:type="auto"/>
            <w:vAlign w:val="bottom"/>
            <w:hideMark/>
          </w:tcPr>
          <w:p w14:paraId="28905208"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vAlign w:val="bottom"/>
            <w:hideMark/>
          </w:tcPr>
          <w:p w14:paraId="43A7BCF8"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2"/>
            <w:tcBorders>
              <w:bottom w:val="single" w:sz="4" w:space="0" w:color="000000"/>
            </w:tcBorders>
            <w:vAlign w:val="bottom"/>
            <w:hideMark/>
          </w:tcPr>
          <w:p w14:paraId="15095B8D"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2019</w:t>
            </w:r>
          </w:p>
        </w:tc>
        <w:tc>
          <w:tcPr>
            <w:tcW w:w="0" w:type="auto"/>
            <w:vAlign w:val="bottom"/>
            <w:hideMark/>
          </w:tcPr>
          <w:p w14:paraId="2309E174"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r>
      <w:tr w:rsidR="002F3D36" w:rsidRPr="002F3D36" w14:paraId="6E129F7A" w14:textId="77777777" w:rsidTr="002F3D36">
        <w:trPr>
          <w:trHeight w:val="180"/>
          <w:tblCellSpacing w:w="15" w:type="dxa"/>
        </w:trPr>
        <w:tc>
          <w:tcPr>
            <w:tcW w:w="0" w:type="auto"/>
            <w:shd w:val="clear" w:color="auto" w:fill="CFF0FC"/>
            <w:hideMark/>
          </w:tcPr>
          <w:p w14:paraId="1B0012B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Current</w:t>
            </w:r>
          </w:p>
        </w:tc>
        <w:tc>
          <w:tcPr>
            <w:tcW w:w="0" w:type="auto"/>
            <w:shd w:val="clear" w:color="auto" w:fill="CFF0FC"/>
            <w:vAlign w:val="bottom"/>
            <w:hideMark/>
          </w:tcPr>
          <w:p w14:paraId="6CDA200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gridSpan w:val="2"/>
            <w:shd w:val="clear" w:color="auto" w:fill="CFF0FC"/>
            <w:vAlign w:val="bottom"/>
            <w:hideMark/>
          </w:tcPr>
          <w:p w14:paraId="070AFBC5"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4B695E9A"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245F0FF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gridSpan w:val="2"/>
            <w:shd w:val="clear" w:color="auto" w:fill="CFF0FC"/>
            <w:vAlign w:val="bottom"/>
            <w:hideMark/>
          </w:tcPr>
          <w:p w14:paraId="6DF43E49"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4E066244"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65F4AC5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gridSpan w:val="2"/>
            <w:shd w:val="clear" w:color="auto" w:fill="CFF0FC"/>
            <w:vAlign w:val="bottom"/>
            <w:hideMark/>
          </w:tcPr>
          <w:p w14:paraId="76842CB7"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47B461A4"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246A9250" w14:textId="77777777" w:rsidTr="002F3D36">
        <w:trPr>
          <w:trHeight w:val="180"/>
          <w:tblCellSpacing w:w="15" w:type="dxa"/>
        </w:trPr>
        <w:tc>
          <w:tcPr>
            <w:tcW w:w="0" w:type="auto"/>
            <w:hideMark/>
          </w:tcPr>
          <w:p w14:paraId="5B7CEF6C" w14:textId="77777777" w:rsidR="002F3D36" w:rsidRPr="002F3D36" w:rsidRDefault="002F3D36" w:rsidP="002F3D36">
            <w:pPr>
              <w:widowControl/>
              <w:ind w:left="200"/>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U.S. federal</w:t>
            </w:r>
          </w:p>
        </w:tc>
        <w:tc>
          <w:tcPr>
            <w:tcW w:w="0" w:type="auto"/>
            <w:vAlign w:val="bottom"/>
            <w:hideMark/>
          </w:tcPr>
          <w:p w14:paraId="62F9F5D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2A596A1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vAlign w:val="bottom"/>
            <w:hideMark/>
          </w:tcPr>
          <w:p w14:paraId="4347A92E"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8</w:t>
            </w:r>
          </w:p>
        </w:tc>
        <w:tc>
          <w:tcPr>
            <w:tcW w:w="0" w:type="auto"/>
            <w:vAlign w:val="bottom"/>
            <w:hideMark/>
          </w:tcPr>
          <w:p w14:paraId="2F3225B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31DE062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2D9E8E6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vAlign w:val="bottom"/>
            <w:hideMark/>
          </w:tcPr>
          <w:p w14:paraId="36CA2B3C"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(41</w:t>
            </w:r>
          </w:p>
        </w:tc>
        <w:tc>
          <w:tcPr>
            <w:tcW w:w="0" w:type="auto"/>
            <w:vAlign w:val="bottom"/>
            <w:hideMark/>
          </w:tcPr>
          <w:p w14:paraId="04E9758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vAlign w:val="bottom"/>
            <w:hideMark/>
          </w:tcPr>
          <w:p w14:paraId="0B4DFED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4A35D57E"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vAlign w:val="bottom"/>
            <w:hideMark/>
          </w:tcPr>
          <w:p w14:paraId="0E4C31BF"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19</w:t>
            </w:r>
          </w:p>
        </w:tc>
        <w:tc>
          <w:tcPr>
            <w:tcW w:w="0" w:type="auto"/>
            <w:vAlign w:val="bottom"/>
            <w:hideMark/>
          </w:tcPr>
          <w:p w14:paraId="1C1D203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47BC5087" w14:textId="77777777" w:rsidTr="002F3D36">
        <w:trPr>
          <w:trHeight w:val="180"/>
          <w:tblCellSpacing w:w="15" w:type="dxa"/>
        </w:trPr>
        <w:tc>
          <w:tcPr>
            <w:tcW w:w="0" w:type="auto"/>
            <w:shd w:val="clear" w:color="auto" w:fill="CFF0FC"/>
            <w:hideMark/>
          </w:tcPr>
          <w:p w14:paraId="277BCBD9" w14:textId="77777777" w:rsidR="002F3D36" w:rsidRPr="002F3D36" w:rsidRDefault="002F3D36" w:rsidP="002F3D36">
            <w:pPr>
              <w:widowControl/>
              <w:ind w:left="200"/>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Non-U.S.</w:t>
            </w:r>
          </w:p>
        </w:tc>
        <w:tc>
          <w:tcPr>
            <w:tcW w:w="0" w:type="auto"/>
            <w:shd w:val="clear" w:color="auto" w:fill="CFF0FC"/>
            <w:vAlign w:val="bottom"/>
            <w:hideMark/>
          </w:tcPr>
          <w:p w14:paraId="534813EE"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0F3171F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76EE0F22"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191</w:t>
            </w:r>
          </w:p>
        </w:tc>
        <w:tc>
          <w:tcPr>
            <w:tcW w:w="0" w:type="auto"/>
            <w:shd w:val="clear" w:color="auto" w:fill="CFF0FC"/>
            <w:vAlign w:val="bottom"/>
            <w:hideMark/>
          </w:tcPr>
          <w:p w14:paraId="25C7759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6FF75E4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7FE9832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3C58EDE5"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169</w:t>
            </w:r>
          </w:p>
        </w:tc>
        <w:tc>
          <w:tcPr>
            <w:tcW w:w="0" w:type="auto"/>
            <w:shd w:val="clear" w:color="auto" w:fill="CFF0FC"/>
            <w:vAlign w:val="bottom"/>
            <w:hideMark/>
          </w:tcPr>
          <w:p w14:paraId="3AAB40B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56DF3E4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4D64ABF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2A2606D6"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178</w:t>
            </w:r>
          </w:p>
        </w:tc>
        <w:tc>
          <w:tcPr>
            <w:tcW w:w="0" w:type="auto"/>
            <w:shd w:val="clear" w:color="auto" w:fill="CFF0FC"/>
            <w:vAlign w:val="bottom"/>
            <w:hideMark/>
          </w:tcPr>
          <w:p w14:paraId="0FE10CF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4D1E00A1" w14:textId="77777777" w:rsidTr="002F3D36">
        <w:trPr>
          <w:trHeight w:val="180"/>
          <w:tblCellSpacing w:w="15" w:type="dxa"/>
        </w:trPr>
        <w:tc>
          <w:tcPr>
            <w:tcW w:w="0" w:type="auto"/>
            <w:hideMark/>
          </w:tcPr>
          <w:p w14:paraId="1E6A263C" w14:textId="77777777" w:rsidR="002F3D36" w:rsidRPr="002F3D36" w:rsidRDefault="002F3D36" w:rsidP="002F3D36">
            <w:pPr>
              <w:widowControl/>
              <w:ind w:left="200"/>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U.S. state and local</w:t>
            </w:r>
          </w:p>
        </w:tc>
        <w:tc>
          <w:tcPr>
            <w:tcW w:w="0" w:type="auto"/>
            <w:vAlign w:val="bottom"/>
            <w:hideMark/>
          </w:tcPr>
          <w:p w14:paraId="6949817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43F7CE5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14B427AB"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(2</w:t>
            </w:r>
          </w:p>
        </w:tc>
        <w:tc>
          <w:tcPr>
            <w:tcW w:w="0" w:type="auto"/>
            <w:vAlign w:val="bottom"/>
            <w:hideMark/>
          </w:tcPr>
          <w:p w14:paraId="5E627DD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vAlign w:val="bottom"/>
            <w:hideMark/>
          </w:tcPr>
          <w:p w14:paraId="0382C68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4B07C51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04211A91"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(2</w:t>
            </w:r>
          </w:p>
        </w:tc>
        <w:tc>
          <w:tcPr>
            <w:tcW w:w="0" w:type="auto"/>
            <w:vAlign w:val="bottom"/>
            <w:hideMark/>
          </w:tcPr>
          <w:p w14:paraId="0504CEE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vAlign w:val="bottom"/>
            <w:hideMark/>
          </w:tcPr>
          <w:p w14:paraId="2482E79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4CFB33A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5BF905B9"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5</w:t>
            </w:r>
          </w:p>
        </w:tc>
        <w:tc>
          <w:tcPr>
            <w:tcW w:w="0" w:type="auto"/>
            <w:vAlign w:val="bottom"/>
            <w:hideMark/>
          </w:tcPr>
          <w:p w14:paraId="7B5D80A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18D15B25" w14:textId="77777777" w:rsidTr="002F3D36">
        <w:trPr>
          <w:tblCellSpacing w:w="15" w:type="dxa"/>
        </w:trPr>
        <w:tc>
          <w:tcPr>
            <w:tcW w:w="0" w:type="auto"/>
            <w:shd w:val="clear" w:color="auto" w:fill="CFF0FC"/>
            <w:hideMark/>
          </w:tcPr>
          <w:p w14:paraId="130AF888" w14:textId="77777777" w:rsidR="002F3D36" w:rsidRPr="002F3D36" w:rsidRDefault="002F3D36" w:rsidP="002F3D36">
            <w:pPr>
              <w:widowControl/>
              <w:ind w:left="200"/>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26ED3D4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gridSpan w:val="2"/>
            <w:shd w:val="clear" w:color="auto" w:fill="CFF0FC"/>
            <w:vAlign w:val="bottom"/>
            <w:hideMark/>
          </w:tcPr>
          <w:p w14:paraId="76552F73"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3D0A3A60"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4C6E486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gridSpan w:val="2"/>
            <w:shd w:val="clear" w:color="auto" w:fill="CFF0FC"/>
            <w:vAlign w:val="bottom"/>
            <w:hideMark/>
          </w:tcPr>
          <w:p w14:paraId="3DDD1F04"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66FBB6BD"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619E6C2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gridSpan w:val="2"/>
            <w:shd w:val="clear" w:color="auto" w:fill="CFF0FC"/>
            <w:vAlign w:val="bottom"/>
            <w:hideMark/>
          </w:tcPr>
          <w:p w14:paraId="15A7881C"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571D4448"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03F08DC9" w14:textId="77777777" w:rsidTr="002F3D36">
        <w:trPr>
          <w:trHeight w:val="180"/>
          <w:tblCellSpacing w:w="15" w:type="dxa"/>
        </w:trPr>
        <w:tc>
          <w:tcPr>
            <w:tcW w:w="0" w:type="auto"/>
            <w:hideMark/>
          </w:tcPr>
          <w:p w14:paraId="32A25DE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Deferred</w:t>
            </w:r>
          </w:p>
        </w:tc>
        <w:tc>
          <w:tcPr>
            <w:tcW w:w="0" w:type="auto"/>
            <w:vAlign w:val="bottom"/>
            <w:hideMark/>
          </w:tcPr>
          <w:p w14:paraId="19F8468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gridSpan w:val="2"/>
            <w:vAlign w:val="bottom"/>
            <w:hideMark/>
          </w:tcPr>
          <w:p w14:paraId="64B55418"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1B681462"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02E2AA2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gridSpan w:val="2"/>
            <w:vAlign w:val="bottom"/>
            <w:hideMark/>
          </w:tcPr>
          <w:p w14:paraId="4CA656A2"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24567519"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23D70E4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gridSpan w:val="2"/>
            <w:vAlign w:val="bottom"/>
            <w:hideMark/>
          </w:tcPr>
          <w:p w14:paraId="0C4CB875"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764D061D"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0E3AFAD3" w14:textId="77777777" w:rsidTr="002F3D36">
        <w:trPr>
          <w:trHeight w:val="180"/>
          <w:tblCellSpacing w:w="15" w:type="dxa"/>
        </w:trPr>
        <w:tc>
          <w:tcPr>
            <w:tcW w:w="0" w:type="auto"/>
            <w:shd w:val="clear" w:color="auto" w:fill="CFF0FC"/>
            <w:hideMark/>
          </w:tcPr>
          <w:p w14:paraId="3E7C0640" w14:textId="77777777" w:rsidR="002F3D36" w:rsidRPr="002F3D36" w:rsidRDefault="002F3D36" w:rsidP="002F3D36">
            <w:pPr>
              <w:widowControl/>
              <w:ind w:left="200"/>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lastRenderedPageBreak/>
              <w:t>U.S. federal</w:t>
            </w:r>
          </w:p>
        </w:tc>
        <w:tc>
          <w:tcPr>
            <w:tcW w:w="0" w:type="auto"/>
            <w:shd w:val="clear" w:color="auto" w:fill="CFF0FC"/>
            <w:vAlign w:val="bottom"/>
            <w:hideMark/>
          </w:tcPr>
          <w:p w14:paraId="3708A1D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6136623E"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7E63BEE2"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(8</w:t>
            </w:r>
          </w:p>
        </w:tc>
        <w:tc>
          <w:tcPr>
            <w:tcW w:w="0" w:type="auto"/>
            <w:shd w:val="clear" w:color="auto" w:fill="CFF0FC"/>
            <w:vAlign w:val="bottom"/>
            <w:hideMark/>
          </w:tcPr>
          <w:p w14:paraId="539EE68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11FF923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1498ACB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40267119"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(6</w:t>
            </w:r>
          </w:p>
        </w:tc>
        <w:tc>
          <w:tcPr>
            <w:tcW w:w="0" w:type="auto"/>
            <w:shd w:val="clear" w:color="auto" w:fill="CFF0FC"/>
            <w:vAlign w:val="bottom"/>
            <w:hideMark/>
          </w:tcPr>
          <w:p w14:paraId="1DCDA1A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74BF47C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69317B6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2A57FDA7"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(3</w:t>
            </w:r>
          </w:p>
        </w:tc>
        <w:tc>
          <w:tcPr>
            <w:tcW w:w="0" w:type="auto"/>
            <w:shd w:val="clear" w:color="auto" w:fill="CFF0FC"/>
            <w:vAlign w:val="bottom"/>
            <w:hideMark/>
          </w:tcPr>
          <w:p w14:paraId="0CAAC45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r>
      <w:tr w:rsidR="002F3D36" w:rsidRPr="002F3D36" w14:paraId="11177810" w14:textId="77777777" w:rsidTr="002F3D36">
        <w:trPr>
          <w:trHeight w:val="180"/>
          <w:tblCellSpacing w:w="15" w:type="dxa"/>
        </w:trPr>
        <w:tc>
          <w:tcPr>
            <w:tcW w:w="0" w:type="auto"/>
            <w:hideMark/>
          </w:tcPr>
          <w:p w14:paraId="07B5337E" w14:textId="77777777" w:rsidR="002F3D36" w:rsidRPr="002F3D36" w:rsidRDefault="002F3D36" w:rsidP="002F3D36">
            <w:pPr>
              <w:widowControl/>
              <w:ind w:left="200"/>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Non-U.S.</w:t>
            </w:r>
          </w:p>
        </w:tc>
        <w:tc>
          <w:tcPr>
            <w:tcW w:w="0" w:type="auto"/>
            <w:vAlign w:val="bottom"/>
            <w:hideMark/>
          </w:tcPr>
          <w:p w14:paraId="4D851D2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06BC136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783FF1CF"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(10</w:t>
            </w:r>
          </w:p>
        </w:tc>
        <w:tc>
          <w:tcPr>
            <w:tcW w:w="0" w:type="auto"/>
            <w:vAlign w:val="bottom"/>
            <w:hideMark/>
          </w:tcPr>
          <w:p w14:paraId="482C8B4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vAlign w:val="bottom"/>
            <w:hideMark/>
          </w:tcPr>
          <w:p w14:paraId="6FE8376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3AA13F2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56FFCC7F"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(17</w:t>
            </w:r>
          </w:p>
        </w:tc>
        <w:tc>
          <w:tcPr>
            <w:tcW w:w="0" w:type="auto"/>
            <w:vAlign w:val="bottom"/>
            <w:hideMark/>
          </w:tcPr>
          <w:p w14:paraId="2E55197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vAlign w:val="bottom"/>
            <w:hideMark/>
          </w:tcPr>
          <w:p w14:paraId="11BF220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6C89560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6BB67BE5"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(13</w:t>
            </w:r>
          </w:p>
        </w:tc>
        <w:tc>
          <w:tcPr>
            <w:tcW w:w="0" w:type="auto"/>
            <w:vAlign w:val="bottom"/>
            <w:hideMark/>
          </w:tcPr>
          <w:p w14:paraId="52BBFE4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r>
      <w:tr w:rsidR="002F3D36" w:rsidRPr="002F3D36" w14:paraId="666B6739" w14:textId="77777777" w:rsidTr="002F3D36">
        <w:trPr>
          <w:trHeight w:val="180"/>
          <w:tblCellSpacing w:w="15" w:type="dxa"/>
        </w:trPr>
        <w:tc>
          <w:tcPr>
            <w:tcW w:w="0" w:type="auto"/>
            <w:shd w:val="clear" w:color="auto" w:fill="CFF0FC"/>
            <w:hideMark/>
          </w:tcPr>
          <w:p w14:paraId="4C65B81B" w14:textId="77777777" w:rsidR="002F3D36" w:rsidRPr="002F3D36" w:rsidRDefault="002F3D36" w:rsidP="002F3D36">
            <w:pPr>
              <w:widowControl/>
              <w:ind w:left="200"/>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U.S. state and local</w:t>
            </w:r>
          </w:p>
        </w:tc>
        <w:tc>
          <w:tcPr>
            <w:tcW w:w="0" w:type="auto"/>
            <w:shd w:val="clear" w:color="auto" w:fill="CFF0FC"/>
            <w:vAlign w:val="bottom"/>
            <w:hideMark/>
          </w:tcPr>
          <w:p w14:paraId="7554C9C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50CE060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0ACA0480"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(2</w:t>
            </w:r>
          </w:p>
        </w:tc>
        <w:tc>
          <w:tcPr>
            <w:tcW w:w="0" w:type="auto"/>
            <w:shd w:val="clear" w:color="auto" w:fill="CFF0FC"/>
            <w:vAlign w:val="bottom"/>
            <w:hideMark/>
          </w:tcPr>
          <w:p w14:paraId="031B60B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4C59370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159FC68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2D901D7C"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(2</w:t>
            </w:r>
          </w:p>
        </w:tc>
        <w:tc>
          <w:tcPr>
            <w:tcW w:w="0" w:type="auto"/>
            <w:shd w:val="clear" w:color="auto" w:fill="CFF0FC"/>
            <w:vAlign w:val="bottom"/>
            <w:hideMark/>
          </w:tcPr>
          <w:p w14:paraId="0CC7DBDE"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6A4A818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475711F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725A3F32"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w:t>
            </w:r>
          </w:p>
        </w:tc>
        <w:tc>
          <w:tcPr>
            <w:tcW w:w="0" w:type="auto"/>
            <w:shd w:val="clear" w:color="auto" w:fill="CFF0FC"/>
            <w:vAlign w:val="bottom"/>
            <w:hideMark/>
          </w:tcPr>
          <w:p w14:paraId="0B37600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r>
      <w:tr w:rsidR="002F3D36" w:rsidRPr="002F3D36" w14:paraId="31F379F9" w14:textId="77777777" w:rsidTr="002F3D36">
        <w:trPr>
          <w:trHeight w:val="180"/>
          <w:tblCellSpacing w:w="15" w:type="dxa"/>
        </w:trPr>
        <w:tc>
          <w:tcPr>
            <w:tcW w:w="0" w:type="auto"/>
            <w:hideMark/>
          </w:tcPr>
          <w:p w14:paraId="4163D38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Total income tax expense</w:t>
            </w:r>
          </w:p>
        </w:tc>
        <w:tc>
          <w:tcPr>
            <w:tcW w:w="0" w:type="auto"/>
            <w:vAlign w:val="bottom"/>
            <w:hideMark/>
          </w:tcPr>
          <w:p w14:paraId="2DB658AE"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4774CA0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tcBorders>
              <w:bottom w:val="single" w:sz="4" w:space="0" w:color="000000"/>
            </w:tcBorders>
            <w:vAlign w:val="bottom"/>
            <w:hideMark/>
          </w:tcPr>
          <w:p w14:paraId="66764414"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177</w:t>
            </w:r>
          </w:p>
        </w:tc>
        <w:tc>
          <w:tcPr>
            <w:tcW w:w="0" w:type="auto"/>
            <w:vAlign w:val="bottom"/>
            <w:hideMark/>
          </w:tcPr>
          <w:p w14:paraId="621EAA8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4D81C3A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063BD51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tcBorders>
              <w:bottom w:val="single" w:sz="4" w:space="0" w:color="000000"/>
            </w:tcBorders>
            <w:vAlign w:val="bottom"/>
            <w:hideMark/>
          </w:tcPr>
          <w:p w14:paraId="406B34D1"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103</w:t>
            </w:r>
          </w:p>
        </w:tc>
        <w:tc>
          <w:tcPr>
            <w:tcW w:w="0" w:type="auto"/>
            <w:vAlign w:val="bottom"/>
            <w:hideMark/>
          </w:tcPr>
          <w:p w14:paraId="6BD5FEC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0B9B213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5956BCA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tcBorders>
              <w:bottom w:val="single" w:sz="4" w:space="0" w:color="000000"/>
            </w:tcBorders>
            <w:vAlign w:val="bottom"/>
            <w:hideMark/>
          </w:tcPr>
          <w:p w14:paraId="6F906C45"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186</w:t>
            </w:r>
          </w:p>
        </w:tc>
        <w:tc>
          <w:tcPr>
            <w:tcW w:w="0" w:type="auto"/>
            <w:vAlign w:val="bottom"/>
            <w:hideMark/>
          </w:tcPr>
          <w:p w14:paraId="12967AD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bl>
    <w:p w14:paraId="649B2690" w14:textId="77777777" w:rsidR="002F3D36" w:rsidRPr="002F3D36" w:rsidRDefault="002F3D36" w:rsidP="002F3D36">
      <w:pPr>
        <w:widowControl/>
        <w:rPr>
          <w:rFonts w:ascii="Times New Roman" w:eastAsia="微软雅黑" w:hAnsi="Times New Roman" w:cs="Times New Roman"/>
          <w:color w:val="000000"/>
          <w:kern w:val="0"/>
          <w:sz w:val="20"/>
          <w:szCs w:val="20"/>
        </w:rPr>
      </w:pPr>
      <w:r w:rsidRPr="002F3D36">
        <w:rPr>
          <w:rFonts w:ascii="Arial" w:eastAsia="微软雅黑" w:hAnsi="Arial" w:cs="Arial"/>
          <w:color w:val="000000"/>
          <w:kern w:val="0"/>
          <w:sz w:val="18"/>
          <w:szCs w:val="18"/>
        </w:rPr>
        <w:t> </w:t>
      </w:r>
    </w:p>
    <w:tbl>
      <w:tblPr>
        <w:tblW w:w="17110" w:type="dxa"/>
        <w:tblCellSpacing w:w="15" w:type="dxa"/>
        <w:tblCellMar>
          <w:top w:w="15" w:type="dxa"/>
          <w:left w:w="15" w:type="dxa"/>
          <w:bottom w:w="15" w:type="dxa"/>
          <w:right w:w="15" w:type="dxa"/>
        </w:tblCellMar>
        <w:tblLook w:val="04A0" w:firstRow="1" w:lastRow="0" w:firstColumn="1" w:lastColumn="0" w:noHBand="0" w:noVBand="1"/>
      </w:tblPr>
      <w:tblGrid>
        <w:gridCol w:w="10182"/>
        <w:gridCol w:w="269"/>
        <w:gridCol w:w="146"/>
        <w:gridCol w:w="1480"/>
        <w:gridCol w:w="188"/>
        <w:gridCol w:w="399"/>
        <w:gridCol w:w="147"/>
        <w:gridCol w:w="1481"/>
        <w:gridCol w:w="188"/>
        <w:gridCol w:w="399"/>
        <w:gridCol w:w="147"/>
        <w:gridCol w:w="1481"/>
        <w:gridCol w:w="188"/>
        <w:gridCol w:w="415"/>
      </w:tblGrid>
      <w:tr w:rsidR="002F3D36" w:rsidRPr="002F3D36" w14:paraId="52A52484" w14:textId="77777777" w:rsidTr="002F3D36">
        <w:trPr>
          <w:tblCellSpacing w:w="15" w:type="dxa"/>
        </w:trPr>
        <w:tc>
          <w:tcPr>
            <w:tcW w:w="10159" w:type="dxa"/>
            <w:vAlign w:val="center"/>
            <w:hideMark/>
          </w:tcPr>
          <w:p w14:paraId="2F234BBD" w14:textId="77777777" w:rsidR="002F3D36" w:rsidRPr="002F3D36" w:rsidRDefault="002F3D36" w:rsidP="002F3D36">
            <w:pPr>
              <w:widowControl/>
              <w:jc w:val="left"/>
              <w:rPr>
                <w:rFonts w:ascii="Times New Roman" w:eastAsia="微软雅黑" w:hAnsi="Times New Roman" w:cs="Times New Roman"/>
                <w:color w:val="000000"/>
                <w:kern w:val="0"/>
                <w:sz w:val="20"/>
                <w:szCs w:val="20"/>
              </w:rPr>
            </w:pPr>
          </w:p>
        </w:tc>
        <w:tc>
          <w:tcPr>
            <w:tcW w:w="240" w:type="dxa"/>
            <w:vAlign w:val="center"/>
            <w:hideMark/>
          </w:tcPr>
          <w:p w14:paraId="781D5AF0"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17" w:type="dxa"/>
            <w:vAlign w:val="center"/>
            <w:hideMark/>
          </w:tcPr>
          <w:p w14:paraId="19369BC1"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453" w:type="dxa"/>
            <w:vAlign w:val="center"/>
            <w:hideMark/>
          </w:tcPr>
          <w:p w14:paraId="5F020A9C"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58" w:type="dxa"/>
            <w:vAlign w:val="center"/>
            <w:hideMark/>
          </w:tcPr>
          <w:p w14:paraId="6C5DF828"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369" w:type="dxa"/>
            <w:vAlign w:val="center"/>
            <w:hideMark/>
          </w:tcPr>
          <w:p w14:paraId="6C060F8A"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17" w:type="dxa"/>
            <w:vAlign w:val="center"/>
            <w:hideMark/>
          </w:tcPr>
          <w:p w14:paraId="3F8F0876"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453" w:type="dxa"/>
            <w:vAlign w:val="center"/>
            <w:hideMark/>
          </w:tcPr>
          <w:p w14:paraId="6D445CEC"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58" w:type="dxa"/>
            <w:vAlign w:val="center"/>
            <w:hideMark/>
          </w:tcPr>
          <w:p w14:paraId="72ADC391"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369" w:type="dxa"/>
            <w:vAlign w:val="center"/>
            <w:hideMark/>
          </w:tcPr>
          <w:p w14:paraId="0F347901"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17" w:type="dxa"/>
            <w:vAlign w:val="center"/>
            <w:hideMark/>
          </w:tcPr>
          <w:p w14:paraId="6B12E16B"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453" w:type="dxa"/>
            <w:vAlign w:val="center"/>
            <w:hideMark/>
          </w:tcPr>
          <w:p w14:paraId="4E5EBFB4"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58" w:type="dxa"/>
            <w:vAlign w:val="center"/>
            <w:hideMark/>
          </w:tcPr>
          <w:p w14:paraId="23ED43B8"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370" w:type="dxa"/>
            <w:vAlign w:val="center"/>
            <w:hideMark/>
          </w:tcPr>
          <w:p w14:paraId="604BAFD3" w14:textId="77777777" w:rsidR="002F3D36" w:rsidRPr="002F3D36" w:rsidRDefault="002F3D36" w:rsidP="002F3D36">
            <w:pPr>
              <w:widowControl/>
              <w:jc w:val="left"/>
              <w:rPr>
                <w:rFonts w:ascii="Times New Roman" w:eastAsia="Times New Roman" w:hAnsi="Times New Roman" w:cs="Times New Roman"/>
                <w:kern w:val="0"/>
                <w:sz w:val="20"/>
                <w:szCs w:val="20"/>
              </w:rPr>
            </w:pPr>
          </w:p>
        </w:tc>
      </w:tr>
      <w:tr w:rsidR="002F3D36" w:rsidRPr="002F3D36" w14:paraId="2B99D97D" w14:textId="77777777" w:rsidTr="002F3D36">
        <w:trPr>
          <w:trHeight w:val="160"/>
          <w:tblCellSpacing w:w="15" w:type="dxa"/>
        </w:trPr>
        <w:tc>
          <w:tcPr>
            <w:tcW w:w="0" w:type="auto"/>
            <w:vAlign w:val="bottom"/>
            <w:hideMark/>
          </w:tcPr>
          <w:p w14:paraId="2476C741"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u w:val="single"/>
              </w:rPr>
              <w:t>EFFECTIVE INCOME TAX RATE (%)</w:t>
            </w:r>
          </w:p>
        </w:tc>
        <w:tc>
          <w:tcPr>
            <w:tcW w:w="0" w:type="auto"/>
            <w:vAlign w:val="bottom"/>
            <w:hideMark/>
          </w:tcPr>
          <w:p w14:paraId="7BC6C048"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2"/>
            <w:tcBorders>
              <w:bottom w:val="single" w:sz="4" w:space="0" w:color="000000"/>
            </w:tcBorders>
            <w:vAlign w:val="bottom"/>
            <w:hideMark/>
          </w:tcPr>
          <w:p w14:paraId="12CB88CA"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2021</w:t>
            </w:r>
          </w:p>
        </w:tc>
        <w:tc>
          <w:tcPr>
            <w:tcW w:w="0" w:type="auto"/>
            <w:vAlign w:val="bottom"/>
            <w:hideMark/>
          </w:tcPr>
          <w:p w14:paraId="254B5FF6"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vAlign w:val="bottom"/>
            <w:hideMark/>
          </w:tcPr>
          <w:p w14:paraId="57AD2B25"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2"/>
            <w:tcBorders>
              <w:bottom w:val="single" w:sz="4" w:space="0" w:color="000000"/>
            </w:tcBorders>
            <w:vAlign w:val="bottom"/>
            <w:hideMark/>
          </w:tcPr>
          <w:p w14:paraId="295D0EEC"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2020</w:t>
            </w:r>
          </w:p>
        </w:tc>
        <w:tc>
          <w:tcPr>
            <w:tcW w:w="0" w:type="auto"/>
            <w:vAlign w:val="bottom"/>
            <w:hideMark/>
          </w:tcPr>
          <w:p w14:paraId="72123D76"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vAlign w:val="bottom"/>
            <w:hideMark/>
          </w:tcPr>
          <w:p w14:paraId="40CCCDE1"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2"/>
            <w:tcBorders>
              <w:bottom w:val="single" w:sz="4" w:space="0" w:color="000000"/>
            </w:tcBorders>
            <w:vAlign w:val="bottom"/>
            <w:hideMark/>
          </w:tcPr>
          <w:p w14:paraId="0C030DE1"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2019</w:t>
            </w:r>
          </w:p>
        </w:tc>
        <w:tc>
          <w:tcPr>
            <w:tcW w:w="0" w:type="auto"/>
            <w:vAlign w:val="bottom"/>
            <w:hideMark/>
          </w:tcPr>
          <w:p w14:paraId="6C381BBF"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vAlign w:val="bottom"/>
            <w:hideMark/>
          </w:tcPr>
          <w:p w14:paraId="3F8D5244"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Calibri" w:eastAsia="宋体" w:hAnsi="Calibri" w:cs="Calibri"/>
                <w:kern w:val="0"/>
                <w:sz w:val="16"/>
                <w:szCs w:val="16"/>
              </w:rPr>
              <w:t> </w:t>
            </w:r>
          </w:p>
        </w:tc>
      </w:tr>
      <w:tr w:rsidR="002F3D36" w:rsidRPr="002F3D36" w14:paraId="027401AF" w14:textId="77777777" w:rsidTr="002F3D36">
        <w:trPr>
          <w:trHeight w:val="180"/>
          <w:tblCellSpacing w:w="15" w:type="dxa"/>
        </w:trPr>
        <w:tc>
          <w:tcPr>
            <w:tcW w:w="0" w:type="auto"/>
            <w:shd w:val="clear" w:color="auto" w:fill="CFF0FC"/>
            <w:hideMark/>
          </w:tcPr>
          <w:p w14:paraId="483961A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U.S. federal income tax rate</w:t>
            </w:r>
          </w:p>
        </w:tc>
        <w:tc>
          <w:tcPr>
            <w:tcW w:w="0" w:type="auto"/>
            <w:shd w:val="clear" w:color="auto" w:fill="CFF0FC"/>
            <w:vAlign w:val="bottom"/>
            <w:hideMark/>
          </w:tcPr>
          <w:p w14:paraId="5C6359C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6A78A7B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31C64788"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21.0</w:t>
            </w:r>
          </w:p>
        </w:tc>
        <w:tc>
          <w:tcPr>
            <w:tcW w:w="0" w:type="auto"/>
            <w:shd w:val="clear" w:color="auto" w:fill="CFF0FC"/>
            <w:vAlign w:val="bottom"/>
            <w:hideMark/>
          </w:tcPr>
          <w:p w14:paraId="1EB30D8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561A440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48B016B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2664F680"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21.0</w:t>
            </w:r>
          </w:p>
        </w:tc>
        <w:tc>
          <w:tcPr>
            <w:tcW w:w="0" w:type="auto"/>
            <w:shd w:val="clear" w:color="auto" w:fill="CFF0FC"/>
            <w:vAlign w:val="bottom"/>
            <w:hideMark/>
          </w:tcPr>
          <w:p w14:paraId="0A515BE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6E405B4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35F9A36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44FDA744"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21.0</w:t>
            </w:r>
          </w:p>
        </w:tc>
        <w:tc>
          <w:tcPr>
            <w:tcW w:w="0" w:type="auto"/>
            <w:shd w:val="clear" w:color="auto" w:fill="CFF0FC"/>
            <w:vAlign w:val="bottom"/>
            <w:hideMark/>
          </w:tcPr>
          <w:p w14:paraId="5206AC2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6508175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r>
      <w:tr w:rsidR="002F3D36" w:rsidRPr="002F3D36" w14:paraId="298F62BF" w14:textId="77777777" w:rsidTr="002F3D36">
        <w:trPr>
          <w:trHeight w:val="180"/>
          <w:tblCellSpacing w:w="15" w:type="dxa"/>
        </w:trPr>
        <w:tc>
          <w:tcPr>
            <w:tcW w:w="0" w:type="auto"/>
            <w:hideMark/>
          </w:tcPr>
          <w:p w14:paraId="377135F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Non-Deductible Expenses</w:t>
            </w:r>
          </w:p>
        </w:tc>
        <w:tc>
          <w:tcPr>
            <w:tcW w:w="0" w:type="auto"/>
            <w:vAlign w:val="bottom"/>
            <w:hideMark/>
          </w:tcPr>
          <w:p w14:paraId="0D30490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106F866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218357D0"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(0.1</w:t>
            </w:r>
          </w:p>
        </w:tc>
        <w:tc>
          <w:tcPr>
            <w:tcW w:w="0" w:type="auto"/>
            <w:vAlign w:val="bottom"/>
            <w:hideMark/>
          </w:tcPr>
          <w:p w14:paraId="46CC83D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vAlign w:val="bottom"/>
            <w:hideMark/>
          </w:tcPr>
          <w:p w14:paraId="2EEB325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0FF7F06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35CE785C"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3.0</w:t>
            </w:r>
          </w:p>
        </w:tc>
        <w:tc>
          <w:tcPr>
            <w:tcW w:w="0" w:type="auto"/>
            <w:vAlign w:val="bottom"/>
            <w:hideMark/>
          </w:tcPr>
          <w:p w14:paraId="4CEC2C3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1B68850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13C3677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4A64C327"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0.3</w:t>
            </w:r>
          </w:p>
        </w:tc>
        <w:tc>
          <w:tcPr>
            <w:tcW w:w="0" w:type="auto"/>
            <w:vAlign w:val="bottom"/>
            <w:hideMark/>
          </w:tcPr>
          <w:p w14:paraId="169F8C3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01D37DD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01331462" w14:textId="77777777" w:rsidTr="002F3D36">
        <w:trPr>
          <w:trHeight w:val="180"/>
          <w:tblCellSpacing w:w="15" w:type="dxa"/>
        </w:trPr>
        <w:tc>
          <w:tcPr>
            <w:tcW w:w="0" w:type="auto"/>
            <w:shd w:val="clear" w:color="auto" w:fill="CFF0FC"/>
            <w:hideMark/>
          </w:tcPr>
          <w:p w14:paraId="7CCBF15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Foreign tax rate variances</w:t>
            </w:r>
          </w:p>
        </w:tc>
        <w:tc>
          <w:tcPr>
            <w:tcW w:w="0" w:type="auto"/>
            <w:shd w:val="clear" w:color="auto" w:fill="CFF0FC"/>
            <w:vAlign w:val="bottom"/>
            <w:hideMark/>
          </w:tcPr>
          <w:p w14:paraId="36F73B3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45A6F93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31B32C63"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3.1</w:t>
            </w:r>
          </w:p>
        </w:tc>
        <w:tc>
          <w:tcPr>
            <w:tcW w:w="0" w:type="auto"/>
            <w:shd w:val="clear" w:color="auto" w:fill="CFF0FC"/>
            <w:vAlign w:val="bottom"/>
            <w:hideMark/>
          </w:tcPr>
          <w:p w14:paraId="41BAAC6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3174CE7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6921D6B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5238083F"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8.4</w:t>
            </w:r>
          </w:p>
        </w:tc>
        <w:tc>
          <w:tcPr>
            <w:tcW w:w="0" w:type="auto"/>
            <w:shd w:val="clear" w:color="auto" w:fill="CFF0FC"/>
            <w:vAlign w:val="bottom"/>
            <w:hideMark/>
          </w:tcPr>
          <w:p w14:paraId="4AA12ED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248E61F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0551309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16C23EB1"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4.1</w:t>
            </w:r>
          </w:p>
        </w:tc>
        <w:tc>
          <w:tcPr>
            <w:tcW w:w="0" w:type="auto"/>
            <w:shd w:val="clear" w:color="auto" w:fill="CFF0FC"/>
            <w:vAlign w:val="bottom"/>
            <w:hideMark/>
          </w:tcPr>
          <w:p w14:paraId="34EBCF5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557EEC1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4FA72B5B" w14:textId="77777777" w:rsidTr="002F3D36">
        <w:trPr>
          <w:trHeight w:val="180"/>
          <w:tblCellSpacing w:w="15" w:type="dxa"/>
        </w:trPr>
        <w:tc>
          <w:tcPr>
            <w:tcW w:w="0" w:type="auto"/>
            <w:hideMark/>
          </w:tcPr>
          <w:p w14:paraId="1FA19CA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Tax credits</w:t>
            </w:r>
          </w:p>
        </w:tc>
        <w:tc>
          <w:tcPr>
            <w:tcW w:w="0" w:type="auto"/>
            <w:vAlign w:val="bottom"/>
            <w:hideMark/>
          </w:tcPr>
          <w:p w14:paraId="1603EDE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2FCB0C4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1BA2CEF5"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(2.2</w:t>
            </w:r>
          </w:p>
        </w:tc>
        <w:tc>
          <w:tcPr>
            <w:tcW w:w="0" w:type="auto"/>
            <w:vAlign w:val="bottom"/>
            <w:hideMark/>
          </w:tcPr>
          <w:p w14:paraId="4FEA4FF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vAlign w:val="bottom"/>
            <w:hideMark/>
          </w:tcPr>
          <w:p w14:paraId="6B0A15A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7CED66E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3A91B7CF"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(3.2</w:t>
            </w:r>
          </w:p>
        </w:tc>
        <w:tc>
          <w:tcPr>
            <w:tcW w:w="0" w:type="auto"/>
            <w:vAlign w:val="bottom"/>
            <w:hideMark/>
          </w:tcPr>
          <w:p w14:paraId="03455ED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vAlign w:val="bottom"/>
            <w:hideMark/>
          </w:tcPr>
          <w:p w14:paraId="1753FB0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0BD219B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1631F1C7"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(1.7</w:t>
            </w:r>
          </w:p>
        </w:tc>
        <w:tc>
          <w:tcPr>
            <w:tcW w:w="0" w:type="auto"/>
            <w:vAlign w:val="bottom"/>
            <w:hideMark/>
          </w:tcPr>
          <w:p w14:paraId="151526C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vAlign w:val="bottom"/>
            <w:hideMark/>
          </w:tcPr>
          <w:p w14:paraId="677D5EB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621B766D" w14:textId="77777777" w:rsidTr="002F3D36">
        <w:trPr>
          <w:trHeight w:val="180"/>
          <w:tblCellSpacing w:w="15" w:type="dxa"/>
        </w:trPr>
        <w:tc>
          <w:tcPr>
            <w:tcW w:w="0" w:type="auto"/>
            <w:shd w:val="clear" w:color="auto" w:fill="CFF0FC"/>
            <w:hideMark/>
          </w:tcPr>
          <w:p w14:paraId="5B37279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Current year losses with no benefit</w:t>
            </w:r>
          </w:p>
        </w:tc>
        <w:tc>
          <w:tcPr>
            <w:tcW w:w="0" w:type="auto"/>
            <w:shd w:val="clear" w:color="auto" w:fill="CFF0FC"/>
            <w:vAlign w:val="bottom"/>
            <w:hideMark/>
          </w:tcPr>
          <w:p w14:paraId="6DF6840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2534C96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751F56CC"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0.1</w:t>
            </w:r>
          </w:p>
        </w:tc>
        <w:tc>
          <w:tcPr>
            <w:tcW w:w="0" w:type="auto"/>
            <w:shd w:val="clear" w:color="auto" w:fill="CFF0FC"/>
            <w:vAlign w:val="bottom"/>
            <w:hideMark/>
          </w:tcPr>
          <w:p w14:paraId="4E51BCE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30C8E03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254F0A0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643FA8A5"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7.1</w:t>
            </w:r>
          </w:p>
        </w:tc>
        <w:tc>
          <w:tcPr>
            <w:tcW w:w="0" w:type="auto"/>
            <w:shd w:val="clear" w:color="auto" w:fill="CFF0FC"/>
            <w:vAlign w:val="bottom"/>
            <w:hideMark/>
          </w:tcPr>
          <w:p w14:paraId="7935AB7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1AFEDE4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3EA2F82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0D15E0C2"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0.2</w:t>
            </w:r>
          </w:p>
        </w:tc>
        <w:tc>
          <w:tcPr>
            <w:tcW w:w="0" w:type="auto"/>
            <w:shd w:val="clear" w:color="auto" w:fill="CFF0FC"/>
            <w:vAlign w:val="bottom"/>
            <w:hideMark/>
          </w:tcPr>
          <w:p w14:paraId="1B5C32FE"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3B1CFCC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0A7B2F24" w14:textId="77777777" w:rsidTr="002F3D36">
        <w:trPr>
          <w:trHeight w:val="180"/>
          <w:tblCellSpacing w:w="15" w:type="dxa"/>
        </w:trPr>
        <w:tc>
          <w:tcPr>
            <w:tcW w:w="0" w:type="auto"/>
            <w:hideMark/>
          </w:tcPr>
          <w:p w14:paraId="529B1CA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Net operating loss carry-forwards</w:t>
            </w:r>
          </w:p>
        </w:tc>
        <w:tc>
          <w:tcPr>
            <w:tcW w:w="0" w:type="auto"/>
            <w:vAlign w:val="bottom"/>
            <w:hideMark/>
          </w:tcPr>
          <w:p w14:paraId="23A6D91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52E3C19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068797F4"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(0.2</w:t>
            </w:r>
          </w:p>
        </w:tc>
        <w:tc>
          <w:tcPr>
            <w:tcW w:w="0" w:type="auto"/>
            <w:vAlign w:val="bottom"/>
            <w:hideMark/>
          </w:tcPr>
          <w:p w14:paraId="1ADD1F0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vAlign w:val="bottom"/>
            <w:hideMark/>
          </w:tcPr>
          <w:p w14:paraId="2FFCB3B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0C86B78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273BF6FC"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w:t>
            </w:r>
          </w:p>
        </w:tc>
        <w:tc>
          <w:tcPr>
            <w:tcW w:w="0" w:type="auto"/>
            <w:vAlign w:val="bottom"/>
            <w:hideMark/>
          </w:tcPr>
          <w:p w14:paraId="427EF0D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1AE988E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0C34B20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5C9E4FF1"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(0.1</w:t>
            </w:r>
          </w:p>
        </w:tc>
        <w:tc>
          <w:tcPr>
            <w:tcW w:w="0" w:type="auto"/>
            <w:vAlign w:val="bottom"/>
            <w:hideMark/>
          </w:tcPr>
          <w:p w14:paraId="406DC07E"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vAlign w:val="bottom"/>
            <w:hideMark/>
          </w:tcPr>
          <w:p w14:paraId="4D7E89D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47522074" w14:textId="77777777" w:rsidTr="002F3D36">
        <w:trPr>
          <w:trHeight w:val="180"/>
          <w:tblCellSpacing w:w="15" w:type="dxa"/>
        </w:trPr>
        <w:tc>
          <w:tcPr>
            <w:tcW w:w="0" w:type="auto"/>
            <w:shd w:val="clear" w:color="auto" w:fill="CFF0FC"/>
            <w:hideMark/>
          </w:tcPr>
          <w:p w14:paraId="32CC1B5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Changes in tax reserves</w:t>
            </w:r>
          </w:p>
        </w:tc>
        <w:tc>
          <w:tcPr>
            <w:tcW w:w="0" w:type="auto"/>
            <w:shd w:val="clear" w:color="auto" w:fill="CFF0FC"/>
            <w:vAlign w:val="bottom"/>
            <w:hideMark/>
          </w:tcPr>
          <w:p w14:paraId="5B42D43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2DD33CF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1BD75994"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0.6</w:t>
            </w:r>
          </w:p>
        </w:tc>
        <w:tc>
          <w:tcPr>
            <w:tcW w:w="0" w:type="auto"/>
            <w:shd w:val="clear" w:color="auto" w:fill="CFF0FC"/>
            <w:vAlign w:val="bottom"/>
            <w:hideMark/>
          </w:tcPr>
          <w:p w14:paraId="2F9447E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66981BA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746A87B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35E6AAAA"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1.7</w:t>
            </w:r>
          </w:p>
        </w:tc>
        <w:tc>
          <w:tcPr>
            <w:tcW w:w="0" w:type="auto"/>
            <w:shd w:val="clear" w:color="auto" w:fill="CFF0FC"/>
            <w:vAlign w:val="bottom"/>
            <w:hideMark/>
          </w:tcPr>
          <w:p w14:paraId="6D2E146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1BD1625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4AB5D8E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3D4EEC16"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1.7</w:t>
            </w:r>
          </w:p>
        </w:tc>
        <w:tc>
          <w:tcPr>
            <w:tcW w:w="0" w:type="auto"/>
            <w:shd w:val="clear" w:color="auto" w:fill="CFF0FC"/>
            <w:vAlign w:val="bottom"/>
            <w:hideMark/>
          </w:tcPr>
          <w:p w14:paraId="17C3DD7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5014C18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79180031" w14:textId="77777777" w:rsidTr="002F3D36">
        <w:trPr>
          <w:trHeight w:val="180"/>
          <w:tblCellSpacing w:w="15" w:type="dxa"/>
        </w:trPr>
        <w:tc>
          <w:tcPr>
            <w:tcW w:w="0" w:type="auto"/>
            <w:hideMark/>
          </w:tcPr>
          <w:p w14:paraId="34B3E10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Provision to Return</w:t>
            </w:r>
          </w:p>
        </w:tc>
        <w:tc>
          <w:tcPr>
            <w:tcW w:w="0" w:type="auto"/>
            <w:vAlign w:val="bottom"/>
            <w:hideMark/>
          </w:tcPr>
          <w:p w14:paraId="73CB953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64274A9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52669D16"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(0.2</w:t>
            </w:r>
          </w:p>
        </w:tc>
        <w:tc>
          <w:tcPr>
            <w:tcW w:w="0" w:type="auto"/>
            <w:vAlign w:val="bottom"/>
            <w:hideMark/>
          </w:tcPr>
          <w:p w14:paraId="45A5415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vAlign w:val="bottom"/>
            <w:hideMark/>
          </w:tcPr>
          <w:p w14:paraId="6FC8731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77F4BE1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032DEFD9"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(8.8</w:t>
            </w:r>
          </w:p>
        </w:tc>
        <w:tc>
          <w:tcPr>
            <w:tcW w:w="0" w:type="auto"/>
            <w:vAlign w:val="bottom"/>
            <w:hideMark/>
          </w:tcPr>
          <w:p w14:paraId="145709D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vAlign w:val="bottom"/>
            <w:hideMark/>
          </w:tcPr>
          <w:p w14:paraId="6A2029F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6EF6921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044F6064"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(2.3</w:t>
            </w:r>
          </w:p>
        </w:tc>
        <w:tc>
          <w:tcPr>
            <w:tcW w:w="0" w:type="auto"/>
            <w:vAlign w:val="bottom"/>
            <w:hideMark/>
          </w:tcPr>
          <w:p w14:paraId="74317C5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vAlign w:val="bottom"/>
            <w:hideMark/>
          </w:tcPr>
          <w:p w14:paraId="297B452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5C77160D" w14:textId="77777777" w:rsidTr="002F3D36">
        <w:trPr>
          <w:trHeight w:val="180"/>
          <w:tblCellSpacing w:w="15" w:type="dxa"/>
        </w:trPr>
        <w:tc>
          <w:tcPr>
            <w:tcW w:w="0" w:type="auto"/>
            <w:shd w:val="clear" w:color="auto" w:fill="CFF0FC"/>
            <w:hideMark/>
          </w:tcPr>
          <w:p w14:paraId="28CC45A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Earnings of equity investments</w:t>
            </w:r>
          </w:p>
        </w:tc>
        <w:tc>
          <w:tcPr>
            <w:tcW w:w="0" w:type="auto"/>
            <w:shd w:val="clear" w:color="auto" w:fill="CFF0FC"/>
            <w:vAlign w:val="bottom"/>
            <w:hideMark/>
          </w:tcPr>
          <w:p w14:paraId="3F98AFD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5F9FCB3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1042CDBA"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(0.1</w:t>
            </w:r>
          </w:p>
        </w:tc>
        <w:tc>
          <w:tcPr>
            <w:tcW w:w="0" w:type="auto"/>
            <w:shd w:val="clear" w:color="auto" w:fill="CFF0FC"/>
            <w:vAlign w:val="bottom"/>
            <w:hideMark/>
          </w:tcPr>
          <w:p w14:paraId="6DDB118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083BD09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79BE106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0B879683"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(0.2</w:t>
            </w:r>
          </w:p>
        </w:tc>
        <w:tc>
          <w:tcPr>
            <w:tcW w:w="0" w:type="auto"/>
            <w:shd w:val="clear" w:color="auto" w:fill="CFF0FC"/>
            <w:vAlign w:val="bottom"/>
            <w:hideMark/>
          </w:tcPr>
          <w:p w14:paraId="6BA5CC7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52A2103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2E556BF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1E1CD0D5"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(0.1</w:t>
            </w:r>
          </w:p>
        </w:tc>
        <w:tc>
          <w:tcPr>
            <w:tcW w:w="0" w:type="auto"/>
            <w:shd w:val="clear" w:color="auto" w:fill="CFF0FC"/>
            <w:vAlign w:val="bottom"/>
            <w:hideMark/>
          </w:tcPr>
          <w:p w14:paraId="528441E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36E0786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3AA33C45" w14:textId="77777777" w:rsidTr="002F3D36">
        <w:trPr>
          <w:trHeight w:val="180"/>
          <w:tblCellSpacing w:w="15" w:type="dxa"/>
        </w:trPr>
        <w:tc>
          <w:tcPr>
            <w:tcW w:w="0" w:type="auto"/>
            <w:hideMark/>
          </w:tcPr>
          <w:p w14:paraId="5F95D16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Withholding taxes</w:t>
            </w:r>
          </w:p>
        </w:tc>
        <w:tc>
          <w:tcPr>
            <w:tcW w:w="0" w:type="auto"/>
            <w:vAlign w:val="bottom"/>
            <w:hideMark/>
          </w:tcPr>
          <w:p w14:paraId="118E5C3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1D748BF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1B2B32DE"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4.5</w:t>
            </w:r>
          </w:p>
        </w:tc>
        <w:tc>
          <w:tcPr>
            <w:tcW w:w="0" w:type="auto"/>
            <w:vAlign w:val="bottom"/>
            <w:hideMark/>
          </w:tcPr>
          <w:p w14:paraId="634B2CD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560404C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73391E5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714EB338"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8.5</w:t>
            </w:r>
          </w:p>
        </w:tc>
        <w:tc>
          <w:tcPr>
            <w:tcW w:w="0" w:type="auto"/>
            <w:vAlign w:val="bottom"/>
            <w:hideMark/>
          </w:tcPr>
          <w:p w14:paraId="733E58A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39DC4C3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5363FD4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3DF90C00"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2.4</w:t>
            </w:r>
          </w:p>
        </w:tc>
        <w:tc>
          <w:tcPr>
            <w:tcW w:w="0" w:type="auto"/>
            <w:vAlign w:val="bottom"/>
            <w:hideMark/>
          </w:tcPr>
          <w:p w14:paraId="164E291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4F8BA0C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4B855E57" w14:textId="77777777" w:rsidTr="002F3D36">
        <w:trPr>
          <w:trHeight w:val="180"/>
          <w:tblCellSpacing w:w="15" w:type="dxa"/>
        </w:trPr>
        <w:tc>
          <w:tcPr>
            <w:tcW w:w="0" w:type="auto"/>
            <w:shd w:val="clear" w:color="auto" w:fill="CFF0FC"/>
            <w:hideMark/>
          </w:tcPr>
          <w:p w14:paraId="234BFE5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State taxes, net of federal benefit</w:t>
            </w:r>
          </w:p>
        </w:tc>
        <w:tc>
          <w:tcPr>
            <w:tcW w:w="0" w:type="auto"/>
            <w:shd w:val="clear" w:color="auto" w:fill="CFF0FC"/>
            <w:vAlign w:val="bottom"/>
            <w:hideMark/>
          </w:tcPr>
          <w:p w14:paraId="3568BF7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0E8742F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76205FFB"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(0.5</w:t>
            </w:r>
          </w:p>
        </w:tc>
        <w:tc>
          <w:tcPr>
            <w:tcW w:w="0" w:type="auto"/>
            <w:shd w:val="clear" w:color="auto" w:fill="CFF0FC"/>
            <w:vAlign w:val="bottom"/>
            <w:hideMark/>
          </w:tcPr>
          <w:p w14:paraId="530F1C1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05B66F2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42D33D9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3CEE2DC2"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(0.7</w:t>
            </w:r>
          </w:p>
        </w:tc>
        <w:tc>
          <w:tcPr>
            <w:tcW w:w="0" w:type="auto"/>
            <w:shd w:val="clear" w:color="auto" w:fill="CFF0FC"/>
            <w:vAlign w:val="bottom"/>
            <w:hideMark/>
          </w:tcPr>
          <w:p w14:paraId="185E40E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72EC6DB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733A5EE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2158625F"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0.4</w:t>
            </w:r>
          </w:p>
        </w:tc>
        <w:tc>
          <w:tcPr>
            <w:tcW w:w="0" w:type="auto"/>
            <w:shd w:val="clear" w:color="auto" w:fill="CFF0FC"/>
            <w:vAlign w:val="bottom"/>
            <w:hideMark/>
          </w:tcPr>
          <w:p w14:paraId="56C299D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0295E52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6F4D1416" w14:textId="77777777" w:rsidTr="002F3D36">
        <w:trPr>
          <w:trHeight w:val="180"/>
          <w:tblCellSpacing w:w="15" w:type="dxa"/>
        </w:trPr>
        <w:tc>
          <w:tcPr>
            <w:tcW w:w="0" w:type="auto"/>
            <w:hideMark/>
          </w:tcPr>
          <w:p w14:paraId="5681008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Tax Audits</w:t>
            </w:r>
          </w:p>
        </w:tc>
        <w:tc>
          <w:tcPr>
            <w:tcW w:w="0" w:type="auto"/>
            <w:vAlign w:val="bottom"/>
            <w:hideMark/>
          </w:tcPr>
          <w:p w14:paraId="2DFE327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0BE360B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2D012F22"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0.6</w:t>
            </w:r>
          </w:p>
        </w:tc>
        <w:tc>
          <w:tcPr>
            <w:tcW w:w="0" w:type="auto"/>
            <w:vAlign w:val="bottom"/>
            <w:hideMark/>
          </w:tcPr>
          <w:p w14:paraId="2179F41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5E9697F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52507E4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75092F53"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0.0</w:t>
            </w:r>
          </w:p>
        </w:tc>
        <w:tc>
          <w:tcPr>
            <w:tcW w:w="0" w:type="auto"/>
            <w:vAlign w:val="bottom"/>
            <w:hideMark/>
          </w:tcPr>
          <w:p w14:paraId="7C69729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745D28C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34F216C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466000CB"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0.0</w:t>
            </w:r>
          </w:p>
        </w:tc>
        <w:tc>
          <w:tcPr>
            <w:tcW w:w="0" w:type="auto"/>
            <w:vAlign w:val="bottom"/>
            <w:hideMark/>
          </w:tcPr>
          <w:p w14:paraId="6C0B504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09146AA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72C51EAE" w14:textId="77777777" w:rsidTr="002F3D36">
        <w:trPr>
          <w:trHeight w:val="180"/>
          <w:tblCellSpacing w:w="15" w:type="dxa"/>
        </w:trPr>
        <w:tc>
          <w:tcPr>
            <w:tcW w:w="0" w:type="auto"/>
            <w:shd w:val="clear" w:color="auto" w:fill="CFF0FC"/>
            <w:hideMark/>
          </w:tcPr>
          <w:p w14:paraId="7B08746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U.S. FDII Deduction</w:t>
            </w:r>
          </w:p>
        </w:tc>
        <w:tc>
          <w:tcPr>
            <w:tcW w:w="0" w:type="auto"/>
            <w:shd w:val="clear" w:color="auto" w:fill="CFF0FC"/>
            <w:vAlign w:val="bottom"/>
            <w:hideMark/>
          </w:tcPr>
          <w:p w14:paraId="0E662FD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014538C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579FC138"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26C4718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594390A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1011E76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19E76137"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5C894C0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1A377D1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5DC6CA8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2E554BFB"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(0.5</w:t>
            </w:r>
          </w:p>
        </w:tc>
        <w:tc>
          <w:tcPr>
            <w:tcW w:w="0" w:type="auto"/>
            <w:shd w:val="clear" w:color="auto" w:fill="CFF0FC"/>
            <w:vAlign w:val="bottom"/>
            <w:hideMark/>
          </w:tcPr>
          <w:p w14:paraId="19509DF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44C91F5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061E48BE" w14:textId="77777777" w:rsidTr="002F3D36">
        <w:trPr>
          <w:trHeight w:val="180"/>
          <w:tblCellSpacing w:w="15" w:type="dxa"/>
        </w:trPr>
        <w:tc>
          <w:tcPr>
            <w:tcW w:w="0" w:type="auto"/>
            <w:hideMark/>
          </w:tcPr>
          <w:p w14:paraId="0F36E8A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U.S. GILI Tax</w:t>
            </w:r>
          </w:p>
        </w:tc>
        <w:tc>
          <w:tcPr>
            <w:tcW w:w="0" w:type="auto"/>
            <w:vAlign w:val="bottom"/>
            <w:hideMark/>
          </w:tcPr>
          <w:p w14:paraId="4887463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089DDB7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2AF92725"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1.1</w:t>
            </w:r>
          </w:p>
        </w:tc>
        <w:tc>
          <w:tcPr>
            <w:tcW w:w="0" w:type="auto"/>
            <w:vAlign w:val="bottom"/>
            <w:hideMark/>
          </w:tcPr>
          <w:p w14:paraId="335F71C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6F9D007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7527A3E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0CC7CAA2"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w:t>
            </w:r>
          </w:p>
        </w:tc>
        <w:tc>
          <w:tcPr>
            <w:tcW w:w="0" w:type="auto"/>
            <w:vAlign w:val="bottom"/>
            <w:hideMark/>
          </w:tcPr>
          <w:p w14:paraId="67B56A1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35B4BC6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71AC2AB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74EF4E8C"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1.8</w:t>
            </w:r>
          </w:p>
        </w:tc>
        <w:tc>
          <w:tcPr>
            <w:tcW w:w="0" w:type="auto"/>
            <w:vAlign w:val="bottom"/>
            <w:hideMark/>
          </w:tcPr>
          <w:p w14:paraId="1BA5472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2EA835A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11F4B369" w14:textId="77777777" w:rsidTr="002F3D36">
        <w:trPr>
          <w:trHeight w:val="180"/>
          <w:tblCellSpacing w:w="15" w:type="dxa"/>
        </w:trPr>
        <w:tc>
          <w:tcPr>
            <w:tcW w:w="0" w:type="auto"/>
            <w:shd w:val="clear" w:color="auto" w:fill="CFF0FC"/>
            <w:hideMark/>
          </w:tcPr>
          <w:p w14:paraId="52D9600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Other, net</w:t>
            </w:r>
          </w:p>
        </w:tc>
        <w:tc>
          <w:tcPr>
            <w:tcW w:w="0" w:type="auto"/>
            <w:shd w:val="clear" w:color="auto" w:fill="CFF0FC"/>
            <w:vAlign w:val="bottom"/>
            <w:hideMark/>
          </w:tcPr>
          <w:p w14:paraId="7846304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37B6188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5FD82166"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1.2</w:t>
            </w:r>
          </w:p>
        </w:tc>
        <w:tc>
          <w:tcPr>
            <w:tcW w:w="0" w:type="auto"/>
            <w:shd w:val="clear" w:color="auto" w:fill="CFF0FC"/>
            <w:vAlign w:val="bottom"/>
            <w:hideMark/>
          </w:tcPr>
          <w:p w14:paraId="018639E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1567D8F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4BFC30B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24E684F0"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(1.5</w:t>
            </w:r>
          </w:p>
        </w:tc>
        <w:tc>
          <w:tcPr>
            <w:tcW w:w="0" w:type="auto"/>
            <w:shd w:val="clear" w:color="auto" w:fill="CFF0FC"/>
            <w:vAlign w:val="bottom"/>
            <w:hideMark/>
          </w:tcPr>
          <w:p w14:paraId="3A86A4E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5A7046B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2054F74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769F25BF"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1.4</w:t>
            </w:r>
          </w:p>
        </w:tc>
        <w:tc>
          <w:tcPr>
            <w:tcW w:w="0" w:type="auto"/>
            <w:shd w:val="clear" w:color="auto" w:fill="CFF0FC"/>
            <w:vAlign w:val="bottom"/>
            <w:hideMark/>
          </w:tcPr>
          <w:p w14:paraId="5278111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633561C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298E1259" w14:textId="77777777" w:rsidTr="002F3D36">
        <w:trPr>
          <w:trHeight w:val="180"/>
          <w:tblCellSpacing w:w="15" w:type="dxa"/>
        </w:trPr>
        <w:tc>
          <w:tcPr>
            <w:tcW w:w="0" w:type="auto"/>
            <w:hideMark/>
          </w:tcPr>
          <w:p w14:paraId="73938BB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Effective income tax rate</w:t>
            </w:r>
          </w:p>
        </w:tc>
        <w:tc>
          <w:tcPr>
            <w:tcW w:w="0" w:type="auto"/>
            <w:vAlign w:val="bottom"/>
            <w:hideMark/>
          </w:tcPr>
          <w:p w14:paraId="7E651EF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0861B7E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27D81DF6"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28.9</w:t>
            </w:r>
          </w:p>
        </w:tc>
        <w:tc>
          <w:tcPr>
            <w:tcW w:w="0" w:type="auto"/>
            <w:vAlign w:val="bottom"/>
            <w:hideMark/>
          </w:tcPr>
          <w:p w14:paraId="29023D7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55FBA7B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vAlign w:val="bottom"/>
            <w:hideMark/>
          </w:tcPr>
          <w:p w14:paraId="325DC98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53094D22"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35.3</w:t>
            </w:r>
          </w:p>
        </w:tc>
        <w:tc>
          <w:tcPr>
            <w:tcW w:w="0" w:type="auto"/>
            <w:vAlign w:val="bottom"/>
            <w:hideMark/>
          </w:tcPr>
          <w:p w14:paraId="26E0EC5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1DD6A68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vAlign w:val="bottom"/>
            <w:hideMark/>
          </w:tcPr>
          <w:p w14:paraId="4EBF97B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272BCE9A"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28.6</w:t>
            </w:r>
          </w:p>
        </w:tc>
        <w:tc>
          <w:tcPr>
            <w:tcW w:w="0" w:type="auto"/>
            <w:vAlign w:val="bottom"/>
            <w:hideMark/>
          </w:tcPr>
          <w:p w14:paraId="56A1A73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129998F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r>
    </w:tbl>
    <w:p w14:paraId="4A62B946" w14:textId="77777777" w:rsidR="002F3D36" w:rsidRPr="002F3D36" w:rsidRDefault="002F3D36" w:rsidP="002F3D36">
      <w:pPr>
        <w:widowControl/>
        <w:rPr>
          <w:rFonts w:ascii="Times New Roman" w:eastAsia="微软雅黑" w:hAnsi="Times New Roman" w:cs="Times New Roman"/>
          <w:color w:val="000000"/>
          <w:kern w:val="0"/>
          <w:sz w:val="20"/>
          <w:szCs w:val="20"/>
        </w:rPr>
      </w:pPr>
      <w:r w:rsidRPr="002F3D36">
        <w:rPr>
          <w:rFonts w:ascii="Arial" w:eastAsia="微软雅黑" w:hAnsi="Arial" w:cs="Arial"/>
          <w:color w:val="000000"/>
          <w:kern w:val="0"/>
          <w:sz w:val="18"/>
          <w:szCs w:val="18"/>
        </w:rPr>
        <w:t> </w:t>
      </w:r>
    </w:p>
    <w:p w14:paraId="486A7D35" w14:textId="77777777" w:rsidR="002F3D36" w:rsidRPr="002F3D36" w:rsidRDefault="002F3D36" w:rsidP="002F3D36">
      <w:pPr>
        <w:widowControl/>
        <w:jc w:val="left"/>
        <w:rPr>
          <w:rFonts w:ascii="Times New Roman" w:eastAsia="微软雅黑" w:hAnsi="Times New Roman" w:cs="Times New Roman"/>
          <w:color w:val="000000"/>
          <w:kern w:val="0"/>
          <w:sz w:val="20"/>
          <w:szCs w:val="20"/>
        </w:rPr>
      </w:pPr>
      <w:r w:rsidRPr="002F3D36">
        <w:rPr>
          <w:rFonts w:ascii="Times New Roman" w:eastAsia="微软雅黑" w:hAnsi="Times New Roman" w:cs="Times New Roman"/>
          <w:color w:val="000000"/>
          <w:kern w:val="0"/>
          <w:sz w:val="20"/>
          <w:szCs w:val="20"/>
        </w:rPr>
        <w:t> </w:t>
      </w:r>
    </w:p>
    <w:p w14:paraId="38523EBC" w14:textId="77777777" w:rsidR="002F3D36" w:rsidRPr="002F3D36" w:rsidRDefault="002F3D36" w:rsidP="002F3D36">
      <w:pPr>
        <w:widowControl/>
        <w:spacing w:before="240"/>
        <w:jc w:val="center"/>
        <w:rPr>
          <w:rFonts w:ascii="Times New Roman" w:eastAsia="微软雅黑" w:hAnsi="Times New Roman" w:cs="Times New Roman"/>
          <w:color w:val="000000"/>
          <w:kern w:val="0"/>
          <w:sz w:val="20"/>
          <w:szCs w:val="20"/>
        </w:rPr>
      </w:pPr>
      <w:r w:rsidRPr="002F3D36">
        <w:rPr>
          <w:rFonts w:ascii="Arial" w:eastAsia="微软雅黑" w:hAnsi="Arial" w:cs="Arial"/>
          <w:color w:val="000000"/>
          <w:kern w:val="0"/>
          <w:sz w:val="18"/>
          <w:szCs w:val="18"/>
        </w:rPr>
        <w:t>70</w:t>
      </w:r>
    </w:p>
    <w:p w14:paraId="463D7C07" w14:textId="77777777" w:rsidR="002F3D36" w:rsidRPr="002F3D36" w:rsidRDefault="002F3D36" w:rsidP="002F3D36">
      <w:pPr>
        <w:widowControl/>
        <w:jc w:val="left"/>
        <w:rPr>
          <w:rFonts w:ascii="微软雅黑" w:eastAsia="微软雅黑" w:hAnsi="微软雅黑" w:cs="宋体"/>
          <w:color w:val="000000"/>
          <w:kern w:val="0"/>
          <w:sz w:val="27"/>
          <w:szCs w:val="27"/>
        </w:rPr>
      </w:pPr>
      <w:r w:rsidRPr="002F3D36">
        <w:rPr>
          <w:rFonts w:ascii="微软雅黑" w:eastAsia="微软雅黑" w:hAnsi="微软雅黑" w:cs="宋体" w:hint="eastAsia"/>
          <w:color w:val="000000"/>
          <w:kern w:val="0"/>
          <w:sz w:val="27"/>
          <w:szCs w:val="27"/>
        </w:rPr>
        <w:pict w14:anchorId="16175C9C">
          <v:rect id="_x0000_i1097" style="width:0;height:1.5pt" o:hralign="center" o:hrstd="t" o:hr="t" fillcolor="#a0a0a0" stroked="f"/>
        </w:pict>
      </w:r>
    </w:p>
    <w:p w14:paraId="3FCBE831" w14:textId="77777777" w:rsidR="002F3D36" w:rsidRPr="002F3D36" w:rsidRDefault="002F3D36" w:rsidP="002F3D36">
      <w:pPr>
        <w:widowControl/>
        <w:spacing w:line="20" w:lineRule="atLeast"/>
        <w:jc w:val="left"/>
        <w:rPr>
          <w:rFonts w:ascii="Times New Roman" w:eastAsia="微软雅黑" w:hAnsi="Times New Roman" w:cs="Times New Roman" w:hint="eastAsia"/>
          <w:color w:val="000000"/>
          <w:kern w:val="0"/>
          <w:sz w:val="20"/>
          <w:szCs w:val="20"/>
        </w:rPr>
      </w:pPr>
      <w:r w:rsidRPr="002F3D36">
        <w:rPr>
          <w:rFonts w:ascii="Arial" w:eastAsia="微软雅黑" w:hAnsi="Arial" w:cs="Arial"/>
          <w:color w:val="000000"/>
          <w:kern w:val="0"/>
          <w:sz w:val="2"/>
          <w:szCs w:val="2"/>
        </w:rPr>
        <w:t> </w:t>
      </w:r>
    </w:p>
    <w:p w14:paraId="0C977CDD" w14:textId="77777777" w:rsidR="002F3D36" w:rsidRPr="002F3D36" w:rsidRDefault="002F3D36" w:rsidP="002F3D36">
      <w:pPr>
        <w:widowControl/>
        <w:rPr>
          <w:rFonts w:ascii="Times New Roman" w:eastAsia="微软雅黑" w:hAnsi="Times New Roman" w:cs="Times New Roman"/>
          <w:color w:val="000000"/>
          <w:kern w:val="0"/>
          <w:sz w:val="20"/>
          <w:szCs w:val="20"/>
        </w:rPr>
      </w:pPr>
      <w:r w:rsidRPr="002F3D36">
        <w:rPr>
          <w:rFonts w:ascii="Arial" w:eastAsia="微软雅黑" w:hAnsi="Arial" w:cs="Arial"/>
          <w:color w:val="000000"/>
          <w:kern w:val="0"/>
          <w:sz w:val="18"/>
          <w:szCs w:val="18"/>
        </w:rPr>
        <w:t>Deferred income taxes reflect the net tax effects of temporary differences between the carrying amounts of assets and liabilities for financial reporting purposes and the amounts used for income tax purposes. On December 31, 2021, the Company had net operating loss carryforwards (NOL’s) of approximately $344 million, of which approximately $340 million have no expiration date. The remaining losses expire on various dates through 2025. The Company also has $25 million of U.S. Foreign Tax Credit carry forwards, which begin to expire in 2026.</w:t>
      </w:r>
    </w:p>
    <w:p w14:paraId="2A9DF4B1" w14:textId="77777777" w:rsidR="002F3D36" w:rsidRPr="002F3D36" w:rsidRDefault="002F3D36" w:rsidP="002F3D36">
      <w:pPr>
        <w:widowControl/>
        <w:spacing w:before="120"/>
        <w:rPr>
          <w:rFonts w:ascii="Times New Roman" w:eastAsia="微软雅黑" w:hAnsi="Times New Roman" w:cs="Times New Roman"/>
          <w:color w:val="000000"/>
          <w:kern w:val="0"/>
          <w:sz w:val="20"/>
          <w:szCs w:val="20"/>
        </w:rPr>
      </w:pPr>
      <w:r w:rsidRPr="002F3D36">
        <w:rPr>
          <w:rFonts w:ascii="Arial" w:eastAsia="微软雅黑" w:hAnsi="Arial" w:cs="Arial"/>
          <w:color w:val="000000"/>
          <w:kern w:val="0"/>
          <w:sz w:val="18"/>
          <w:szCs w:val="18"/>
        </w:rPr>
        <w:t xml:space="preserve">Valuation allowances have been established which partially offset the related deferred assets. Such allowances are primarily provided against NOL’s of companies that have perennially incurred losses, as well as the NOL’s of companies that are start-up operations and have not established a pattern of profitability. The Company assesses all available evidence, both positive and negative, to determine the amount of any required valuation allowance. </w:t>
      </w:r>
    </w:p>
    <w:p w14:paraId="08C0EBF1" w14:textId="77777777" w:rsidR="002F3D36" w:rsidRPr="002F3D36" w:rsidRDefault="002F3D36" w:rsidP="002F3D36">
      <w:pPr>
        <w:widowControl/>
        <w:spacing w:before="120"/>
        <w:rPr>
          <w:rFonts w:ascii="Times New Roman" w:eastAsia="微软雅黑" w:hAnsi="Times New Roman" w:cs="Times New Roman"/>
          <w:color w:val="000000"/>
          <w:kern w:val="0"/>
          <w:sz w:val="20"/>
          <w:szCs w:val="20"/>
        </w:rPr>
      </w:pPr>
      <w:r w:rsidRPr="002F3D36">
        <w:rPr>
          <w:rFonts w:ascii="Arial" w:eastAsia="微软雅黑" w:hAnsi="Arial" w:cs="Arial"/>
          <w:color w:val="000000"/>
          <w:kern w:val="0"/>
          <w:sz w:val="18"/>
          <w:szCs w:val="18"/>
        </w:rPr>
        <w:lastRenderedPageBreak/>
        <w:t>The foreign tax rate variance reflects the fact that approximately two-thirds of the Company’s non-U.S. pre-tax income is generated by business operations located in tax jurisdictions where the tax rate is between 20-30%. The tax rate from quarter to quarter and from year to year is also impacted by the mix of earnings and tax rates in various jurisdictions compared to the same periods or prior years.</w:t>
      </w:r>
    </w:p>
    <w:p w14:paraId="6C283485" w14:textId="77777777" w:rsidR="002F3D36" w:rsidRPr="002F3D36" w:rsidRDefault="002F3D36" w:rsidP="002F3D36">
      <w:pPr>
        <w:widowControl/>
        <w:spacing w:before="120"/>
        <w:rPr>
          <w:rFonts w:ascii="Times New Roman" w:eastAsia="微软雅黑" w:hAnsi="Times New Roman" w:cs="Times New Roman"/>
          <w:color w:val="000000"/>
          <w:kern w:val="0"/>
          <w:sz w:val="20"/>
          <w:szCs w:val="20"/>
        </w:rPr>
      </w:pPr>
      <w:r w:rsidRPr="002F3D36">
        <w:rPr>
          <w:rFonts w:ascii="Arial" w:eastAsia="微软雅黑" w:hAnsi="Arial" w:cs="Arial"/>
          <w:color w:val="000000"/>
          <w:kern w:val="0"/>
          <w:sz w:val="18"/>
          <w:szCs w:val="18"/>
        </w:rPr>
        <w:t>The Company has reserves for income taxes that may become payable in future periods as a result of tax audits. These reserves represent the Company’s best estimate of the potential liability for tax exposures. Inherent uncertainties exist in estimates of tax exposures due to changes in tax law, both legislated and concluded through the various jurisdictions’ court systems. The Company files income tax returns in the United States federal jurisdiction, and various states and non-U.S. jurisdictions.</w:t>
      </w:r>
    </w:p>
    <w:p w14:paraId="5D73C674" w14:textId="77777777" w:rsidR="002F3D36" w:rsidRPr="002F3D36" w:rsidRDefault="002F3D36" w:rsidP="002F3D36">
      <w:pPr>
        <w:widowControl/>
        <w:spacing w:before="120"/>
        <w:rPr>
          <w:rFonts w:ascii="Times New Roman" w:eastAsia="微软雅黑" w:hAnsi="Times New Roman" w:cs="Times New Roman"/>
          <w:color w:val="000000"/>
          <w:kern w:val="0"/>
          <w:sz w:val="20"/>
          <w:szCs w:val="20"/>
        </w:rPr>
      </w:pPr>
      <w:r w:rsidRPr="002F3D36">
        <w:rPr>
          <w:rFonts w:ascii="Arial" w:eastAsia="微软雅黑" w:hAnsi="Arial" w:cs="Arial"/>
          <w:color w:val="000000"/>
          <w:kern w:val="0"/>
          <w:sz w:val="18"/>
          <w:szCs w:val="18"/>
        </w:rPr>
        <w:t>At any given time, the Company is undergoing tax audits in several tax jurisdictions, covering multiple years. The Company is no longer subject to income tax examination by the U.S. Federal tax authorities for years prior to 2015. With few exceptions, the Company is no longer subject to income tax examination by U.S. state or local tax authorities or by non-U.S. tax authorities for years before 2010. The Company is undergoing tax audits in several non-U.S. jurisdictions and several U.S. state jurisdictions, covering multiple years. As of December 31, 2021, as a result of those tax examinations, the Company is not aware of any proposed income tax adjustments that would have a material impact on the Company’s financial statements, however, other audits could result in additional increases or decreases to the unrecognized tax benefits in some future period or periods.</w:t>
      </w:r>
    </w:p>
    <w:p w14:paraId="3D913EF6" w14:textId="77777777" w:rsidR="002F3D36" w:rsidRPr="002F3D36" w:rsidRDefault="002F3D36" w:rsidP="002F3D36">
      <w:pPr>
        <w:widowControl/>
        <w:spacing w:before="120"/>
        <w:rPr>
          <w:rFonts w:ascii="Times New Roman" w:eastAsia="微软雅黑" w:hAnsi="Times New Roman" w:cs="Times New Roman"/>
          <w:color w:val="000000"/>
          <w:kern w:val="0"/>
          <w:sz w:val="20"/>
          <w:szCs w:val="20"/>
        </w:rPr>
      </w:pPr>
      <w:r w:rsidRPr="002F3D36">
        <w:rPr>
          <w:rFonts w:ascii="Arial" w:eastAsia="微软雅黑" w:hAnsi="Arial" w:cs="Arial"/>
          <w:color w:val="000000"/>
          <w:kern w:val="0"/>
          <w:sz w:val="18"/>
          <w:szCs w:val="18"/>
        </w:rPr>
        <w:t>The Company recognizes interest and potential penalties accrued related to unrecognized tax benefits in tax expense. As of December 31, 2020, the Company had recorded $46 million for unrecognized tax benefits related to prior years, including $10 million of accrued interest and penalties. During 2021, the Company recorded a net decrease of $2 million to income tax reserves for unrecognized tax benefits related to tax positions taken in prior years. Also during 2021, the Company recorded a net increase of $5 million to income tax reserves for unrecognized tax benefits based on tax positions taken in the current year.</w:t>
      </w:r>
    </w:p>
    <w:p w14:paraId="08292FA6" w14:textId="77777777" w:rsidR="002F3D36" w:rsidRPr="002F3D36" w:rsidRDefault="002F3D36" w:rsidP="002F3D36">
      <w:pPr>
        <w:widowControl/>
        <w:spacing w:before="120"/>
        <w:rPr>
          <w:rFonts w:ascii="Times New Roman" w:eastAsia="微软雅黑" w:hAnsi="Times New Roman" w:cs="Times New Roman"/>
          <w:color w:val="000000"/>
          <w:kern w:val="0"/>
          <w:sz w:val="20"/>
          <w:szCs w:val="20"/>
        </w:rPr>
      </w:pPr>
      <w:r w:rsidRPr="002F3D36">
        <w:rPr>
          <w:rFonts w:ascii="Arial" w:eastAsia="微软雅黑" w:hAnsi="Arial" w:cs="Arial"/>
          <w:color w:val="000000"/>
          <w:kern w:val="0"/>
          <w:sz w:val="18"/>
          <w:szCs w:val="18"/>
        </w:rPr>
        <w:t>The Company had $11 million accrued for the payment of interest and penalties as of December 31, 2021. Of the total unrecognized tax benefits of $49 million recorded at December 31, 2021, $15 million is classified as current income tax payable, and $34 million is classified as non-current tax payable included in Other Non-Current Liabilities on the Consolidated Balance Sheets. Substantially all of these reserves would impact the effective tax rate if released into income. The following table summarizes the activity related to the Company’s unrecognized tax benefits (dollars in millions):</w:t>
      </w:r>
    </w:p>
    <w:p w14:paraId="2F15A356" w14:textId="77777777" w:rsidR="002F3D36" w:rsidRPr="002F3D36" w:rsidRDefault="002F3D36" w:rsidP="002F3D36">
      <w:pPr>
        <w:widowControl/>
        <w:rPr>
          <w:rFonts w:ascii="Times New Roman" w:eastAsia="微软雅黑" w:hAnsi="Times New Roman" w:cs="Times New Roman"/>
          <w:color w:val="000000"/>
          <w:kern w:val="0"/>
          <w:sz w:val="20"/>
          <w:szCs w:val="20"/>
        </w:rPr>
      </w:pPr>
      <w:r w:rsidRPr="002F3D36">
        <w:rPr>
          <w:rFonts w:ascii="Arial" w:eastAsia="微软雅黑" w:hAnsi="Arial" w:cs="Arial"/>
          <w:color w:val="000000"/>
          <w:kern w:val="0"/>
          <w:sz w:val="18"/>
          <w:szCs w:val="18"/>
        </w:rPr>
        <w:t> </w:t>
      </w:r>
    </w:p>
    <w:p w14:paraId="6C27DE46" w14:textId="77777777" w:rsidR="002F3D36" w:rsidRPr="002F3D36" w:rsidRDefault="002F3D36" w:rsidP="002F3D36">
      <w:pPr>
        <w:widowControl/>
        <w:jc w:val="left"/>
        <w:rPr>
          <w:rFonts w:ascii="Times New Roman" w:eastAsia="微软雅黑" w:hAnsi="Times New Roman" w:cs="Times New Roman"/>
          <w:color w:val="000000"/>
          <w:kern w:val="0"/>
          <w:sz w:val="20"/>
          <w:szCs w:val="20"/>
        </w:rPr>
      </w:pPr>
      <w:r w:rsidRPr="002F3D36">
        <w:rPr>
          <w:rFonts w:ascii="Times New Roman" w:eastAsia="微软雅黑" w:hAnsi="Times New Roman" w:cs="Times New Roman"/>
          <w:color w:val="000000"/>
          <w:kern w:val="0"/>
          <w:sz w:val="20"/>
          <w:szCs w:val="20"/>
        </w:rPr>
        <w:t> </w:t>
      </w:r>
    </w:p>
    <w:p w14:paraId="508720EF" w14:textId="77777777" w:rsidR="002F3D36" w:rsidRPr="002F3D36" w:rsidRDefault="002F3D36" w:rsidP="002F3D36">
      <w:pPr>
        <w:widowControl/>
        <w:spacing w:before="240"/>
        <w:jc w:val="center"/>
        <w:rPr>
          <w:rFonts w:ascii="Times New Roman" w:eastAsia="微软雅黑" w:hAnsi="Times New Roman" w:cs="Times New Roman"/>
          <w:color w:val="000000"/>
          <w:kern w:val="0"/>
          <w:sz w:val="20"/>
          <w:szCs w:val="20"/>
        </w:rPr>
      </w:pPr>
      <w:r w:rsidRPr="002F3D36">
        <w:rPr>
          <w:rFonts w:ascii="Arial" w:eastAsia="微软雅黑" w:hAnsi="Arial" w:cs="Arial"/>
          <w:color w:val="000000"/>
          <w:kern w:val="0"/>
          <w:sz w:val="18"/>
          <w:szCs w:val="18"/>
        </w:rPr>
        <w:t>71</w:t>
      </w:r>
    </w:p>
    <w:p w14:paraId="6B075440" w14:textId="77777777" w:rsidR="002F3D36" w:rsidRPr="002F3D36" w:rsidRDefault="002F3D36" w:rsidP="002F3D36">
      <w:pPr>
        <w:widowControl/>
        <w:jc w:val="left"/>
        <w:rPr>
          <w:rFonts w:ascii="Arial" w:eastAsia="微软雅黑" w:hAnsi="Arial" w:cs="Arial"/>
          <w:color w:val="000000"/>
          <w:kern w:val="0"/>
          <w:sz w:val="18"/>
          <w:szCs w:val="18"/>
        </w:rPr>
      </w:pPr>
      <w:r w:rsidRPr="002F3D36">
        <w:rPr>
          <w:rFonts w:ascii="Arial" w:eastAsia="微软雅黑" w:hAnsi="Arial" w:cs="Arial"/>
          <w:color w:val="000000"/>
          <w:kern w:val="0"/>
          <w:sz w:val="18"/>
          <w:szCs w:val="18"/>
        </w:rPr>
        <w:pict w14:anchorId="194895BB">
          <v:rect id="_x0000_i1098" style="width:0;height:1.5pt" o:hralign="center" o:hrstd="t" o:hr="t" fillcolor="#a0a0a0" stroked="f"/>
        </w:pict>
      </w:r>
    </w:p>
    <w:p w14:paraId="13381CE1" w14:textId="77777777" w:rsidR="002F3D36" w:rsidRPr="002F3D36" w:rsidRDefault="002F3D36" w:rsidP="002F3D36">
      <w:pPr>
        <w:widowControl/>
        <w:spacing w:line="20" w:lineRule="atLeast"/>
        <w:jc w:val="left"/>
        <w:rPr>
          <w:rFonts w:ascii="Times New Roman" w:eastAsia="微软雅黑" w:hAnsi="Times New Roman" w:cs="Times New Roman"/>
          <w:color w:val="000000"/>
          <w:kern w:val="0"/>
          <w:sz w:val="20"/>
          <w:szCs w:val="20"/>
        </w:rPr>
      </w:pPr>
      <w:r w:rsidRPr="002F3D36">
        <w:rPr>
          <w:rFonts w:ascii="Arial" w:eastAsia="微软雅黑" w:hAnsi="Arial" w:cs="Arial"/>
          <w:color w:val="000000"/>
          <w:kern w:val="0"/>
          <w:sz w:val="2"/>
          <w:szCs w:val="2"/>
        </w:rPr>
        <w:t> </w:t>
      </w:r>
    </w:p>
    <w:tbl>
      <w:tblPr>
        <w:tblW w:w="16491" w:type="dxa"/>
        <w:tblCellSpacing w:w="15" w:type="dxa"/>
        <w:tblCellMar>
          <w:top w:w="15" w:type="dxa"/>
          <w:left w:w="15" w:type="dxa"/>
          <w:bottom w:w="15" w:type="dxa"/>
          <w:right w:w="15" w:type="dxa"/>
        </w:tblCellMar>
        <w:tblLook w:val="04A0" w:firstRow="1" w:lastRow="0" w:firstColumn="1" w:lastColumn="0" w:noHBand="0" w:noVBand="1"/>
      </w:tblPr>
      <w:tblGrid>
        <w:gridCol w:w="10307"/>
        <w:gridCol w:w="254"/>
        <w:gridCol w:w="299"/>
        <w:gridCol w:w="1308"/>
        <w:gridCol w:w="192"/>
        <w:gridCol w:w="255"/>
        <w:gridCol w:w="300"/>
        <w:gridCol w:w="1311"/>
        <w:gridCol w:w="192"/>
        <w:gridCol w:w="255"/>
        <w:gridCol w:w="300"/>
        <w:gridCol w:w="1311"/>
        <w:gridCol w:w="207"/>
      </w:tblGrid>
      <w:tr w:rsidR="002F3D36" w:rsidRPr="002F3D36" w14:paraId="0C7709D0" w14:textId="77777777" w:rsidTr="002F3D36">
        <w:trPr>
          <w:tblCellSpacing w:w="15" w:type="dxa"/>
        </w:trPr>
        <w:tc>
          <w:tcPr>
            <w:tcW w:w="10283" w:type="dxa"/>
            <w:vAlign w:val="center"/>
            <w:hideMark/>
          </w:tcPr>
          <w:p w14:paraId="6AB8A081" w14:textId="77777777" w:rsidR="002F3D36" w:rsidRPr="002F3D36" w:rsidRDefault="002F3D36" w:rsidP="002F3D36">
            <w:pPr>
              <w:widowControl/>
              <w:jc w:val="left"/>
              <w:rPr>
                <w:rFonts w:ascii="Times New Roman" w:eastAsia="微软雅黑" w:hAnsi="Times New Roman" w:cs="Times New Roman"/>
                <w:color w:val="000000"/>
                <w:kern w:val="0"/>
                <w:sz w:val="20"/>
                <w:szCs w:val="20"/>
              </w:rPr>
            </w:pPr>
          </w:p>
        </w:tc>
        <w:tc>
          <w:tcPr>
            <w:tcW w:w="225" w:type="dxa"/>
            <w:vAlign w:val="center"/>
            <w:hideMark/>
          </w:tcPr>
          <w:p w14:paraId="47F25A9E"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70" w:type="dxa"/>
            <w:vAlign w:val="center"/>
            <w:hideMark/>
          </w:tcPr>
          <w:p w14:paraId="378B2C80"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280" w:type="dxa"/>
            <w:vAlign w:val="center"/>
            <w:hideMark/>
          </w:tcPr>
          <w:p w14:paraId="713700D1"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62" w:type="dxa"/>
            <w:vAlign w:val="center"/>
            <w:hideMark/>
          </w:tcPr>
          <w:p w14:paraId="6627355B"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25" w:type="dxa"/>
            <w:vAlign w:val="center"/>
            <w:hideMark/>
          </w:tcPr>
          <w:p w14:paraId="0936BF66"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70" w:type="dxa"/>
            <w:vAlign w:val="center"/>
            <w:hideMark/>
          </w:tcPr>
          <w:p w14:paraId="14596FA5"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283" w:type="dxa"/>
            <w:vAlign w:val="center"/>
            <w:hideMark/>
          </w:tcPr>
          <w:p w14:paraId="461CBA46"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62" w:type="dxa"/>
            <w:vAlign w:val="center"/>
            <w:hideMark/>
          </w:tcPr>
          <w:p w14:paraId="5722E526"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25" w:type="dxa"/>
            <w:vAlign w:val="center"/>
            <w:hideMark/>
          </w:tcPr>
          <w:p w14:paraId="70BDB4D9"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70" w:type="dxa"/>
            <w:vAlign w:val="center"/>
            <w:hideMark/>
          </w:tcPr>
          <w:p w14:paraId="38CFE510"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283" w:type="dxa"/>
            <w:vAlign w:val="center"/>
            <w:hideMark/>
          </w:tcPr>
          <w:p w14:paraId="1A9376F3"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62" w:type="dxa"/>
            <w:vAlign w:val="center"/>
            <w:hideMark/>
          </w:tcPr>
          <w:p w14:paraId="2646FD7A" w14:textId="77777777" w:rsidR="002F3D36" w:rsidRPr="002F3D36" w:rsidRDefault="002F3D36" w:rsidP="002F3D36">
            <w:pPr>
              <w:widowControl/>
              <w:jc w:val="left"/>
              <w:rPr>
                <w:rFonts w:ascii="Times New Roman" w:eastAsia="Times New Roman" w:hAnsi="Times New Roman" w:cs="Times New Roman"/>
                <w:kern w:val="0"/>
                <w:sz w:val="20"/>
                <w:szCs w:val="20"/>
              </w:rPr>
            </w:pPr>
          </w:p>
        </w:tc>
      </w:tr>
      <w:tr w:rsidR="002F3D36" w:rsidRPr="002F3D36" w14:paraId="411FC400" w14:textId="77777777" w:rsidTr="002F3D36">
        <w:trPr>
          <w:trHeight w:val="160"/>
          <w:tblCellSpacing w:w="15" w:type="dxa"/>
        </w:trPr>
        <w:tc>
          <w:tcPr>
            <w:tcW w:w="0" w:type="auto"/>
            <w:vAlign w:val="bottom"/>
            <w:hideMark/>
          </w:tcPr>
          <w:p w14:paraId="4DC037E5"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u w:val="single"/>
              </w:rPr>
              <w:t>UNRECOGNIZED TAX BENEFITS</w:t>
            </w:r>
          </w:p>
        </w:tc>
        <w:tc>
          <w:tcPr>
            <w:tcW w:w="0" w:type="auto"/>
            <w:vAlign w:val="bottom"/>
            <w:hideMark/>
          </w:tcPr>
          <w:p w14:paraId="622D2308"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2"/>
            <w:tcBorders>
              <w:bottom w:val="single" w:sz="4" w:space="0" w:color="000000"/>
            </w:tcBorders>
            <w:vAlign w:val="bottom"/>
            <w:hideMark/>
          </w:tcPr>
          <w:p w14:paraId="78A5D7BF"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2021</w:t>
            </w:r>
          </w:p>
        </w:tc>
        <w:tc>
          <w:tcPr>
            <w:tcW w:w="0" w:type="auto"/>
            <w:vAlign w:val="bottom"/>
            <w:hideMark/>
          </w:tcPr>
          <w:p w14:paraId="0D52C588"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vAlign w:val="bottom"/>
            <w:hideMark/>
          </w:tcPr>
          <w:p w14:paraId="3B70B1B9"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2"/>
            <w:tcBorders>
              <w:bottom w:val="single" w:sz="4" w:space="0" w:color="000000"/>
            </w:tcBorders>
            <w:vAlign w:val="bottom"/>
            <w:hideMark/>
          </w:tcPr>
          <w:p w14:paraId="6D5ECC56"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2020</w:t>
            </w:r>
          </w:p>
        </w:tc>
        <w:tc>
          <w:tcPr>
            <w:tcW w:w="0" w:type="auto"/>
            <w:vAlign w:val="bottom"/>
            <w:hideMark/>
          </w:tcPr>
          <w:p w14:paraId="68D2000B"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vAlign w:val="bottom"/>
            <w:hideMark/>
          </w:tcPr>
          <w:p w14:paraId="5B588920"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2"/>
            <w:tcBorders>
              <w:bottom w:val="single" w:sz="4" w:space="0" w:color="000000"/>
            </w:tcBorders>
            <w:vAlign w:val="bottom"/>
            <w:hideMark/>
          </w:tcPr>
          <w:p w14:paraId="6E917660"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2019</w:t>
            </w:r>
          </w:p>
        </w:tc>
        <w:tc>
          <w:tcPr>
            <w:tcW w:w="0" w:type="auto"/>
            <w:vAlign w:val="bottom"/>
            <w:hideMark/>
          </w:tcPr>
          <w:p w14:paraId="5D773457"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r>
      <w:tr w:rsidR="002F3D36" w:rsidRPr="002F3D36" w14:paraId="3F9CE562" w14:textId="77777777" w:rsidTr="002F3D36">
        <w:trPr>
          <w:trHeight w:val="180"/>
          <w:tblCellSpacing w:w="15" w:type="dxa"/>
        </w:trPr>
        <w:tc>
          <w:tcPr>
            <w:tcW w:w="0" w:type="auto"/>
            <w:shd w:val="clear" w:color="auto" w:fill="CFF0FC"/>
            <w:hideMark/>
          </w:tcPr>
          <w:p w14:paraId="7AAEF80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Unrecognized tax benefits at beginning of year</w:t>
            </w:r>
          </w:p>
        </w:tc>
        <w:tc>
          <w:tcPr>
            <w:tcW w:w="0" w:type="auto"/>
            <w:shd w:val="clear" w:color="auto" w:fill="CFF0FC"/>
            <w:vAlign w:val="bottom"/>
            <w:hideMark/>
          </w:tcPr>
          <w:p w14:paraId="256E486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12DCC79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shd w:val="clear" w:color="auto" w:fill="CFF0FC"/>
            <w:vAlign w:val="bottom"/>
            <w:hideMark/>
          </w:tcPr>
          <w:p w14:paraId="3AE12DAA"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63</w:t>
            </w:r>
          </w:p>
        </w:tc>
        <w:tc>
          <w:tcPr>
            <w:tcW w:w="0" w:type="auto"/>
            <w:shd w:val="clear" w:color="auto" w:fill="CFF0FC"/>
            <w:vAlign w:val="bottom"/>
            <w:hideMark/>
          </w:tcPr>
          <w:p w14:paraId="6BA1B5B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35C5EB7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04E77CA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shd w:val="clear" w:color="auto" w:fill="CFF0FC"/>
            <w:vAlign w:val="bottom"/>
            <w:hideMark/>
          </w:tcPr>
          <w:p w14:paraId="3FA65B54"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59</w:t>
            </w:r>
          </w:p>
        </w:tc>
        <w:tc>
          <w:tcPr>
            <w:tcW w:w="0" w:type="auto"/>
            <w:shd w:val="clear" w:color="auto" w:fill="CFF0FC"/>
            <w:vAlign w:val="bottom"/>
            <w:hideMark/>
          </w:tcPr>
          <w:p w14:paraId="6C0A69A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6682FD3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4A39C60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shd w:val="clear" w:color="auto" w:fill="CFF0FC"/>
            <w:vAlign w:val="bottom"/>
            <w:hideMark/>
          </w:tcPr>
          <w:p w14:paraId="256EF594"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50</w:t>
            </w:r>
          </w:p>
        </w:tc>
        <w:tc>
          <w:tcPr>
            <w:tcW w:w="0" w:type="auto"/>
            <w:shd w:val="clear" w:color="auto" w:fill="CFF0FC"/>
            <w:vAlign w:val="bottom"/>
            <w:hideMark/>
          </w:tcPr>
          <w:p w14:paraId="2CCFEBF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218AC7A0" w14:textId="77777777" w:rsidTr="002F3D36">
        <w:trPr>
          <w:trHeight w:val="180"/>
          <w:tblCellSpacing w:w="15" w:type="dxa"/>
        </w:trPr>
        <w:tc>
          <w:tcPr>
            <w:tcW w:w="0" w:type="auto"/>
            <w:hideMark/>
          </w:tcPr>
          <w:p w14:paraId="0118BB58" w14:textId="77777777" w:rsidR="002F3D36" w:rsidRPr="002F3D36" w:rsidRDefault="002F3D36" w:rsidP="002F3D36">
            <w:pPr>
              <w:widowControl/>
              <w:ind w:left="200"/>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 xml:space="preserve">Increases as a result of tax positions taken during a prior </w:t>
            </w:r>
            <w:r w:rsidRPr="002F3D36">
              <w:rPr>
                <w:rFonts w:ascii="Arial" w:eastAsia="宋体" w:hAnsi="Arial" w:cs="Arial"/>
                <w:color w:val="000000"/>
                <w:kern w:val="0"/>
                <w:sz w:val="18"/>
                <w:szCs w:val="18"/>
              </w:rPr>
              <w:br/>
              <w:t>   period</w:t>
            </w:r>
          </w:p>
        </w:tc>
        <w:tc>
          <w:tcPr>
            <w:tcW w:w="0" w:type="auto"/>
            <w:vAlign w:val="bottom"/>
            <w:hideMark/>
          </w:tcPr>
          <w:p w14:paraId="2CD7D12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6E80534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4C07F5BE"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3</w:t>
            </w:r>
          </w:p>
        </w:tc>
        <w:tc>
          <w:tcPr>
            <w:tcW w:w="0" w:type="auto"/>
            <w:vAlign w:val="bottom"/>
            <w:hideMark/>
          </w:tcPr>
          <w:p w14:paraId="686B509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77FE9CA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7DCC5B3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23D3BE12"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w:t>
            </w:r>
          </w:p>
        </w:tc>
        <w:tc>
          <w:tcPr>
            <w:tcW w:w="0" w:type="auto"/>
            <w:vAlign w:val="bottom"/>
            <w:hideMark/>
          </w:tcPr>
          <w:p w14:paraId="0D2F8CD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743AAE7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0A447C2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005AB092"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4</w:t>
            </w:r>
          </w:p>
        </w:tc>
        <w:tc>
          <w:tcPr>
            <w:tcW w:w="0" w:type="auto"/>
            <w:vAlign w:val="bottom"/>
            <w:hideMark/>
          </w:tcPr>
          <w:p w14:paraId="3234757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275CA932" w14:textId="77777777" w:rsidTr="002F3D36">
        <w:trPr>
          <w:trHeight w:val="180"/>
          <w:tblCellSpacing w:w="15" w:type="dxa"/>
        </w:trPr>
        <w:tc>
          <w:tcPr>
            <w:tcW w:w="0" w:type="auto"/>
            <w:shd w:val="clear" w:color="auto" w:fill="CFF0FC"/>
            <w:hideMark/>
          </w:tcPr>
          <w:p w14:paraId="6418F6E0" w14:textId="77777777" w:rsidR="002F3D36" w:rsidRPr="002F3D36" w:rsidRDefault="002F3D36" w:rsidP="002F3D36">
            <w:pPr>
              <w:widowControl/>
              <w:ind w:left="200"/>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lastRenderedPageBreak/>
              <w:t xml:space="preserve">Increases as a result of tax positions taken during the current </w:t>
            </w:r>
            <w:r w:rsidRPr="002F3D36">
              <w:rPr>
                <w:rFonts w:ascii="Arial" w:eastAsia="宋体" w:hAnsi="Arial" w:cs="Arial"/>
                <w:color w:val="000000"/>
                <w:kern w:val="0"/>
                <w:sz w:val="18"/>
                <w:szCs w:val="18"/>
              </w:rPr>
              <w:br/>
              <w:t>   period</w:t>
            </w:r>
          </w:p>
        </w:tc>
        <w:tc>
          <w:tcPr>
            <w:tcW w:w="0" w:type="auto"/>
            <w:shd w:val="clear" w:color="auto" w:fill="CFF0FC"/>
            <w:vAlign w:val="bottom"/>
            <w:hideMark/>
          </w:tcPr>
          <w:p w14:paraId="2CC3E09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718BEC4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1FF531F2"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5</w:t>
            </w:r>
          </w:p>
        </w:tc>
        <w:tc>
          <w:tcPr>
            <w:tcW w:w="0" w:type="auto"/>
            <w:shd w:val="clear" w:color="auto" w:fill="CFF0FC"/>
            <w:vAlign w:val="bottom"/>
            <w:hideMark/>
          </w:tcPr>
          <w:p w14:paraId="1C89E10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708A109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7BAB959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0097DF17"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4</w:t>
            </w:r>
          </w:p>
        </w:tc>
        <w:tc>
          <w:tcPr>
            <w:tcW w:w="0" w:type="auto"/>
            <w:shd w:val="clear" w:color="auto" w:fill="CFF0FC"/>
            <w:vAlign w:val="bottom"/>
            <w:hideMark/>
          </w:tcPr>
          <w:p w14:paraId="5D561F3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4BF9559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3755F69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77E12204"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6</w:t>
            </w:r>
          </w:p>
        </w:tc>
        <w:tc>
          <w:tcPr>
            <w:tcW w:w="0" w:type="auto"/>
            <w:shd w:val="clear" w:color="auto" w:fill="CFF0FC"/>
            <w:vAlign w:val="bottom"/>
            <w:hideMark/>
          </w:tcPr>
          <w:p w14:paraId="12E2F1A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18C1F7F0" w14:textId="77777777" w:rsidTr="002F3D36">
        <w:trPr>
          <w:trHeight w:val="180"/>
          <w:tblCellSpacing w:w="15" w:type="dxa"/>
        </w:trPr>
        <w:tc>
          <w:tcPr>
            <w:tcW w:w="0" w:type="auto"/>
            <w:hideMark/>
          </w:tcPr>
          <w:p w14:paraId="28D3B8BC" w14:textId="77777777" w:rsidR="002F3D36" w:rsidRPr="002F3D36" w:rsidRDefault="002F3D36" w:rsidP="002F3D36">
            <w:pPr>
              <w:widowControl/>
              <w:ind w:left="200"/>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 xml:space="preserve">Decreases as a result of tax positions taken during the </w:t>
            </w:r>
            <w:r w:rsidRPr="002F3D36">
              <w:rPr>
                <w:rFonts w:ascii="Arial" w:eastAsia="宋体" w:hAnsi="Arial" w:cs="Arial"/>
                <w:color w:val="000000"/>
                <w:kern w:val="0"/>
                <w:sz w:val="18"/>
                <w:szCs w:val="18"/>
              </w:rPr>
              <w:br/>
              <w:t>   current period</w:t>
            </w:r>
          </w:p>
        </w:tc>
        <w:tc>
          <w:tcPr>
            <w:tcW w:w="0" w:type="auto"/>
            <w:vAlign w:val="bottom"/>
            <w:hideMark/>
          </w:tcPr>
          <w:p w14:paraId="5D62C86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31AF1BE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25CDD910"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0</w:t>
            </w:r>
          </w:p>
        </w:tc>
        <w:tc>
          <w:tcPr>
            <w:tcW w:w="0" w:type="auto"/>
            <w:vAlign w:val="bottom"/>
            <w:hideMark/>
          </w:tcPr>
          <w:p w14:paraId="650D0F7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4117C54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47F7848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7DA47CDE"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0</w:t>
            </w:r>
          </w:p>
        </w:tc>
        <w:tc>
          <w:tcPr>
            <w:tcW w:w="0" w:type="auto"/>
            <w:vAlign w:val="bottom"/>
            <w:hideMark/>
          </w:tcPr>
          <w:p w14:paraId="2A574F9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7294AF3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4D12B1A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6135A057"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0</w:t>
            </w:r>
          </w:p>
        </w:tc>
        <w:tc>
          <w:tcPr>
            <w:tcW w:w="0" w:type="auto"/>
            <w:vAlign w:val="bottom"/>
            <w:hideMark/>
          </w:tcPr>
          <w:p w14:paraId="6155198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2FED1483" w14:textId="77777777" w:rsidTr="002F3D36">
        <w:trPr>
          <w:trHeight w:val="180"/>
          <w:tblCellSpacing w:w="15" w:type="dxa"/>
        </w:trPr>
        <w:tc>
          <w:tcPr>
            <w:tcW w:w="0" w:type="auto"/>
            <w:shd w:val="clear" w:color="auto" w:fill="CFF0FC"/>
            <w:hideMark/>
          </w:tcPr>
          <w:p w14:paraId="64517120" w14:textId="77777777" w:rsidR="002F3D36" w:rsidRPr="002F3D36" w:rsidRDefault="002F3D36" w:rsidP="002F3D36">
            <w:pPr>
              <w:widowControl/>
              <w:ind w:left="200"/>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Decreases relating to settlements with taxing authorities</w:t>
            </w:r>
          </w:p>
        </w:tc>
        <w:tc>
          <w:tcPr>
            <w:tcW w:w="0" w:type="auto"/>
            <w:shd w:val="clear" w:color="auto" w:fill="CFF0FC"/>
            <w:vAlign w:val="bottom"/>
            <w:hideMark/>
          </w:tcPr>
          <w:p w14:paraId="236DC8A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45B72A9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1EEAF6F2"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(4</w:t>
            </w:r>
          </w:p>
        </w:tc>
        <w:tc>
          <w:tcPr>
            <w:tcW w:w="0" w:type="auto"/>
            <w:shd w:val="clear" w:color="auto" w:fill="CFF0FC"/>
            <w:vAlign w:val="bottom"/>
            <w:hideMark/>
          </w:tcPr>
          <w:p w14:paraId="37106BF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0C09E81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7318ED7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1E5B5397"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0</w:t>
            </w:r>
          </w:p>
        </w:tc>
        <w:tc>
          <w:tcPr>
            <w:tcW w:w="0" w:type="auto"/>
            <w:shd w:val="clear" w:color="auto" w:fill="CFF0FC"/>
            <w:vAlign w:val="bottom"/>
            <w:hideMark/>
          </w:tcPr>
          <w:p w14:paraId="30A27B7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6467FD4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046CF76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635BACAA"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0</w:t>
            </w:r>
          </w:p>
        </w:tc>
        <w:tc>
          <w:tcPr>
            <w:tcW w:w="0" w:type="auto"/>
            <w:shd w:val="clear" w:color="auto" w:fill="CFF0FC"/>
            <w:vAlign w:val="bottom"/>
            <w:hideMark/>
          </w:tcPr>
          <w:p w14:paraId="4EFBE0D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0E45EC5E" w14:textId="77777777" w:rsidTr="002F3D36">
        <w:trPr>
          <w:trHeight w:val="180"/>
          <w:tblCellSpacing w:w="15" w:type="dxa"/>
        </w:trPr>
        <w:tc>
          <w:tcPr>
            <w:tcW w:w="0" w:type="auto"/>
            <w:hideMark/>
          </w:tcPr>
          <w:p w14:paraId="3538A3DB" w14:textId="77777777" w:rsidR="002F3D36" w:rsidRPr="002F3D36" w:rsidRDefault="002F3D36" w:rsidP="002F3D36">
            <w:pPr>
              <w:widowControl/>
              <w:ind w:left="200"/>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 xml:space="preserve">Decreases resulting from the lapse of the applicable statute </w:t>
            </w:r>
            <w:r w:rsidRPr="002F3D36">
              <w:rPr>
                <w:rFonts w:ascii="Arial" w:eastAsia="宋体" w:hAnsi="Arial" w:cs="Arial"/>
                <w:color w:val="000000"/>
                <w:kern w:val="0"/>
                <w:sz w:val="18"/>
                <w:szCs w:val="18"/>
              </w:rPr>
              <w:br/>
              <w:t>   of limitations</w:t>
            </w:r>
          </w:p>
        </w:tc>
        <w:tc>
          <w:tcPr>
            <w:tcW w:w="0" w:type="auto"/>
            <w:vAlign w:val="bottom"/>
            <w:hideMark/>
          </w:tcPr>
          <w:p w14:paraId="58F2E03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7890D87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67CD9E21"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w:t>
            </w:r>
          </w:p>
        </w:tc>
        <w:tc>
          <w:tcPr>
            <w:tcW w:w="0" w:type="auto"/>
            <w:vAlign w:val="bottom"/>
            <w:hideMark/>
          </w:tcPr>
          <w:p w14:paraId="563841B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vAlign w:val="bottom"/>
            <w:hideMark/>
          </w:tcPr>
          <w:p w14:paraId="473DC84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2838E12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29223FBB"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w:t>
            </w:r>
          </w:p>
        </w:tc>
        <w:tc>
          <w:tcPr>
            <w:tcW w:w="0" w:type="auto"/>
            <w:vAlign w:val="bottom"/>
            <w:hideMark/>
          </w:tcPr>
          <w:p w14:paraId="21F3A30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vAlign w:val="bottom"/>
            <w:hideMark/>
          </w:tcPr>
          <w:p w14:paraId="1AC12E7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001F46B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4AE7E37E"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w:t>
            </w:r>
          </w:p>
        </w:tc>
        <w:tc>
          <w:tcPr>
            <w:tcW w:w="0" w:type="auto"/>
            <w:vAlign w:val="bottom"/>
            <w:hideMark/>
          </w:tcPr>
          <w:p w14:paraId="3D0F47E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r>
      <w:tr w:rsidR="002F3D36" w:rsidRPr="002F3D36" w14:paraId="782A519F" w14:textId="77777777" w:rsidTr="002F3D36">
        <w:trPr>
          <w:trHeight w:val="180"/>
          <w:tblCellSpacing w:w="15" w:type="dxa"/>
        </w:trPr>
        <w:tc>
          <w:tcPr>
            <w:tcW w:w="0" w:type="auto"/>
            <w:shd w:val="clear" w:color="auto" w:fill="CFF0FC"/>
            <w:hideMark/>
          </w:tcPr>
          <w:p w14:paraId="2B899343" w14:textId="77777777" w:rsidR="002F3D36" w:rsidRPr="002F3D36" w:rsidRDefault="002F3D36" w:rsidP="002F3D36">
            <w:pPr>
              <w:widowControl/>
              <w:ind w:left="200"/>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Translation Difference</w:t>
            </w:r>
          </w:p>
        </w:tc>
        <w:tc>
          <w:tcPr>
            <w:tcW w:w="0" w:type="auto"/>
            <w:shd w:val="clear" w:color="auto" w:fill="CFF0FC"/>
            <w:vAlign w:val="bottom"/>
            <w:hideMark/>
          </w:tcPr>
          <w:p w14:paraId="57E3454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44E4DF9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1B62DCA2"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w:t>
            </w:r>
          </w:p>
        </w:tc>
        <w:tc>
          <w:tcPr>
            <w:tcW w:w="0" w:type="auto"/>
            <w:shd w:val="clear" w:color="auto" w:fill="CFF0FC"/>
            <w:vAlign w:val="bottom"/>
            <w:hideMark/>
          </w:tcPr>
          <w:p w14:paraId="3AB6E37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1541BB1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15B3B0F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2999738A"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(0</w:t>
            </w:r>
          </w:p>
        </w:tc>
        <w:tc>
          <w:tcPr>
            <w:tcW w:w="0" w:type="auto"/>
            <w:shd w:val="clear" w:color="auto" w:fill="CFF0FC"/>
            <w:vAlign w:val="bottom"/>
            <w:hideMark/>
          </w:tcPr>
          <w:p w14:paraId="7EF22D4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2BBEF25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5763409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15B15339"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0</w:t>
            </w:r>
          </w:p>
        </w:tc>
        <w:tc>
          <w:tcPr>
            <w:tcW w:w="0" w:type="auto"/>
            <w:shd w:val="clear" w:color="auto" w:fill="CFF0FC"/>
            <w:vAlign w:val="bottom"/>
            <w:hideMark/>
          </w:tcPr>
          <w:p w14:paraId="4ED262E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62D2E97E" w14:textId="77777777" w:rsidTr="002F3D36">
        <w:trPr>
          <w:trHeight w:val="180"/>
          <w:tblCellSpacing w:w="15" w:type="dxa"/>
        </w:trPr>
        <w:tc>
          <w:tcPr>
            <w:tcW w:w="0" w:type="auto"/>
            <w:hideMark/>
          </w:tcPr>
          <w:p w14:paraId="0A8A490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Total unrecognized tax benefits at end of year</w:t>
            </w:r>
          </w:p>
        </w:tc>
        <w:tc>
          <w:tcPr>
            <w:tcW w:w="0" w:type="auto"/>
            <w:vAlign w:val="bottom"/>
            <w:hideMark/>
          </w:tcPr>
          <w:p w14:paraId="7621878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7F5875DE"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tcBorders>
              <w:bottom w:val="single" w:sz="4" w:space="0" w:color="000000"/>
            </w:tcBorders>
            <w:vAlign w:val="bottom"/>
            <w:hideMark/>
          </w:tcPr>
          <w:p w14:paraId="7FAEB85C"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65</w:t>
            </w:r>
          </w:p>
        </w:tc>
        <w:tc>
          <w:tcPr>
            <w:tcW w:w="0" w:type="auto"/>
            <w:vAlign w:val="bottom"/>
            <w:hideMark/>
          </w:tcPr>
          <w:p w14:paraId="6CE3A53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744642A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46784E3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tcBorders>
              <w:bottom w:val="single" w:sz="4" w:space="0" w:color="000000"/>
            </w:tcBorders>
            <w:vAlign w:val="bottom"/>
            <w:hideMark/>
          </w:tcPr>
          <w:p w14:paraId="105CB74C"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63</w:t>
            </w:r>
          </w:p>
        </w:tc>
        <w:tc>
          <w:tcPr>
            <w:tcW w:w="0" w:type="auto"/>
            <w:vAlign w:val="bottom"/>
            <w:hideMark/>
          </w:tcPr>
          <w:p w14:paraId="4FF09E0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5CEA331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1FB742C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tcBorders>
              <w:bottom w:val="single" w:sz="4" w:space="0" w:color="000000"/>
            </w:tcBorders>
            <w:vAlign w:val="bottom"/>
            <w:hideMark/>
          </w:tcPr>
          <w:p w14:paraId="54891645"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59</w:t>
            </w:r>
          </w:p>
        </w:tc>
        <w:tc>
          <w:tcPr>
            <w:tcW w:w="0" w:type="auto"/>
            <w:vAlign w:val="bottom"/>
            <w:hideMark/>
          </w:tcPr>
          <w:p w14:paraId="2A28305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bl>
    <w:p w14:paraId="505484F4" w14:textId="77777777" w:rsidR="002F3D36" w:rsidRPr="002F3D36" w:rsidRDefault="002F3D36" w:rsidP="002F3D36">
      <w:pPr>
        <w:widowControl/>
        <w:rPr>
          <w:rFonts w:ascii="Times New Roman" w:eastAsia="微软雅黑" w:hAnsi="Times New Roman" w:cs="Times New Roman"/>
          <w:color w:val="000000"/>
          <w:kern w:val="0"/>
          <w:sz w:val="20"/>
          <w:szCs w:val="20"/>
        </w:rPr>
      </w:pPr>
      <w:r w:rsidRPr="002F3D36">
        <w:rPr>
          <w:rFonts w:ascii="Arial" w:eastAsia="微软雅黑" w:hAnsi="Arial" w:cs="Arial"/>
          <w:color w:val="000000"/>
          <w:kern w:val="0"/>
          <w:sz w:val="24"/>
          <w:szCs w:val="24"/>
        </w:rPr>
        <w:t> </w:t>
      </w:r>
    </w:p>
    <w:p w14:paraId="557D59FC" w14:textId="77777777" w:rsidR="002F3D36" w:rsidRPr="002F3D36" w:rsidRDefault="002F3D36" w:rsidP="002F3D36">
      <w:pPr>
        <w:widowControl/>
        <w:rPr>
          <w:rFonts w:ascii="Times New Roman" w:eastAsia="微软雅黑" w:hAnsi="Times New Roman" w:cs="Times New Roman"/>
          <w:color w:val="000000"/>
          <w:kern w:val="0"/>
          <w:sz w:val="20"/>
          <w:szCs w:val="20"/>
        </w:rPr>
      </w:pPr>
      <w:r w:rsidRPr="002F3D36">
        <w:rPr>
          <w:rFonts w:ascii="Arial" w:eastAsia="微软雅黑" w:hAnsi="Arial" w:cs="Arial"/>
          <w:color w:val="000000"/>
          <w:kern w:val="0"/>
          <w:sz w:val="18"/>
          <w:szCs w:val="18"/>
        </w:rPr>
        <w:t>The tax effect of temporary differences and carryforwards that comprise significant portions of deferred tax assets and liabilities were as follows (dollars in millions).</w:t>
      </w:r>
    </w:p>
    <w:p w14:paraId="44F1EE1D" w14:textId="77777777" w:rsidR="002F3D36" w:rsidRPr="002F3D36" w:rsidRDefault="002F3D36" w:rsidP="002F3D36">
      <w:pPr>
        <w:widowControl/>
        <w:rPr>
          <w:rFonts w:ascii="Times New Roman" w:eastAsia="微软雅黑" w:hAnsi="Times New Roman" w:cs="Times New Roman"/>
          <w:color w:val="000000"/>
          <w:kern w:val="0"/>
          <w:sz w:val="20"/>
          <w:szCs w:val="20"/>
        </w:rPr>
      </w:pPr>
      <w:r w:rsidRPr="002F3D36">
        <w:rPr>
          <w:rFonts w:ascii="Arial" w:eastAsia="微软雅黑" w:hAnsi="Arial" w:cs="Arial"/>
          <w:color w:val="000000"/>
          <w:kern w:val="0"/>
          <w:sz w:val="18"/>
          <w:szCs w:val="18"/>
        </w:rPr>
        <w:t> </w:t>
      </w:r>
    </w:p>
    <w:tbl>
      <w:tblPr>
        <w:tblW w:w="16491" w:type="dxa"/>
        <w:tblCellSpacing w:w="15" w:type="dxa"/>
        <w:tblCellMar>
          <w:top w:w="15" w:type="dxa"/>
          <w:left w:w="15" w:type="dxa"/>
          <w:bottom w:w="15" w:type="dxa"/>
          <w:right w:w="15" w:type="dxa"/>
        </w:tblCellMar>
        <w:tblLook w:val="04A0" w:firstRow="1" w:lastRow="0" w:firstColumn="1" w:lastColumn="0" w:noHBand="0" w:noVBand="1"/>
      </w:tblPr>
      <w:tblGrid>
        <w:gridCol w:w="10205"/>
        <w:gridCol w:w="256"/>
        <w:gridCol w:w="301"/>
        <w:gridCol w:w="1337"/>
        <w:gridCol w:w="192"/>
        <w:gridCol w:w="257"/>
        <w:gridCol w:w="302"/>
        <w:gridCol w:w="1341"/>
        <w:gridCol w:w="192"/>
        <w:gridCol w:w="257"/>
        <w:gridCol w:w="302"/>
        <w:gridCol w:w="1341"/>
        <w:gridCol w:w="208"/>
      </w:tblGrid>
      <w:tr w:rsidR="002F3D36" w:rsidRPr="002F3D36" w14:paraId="631D2455" w14:textId="77777777" w:rsidTr="002F3D36">
        <w:trPr>
          <w:tblCellSpacing w:w="15" w:type="dxa"/>
        </w:trPr>
        <w:tc>
          <w:tcPr>
            <w:tcW w:w="10183" w:type="dxa"/>
            <w:vAlign w:val="center"/>
            <w:hideMark/>
          </w:tcPr>
          <w:p w14:paraId="1048B903" w14:textId="77777777" w:rsidR="002F3D36" w:rsidRPr="002F3D36" w:rsidRDefault="002F3D36" w:rsidP="002F3D36">
            <w:pPr>
              <w:widowControl/>
              <w:jc w:val="left"/>
              <w:rPr>
                <w:rFonts w:ascii="Times New Roman" w:eastAsia="微软雅黑" w:hAnsi="Times New Roman" w:cs="Times New Roman"/>
                <w:color w:val="000000"/>
                <w:kern w:val="0"/>
                <w:sz w:val="20"/>
                <w:szCs w:val="20"/>
              </w:rPr>
            </w:pPr>
          </w:p>
        </w:tc>
        <w:tc>
          <w:tcPr>
            <w:tcW w:w="227" w:type="dxa"/>
            <w:vAlign w:val="center"/>
            <w:hideMark/>
          </w:tcPr>
          <w:p w14:paraId="50EE5FD6"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72" w:type="dxa"/>
            <w:vAlign w:val="center"/>
            <w:hideMark/>
          </w:tcPr>
          <w:p w14:paraId="63DF73F9"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309" w:type="dxa"/>
            <w:vAlign w:val="center"/>
            <w:hideMark/>
          </w:tcPr>
          <w:p w14:paraId="0E71127E"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62" w:type="dxa"/>
            <w:vAlign w:val="center"/>
            <w:hideMark/>
          </w:tcPr>
          <w:p w14:paraId="22DF28FE"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27" w:type="dxa"/>
            <w:vAlign w:val="center"/>
            <w:hideMark/>
          </w:tcPr>
          <w:p w14:paraId="66345B1C"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72" w:type="dxa"/>
            <w:vAlign w:val="center"/>
            <w:hideMark/>
          </w:tcPr>
          <w:p w14:paraId="01981BEA"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313" w:type="dxa"/>
            <w:vAlign w:val="center"/>
            <w:hideMark/>
          </w:tcPr>
          <w:p w14:paraId="43739236"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62" w:type="dxa"/>
            <w:vAlign w:val="center"/>
            <w:hideMark/>
          </w:tcPr>
          <w:p w14:paraId="43BCEFEB"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27" w:type="dxa"/>
            <w:vAlign w:val="center"/>
            <w:hideMark/>
          </w:tcPr>
          <w:p w14:paraId="424CE88E"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72" w:type="dxa"/>
            <w:vAlign w:val="center"/>
            <w:hideMark/>
          </w:tcPr>
          <w:p w14:paraId="1B8275CA"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313" w:type="dxa"/>
            <w:vAlign w:val="center"/>
            <w:hideMark/>
          </w:tcPr>
          <w:p w14:paraId="76ED96ED"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63" w:type="dxa"/>
            <w:vAlign w:val="center"/>
            <w:hideMark/>
          </w:tcPr>
          <w:p w14:paraId="13C40C6B" w14:textId="77777777" w:rsidR="002F3D36" w:rsidRPr="002F3D36" w:rsidRDefault="002F3D36" w:rsidP="002F3D36">
            <w:pPr>
              <w:widowControl/>
              <w:jc w:val="left"/>
              <w:rPr>
                <w:rFonts w:ascii="Times New Roman" w:eastAsia="Times New Roman" w:hAnsi="Times New Roman" w:cs="Times New Roman"/>
                <w:kern w:val="0"/>
                <w:sz w:val="20"/>
                <w:szCs w:val="20"/>
              </w:rPr>
            </w:pPr>
          </w:p>
        </w:tc>
      </w:tr>
      <w:tr w:rsidR="002F3D36" w:rsidRPr="002F3D36" w14:paraId="50DDF631" w14:textId="77777777" w:rsidTr="002F3D36">
        <w:trPr>
          <w:trHeight w:val="160"/>
          <w:tblCellSpacing w:w="15" w:type="dxa"/>
        </w:trPr>
        <w:tc>
          <w:tcPr>
            <w:tcW w:w="0" w:type="auto"/>
            <w:vAlign w:val="bottom"/>
            <w:hideMark/>
          </w:tcPr>
          <w:p w14:paraId="7007CB4F"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u w:val="single"/>
              </w:rPr>
              <w:t>DEFERRED TAXES</w:t>
            </w:r>
          </w:p>
        </w:tc>
        <w:tc>
          <w:tcPr>
            <w:tcW w:w="0" w:type="auto"/>
            <w:vAlign w:val="bottom"/>
            <w:hideMark/>
          </w:tcPr>
          <w:p w14:paraId="760F8E42"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10"/>
            <w:tcBorders>
              <w:bottom w:val="single" w:sz="4" w:space="0" w:color="000000"/>
            </w:tcBorders>
            <w:vAlign w:val="bottom"/>
            <w:hideMark/>
          </w:tcPr>
          <w:p w14:paraId="4DD15DDB"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December 31,</w:t>
            </w:r>
          </w:p>
        </w:tc>
        <w:tc>
          <w:tcPr>
            <w:tcW w:w="0" w:type="auto"/>
            <w:vAlign w:val="bottom"/>
            <w:hideMark/>
          </w:tcPr>
          <w:p w14:paraId="740A7957"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r>
      <w:tr w:rsidR="002F3D36" w:rsidRPr="002F3D36" w14:paraId="271D94E4" w14:textId="77777777" w:rsidTr="002F3D36">
        <w:trPr>
          <w:trHeight w:val="160"/>
          <w:tblCellSpacing w:w="15" w:type="dxa"/>
        </w:trPr>
        <w:tc>
          <w:tcPr>
            <w:tcW w:w="0" w:type="auto"/>
            <w:vAlign w:val="bottom"/>
            <w:hideMark/>
          </w:tcPr>
          <w:p w14:paraId="6E3A8BBE"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vAlign w:val="bottom"/>
            <w:hideMark/>
          </w:tcPr>
          <w:p w14:paraId="570FDEF9"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2"/>
            <w:tcBorders>
              <w:bottom w:val="single" w:sz="4" w:space="0" w:color="000000"/>
            </w:tcBorders>
            <w:vAlign w:val="bottom"/>
            <w:hideMark/>
          </w:tcPr>
          <w:p w14:paraId="16E9E67A"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2021</w:t>
            </w:r>
          </w:p>
        </w:tc>
        <w:tc>
          <w:tcPr>
            <w:tcW w:w="0" w:type="auto"/>
            <w:vAlign w:val="bottom"/>
            <w:hideMark/>
          </w:tcPr>
          <w:p w14:paraId="263B9F01"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vAlign w:val="bottom"/>
            <w:hideMark/>
          </w:tcPr>
          <w:p w14:paraId="584FA42E"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2"/>
            <w:tcBorders>
              <w:bottom w:val="single" w:sz="4" w:space="0" w:color="000000"/>
            </w:tcBorders>
            <w:vAlign w:val="bottom"/>
            <w:hideMark/>
          </w:tcPr>
          <w:p w14:paraId="025A691C"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2020</w:t>
            </w:r>
          </w:p>
        </w:tc>
        <w:tc>
          <w:tcPr>
            <w:tcW w:w="0" w:type="auto"/>
            <w:vAlign w:val="bottom"/>
            <w:hideMark/>
          </w:tcPr>
          <w:p w14:paraId="617EF5F7"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vAlign w:val="bottom"/>
            <w:hideMark/>
          </w:tcPr>
          <w:p w14:paraId="5EAEF7AC"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2"/>
            <w:tcBorders>
              <w:bottom w:val="single" w:sz="4" w:space="0" w:color="000000"/>
            </w:tcBorders>
            <w:vAlign w:val="bottom"/>
            <w:hideMark/>
          </w:tcPr>
          <w:p w14:paraId="79606463"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2019</w:t>
            </w:r>
          </w:p>
        </w:tc>
        <w:tc>
          <w:tcPr>
            <w:tcW w:w="0" w:type="auto"/>
            <w:vAlign w:val="bottom"/>
            <w:hideMark/>
          </w:tcPr>
          <w:p w14:paraId="01F8212E"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r>
      <w:tr w:rsidR="002F3D36" w:rsidRPr="002F3D36" w14:paraId="6800E3F8" w14:textId="77777777" w:rsidTr="002F3D36">
        <w:trPr>
          <w:trHeight w:val="180"/>
          <w:tblCellSpacing w:w="15" w:type="dxa"/>
        </w:trPr>
        <w:tc>
          <w:tcPr>
            <w:tcW w:w="0" w:type="auto"/>
            <w:shd w:val="clear" w:color="auto" w:fill="CFF0FC"/>
            <w:hideMark/>
          </w:tcPr>
          <w:p w14:paraId="34E5A4A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Assets</w:t>
            </w:r>
          </w:p>
        </w:tc>
        <w:tc>
          <w:tcPr>
            <w:tcW w:w="0" w:type="auto"/>
            <w:shd w:val="clear" w:color="auto" w:fill="CFF0FC"/>
            <w:vAlign w:val="bottom"/>
            <w:hideMark/>
          </w:tcPr>
          <w:p w14:paraId="68E98F0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gridSpan w:val="2"/>
            <w:shd w:val="clear" w:color="auto" w:fill="CFF0FC"/>
            <w:vAlign w:val="bottom"/>
            <w:hideMark/>
          </w:tcPr>
          <w:p w14:paraId="631FDD06"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586F09D7"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36D9751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gridSpan w:val="2"/>
            <w:shd w:val="clear" w:color="auto" w:fill="CFF0FC"/>
            <w:vAlign w:val="bottom"/>
            <w:hideMark/>
          </w:tcPr>
          <w:p w14:paraId="4F6CDF99"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1ECAC2EE"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63A4EFD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gridSpan w:val="2"/>
            <w:shd w:val="clear" w:color="auto" w:fill="CFF0FC"/>
            <w:vAlign w:val="bottom"/>
            <w:hideMark/>
          </w:tcPr>
          <w:p w14:paraId="4991DA9B"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7B7C3B6E"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742469F7" w14:textId="77777777" w:rsidTr="002F3D36">
        <w:trPr>
          <w:trHeight w:val="180"/>
          <w:tblCellSpacing w:w="15" w:type="dxa"/>
        </w:trPr>
        <w:tc>
          <w:tcPr>
            <w:tcW w:w="0" w:type="auto"/>
            <w:hideMark/>
          </w:tcPr>
          <w:p w14:paraId="0536886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Provisions</w:t>
            </w:r>
          </w:p>
        </w:tc>
        <w:tc>
          <w:tcPr>
            <w:tcW w:w="0" w:type="auto"/>
            <w:vAlign w:val="bottom"/>
            <w:hideMark/>
          </w:tcPr>
          <w:p w14:paraId="181C5D3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1330F9D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vAlign w:val="bottom"/>
            <w:hideMark/>
          </w:tcPr>
          <w:p w14:paraId="58EDBEC4"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136</w:t>
            </w:r>
          </w:p>
        </w:tc>
        <w:tc>
          <w:tcPr>
            <w:tcW w:w="0" w:type="auto"/>
            <w:vAlign w:val="bottom"/>
            <w:hideMark/>
          </w:tcPr>
          <w:p w14:paraId="33BC433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586C536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4EC9556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vAlign w:val="bottom"/>
            <w:hideMark/>
          </w:tcPr>
          <w:p w14:paraId="1CDD9A2C"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141</w:t>
            </w:r>
          </w:p>
        </w:tc>
        <w:tc>
          <w:tcPr>
            <w:tcW w:w="0" w:type="auto"/>
            <w:vAlign w:val="bottom"/>
            <w:hideMark/>
          </w:tcPr>
          <w:p w14:paraId="7C70505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7BC708F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1DAF291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vAlign w:val="bottom"/>
            <w:hideMark/>
          </w:tcPr>
          <w:p w14:paraId="63C951D1"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105</w:t>
            </w:r>
          </w:p>
        </w:tc>
        <w:tc>
          <w:tcPr>
            <w:tcW w:w="0" w:type="auto"/>
            <w:vAlign w:val="bottom"/>
            <w:hideMark/>
          </w:tcPr>
          <w:p w14:paraId="3D54AAA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7B1CEC28" w14:textId="77777777" w:rsidTr="002F3D36">
        <w:trPr>
          <w:trHeight w:val="180"/>
          <w:tblCellSpacing w:w="15" w:type="dxa"/>
        </w:trPr>
        <w:tc>
          <w:tcPr>
            <w:tcW w:w="0" w:type="auto"/>
            <w:shd w:val="clear" w:color="auto" w:fill="CFF0FC"/>
            <w:hideMark/>
          </w:tcPr>
          <w:p w14:paraId="34020EA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Costs capitalized for tax</w:t>
            </w:r>
          </w:p>
        </w:tc>
        <w:tc>
          <w:tcPr>
            <w:tcW w:w="0" w:type="auto"/>
            <w:shd w:val="clear" w:color="auto" w:fill="CFF0FC"/>
            <w:vAlign w:val="bottom"/>
            <w:hideMark/>
          </w:tcPr>
          <w:p w14:paraId="4DF837E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4684F3E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758DC918"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29</w:t>
            </w:r>
          </w:p>
        </w:tc>
        <w:tc>
          <w:tcPr>
            <w:tcW w:w="0" w:type="auto"/>
            <w:shd w:val="clear" w:color="auto" w:fill="CFF0FC"/>
            <w:vAlign w:val="bottom"/>
            <w:hideMark/>
          </w:tcPr>
          <w:p w14:paraId="5B68984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56A7A21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7802C15E"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1CC13201"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21</w:t>
            </w:r>
          </w:p>
        </w:tc>
        <w:tc>
          <w:tcPr>
            <w:tcW w:w="0" w:type="auto"/>
            <w:shd w:val="clear" w:color="auto" w:fill="CFF0FC"/>
            <w:vAlign w:val="bottom"/>
            <w:hideMark/>
          </w:tcPr>
          <w:p w14:paraId="3AA817C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5DA4BE6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1428529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69F59CBC"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26</w:t>
            </w:r>
          </w:p>
        </w:tc>
        <w:tc>
          <w:tcPr>
            <w:tcW w:w="0" w:type="auto"/>
            <w:shd w:val="clear" w:color="auto" w:fill="CFF0FC"/>
            <w:vAlign w:val="bottom"/>
            <w:hideMark/>
          </w:tcPr>
          <w:p w14:paraId="0E8ABA6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32C88855" w14:textId="77777777" w:rsidTr="002F3D36">
        <w:trPr>
          <w:trHeight w:val="180"/>
          <w:tblCellSpacing w:w="15" w:type="dxa"/>
        </w:trPr>
        <w:tc>
          <w:tcPr>
            <w:tcW w:w="0" w:type="auto"/>
            <w:hideMark/>
          </w:tcPr>
          <w:p w14:paraId="1F9CC15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Property, plant and equipment</w:t>
            </w:r>
          </w:p>
        </w:tc>
        <w:tc>
          <w:tcPr>
            <w:tcW w:w="0" w:type="auto"/>
            <w:vAlign w:val="bottom"/>
            <w:hideMark/>
          </w:tcPr>
          <w:p w14:paraId="5BB184A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443B3CB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2F95BD02"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0</w:t>
            </w:r>
          </w:p>
        </w:tc>
        <w:tc>
          <w:tcPr>
            <w:tcW w:w="0" w:type="auto"/>
            <w:vAlign w:val="bottom"/>
            <w:hideMark/>
          </w:tcPr>
          <w:p w14:paraId="1E80BED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4C26BC3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050E551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11E3B438"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5</w:t>
            </w:r>
          </w:p>
        </w:tc>
        <w:tc>
          <w:tcPr>
            <w:tcW w:w="0" w:type="auto"/>
            <w:vAlign w:val="bottom"/>
            <w:hideMark/>
          </w:tcPr>
          <w:p w14:paraId="67857FC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0784521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7A4EBAF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39675173"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10</w:t>
            </w:r>
          </w:p>
        </w:tc>
        <w:tc>
          <w:tcPr>
            <w:tcW w:w="0" w:type="auto"/>
            <w:vAlign w:val="bottom"/>
            <w:hideMark/>
          </w:tcPr>
          <w:p w14:paraId="4BAC79C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0EE4B176" w14:textId="77777777" w:rsidTr="002F3D36">
        <w:trPr>
          <w:trHeight w:val="180"/>
          <w:tblCellSpacing w:w="15" w:type="dxa"/>
        </w:trPr>
        <w:tc>
          <w:tcPr>
            <w:tcW w:w="0" w:type="auto"/>
            <w:shd w:val="clear" w:color="auto" w:fill="CFF0FC"/>
            <w:hideMark/>
          </w:tcPr>
          <w:p w14:paraId="5222F1D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Retirement Plans</w:t>
            </w:r>
          </w:p>
        </w:tc>
        <w:tc>
          <w:tcPr>
            <w:tcW w:w="0" w:type="auto"/>
            <w:shd w:val="clear" w:color="auto" w:fill="CFF0FC"/>
            <w:vAlign w:val="bottom"/>
            <w:hideMark/>
          </w:tcPr>
          <w:p w14:paraId="21A440C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35553E2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223E1252"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46</w:t>
            </w:r>
          </w:p>
        </w:tc>
        <w:tc>
          <w:tcPr>
            <w:tcW w:w="0" w:type="auto"/>
            <w:shd w:val="clear" w:color="auto" w:fill="CFF0FC"/>
            <w:vAlign w:val="bottom"/>
            <w:hideMark/>
          </w:tcPr>
          <w:p w14:paraId="4251977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4F2BF17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63DA4DA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48E1ABBA"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59</w:t>
            </w:r>
          </w:p>
        </w:tc>
        <w:tc>
          <w:tcPr>
            <w:tcW w:w="0" w:type="auto"/>
            <w:shd w:val="clear" w:color="auto" w:fill="CFF0FC"/>
            <w:vAlign w:val="bottom"/>
            <w:hideMark/>
          </w:tcPr>
          <w:p w14:paraId="1485D0E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6CAC92B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33869F4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4E982973"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61</w:t>
            </w:r>
          </w:p>
        </w:tc>
        <w:tc>
          <w:tcPr>
            <w:tcW w:w="0" w:type="auto"/>
            <w:shd w:val="clear" w:color="auto" w:fill="CFF0FC"/>
            <w:vAlign w:val="bottom"/>
            <w:hideMark/>
          </w:tcPr>
          <w:p w14:paraId="3E7AFA6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1633EFFA" w14:textId="77777777" w:rsidTr="002F3D36">
        <w:trPr>
          <w:trHeight w:val="180"/>
          <w:tblCellSpacing w:w="15" w:type="dxa"/>
        </w:trPr>
        <w:tc>
          <w:tcPr>
            <w:tcW w:w="0" w:type="auto"/>
            <w:hideMark/>
          </w:tcPr>
          <w:p w14:paraId="7678BB4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Tax receivables, principally NOL’s</w:t>
            </w:r>
          </w:p>
        </w:tc>
        <w:tc>
          <w:tcPr>
            <w:tcW w:w="0" w:type="auto"/>
            <w:vAlign w:val="bottom"/>
            <w:hideMark/>
          </w:tcPr>
          <w:p w14:paraId="10B4A01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7C6DF5A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2176186E"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109</w:t>
            </w:r>
          </w:p>
        </w:tc>
        <w:tc>
          <w:tcPr>
            <w:tcW w:w="0" w:type="auto"/>
            <w:vAlign w:val="bottom"/>
            <w:hideMark/>
          </w:tcPr>
          <w:p w14:paraId="4A940B1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2C7AC7C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7D4FD7C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7B15614D"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110</w:t>
            </w:r>
          </w:p>
        </w:tc>
        <w:tc>
          <w:tcPr>
            <w:tcW w:w="0" w:type="auto"/>
            <w:vAlign w:val="bottom"/>
            <w:hideMark/>
          </w:tcPr>
          <w:p w14:paraId="7E42C4C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6283DF3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7817CBA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43EC8AC1"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94</w:t>
            </w:r>
          </w:p>
        </w:tc>
        <w:tc>
          <w:tcPr>
            <w:tcW w:w="0" w:type="auto"/>
            <w:vAlign w:val="bottom"/>
            <w:hideMark/>
          </w:tcPr>
          <w:p w14:paraId="6493D3D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3446DE26" w14:textId="77777777" w:rsidTr="002F3D36">
        <w:trPr>
          <w:trHeight w:val="180"/>
          <w:tblCellSpacing w:w="15" w:type="dxa"/>
        </w:trPr>
        <w:tc>
          <w:tcPr>
            <w:tcW w:w="0" w:type="auto"/>
            <w:shd w:val="clear" w:color="auto" w:fill="CFF0FC"/>
            <w:hideMark/>
          </w:tcPr>
          <w:p w14:paraId="6189F4C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Deferred tax assets before allowances</w:t>
            </w:r>
          </w:p>
        </w:tc>
        <w:tc>
          <w:tcPr>
            <w:tcW w:w="0" w:type="auto"/>
            <w:shd w:val="clear" w:color="auto" w:fill="CFF0FC"/>
            <w:vAlign w:val="bottom"/>
            <w:hideMark/>
          </w:tcPr>
          <w:p w14:paraId="047F6D0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2786620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696AD6F8"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320</w:t>
            </w:r>
          </w:p>
        </w:tc>
        <w:tc>
          <w:tcPr>
            <w:tcW w:w="0" w:type="auto"/>
            <w:shd w:val="clear" w:color="auto" w:fill="CFF0FC"/>
            <w:vAlign w:val="bottom"/>
            <w:hideMark/>
          </w:tcPr>
          <w:p w14:paraId="42C5C5AE"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383D790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2958F31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54716768"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336</w:t>
            </w:r>
          </w:p>
        </w:tc>
        <w:tc>
          <w:tcPr>
            <w:tcW w:w="0" w:type="auto"/>
            <w:shd w:val="clear" w:color="auto" w:fill="CFF0FC"/>
            <w:vAlign w:val="bottom"/>
            <w:hideMark/>
          </w:tcPr>
          <w:p w14:paraId="1D98DC4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0C47149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1DEDB05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42919D2B"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295</w:t>
            </w:r>
          </w:p>
        </w:tc>
        <w:tc>
          <w:tcPr>
            <w:tcW w:w="0" w:type="auto"/>
            <w:shd w:val="clear" w:color="auto" w:fill="CFF0FC"/>
            <w:vAlign w:val="bottom"/>
            <w:hideMark/>
          </w:tcPr>
          <w:p w14:paraId="6747459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64BBC762" w14:textId="77777777" w:rsidTr="002F3D36">
        <w:trPr>
          <w:trHeight w:val="180"/>
          <w:tblCellSpacing w:w="15" w:type="dxa"/>
        </w:trPr>
        <w:tc>
          <w:tcPr>
            <w:tcW w:w="0" w:type="auto"/>
            <w:hideMark/>
          </w:tcPr>
          <w:p w14:paraId="1DC5152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Valuation allowances</w:t>
            </w:r>
          </w:p>
        </w:tc>
        <w:tc>
          <w:tcPr>
            <w:tcW w:w="0" w:type="auto"/>
            <w:vAlign w:val="bottom"/>
            <w:hideMark/>
          </w:tcPr>
          <w:p w14:paraId="2CCA09C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5DE529F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3B880EC6"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(59</w:t>
            </w:r>
          </w:p>
        </w:tc>
        <w:tc>
          <w:tcPr>
            <w:tcW w:w="0" w:type="auto"/>
            <w:vAlign w:val="bottom"/>
            <w:hideMark/>
          </w:tcPr>
          <w:p w14:paraId="6DAB892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vAlign w:val="bottom"/>
            <w:hideMark/>
          </w:tcPr>
          <w:p w14:paraId="68BAC64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6056B6D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79B03BE6"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(68</w:t>
            </w:r>
          </w:p>
        </w:tc>
        <w:tc>
          <w:tcPr>
            <w:tcW w:w="0" w:type="auto"/>
            <w:vAlign w:val="bottom"/>
            <w:hideMark/>
          </w:tcPr>
          <w:p w14:paraId="78F6EDC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vAlign w:val="bottom"/>
            <w:hideMark/>
          </w:tcPr>
          <w:p w14:paraId="340DA61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0AA8B6DE"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057C0A37"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(61</w:t>
            </w:r>
          </w:p>
        </w:tc>
        <w:tc>
          <w:tcPr>
            <w:tcW w:w="0" w:type="auto"/>
            <w:vAlign w:val="bottom"/>
            <w:hideMark/>
          </w:tcPr>
          <w:p w14:paraId="02A08FD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r>
      <w:tr w:rsidR="002F3D36" w:rsidRPr="002F3D36" w14:paraId="5C24B34A" w14:textId="77777777" w:rsidTr="002F3D36">
        <w:trPr>
          <w:trHeight w:val="180"/>
          <w:tblCellSpacing w:w="15" w:type="dxa"/>
        </w:trPr>
        <w:tc>
          <w:tcPr>
            <w:tcW w:w="0" w:type="auto"/>
            <w:shd w:val="clear" w:color="auto" w:fill="CFF0FC"/>
            <w:hideMark/>
          </w:tcPr>
          <w:p w14:paraId="12DCD9FE"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Total</w:t>
            </w:r>
          </w:p>
        </w:tc>
        <w:tc>
          <w:tcPr>
            <w:tcW w:w="0" w:type="auto"/>
            <w:shd w:val="clear" w:color="auto" w:fill="CFF0FC"/>
            <w:vAlign w:val="bottom"/>
            <w:hideMark/>
          </w:tcPr>
          <w:p w14:paraId="3DA3922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472ADAC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shd w:val="clear" w:color="auto" w:fill="CFF0FC"/>
            <w:vAlign w:val="bottom"/>
            <w:hideMark/>
          </w:tcPr>
          <w:p w14:paraId="5218D53F"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261</w:t>
            </w:r>
          </w:p>
        </w:tc>
        <w:tc>
          <w:tcPr>
            <w:tcW w:w="0" w:type="auto"/>
            <w:shd w:val="clear" w:color="auto" w:fill="CFF0FC"/>
            <w:vAlign w:val="bottom"/>
            <w:hideMark/>
          </w:tcPr>
          <w:p w14:paraId="1DB9A58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760F3AF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41565EF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shd w:val="clear" w:color="auto" w:fill="CFF0FC"/>
            <w:vAlign w:val="bottom"/>
            <w:hideMark/>
          </w:tcPr>
          <w:p w14:paraId="2986E58E"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268</w:t>
            </w:r>
          </w:p>
        </w:tc>
        <w:tc>
          <w:tcPr>
            <w:tcW w:w="0" w:type="auto"/>
            <w:shd w:val="clear" w:color="auto" w:fill="CFF0FC"/>
            <w:vAlign w:val="bottom"/>
            <w:hideMark/>
          </w:tcPr>
          <w:p w14:paraId="372143A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122DAAC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7CFC40FE"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shd w:val="clear" w:color="auto" w:fill="CFF0FC"/>
            <w:vAlign w:val="bottom"/>
            <w:hideMark/>
          </w:tcPr>
          <w:p w14:paraId="745647C8"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234</w:t>
            </w:r>
          </w:p>
        </w:tc>
        <w:tc>
          <w:tcPr>
            <w:tcW w:w="0" w:type="auto"/>
            <w:shd w:val="clear" w:color="auto" w:fill="CFF0FC"/>
            <w:vAlign w:val="bottom"/>
            <w:hideMark/>
          </w:tcPr>
          <w:p w14:paraId="2D0CB91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44FEB116" w14:textId="77777777" w:rsidTr="002F3D36">
        <w:trPr>
          <w:tblCellSpacing w:w="15" w:type="dxa"/>
        </w:trPr>
        <w:tc>
          <w:tcPr>
            <w:tcW w:w="0" w:type="auto"/>
            <w:hideMark/>
          </w:tcPr>
          <w:p w14:paraId="06FF103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021E3B9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gridSpan w:val="2"/>
            <w:vAlign w:val="bottom"/>
            <w:hideMark/>
          </w:tcPr>
          <w:p w14:paraId="5CE0E460"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3AA60C85"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0F3B2C6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gridSpan w:val="2"/>
            <w:vAlign w:val="bottom"/>
            <w:hideMark/>
          </w:tcPr>
          <w:p w14:paraId="6C2315FA"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190EF841"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6E56A6C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gridSpan w:val="2"/>
            <w:vAlign w:val="bottom"/>
            <w:hideMark/>
          </w:tcPr>
          <w:p w14:paraId="0D4855D1"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2B10F7C9"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156856D8" w14:textId="77777777" w:rsidTr="002F3D36">
        <w:trPr>
          <w:trHeight w:val="180"/>
          <w:tblCellSpacing w:w="15" w:type="dxa"/>
        </w:trPr>
        <w:tc>
          <w:tcPr>
            <w:tcW w:w="0" w:type="auto"/>
            <w:shd w:val="clear" w:color="auto" w:fill="CFF0FC"/>
            <w:hideMark/>
          </w:tcPr>
          <w:p w14:paraId="79DC756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Liabilities</w:t>
            </w:r>
          </w:p>
        </w:tc>
        <w:tc>
          <w:tcPr>
            <w:tcW w:w="0" w:type="auto"/>
            <w:shd w:val="clear" w:color="auto" w:fill="CFF0FC"/>
            <w:vAlign w:val="bottom"/>
            <w:hideMark/>
          </w:tcPr>
          <w:p w14:paraId="198FE2A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gridSpan w:val="2"/>
            <w:shd w:val="clear" w:color="auto" w:fill="CFF0FC"/>
            <w:vAlign w:val="bottom"/>
            <w:hideMark/>
          </w:tcPr>
          <w:p w14:paraId="3FF70765"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02E388A9"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6DFE5C2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gridSpan w:val="2"/>
            <w:shd w:val="clear" w:color="auto" w:fill="CFF0FC"/>
            <w:vAlign w:val="bottom"/>
            <w:hideMark/>
          </w:tcPr>
          <w:p w14:paraId="52219304"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6D11EB60"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637FA36E"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gridSpan w:val="2"/>
            <w:shd w:val="clear" w:color="auto" w:fill="CFF0FC"/>
            <w:vAlign w:val="bottom"/>
            <w:hideMark/>
          </w:tcPr>
          <w:p w14:paraId="32AD9FFC"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49DF4509"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449A1419" w14:textId="77777777" w:rsidTr="002F3D36">
        <w:trPr>
          <w:trHeight w:val="180"/>
          <w:tblCellSpacing w:w="15" w:type="dxa"/>
        </w:trPr>
        <w:tc>
          <w:tcPr>
            <w:tcW w:w="0" w:type="auto"/>
            <w:hideMark/>
          </w:tcPr>
          <w:p w14:paraId="5ED8578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Acquired intangibles</w:t>
            </w:r>
          </w:p>
        </w:tc>
        <w:tc>
          <w:tcPr>
            <w:tcW w:w="0" w:type="auto"/>
            <w:vAlign w:val="bottom"/>
            <w:hideMark/>
          </w:tcPr>
          <w:p w14:paraId="2CA21B8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6206C2D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vAlign w:val="bottom"/>
            <w:hideMark/>
          </w:tcPr>
          <w:p w14:paraId="386D7FCF"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0</w:t>
            </w:r>
          </w:p>
        </w:tc>
        <w:tc>
          <w:tcPr>
            <w:tcW w:w="0" w:type="auto"/>
            <w:vAlign w:val="bottom"/>
            <w:hideMark/>
          </w:tcPr>
          <w:p w14:paraId="5BCCE98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5F28159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1FD1467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vAlign w:val="bottom"/>
            <w:hideMark/>
          </w:tcPr>
          <w:p w14:paraId="3A89A37E"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(2</w:t>
            </w:r>
          </w:p>
        </w:tc>
        <w:tc>
          <w:tcPr>
            <w:tcW w:w="0" w:type="auto"/>
            <w:vAlign w:val="bottom"/>
            <w:hideMark/>
          </w:tcPr>
          <w:p w14:paraId="4D51E53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vAlign w:val="bottom"/>
            <w:hideMark/>
          </w:tcPr>
          <w:p w14:paraId="59D2B9D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0430E8B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vAlign w:val="bottom"/>
            <w:hideMark/>
          </w:tcPr>
          <w:p w14:paraId="635C8C5F"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(4</w:t>
            </w:r>
          </w:p>
        </w:tc>
        <w:tc>
          <w:tcPr>
            <w:tcW w:w="0" w:type="auto"/>
            <w:vAlign w:val="bottom"/>
            <w:hideMark/>
          </w:tcPr>
          <w:p w14:paraId="7081F4D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r>
      <w:tr w:rsidR="002F3D36" w:rsidRPr="002F3D36" w14:paraId="4BD84ABE" w14:textId="77777777" w:rsidTr="002F3D36">
        <w:trPr>
          <w:trHeight w:val="180"/>
          <w:tblCellSpacing w:w="15" w:type="dxa"/>
        </w:trPr>
        <w:tc>
          <w:tcPr>
            <w:tcW w:w="0" w:type="auto"/>
            <w:shd w:val="clear" w:color="auto" w:fill="CFF0FC"/>
            <w:hideMark/>
          </w:tcPr>
          <w:p w14:paraId="6601EE0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Statutory tax allowances</w:t>
            </w:r>
          </w:p>
        </w:tc>
        <w:tc>
          <w:tcPr>
            <w:tcW w:w="0" w:type="auto"/>
            <w:shd w:val="clear" w:color="auto" w:fill="CFF0FC"/>
            <w:vAlign w:val="bottom"/>
            <w:hideMark/>
          </w:tcPr>
          <w:p w14:paraId="73147DE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742F8D3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5F4A5A83"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(6</w:t>
            </w:r>
          </w:p>
        </w:tc>
        <w:tc>
          <w:tcPr>
            <w:tcW w:w="0" w:type="auto"/>
            <w:shd w:val="clear" w:color="auto" w:fill="CFF0FC"/>
            <w:vAlign w:val="bottom"/>
            <w:hideMark/>
          </w:tcPr>
          <w:p w14:paraId="427F4F7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2917ABE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0C2B389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71274ACD"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(0</w:t>
            </w:r>
          </w:p>
        </w:tc>
        <w:tc>
          <w:tcPr>
            <w:tcW w:w="0" w:type="auto"/>
            <w:shd w:val="clear" w:color="auto" w:fill="CFF0FC"/>
            <w:vAlign w:val="bottom"/>
            <w:hideMark/>
          </w:tcPr>
          <w:p w14:paraId="0B6D990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0694737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081D7DF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6E76EE68"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(0</w:t>
            </w:r>
          </w:p>
        </w:tc>
        <w:tc>
          <w:tcPr>
            <w:tcW w:w="0" w:type="auto"/>
            <w:shd w:val="clear" w:color="auto" w:fill="CFF0FC"/>
            <w:vAlign w:val="bottom"/>
            <w:hideMark/>
          </w:tcPr>
          <w:p w14:paraId="63A4FF0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r>
      <w:tr w:rsidR="002F3D36" w:rsidRPr="002F3D36" w14:paraId="3BAE1C1F" w14:textId="77777777" w:rsidTr="002F3D36">
        <w:trPr>
          <w:trHeight w:val="180"/>
          <w:tblCellSpacing w:w="15" w:type="dxa"/>
        </w:trPr>
        <w:tc>
          <w:tcPr>
            <w:tcW w:w="0" w:type="auto"/>
            <w:hideMark/>
          </w:tcPr>
          <w:p w14:paraId="43B8326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Distribution taxes</w:t>
            </w:r>
          </w:p>
        </w:tc>
        <w:tc>
          <w:tcPr>
            <w:tcW w:w="0" w:type="auto"/>
            <w:vAlign w:val="bottom"/>
            <w:hideMark/>
          </w:tcPr>
          <w:p w14:paraId="0C71F83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0B4C910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1363953A"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(6</w:t>
            </w:r>
          </w:p>
        </w:tc>
        <w:tc>
          <w:tcPr>
            <w:tcW w:w="0" w:type="auto"/>
            <w:vAlign w:val="bottom"/>
            <w:hideMark/>
          </w:tcPr>
          <w:p w14:paraId="6E609EF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vAlign w:val="bottom"/>
            <w:hideMark/>
          </w:tcPr>
          <w:p w14:paraId="0BBE91B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28E7FCC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66DA4BF1"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(15</w:t>
            </w:r>
          </w:p>
        </w:tc>
        <w:tc>
          <w:tcPr>
            <w:tcW w:w="0" w:type="auto"/>
            <w:vAlign w:val="bottom"/>
            <w:hideMark/>
          </w:tcPr>
          <w:p w14:paraId="5FA045F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vAlign w:val="bottom"/>
            <w:hideMark/>
          </w:tcPr>
          <w:p w14:paraId="22A9511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54991EA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113995BB"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(15</w:t>
            </w:r>
          </w:p>
        </w:tc>
        <w:tc>
          <w:tcPr>
            <w:tcW w:w="0" w:type="auto"/>
            <w:vAlign w:val="bottom"/>
            <w:hideMark/>
          </w:tcPr>
          <w:p w14:paraId="6931EF1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r>
      <w:tr w:rsidR="002F3D36" w:rsidRPr="002F3D36" w14:paraId="32854AF4" w14:textId="77777777" w:rsidTr="002F3D36">
        <w:trPr>
          <w:trHeight w:val="180"/>
          <w:tblCellSpacing w:w="15" w:type="dxa"/>
        </w:trPr>
        <w:tc>
          <w:tcPr>
            <w:tcW w:w="0" w:type="auto"/>
            <w:shd w:val="clear" w:color="auto" w:fill="CFF0FC"/>
            <w:hideMark/>
          </w:tcPr>
          <w:p w14:paraId="2179B82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Other</w:t>
            </w:r>
          </w:p>
        </w:tc>
        <w:tc>
          <w:tcPr>
            <w:tcW w:w="0" w:type="auto"/>
            <w:shd w:val="clear" w:color="auto" w:fill="CFF0FC"/>
            <w:vAlign w:val="bottom"/>
            <w:hideMark/>
          </w:tcPr>
          <w:p w14:paraId="5599FF9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0FF00F4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07866665"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(3</w:t>
            </w:r>
          </w:p>
        </w:tc>
        <w:tc>
          <w:tcPr>
            <w:tcW w:w="0" w:type="auto"/>
            <w:shd w:val="clear" w:color="auto" w:fill="CFF0FC"/>
            <w:vAlign w:val="bottom"/>
            <w:hideMark/>
          </w:tcPr>
          <w:p w14:paraId="4A12D72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4FD3EDC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105678A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605FC528"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(4</w:t>
            </w:r>
          </w:p>
        </w:tc>
        <w:tc>
          <w:tcPr>
            <w:tcW w:w="0" w:type="auto"/>
            <w:shd w:val="clear" w:color="auto" w:fill="CFF0FC"/>
            <w:vAlign w:val="bottom"/>
            <w:hideMark/>
          </w:tcPr>
          <w:p w14:paraId="551B809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1B214B1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674AA59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35BEA150"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(7</w:t>
            </w:r>
          </w:p>
        </w:tc>
        <w:tc>
          <w:tcPr>
            <w:tcW w:w="0" w:type="auto"/>
            <w:shd w:val="clear" w:color="auto" w:fill="CFF0FC"/>
            <w:vAlign w:val="bottom"/>
            <w:hideMark/>
          </w:tcPr>
          <w:p w14:paraId="6D3F5AA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r>
      <w:tr w:rsidR="002F3D36" w:rsidRPr="002F3D36" w14:paraId="2D6484C0" w14:textId="77777777" w:rsidTr="002F3D36">
        <w:trPr>
          <w:trHeight w:val="180"/>
          <w:tblCellSpacing w:w="15" w:type="dxa"/>
        </w:trPr>
        <w:tc>
          <w:tcPr>
            <w:tcW w:w="0" w:type="auto"/>
            <w:hideMark/>
          </w:tcPr>
          <w:p w14:paraId="3E99326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Total</w:t>
            </w:r>
          </w:p>
        </w:tc>
        <w:tc>
          <w:tcPr>
            <w:tcW w:w="0" w:type="auto"/>
            <w:vAlign w:val="bottom"/>
            <w:hideMark/>
          </w:tcPr>
          <w:p w14:paraId="162F895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38B5767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248FCB71"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(15</w:t>
            </w:r>
          </w:p>
        </w:tc>
        <w:tc>
          <w:tcPr>
            <w:tcW w:w="0" w:type="auto"/>
            <w:vAlign w:val="bottom"/>
            <w:hideMark/>
          </w:tcPr>
          <w:p w14:paraId="3B7C77B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vAlign w:val="bottom"/>
            <w:hideMark/>
          </w:tcPr>
          <w:p w14:paraId="3109237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46A13A8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324E5742"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(21</w:t>
            </w:r>
          </w:p>
        </w:tc>
        <w:tc>
          <w:tcPr>
            <w:tcW w:w="0" w:type="auto"/>
            <w:vAlign w:val="bottom"/>
            <w:hideMark/>
          </w:tcPr>
          <w:p w14:paraId="0276442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vAlign w:val="bottom"/>
            <w:hideMark/>
          </w:tcPr>
          <w:p w14:paraId="0E20BF4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19576C2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49DCDEB9"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(26</w:t>
            </w:r>
          </w:p>
        </w:tc>
        <w:tc>
          <w:tcPr>
            <w:tcW w:w="0" w:type="auto"/>
            <w:vAlign w:val="bottom"/>
            <w:hideMark/>
          </w:tcPr>
          <w:p w14:paraId="39592EC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r>
      <w:tr w:rsidR="002F3D36" w:rsidRPr="002F3D36" w14:paraId="1D18514E" w14:textId="77777777" w:rsidTr="002F3D36">
        <w:trPr>
          <w:trHeight w:val="180"/>
          <w:tblCellSpacing w:w="15" w:type="dxa"/>
        </w:trPr>
        <w:tc>
          <w:tcPr>
            <w:tcW w:w="0" w:type="auto"/>
            <w:shd w:val="clear" w:color="auto" w:fill="CFF0FC"/>
            <w:hideMark/>
          </w:tcPr>
          <w:p w14:paraId="0445884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Net deferred tax asset</w:t>
            </w:r>
          </w:p>
        </w:tc>
        <w:tc>
          <w:tcPr>
            <w:tcW w:w="0" w:type="auto"/>
            <w:shd w:val="clear" w:color="auto" w:fill="CFF0FC"/>
            <w:vAlign w:val="bottom"/>
            <w:hideMark/>
          </w:tcPr>
          <w:p w14:paraId="7A89CD0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138C73F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shd w:val="clear" w:color="auto" w:fill="CFF0FC"/>
            <w:vAlign w:val="bottom"/>
            <w:hideMark/>
          </w:tcPr>
          <w:p w14:paraId="0E48C716"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246</w:t>
            </w:r>
          </w:p>
        </w:tc>
        <w:tc>
          <w:tcPr>
            <w:tcW w:w="0" w:type="auto"/>
            <w:shd w:val="clear" w:color="auto" w:fill="CFF0FC"/>
            <w:vAlign w:val="bottom"/>
            <w:hideMark/>
          </w:tcPr>
          <w:p w14:paraId="190A450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3A05D8B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0D576B1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shd w:val="clear" w:color="auto" w:fill="CFF0FC"/>
            <w:vAlign w:val="bottom"/>
            <w:hideMark/>
          </w:tcPr>
          <w:p w14:paraId="6DB39124"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247</w:t>
            </w:r>
          </w:p>
        </w:tc>
        <w:tc>
          <w:tcPr>
            <w:tcW w:w="0" w:type="auto"/>
            <w:shd w:val="clear" w:color="auto" w:fill="CFF0FC"/>
            <w:vAlign w:val="bottom"/>
            <w:hideMark/>
          </w:tcPr>
          <w:p w14:paraId="1CD3F8B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0AF9F21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31C8C26E"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shd w:val="clear" w:color="auto" w:fill="CFF0FC"/>
            <w:vAlign w:val="bottom"/>
            <w:hideMark/>
          </w:tcPr>
          <w:p w14:paraId="7DD7D5A4"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208</w:t>
            </w:r>
          </w:p>
        </w:tc>
        <w:tc>
          <w:tcPr>
            <w:tcW w:w="0" w:type="auto"/>
            <w:shd w:val="clear" w:color="auto" w:fill="CFF0FC"/>
            <w:vAlign w:val="bottom"/>
            <w:hideMark/>
          </w:tcPr>
          <w:p w14:paraId="5C2BF30E"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bl>
    <w:p w14:paraId="48F3E26B" w14:textId="77777777" w:rsidR="002F3D36" w:rsidRPr="002F3D36" w:rsidRDefault="002F3D36" w:rsidP="002F3D36">
      <w:pPr>
        <w:widowControl/>
        <w:rPr>
          <w:rFonts w:ascii="Times New Roman" w:eastAsia="微软雅黑" w:hAnsi="Times New Roman" w:cs="Times New Roman"/>
          <w:color w:val="000000"/>
          <w:kern w:val="0"/>
          <w:sz w:val="20"/>
          <w:szCs w:val="20"/>
        </w:rPr>
      </w:pPr>
      <w:r w:rsidRPr="002F3D36">
        <w:rPr>
          <w:rFonts w:ascii="Arial" w:eastAsia="微软雅黑" w:hAnsi="Arial" w:cs="Arial"/>
          <w:color w:val="000000"/>
          <w:kern w:val="0"/>
          <w:sz w:val="24"/>
          <w:szCs w:val="24"/>
        </w:rPr>
        <w:t> </w:t>
      </w:r>
    </w:p>
    <w:p w14:paraId="4F420ED8" w14:textId="77777777" w:rsidR="002F3D36" w:rsidRPr="002F3D36" w:rsidRDefault="002F3D36" w:rsidP="002F3D36">
      <w:pPr>
        <w:widowControl/>
        <w:rPr>
          <w:rFonts w:ascii="Times New Roman" w:eastAsia="微软雅黑" w:hAnsi="Times New Roman" w:cs="Times New Roman"/>
          <w:color w:val="000000"/>
          <w:kern w:val="0"/>
          <w:sz w:val="20"/>
          <w:szCs w:val="20"/>
        </w:rPr>
      </w:pPr>
      <w:r w:rsidRPr="002F3D36">
        <w:rPr>
          <w:rFonts w:ascii="Arial" w:eastAsia="微软雅黑" w:hAnsi="Arial" w:cs="Arial"/>
          <w:color w:val="000000"/>
          <w:kern w:val="0"/>
          <w:sz w:val="18"/>
          <w:szCs w:val="18"/>
        </w:rPr>
        <w:t>The following table summarizes the activity related to the Company’s valuation allowances (dollars in millions):</w:t>
      </w:r>
    </w:p>
    <w:p w14:paraId="3440447E" w14:textId="77777777" w:rsidR="002F3D36" w:rsidRPr="002F3D36" w:rsidRDefault="002F3D36" w:rsidP="002F3D36">
      <w:pPr>
        <w:widowControl/>
        <w:rPr>
          <w:rFonts w:ascii="Times New Roman" w:eastAsia="微软雅黑" w:hAnsi="Times New Roman" w:cs="Times New Roman"/>
          <w:color w:val="000000"/>
          <w:kern w:val="0"/>
          <w:sz w:val="20"/>
          <w:szCs w:val="20"/>
        </w:rPr>
      </w:pPr>
      <w:r w:rsidRPr="002F3D36">
        <w:rPr>
          <w:rFonts w:ascii="Arial" w:eastAsia="微软雅黑" w:hAnsi="Arial" w:cs="Arial"/>
          <w:color w:val="000000"/>
          <w:kern w:val="0"/>
          <w:sz w:val="18"/>
          <w:szCs w:val="18"/>
        </w:rPr>
        <w:t> </w:t>
      </w:r>
    </w:p>
    <w:tbl>
      <w:tblPr>
        <w:tblW w:w="16491" w:type="dxa"/>
        <w:tblCellSpacing w:w="15" w:type="dxa"/>
        <w:tblCellMar>
          <w:top w:w="15" w:type="dxa"/>
          <w:left w:w="15" w:type="dxa"/>
          <w:bottom w:w="15" w:type="dxa"/>
          <w:right w:w="15" w:type="dxa"/>
        </w:tblCellMar>
        <w:tblLook w:val="04A0" w:firstRow="1" w:lastRow="0" w:firstColumn="1" w:lastColumn="0" w:noHBand="0" w:noVBand="1"/>
      </w:tblPr>
      <w:tblGrid>
        <w:gridCol w:w="10203"/>
        <w:gridCol w:w="267"/>
        <w:gridCol w:w="299"/>
        <w:gridCol w:w="1345"/>
        <w:gridCol w:w="192"/>
        <w:gridCol w:w="268"/>
        <w:gridCol w:w="300"/>
        <w:gridCol w:w="1324"/>
        <w:gridCol w:w="192"/>
        <w:gridCol w:w="268"/>
        <w:gridCol w:w="300"/>
        <w:gridCol w:w="1326"/>
        <w:gridCol w:w="207"/>
      </w:tblGrid>
      <w:tr w:rsidR="002F3D36" w:rsidRPr="002F3D36" w14:paraId="4B15E57B" w14:textId="77777777" w:rsidTr="002F3D36">
        <w:trPr>
          <w:tblCellSpacing w:w="15" w:type="dxa"/>
        </w:trPr>
        <w:tc>
          <w:tcPr>
            <w:tcW w:w="10178" w:type="dxa"/>
            <w:vAlign w:val="center"/>
            <w:hideMark/>
          </w:tcPr>
          <w:p w14:paraId="20906F51" w14:textId="77777777" w:rsidR="002F3D36" w:rsidRPr="002F3D36" w:rsidRDefault="002F3D36" w:rsidP="002F3D36">
            <w:pPr>
              <w:widowControl/>
              <w:jc w:val="left"/>
              <w:rPr>
                <w:rFonts w:ascii="Times New Roman" w:eastAsia="微软雅黑" w:hAnsi="Times New Roman" w:cs="Times New Roman"/>
                <w:color w:val="000000"/>
                <w:kern w:val="0"/>
                <w:sz w:val="20"/>
                <w:szCs w:val="20"/>
              </w:rPr>
            </w:pPr>
          </w:p>
        </w:tc>
        <w:tc>
          <w:tcPr>
            <w:tcW w:w="238" w:type="dxa"/>
            <w:vAlign w:val="center"/>
            <w:hideMark/>
          </w:tcPr>
          <w:p w14:paraId="600B2C39"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70" w:type="dxa"/>
            <w:vAlign w:val="center"/>
            <w:hideMark/>
          </w:tcPr>
          <w:p w14:paraId="27AC7095"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317" w:type="dxa"/>
            <w:vAlign w:val="center"/>
            <w:hideMark/>
          </w:tcPr>
          <w:p w14:paraId="1D67D0DC"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62" w:type="dxa"/>
            <w:vAlign w:val="center"/>
            <w:hideMark/>
          </w:tcPr>
          <w:p w14:paraId="32C43B66"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38" w:type="dxa"/>
            <w:vAlign w:val="center"/>
            <w:hideMark/>
          </w:tcPr>
          <w:p w14:paraId="2D2789BA"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70" w:type="dxa"/>
            <w:vAlign w:val="center"/>
            <w:hideMark/>
          </w:tcPr>
          <w:p w14:paraId="60DB7DF5"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296" w:type="dxa"/>
            <w:vAlign w:val="center"/>
            <w:hideMark/>
          </w:tcPr>
          <w:p w14:paraId="5F7C1497"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62" w:type="dxa"/>
            <w:vAlign w:val="center"/>
            <w:hideMark/>
          </w:tcPr>
          <w:p w14:paraId="362ED6F9"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38" w:type="dxa"/>
            <w:vAlign w:val="center"/>
            <w:hideMark/>
          </w:tcPr>
          <w:p w14:paraId="3DF9DA6F"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70" w:type="dxa"/>
            <w:vAlign w:val="center"/>
            <w:hideMark/>
          </w:tcPr>
          <w:p w14:paraId="353DB535"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298" w:type="dxa"/>
            <w:vAlign w:val="center"/>
            <w:hideMark/>
          </w:tcPr>
          <w:p w14:paraId="1B5D86C7"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62" w:type="dxa"/>
            <w:vAlign w:val="center"/>
            <w:hideMark/>
          </w:tcPr>
          <w:p w14:paraId="6E082F92" w14:textId="77777777" w:rsidR="002F3D36" w:rsidRPr="002F3D36" w:rsidRDefault="002F3D36" w:rsidP="002F3D36">
            <w:pPr>
              <w:widowControl/>
              <w:jc w:val="left"/>
              <w:rPr>
                <w:rFonts w:ascii="Times New Roman" w:eastAsia="Times New Roman" w:hAnsi="Times New Roman" w:cs="Times New Roman"/>
                <w:kern w:val="0"/>
                <w:sz w:val="20"/>
                <w:szCs w:val="20"/>
              </w:rPr>
            </w:pPr>
          </w:p>
        </w:tc>
      </w:tr>
      <w:tr w:rsidR="002F3D36" w:rsidRPr="002F3D36" w14:paraId="16C0CC93" w14:textId="77777777" w:rsidTr="002F3D36">
        <w:trPr>
          <w:trHeight w:val="160"/>
          <w:tblCellSpacing w:w="15" w:type="dxa"/>
        </w:trPr>
        <w:tc>
          <w:tcPr>
            <w:tcW w:w="0" w:type="auto"/>
            <w:vAlign w:val="bottom"/>
            <w:hideMark/>
          </w:tcPr>
          <w:p w14:paraId="221179D3"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u w:val="single"/>
              </w:rPr>
              <w:t>VALUATION ALLOWANCES AGAINST DEFERRED TAX ASSETS</w:t>
            </w:r>
          </w:p>
        </w:tc>
        <w:tc>
          <w:tcPr>
            <w:tcW w:w="0" w:type="auto"/>
            <w:vAlign w:val="bottom"/>
            <w:hideMark/>
          </w:tcPr>
          <w:p w14:paraId="137B5AD6" w14:textId="77777777" w:rsidR="002F3D36" w:rsidRPr="002F3D36" w:rsidRDefault="002F3D36" w:rsidP="002F3D36">
            <w:pPr>
              <w:widowControl/>
              <w:jc w:val="left"/>
              <w:rPr>
                <w:rFonts w:ascii="Times New Roman" w:eastAsia="宋体" w:hAnsi="Times New Roman" w:cs="Times New Roman"/>
                <w:kern w:val="0"/>
                <w:sz w:val="22"/>
              </w:rPr>
            </w:pPr>
            <w:r w:rsidRPr="002F3D36">
              <w:rPr>
                <w:rFonts w:ascii="Arial" w:eastAsia="宋体" w:hAnsi="Arial" w:cs="Arial"/>
                <w:kern w:val="0"/>
                <w:sz w:val="22"/>
              </w:rPr>
              <w:t> </w:t>
            </w:r>
          </w:p>
        </w:tc>
        <w:tc>
          <w:tcPr>
            <w:tcW w:w="0" w:type="auto"/>
            <w:gridSpan w:val="10"/>
            <w:tcBorders>
              <w:bottom w:val="single" w:sz="4" w:space="0" w:color="000000"/>
            </w:tcBorders>
            <w:vAlign w:val="bottom"/>
            <w:hideMark/>
          </w:tcPr>
          <w:p w14:paraId="7E588CA5"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December 31,</w:t>
            </w:r>
          </w:p>
        </w:tc>
        <w:tc>
          <w:tcPr>
            <w:tcW w:w="0" w:type="auto"/>
            <w:vAlign w:val="bottom"/>
            <w:hideMark/>
          </w:tcPr>
          <w:p w14:paraId="26188C08"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r>
      <w:tr w:rsidR="002F3D36" w:rsidRPr="002F3D36" w14:paraId="6B1C5788" w14:textId="77777777" w:rsidTr="002F3D36">
        <w:trPr>
          <w:trHeight w:val="160"/>
          <w:tblCellSpacing w:w="15" w:type="dxa"/>
        </w:trPr>
        <w:tc>
          <w:tcPr>
            <w:tcW w:w="0" w:type="auto"/>
            <w:vAlign w:val="bottom"/>
            <w:hideMark/>
          </w:tcPr>
          <w:p w14:paraId="7D74E9AF"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vAlign w:val="bottom"/>
            <w:hideMark/>
          </w:tcPr>
          <w:p w14:paraId="0935C6F4"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2"/>
            <w:tcBorders>
              <w:bottom w:val="single" w:sz="4" w:space="0" w:color="000000"/>
            </w:tcBorders>
            <w:vAlign w:val="bottom"/>
            <w:hideMark/>
          </w:tcPr>
          <w:p w14:paraId="6F1E332A"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2021</w:t>
            </w:r>
          </w:p>
        </w:tc>
        <w:tc>
          <w:tcPr>
            <w:tcW w:w="0" w:type="auto"/>
            <w:vAlign w:val="bottom"/>
            <w:hideMark/>
          </w:tcPr>
          <w:p w14:paraId="749DB8C2"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vAlign w:val="bottom"/>
            <w:hideMark/>
          </w:tcPr>
          <w:p w14:paraId="61C5D6E5"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2"/>
            <w:tcBorders>
              <w:bottom w:val="single" w:sz="4" w:space="0" w:color="000000"/>
            </w:tcBorders>
            <w:vAlign w:val="bottom"/>
            <w:hideMark/>
          </w:tcPr>
          <w:p w14:paraId="7DD20919"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2020</w:t>
            </w:r>
          </w:p>
        </w:tc>
        <w:tc>
          <w:tcPr>
            <w:tcW w:w="0" w:type="auto"/>
            <w:vAlign w:val="bottom"/>
            <w:hideMark/>
          </w:tcPr>
          <w:p w14:paraId="7DB3F239"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vAlign w:val="bottom"/>
            <w:hideMark/>
          </w:tcPr>
          <w:p w14:paraId="7B607581"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2"/>
            <w:tcBorders>
              <w:bottom w:val="single" w:sz="4" w:space="0" w:color="000000"/>
            </w:tcBorders>
            <w:vAlign w:val="bottom"/>
            <w:hideMark/>
          </w:tcPr>
          <w:p w14:paraId="3E88DF5B"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2019</w:t>
            </w:r>
          </w:p>
        </w:tc>
        <w:tc>
          <w:tcPr>
            <w:tcW w:w="0" w:type="auto"/>
            <w:vAlign w:val="bottom"/>
            <w:hideMark/>
          </w:tcPr>
          <w:p w14:paraId="23ED8BE3"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r>
      <w:tr w:rsidR="002F3D36" w:rsidRPr="002F3D36" w14:paraId="73F4F1C6" w14:textId="77777777" w:rsidTr="002F3D36">
        <w:trPr>
          <w:trHeight w:val="180"/>
          <w:tblCellSpacing w:w="15" w:type="dxa"/>
        </w:trPr>
        <w:tc>
          <w:tcPr>
            <w:tcW w:w="0" w:type="auto"/>
            <w:vAlign w:val="center"/>
            <w:hideMark/>
          </w:tcPr>
          <w:p w14:paraId="3956F4F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lastRenderedPageBreak/>
              <w:t>Allowances at beginning of year</w:t>
            </w:r>
          </w:p>
        </w:tc>
        <w:tc>
          <w:tcPr>
            <w:tcW w:w="0" w:type="auto"/>
            <w:vAlign w:val="bottom"/>
            <w:hideMark/>
          </w:tcPr>
          <w:p w14:paraId="58008B9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center"/>
            <w:hideMark/>
          </w:tcPr>
          <w:p w14:paraId="27F8BE6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vAlign w:val="center"/>
            <w:hideMark/>
          </w:tcPr>
          <w:p w14:paraId="0CAC7FDC"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68</w:t>
            </w:r>
          </w:p>
        </w:tc>
        <w:tc>
          <w:tcPr>
            <w:tcW w:w="0" w:type="auto"/>
            <w:vAlign w:val="center"/>
            <w:hideMark/>
          </w:tcPr>
          <w:p w14:paraId="50B1CE9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5050905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center"/>
            <w:hideMark/>
          </w:tcPr>
          <w:p w14:paraId="3DBE26A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vAlign w:val="center"/>
            <w:hideMark/>
          </w:tcPr>
          <w:p w14:paraId="42DCE433"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61</w:t>
            </w:r>
          </w:p>
        </w:tc>
        <w:tc>
          <w:tcPr>
            <w:tcW w:w="0" w:type="auto"/>
            <w:vAlign w:val="center"/>
            <w:hideMark/>
          </w:tcPr>
          <w:p w14:paraId="2F2B601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2E11BA2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center"/>
            <w:hideMark/>
          </w:tcPr>
          <w:p w14:paraId="791F50A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vAlign w:val="center"/>
            <w:hideMark/>
          </w:tcPr>
          <w:p w14:paraId="41669C8B"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71</w:t>
            </w:r>
          </w:p>
        </w:tc>
        <w:tc>
          <w:tcPr>
            <w:tcW w:w="0" w:type="auto"/>
            <w:vAlign w:val="center"/>
            <w:hideMark/>
          </w:tcPr>
          <w:p w14:paraId="1890540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2E714456" w14:textId="77777777" w:rsidTr="002F3D36">
        <w:trPr>
          <w:trHeight w:val="180"/>
          <w:tblCellSpacing w:w="15" w:type="dxa"/>
        </w:trPr>
        <w:tc>
          <w:tcPr>
            <w:tcW w:w="0" w:type="auto"/>
            <w:shd w:val="clear" w:color="auto" w:fill="CFF0FC"/>
            <w:vAlign w:val="center"/>
            <w:hideMark/>
          </w:tcPr>
          <w:p w14:paraId="16EC399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Benefits reserved current year</w:t>
            </w:r>
          </w:p>
        </w:tc>
        <w:tc>
          <w:tcPr>
            <w:tcW w:w="0" w:type="auto"/>
            <w:shd w:val="clear" w:color="auto" w:fill="CFF0FC"/>
            <w:vAlign w:val="bottom"/>
            <w:hideMark/>
          </w:tcPr>
          <w:p w14:paraId="7F69DE5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center"/>
            <w:hideMark/>
          </w:tcPr>
          <w:p w14:paraId="1B82DDC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center"/>
            <w:hideMark/>
          </w:tcPr>
          <w:p w14:paraId="06833460"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5</w:t>
            </w:r>
          </w:p>
        </w:tc>
        <w:tc>
          <w:tcPr>
            <w:tcW w:w="0" w:type="auto"/>
            <w:shd w:val="clear" w:color="auto" w:fill="CFF0FC"/>
            <w:vAlign w:val="center"/>
            <w:hideMark/>
          </w:tcPr>
          <w:p w14:paraId="727CFDD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40243A4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center"/>
            <w:hideMark/>
          </w:tcPr>
          <w:p w14:paraId="48DD007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center"/>
            <w:hideMark/>
          </w:tcPr>
          <w:p w14:paraId="616808C2"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14</w:t>
            </w:r>
          </w:p>
        </w:tc>
        <w:tc>
          <w:tcPr>
            <w:tcW w:w="0" w:type="auto"/>
            <w:shd w:val="clear" w:color="auto" w:fill="CFF0FC"/>
            <w:vAlign w:val="center"/>
            <w:hideMark/>
          </w:tcPr>
          <w:p w14:paraId="6F24DC6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74286B2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center"/>
            <w:hideMark/>
          </w:tcPr>
          <w:p w14:paraId="4DA2B9D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center"/>
            <w:hideMark/>
          </w:tcPr>
          <w:p w14:paraId="76BF3EE5"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4</w:t>
            </w:r>
          </w:p>
        </w:tc>
        <w:tc>
          <w:tcPr>
            <w:tcW w:w="0" w:type="auto"/>
            <w:shd w:val="clear" w:color="auto" w:fill="CFF0FC"/>
            <w:vAlign w:val="center"/>
            <w:hideMark/>
          </w:tcPr>
          <w:p w14:paraId="21DCCB5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39AB14A9" w14:textId="77777777" w:rsidTr="002F3D36">
        <w:trPr>
          <w:trHeight w:val="180"/>
          <w:tblCellSpacing w:w="15" w:type="dxa"/>
        </w:trPr>
        <w:tc>
          <w:tcPr>
            <w:tcW w:w="0" w:type="auto"/>
            <w:vAlign w:val="center"/>
            <w:hideMark/>
          </w:tcPr>
          <w:p w14:paraId="4A57638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Benefits recognized current year</w:t>
            </w:r>
          </w:p>
        </w:tc>
        <w:tc>
          <w:tcPr>
            <w:tcW w:w="0" w:type="auto"/>
            <w:vAlign w:val="bottom"/>
            <w:hideMark/>
          </w:tcPr>
          <w:p w14:paraId="1591BBB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center"/>
            <w:hideMark/>
          </w:tcPr>
          <w:p w14:paraId="12DAF92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center"/>
            <w:hideMark/>
          </w:tcPr>
          <w:p w14:paraId="7595244E"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(9</w:t>
            </w:r>
          </w:p>
        </w:tc>
        <w:tc>
          <w:tcPr>
            <w:tcW w:w="0" w:type="auto"/>
            <w:vAlign w:val="center"/>
            <w:hideMark/>
          </w:tcPr>
          <w:p w14:paraId="759ECE0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vAlign w:val="bottom"/>
            <w:hideMark/>
          </w:tcPr>
          <w:p w14:paraId="6853C38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center"/>
            <w:hideMark/>
          </w:tcPr>
          <w:p w14:paraId="7081072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center"/>
            <w:hideMark/>
          </w:tcPr>
          <w:p w14:paraId="20FC5FB3"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w:t>
            </w:r>
          </w:p>
        </w:tc>
        <w:tc>
          <w:tcPr>
            <w:tcW w:w="0" w:type="auto"/>
            <w:vAlign w:val="center"/>
            <w:hideMark/>
          </w:tcPr>
          <w:p w14:paraId="0CF02BA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vAlign w:val="bottom"/>
            <w:hideMark/>
          </w:tcPr>
          <w:p w14:paraId="74C8308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center"/>
            <w:hideMark/>
          </w:tcPr>
          <w:p w14:paraId="3EFBDE4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center"/>
            <w:hideMark/>
          </w:tcPr>
          <w:p w14:paraId="5F8C0FA8"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(11</w:t>
            </w:r>
          </w:p>
        </w:tc>
        <w:tc>
          <w:tcPr>
            <w:tcW w:w="0" w:type="auto"/>
            <w:vAlign w:val="center"/>
            <w:hideMark/>
          </w:tcPr>
          <w:p w14:paraId="1B41782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r>
      <w:tr w:rsidR="002F3D36" w:rsidRPr="002F3D36" w14:paraId="338B59E0" w14:textId="77777777" w:rsidTr="002F3D36">
        <w:trPr>
          <w:trHeight w:val="180"/>
          <w:tblCellSpacing w:w="15" w:type="dxa"/>
        </w:trPr>
        <w:tc>
          <w:tcPr>
            <w:tcW w:w="0" w:type="auto"/>
            <w:shd w:val="clear" w:color="auto" w:fill="CFF0FC"/>
            <w:vAlign w:val="center"/>
            <w:hideMark/>
          </w:tcPr>
          <w:p w14:paraId="73445C7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Translation difference</w:t>
            </w:r>
          </w:p>
        </w:tc>
        <w:tc>
          <w:tcPr>
            <w:tcW w:w="0" w:type="auto"/>
            <w:shd w:val="clear" w:color="auto" w:fill="CFF0FC"/>
            <w:vAlign w:val="bottom"/>
            <w:hideMark/>
          </w:tcPr>
          <w:p w14:paraId="209CA04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shd w:val="clear" w:color="auto" w:fill="CFF0FC"/>
            <w:vAlign w:val="center"/>
            <w:hideMark/>
          </w:tcPr>
          <w:p w14:paraId="33BE2D5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shd w:val="clear" w:color="auto" w:fill="CFF0FC"/>
            <w:vAlign w:val="center"/>
            <w:hideMark/>
          </w:tcPr>
          <w:p w14:paraId="21DE697B"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(5</w:t>
            </w:r>
          </w:p>
        </w:tc>
        <w:tc>
          <w:tcPr>
            <w:tcW w:w="0" w:type="auto"/>
            <w:shd w:val="clear" w:color="auto" w:fill="CFF0FC"/>
            <w:vAlign w:val="center"/>
            <w:hideMark/>
          </w:tcPr>
          <w:p w14:paraId="6C81455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364EC4A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shd w:val="clear" w:color="auto" w:fill="CFF0FC"/>
            <w:vAlign w:val="center"/>
            <w:hideMark/>
          </w:tcPr>
          <w:p w14:paraId="06DBC3D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shd w:val="clear" w:color="auto" w:fill="CFF0FC"/>
            <w:vAlign w:val="center"/>
            <w:hideMark/>
          </w:tcPr>
          <w:p w14:paraId="37F4E247"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(6</w:t>
            </w:r>
          </w:p>
        </w:tc>
        <w:tc>
          <w:tcPr>
            <w:tcW w:w="0" w:type="auto"/>
            <w:shd w:val="clear" w:color="auto" w:fill="CFF0FC"/>
            <w:vAlign w:val="center"/>
            <w:hideMark/>
          </w:tcPr>
          <w:p w14:paraId="4899891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452D4C9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shd w:val="clear" w:color="auto" w:fill="CFF0FC"/>
            <w:vAlign w:val="center"/>
            <w:hideMark/>
          </w:tcPr>
          <w:p w14:paraId="75E0F64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shd w:val="clear" w:color="auto" w:fill="CFF0FC"/>
            <w:vAlign w:val="center"/>
            <w:hideMark/>
          </w:tcPr>
          <w:p w14:paraId="5254FA6D"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(4</w:t>
            </w:r>
          </w:p>
        </w:tc>
        <w:tc>
          <w:tcPr>
            <w:tcW w:w="0" w:type="auto"/>
            <w:shd w:val="clear" w:color="auto" w:fill="CFF0FC"/>
            <w:vAlign w:val="center"/>
            <w:hideMark/>
          </w:tcPr>
          <w:p w14:paraId="2118128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r>
      <w:tr w:rsidR="002F3D36" w:rsidRPr="002F3D36" w14:paraId="49F91990" w14:textId="77777777" w:rsidTr="002F3D36">
        <w:trPr>
          <w:trHeight w:val="180"/>
          <w:tblCellSpacing w:w="15" w:type="dxa"/>
        </w:trPr>
        <w:tc>
          <w:tcPr>
            <w:tcW w:w="0" w:type="auto"/>
            <w:vAlign w:val="center"/>
            <w:hideMark/>
          </w:tcPr>
          <w:p w14:paraId="0403ACE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Allowances at end of year</w:t>
            </w:r>
          </w:p>
        </w:tc>
        <w:tc>
          <w:tcPr>
            <w:tcW w:w="0" w:type="auto"/>
            <w:vAlign w:val="bottom"/>
            <w:hideMark/>
          </w:tcPr>
          <w:p w14:paraId="1C0C310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center"/>
            <w:hideMark/>
          </w:tcPr>
          <w:p w14:paraId="1AC15B4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vAlign w:val="center"/>
            <w:hideMark/>
          </w:tcPr>
          <w:p w14:paraId="06D7205D"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59</w:t>
            </w:r>
          </w:p>
        </w:tc>
        <w:tc>
          <w:tcPr>
            <w:tcW w:w="0" w:type="auto"/>
            <w:vAlign w:val="center"/>
            <w:hideMark/>
          </w:tcPr>
          <w:p w14:paraId="06014F6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7B4FDE0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center"/>
            <w:hideMark/>
          </w:tcPr>
          <w:p w14:paraId="4206D5C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vAlign w:val="center"/>
            <w:hideMark/>
          </w:tcPr>
          <w:p w14:paraId="1B43A4D6"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68</w:t>
            </w:r>
          </w:p>
        </w:tc>
        <w:tc>
          <w:tcPr>
            <w:tcW w:w="0" w:type="auto"/>
            <w:vAlign w:val="center"/>
            <w:hideMark/>
          </w:tcPr>
          <w:p w14:paraId="0D17570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53732EC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center"/>
            <w:hideMark/>
          </w:tcPr>
          <w:p w14:paraId="04D5F30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vAlign w:val="center"/>
            <w:hideMark/>
          </w:tcPr>
          <w:p w14:paraId="1ED8A3D1"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61</w:t>
            </w:r>
          </w:p>
        </w:tc>
        <w:tc>
          <w:tcPr>
            <w:tcW w:w="0" w:type="auto"/>
            <w:vAlign w:val="center"/>
            <w:hideMark/>
          </w:tcPr>
          <w:p w14:paraId="781147B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bl>
    <w:p w14:paraId="74567A4F"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24"/>
          <w:szCs w:val="24"/>
        </w:rPr>
        <w:t> </w:t>
      </w:r>
    </w:p>
    <w:p w14:paraId="349F101A" w14:textId="77777777" w:rsidR="002F3D36" w:rsidRPr="002F3D36" w:rsidRDefault="002F3D36" w:rsidP="002F3D36">
      <w:pPr>
        <w:widowControl/>
        <w:jc w:val="left"/>
        <w:rPr>
          <w:rFonts w:ascii="Times New Roman" w:eastAsia="宋体" w:hAnsi="Times New Roman" w:cs="Times New Roman"/>
          <w:color w:val="000000"/>
          <w:kern w:val="0"/>
          <w:sz w:val="20"/>
          <w:szCs w:val="20"/>
        </w:rPr>
      </w:pPr>
      <w:r w:rsidRPr="002F3D36">
        <w:rPr>
          <w:rFonts w:ascii="Times New Roman" w:eastAsia="宋体" w:hAnsi="Times New Roman" w:cs="Times New Roman"/>
          <w:color w:val="000000"/>
          <w:kern w:val="0"/>
          <w:sz w:val="20"/>
          <w:szCs w:val="20"/>
        </w:rPr>
        <w:t> </w:t>
      </w:r>
    </w:p>
    <w:p w14:paraId="55398265" w14:textId="77777777" w:rsidR="002F3D36" w:rsidRPr="002F3D36" w:rsidRDefault="002F3D36" w:rsidP="002F3D36">
      <w:pPr>
        <w:widowControl/>
        <w:spacing w:before="240"/>
        <w:jc w:val="center"/>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72</w:t>
      </w:r>
    </w:p>
    <w:p w14:paraId="1A4C4B70" w14:textId="77777777" w:rsidR="002F3D36" w:rsidRPr="002F3D36" w:rsidRDefault="002F3D36" w:rsidP="002F3D36">
      <w:pPr>
        <w:widowControl/>
        <w:jc w:val="left"/>
        <w:rPr>
          <w:rFonts w:ascii="宋体" w:eastAsia="宋体" w:hAnsi="宋体" w:cs="宋体"/>
          <w:kern w:val="0"/>
          <w:sz w:val="24"/>
          <w:szCs w:val="24"/>
        </w:rPr>
      </w:pPr>
      <w:r w:rsidRPr="002F3D36">
        <w:rPr>
          <w:rFonts w:ascii="宋体" w:eastAsia="宋体" w:hAnsi="宋体" w:cs="宋体"/>
          <w:kern w:val="0"/>
          <w:sz w:val="24"/>
          <w:szCs w:val="24"/>
        </w:rPr>
        <w:pict w14:anchorId="10A4DE3C">
          <v:rect id="_x0000_i1099" style="width:0;height:1.5pt" o:hralign="center" o:hrstd="t" o:hrnoshade="t" o:hr="t" fillcolor="black" stroked="f"/>
        </w:pict>
      </w:r>
    </w:p>
    <w:p w14:paraId="7BF6CCFE" w14:textId="77777777" w:rsidR="002F3D36" w:rsidRPr="002F3D36" w:rsidRDefault="002F3D36" w:rsidP="002F3D36">
      <w:pPr>
        <w:widowControl/>
        <w:spacing w:line="20" w:lineRule="atLeast"/>
        <w:jc w:val="left"/>
        <w:rPr>
          <w:rFonts w:ascii="Times New Roman" w:eastAsia="宋体" w:hAnsi="Times New Roman" w:cs="Times New Roman"/>
          <w:color w:val="000000"/>
          <w:kern w:val="0"/>
          <w:sz w:val="20"/>
          <w:szCs w:val="20"/>
        </w:rPr>
      </w:pPr>
      <w:r w:rsidRPr="002F3D36">
        <w:rPr>
          <w:rFonts w:ascii="Arial" w:eastAsia="宋体" w:hAnsi="Arial" w:cs="Arial"/>
          <w:color w:val="000000"/>
          <w:kern w:val="0"/>
          <w:sz w:val="2"/>
          <w:szCs w:val="2"/>
        </w:rPr>
        <w:t> </w:t>
      </w:r>
    </w:p>
    <w:p w14:paraId="46232D26" w14:textId="77777777" w:rsidR="002F3D36" w:rsidRPr="002F3D36" w:rsidRDefault="002F3D36" w:rsidP="002F3D36">
      <w:pPr>
        <w:widowControl/>
        <w:spacing w:before="10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22"/>
        </w:rPr>
        <w:t>6. Receivables</w:t>
      </w:r>
    </w:p>
    <w:p w14:paraId="4E87F4D4" w14:textId="77777777" w:rsidR="002F3D36" w:rsidRPr="002F3D36" w:rsidRDefault="002F3D36" w:rsidP="002F3D36">
      <w:pPr>
        <w:widowControl/>
        <w:jc w:val="left"/>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w:t>
      </w:r>
    </w:p>
    <w:tbl>
      <w:tblPr>
        <w:tblW w:w="16491" w:type="dxa"/>
        <w:tblCellSpacing w:w="15" w:type="dxa"/>
        <w:tblCellMar>
          <w:top w:w="15" w:type="dxa"/>
          <w:left w:w="15" w:type="dxa"/>
          <w:bottom w:w="15" w:type="dxa"/>
          <w:right w:w="15" w:type="dxa"/>
        </w:tblCellMar>
        <w:tblLook w:val="04A0" w:firstRow="1" w:lastRow="0" w:firstColumn="1" w:lastColumn="0" w:noHBand="0" w:noVBand="1"/>
      </w:tblPr>
      <w:tblGrid>
        <w:gridCol w:w="9895"/>
        <w:gridCol w:w="260"/>
        <w:gridCol w:w="295"/>
        <w:gridCol w:w="1457"/>
        <w:gridCol w:w="190"/>
        <w:gridCol w:w="261"/>
        <w:gridCol w:w="296"/>
        <w:gridCol w:w="1442"/>
        <w:gridCol w:w="190"/>
        <w:gridCol w:w="261"/>
        <w:gridCol w:w="296"/>
        <w:gridCol w:w="1442"/>
        <w:gridCol w:w="206"/>
      </w:tblGrid>
      <w:tr w:rsidR="002F3D36" w:rsidRPr="002F3D36" w14:paraId="59549A52" w14:textId="77777777" w:rsidTr="002F3D36">
        <w:trPr>
          <w:tblCellSpacing w:w="15" w:type="dxa"/>
        </w:trPr>
        <w:tc>
          <w:tcPr>
            <w:tcW w:w="9871" w:type="dxa"/>
            <w:vAlign w:val="center"/>
            <w:hideMark/>
          </w:tcPr>
          <w:p w14:paraId="50C843AE" w14:textId="77777777" w:rsidR="002F3D36" w:rsidRPr="002F3D36" w:rsidRDefault="002F3D36" w:rsidP="002F3D36">
            <w:pPr>
              <w:widowControl/>
              <w:jc w:val="left"/>
              <w:rPr>
                <w:rFonts w:ascii="Times New Roman" w:eastAsia="宋体" w:hAnsi="Times New Roman" w:cs="Times New Roman"/>
                <w:color w:val="000000"/>
                <w:kern w:val="0"/>
                <w:sz w:val="20"/>
                <w:szCs w:val="20"/>
              </w:rPr>
            </w:pPr>
          </w:p>
        </w:tc>
        <w:tc>
          <w:tcPr>
            <w:tcW w:w="231" w:type="dxa"/>
            <w:vAlign w:val="center"/>
            <w:hideMark/>
          </w:tcPr>
          <w:p w14:paraId="2DD93BCF"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66" w:type="dxa"/>
            <w:vAlign w:val="center"/>
            <w:hideMark/>
          </w:tcPr>
          <w:p w14:paraId="01D846A0"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429" w:type="dxa"/>
            <w:vAlign w:val="center"/>
            <w:hideMark/>
          </w:tcPr>
          <w:p w14:paraId="611A141B"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60" w:type="dxa"/>
            <w:vAlign w:val="center"/>
            <w:hideMark/>
          </w:tcPr>
          <w:p w14:paraId="4082418D"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31" w:type="dxa"/>
            <w:vAlign w:val="center"/>
            <w:hideMark/>
          </w:tcPr>
          <w:p w14:paraId="6019A4B9"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66" w:type="dxa"/>
            <w:vAlign w:val="center"/>
            <w:hideMark/>
          </w:tcPr>
          <w:p w14:paraId="52D139A1"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414" w:type="dxa"/>
            <w:vAlign w:val="center"/>
            <w:hideMark/>
          </w:tcPr>
          <w:p w14:paraId="3F9CA8F5"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60" w:type="dxa"/>
            <w:vAlign w:val="center"/>
            <w:hideMark/>
          </w:tcPr>
          <w:p w14:paraId="780AA62D"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31" w:type="dxa"/>
            <w:vAlign w:val="center"/>
            <w:hideMark/>
          </w:tcPr>
          <w:p w14:paraId="4B96111F"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66" w:type="dxa"/>
            <w:vAlign w:val="center"/>
            <w:hideMark/>
          </w:tcPr>
          <w:p w14:paraId="571BA701"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414" w:type="dxa"/>
            <w:vAlign w:val="center"/>
            <w:hideMark/>
          </w:tcPr>
          <w:p w14:paraId="5AE2BBE9"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61" w:type="dxa"/>
            <w:vAlign w:val="center"/>
            <w:hideMark/>
          </w:tcPr>
          <w:p w14:paraId="474FBEB9" w14:textId="77777777" w:rsidR="002F3D36" w:rsidRPr="002F3D36" w:rsidRDefault="002F3D36" w:rsidP="002F3D36">
            <w:pPr>
              <w:widowControl/>
              <w:jc w:val="left"/>
              <w:rPr>
                <w:rFonts w:ascii="Times New Roman" w:eastAsia="Times New Roman" w:hAnsi="Times New Roman" w:cs="Times New Roman"/>
                <w:kern w:val="0"/>
                <w:sz w:val="20"/>
                <w:szCs w:val="20"/>
              </w:rPr>
            </w:pPr>
          </w:p>
        </w:tc>
      </w:tr>
      <w:tr w:rsidR="002F3D36" w:rsidRPr="002F3D36" w14:paraId="1204E687" w14:textId="77777777" w:rsidTr="002F3D36">
        <w:trPr>
          <w:trHeight w:val="160"/>
          <w:tblCellSpacing w:w="15" w:type="dxa"/>
        </w:trPr>
        <w:tc>
          <w:tcPr>
            <w:tcW w:w="0" w:type="auto"/>
            <w:vAlign w:val="bottom"/>
            <w:hideMark/>
          </w:tcPr>
          <w:p w14:paraId="1DB110D6"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color w:val="000000"/>
                <w:kern w:val="0"/>
                <w:sz w:val="16"/>
                <w:szCs w:val="16"/>
              </w:rPr>
              <w:t>(Dollars in millions)</w:t>
            </w:r>
          </w:p>
        </w:tc>
        <w:tc>
          <w:tcPr>
            <w:tcW w:w="0" w:type="auto"/>
            <w:vAlign w:val="bottom"/>
            <w:hideMark/>
          </w:tcPr>
          <w:p w14:paraId="2CDF9B70" w14:textId="77777777" w:rsidR="002F3D36" w:rsidRPr="002F3D36" w:rsidRDefault="002F3D36" w:rsidP="002F3D36">
            <w:pPr>
              <w:widowControl/>
              <w:jc w:val="left"/>
              <w:rPr>
                <w:rFonts w:ascii="Times New Roman" w:eastAsia="宋体" w:hAnsi="Times New Roman" w:cs="Times New Roman"/>
                <w:kern w:val="0"/>
                <w:sz w:val="22"/>
              </w:rPr>
            </w:pPr>
            <w:r w:rsidRPr="002F3D36">
              <w:rPr>
                <w:rFonts w:ascii="Arial" w:eastAsia="宋体" w:hAnsi="Arial" w:cs="Arial"/>
                <w:kern w:val="0"/>
                <w:sz w:val="22"/>
              </w:rPr>
              <w:t> </w:t>
            </w:r>
          </w:p>
        </w:tc>
        <w:tc>
          <w:tcPr>
            <w:tcW w:w="0" w:type="auto"/>
            <w:gridSpan w:val="10"/>
            <w:tcBorders>
              <w:bottom w:val="single" w:sz="4" w:space="0" w:color="000000"/>
            </w:tcBorders>
            <w:vAlign w:val="bottom"/>
            <w:hideMark/>
          </w:tcPr>
          <w:p w14:paraId="195AEC49"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December 31,</w:t>
            </w:r>
          </w:p>
        </w:tc>
        <w:tc>
          <w:tcPr>
            <w:tcW w:w="0" w:type="auto"/>
            <w:vAlign w:val="bottom"/>
            <w:hideMark/>
          </w:tcPr>
          <w:p w14:paraId="502762C4"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r>
      <w:tr w:rsidR="002F3D36" w:rsidRPr="002F3D36" w14:paraId="2A20913F" w14:textId="77777777" w:rsidTr="002F3D36">
        <w:trPr>
          <w:trHeight w:val="160"/>
          <w:tblCellSpacing w:w="15" w:type="dxa"/>
        </w:trPr>
        <w:tc>
          <w:tcPr>
            <w:tcW w:w="0" w:type="auto"/>
            <w:vAlign w:val="bottom"/>
            <w:hideMark/>
          </w:tcPr>
          <w:p w14:paraId="610C7D0B"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vAlign w:val="bottom"/>
            <w:hideMark/>
          </w:tcPr>
          <w:p w14:paraId="3725EB15"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2"/>
            <w:tcBorders>
              <w:bottom w:val="single" w:sz="4" w:space="0" w:color="000000"/>
            </w:tcBorders>
            <w:vAlign w:val="bottom"/>
            <w:hideMark/>
          </w:tcPr>
          <w:p w14:paraId="44B86789"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2021</w:t>
            </w:r>
          </w:p>
        </w:tc>
        <w:tc>
          <w:tcPr>
            <w:tcW w:w="0" w:type="auto"/>
            <w:vAlign w:val="bottom"/>
            <w:hideMark/>
          </w:tcPr>
          <w:p w14:paraId="7168C39D"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vAlign w:val="bottom"/>
            <w:hideMark/>
          </w:tcPr>
          <w:p w14:paraId="5B255DDD"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2"/>
            <w:tcBorders>
              <w:bottom w:val="single" w:sz="4" w:space="0" w:color="000000"/>
            </w:tcBorders>
            <w:vAlign w:val="bottom"/>
            <w:hideMark/>
          </w:tcPr>
          <w:p w14:paraId="438EBCA1"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2020</w:t>
            </w:r>
          </w:p>
        </w:tc>
        <w:tc>
          <w:tcPr>
            <w:tcW w:w="0" w:type="auto"/>
            <w:vAlign w:val="bottom"/>
            <w:hideMark/>
          </w:tcPr>
          <w:p w14:paraId="55E7420E"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vAlign w:val="bottom"/>
            <w:hideMark/>
          </w:tcPr>
          <w:p w14:paraId="23DDFD90"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2"/>
            <w:tcBorders>
              <w:bottom w:val="single" w:sz="4" w:space="0" w:color="000000"/>
            </w:tcBorders>
            <w:vAlign w:val="bottom"/>
            <w:hideMark/>
          </w:tcPr>
          <w:p w14:paraId="16553510"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2019</w:t>
            </w:r>
          </w:p>
        </w:tc>
        <w:tc>
          <w:tcPr>
            <w:tcW w:w="0" w:type="auto"/>
            <w:vAlign w:val="bottom"/>
            <w:hideMark/>
          </w:tcPr>
          <w:p w14:paraId="5DE15FAE"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r>
      <w:tr w:rsidR="002F3D36" w:rsidRPr="002F3D36" w14:paraId="522D3B6F" w14:textId="77777777" w:rsidTr="002F3D36">
        <w:trPr>
          <w:trHeight w:val="180"/>
          <w:tblCellSpacing w:w="15" w:type="dxa"/>
        </w:trPr>
        <w:tc>
          <w:tcPr>
            <w:tcW w:w="0" w:type="auto"/>
            <w:hideMark/>
          </w:tcPr>
          <w:p w14:paraId="3E70DB1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Receivables</w:t>
            </w:r>
          </w:p>
        </w:tc>
        <w:tc>
          <w:tcPr>
            <w:tcW w:w="0" w:type="auto"/>
            <w:vAlign w:val="bottom"/>
            <w:hideMark/>
          </w:tcPr>
          <w:p w14:paraId="0A925DA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2C1F5DAE"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vAlign w:val="bottom"/>
            <w:hideMark/>
          </w:tcPr>
          <w:p w14:paraId="4A59B4C7"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1,707</w:t>
            </w:r>
          </w:p>
        </w:tc>
        <w:tc>
          <w:tcPr>
            <w:tcW w:w="0" w:type="auto"/>
            <w:vAlign w:val="bottom"/>
            <w:hideMark/>
          </w:tcPr>
          <w:p w14:paraId="6E79049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33B20DF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50CD9E6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vAlign w:val="bottom"/>
            <w:hideMark/>
          </w:tcPr>
          <w:p w14:paraId="7B42DD09"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1,831</w:t>
            </w:r>
          </w:p>
        </w:tc>
        <w:tc>
          <w:tcPr>
            <w:tcW w:w="0" w:type="auto"/>
            <w:vAlign w:val="bottom"/>
            <w:hideMark/>
          </w:tcPr>
          <w:p w14:paraId="4F2699A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16E09CF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41F283A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vAlign w:val="bottom"/>
            <w:hideMark/>
          </w:tcPr>
          <w:p w14:paraId="0FB161EE"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1,632</w:t>
            </w:r>
          </w:p>
        </w:tc>
        <w:tc>
          <w:tcPr>
            <w:tcW w:w="0" w:type="auto"/>
            <w:vAlign w:val="bottom"/>
            <w:hideMark/>
          </w:tcPr>
          <w:p w14:paraId="2306AD2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5E56C47D" w14:textId="77777777" w:rsidTr="002F3D36">
        <w:trPr>
          <w:trHeight w:val="180"/>
          <w:tblCellSpacing w:w="15" w:type="dxa"/>
        </w:trPr>
        <w:tc>
          <w:tcPr>
            <w:tcW w:w="0" w:type="auto"/>
            <w:shd w:val="clear" w:color="auto" w:fill="CFF0FC"/>
            <w:vAlign w:val="bottom"/>
            <w:hideMark/>
          </w:tcPr>
          <w:p w14:paraId="2C4DE6BE"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Allowance for credit loss at beginning of year</w:t>
            </w:r>
          </w:p>
        </w:tc>
        <w:tc>
          <w:tcPr>
            <w:tcW w:w="0" w:type="auto"/>
            <w:shd w:val="clear" w:color="auto" w:fill="CFF0FC"/>
            <w:vAlign w:val="bottom"/>
            <w:hideMark/>
          </w:tcPr>
          <w:p w14:paraId="4399E38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01BBCB4E"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shd w:val="clear" w:color="auto" w:fill="CFF0FC"/>
            <w:vAlign w:val="bottom"/>
            <w:hideMark/>
          </w:tcPr>
          <w:p w14:paraId="1C732776"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(12</w:t>
            </w:r>
          </w:p>
        </w:tc>
        <w:tc>
          <w:tcPr>
            <w:tcW w:w="0" w:type="auto"/>
            <w:shd w:val="clear" w:color="auto" w:fill="CFF0FC"/>
            <w:vAlign w:val="bottom"/>
            <w:hideMark/>
          </w:tcPr>
          <w:p w14:paraId="08BD8F3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shd w:val="clear" w:color="auto" w:fill="CFF0FC"/>
            <w:vAlign w:val="bottom"/>
            <w:hideMark/>
          </w:tcPr>
          <w:p w14:paraId="6B2C2E6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18FD4E8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shd w:val="clear" w:color="auto" w:fill="CFF0FC"/>
            <w:vAlign w:val="bottom"/>
            <w:hideMark/>
          </w:tcPr>
          <w:p w14:paraId="48BA8FE5"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(9</w:t>
            </w:r>
          </w:p>
        </w:tc>
        <w:tc>
          <w:tcPr>
            <w:tcW w:w="0" w:type="auto"/>
            <w:shd w:val="clear" w:color="auto" w:fill="CFF0FC"/>
            <w:vAlign w:val="bottom"/>
            <w:hideMark/>
          </w:tcPr>
          <w:p w14:paraId="382F31E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shd w:val="clear" w:color="auto" w:fill="CFF0FC"/>
            <w:vAlign w:val="bottom"/>
            <w:hideMark/>
          </w:tcPr>
          <w:p w14:paraId="0599A85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72DAA62E"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shd w:val="clear" w:color="auto" w:fill="CFF0FC"/>
            <w:vAlign w:val="bottom"/>
            <w:hideMark/>
          </w:tcPr>
          <w:p w14:paraId="4926177D"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(7</w:t>
            </w:r>
          </w:p>
        </w:tc>
        <w:tc>
          <w:tcPr>
            <w:tcW w:w="0" w:type="auto"/>
            <w:shd w:val="clear" w:color="auto" w:fill="CFF0FC"/>
            <w:vAlign w:val="bottom"/>
            <w:hideMark/>
          </w:tcPr>
          <w:p w14:paraId="555FFC1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r>
      <w:tr w:rsidR="002F3D36" w:rsidRPr="002F3D36" w14:paraId="06B987B9" w14:textId="77777777" w:rsidTr="002F3D36">
        <w:trPr>
          <w:trHeight w:val="180"/>
          <w:tblCellSpacing w:w="15" w:type="dxa"/>
        </w:trPr>
        <w:tc>
          <w:tcPr>
            <w:tcW w:w="0" w:type="auto"/>
            <w:hideMark/>
          </w:tcPr>
          <w:p w14:paraId="41BCC9D9" w14:textId="77777777" w:rsidR="002F3D36" w:rsidRPr="002F3D36" w:rsidRDefault="002F3D36" w:rsidP="002F3D36">
            <w:pPr>
              <w:widowControl/>
              <w:ind w:left="200"/>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Reversal of (addition to) allowance</w:t>
            </w:r>
          </w:p>
        </w:tc>
        <w:tc>
          <w:tcPr>
            <w:tcW w:w="0" w:type="auto"/>
            <w:vAlign w:val="bottom"/>
            <w:hideMark/>
          </w:tcPr>
          <w:p w14:paraId="02986CE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2C961F4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1639AB7A"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(0</w:t>
            </w:r>
          </w:p>
        </w:tc>
        <w:tc>
          <w:tcPr>
            <w:tcW w:w="0" w:type="auto"/>
            <w:vAlign w:val="bottom"/>
            <w:hideMark/>
          </w:tcPr>
          <w:p w14:paraId="3D742DE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vAlign w:val="bottom"/>
            <w:hideMark/>
          </w:tcPr>
          <w:p w14:paraId="2D11D4CE"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201DAD2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2D89054B"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(4</w:t>
            </w:r>
          </w:p>
        </w:tc>
        <w:tc>
          <w:tcPr>
            <w:tcW w:w="0" w:type="auto"/>
            <w:vAlign w:val="bottom"/>
            <w:hideMark/>
          </w:tcPr>
          <w:p w14:paraId="7C9CCA5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vAlign w:val="bottom"/>
            <w:hideMark/>
          </w:tcPr>
          <w:p w14:paraId="260B390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1796CDA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0F5B7368"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(4</w:t>
            </w:r>
          </w:p>
        </w:tc>
        <w:tc>
          <w:tcPr>
            <w:tcW w:w="0" w:type="auto"/>
            <w:vAlign w:val="bottom"/>
            <w:hideMark/>
          </w:tcPr>
          <w:p w14:paraId="42670F0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r>
      <w:tr w:rsidR="002F3D36" w:rsidRPr="002F3D36" w14:paraId="087B6DC4" w14:textId="77777777" w:rsidTr="002F3D36">
        <w:trPr>
          <w:trHeight w:val="180"/>
          <w:tblCellSpacing w:w="15" w:type="dxa"/>
        </w:trPr>
        <w:tc>
          <w:tcPr>
            <w:tcW w:w="0" w:type="auto"/>
            <w:shd w:val="clear" w:color="auto" w:fill="CFF0FC"/>
            <w:hideMark/>
          </w:tcPr>
          <w:p w14:paraId="16986C72" w14:textId="77777777" w:rsidR="002F3D36" w:rsidRPr="002F3D36" w:rsidRDefault="002F3D36" w:rsidP="002F3D36">
            <w:pPr>
              <w:widowControl/>
              <w:ind w:left="200"/>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Write-off against allowance</w:t>
            </w:r>
          </w:p>
        </w:tc>
        <w:tc>
          <w:tcPr>
            <w:tcW w:w="0" w:type="auto"/>
            <w:shd w:val="clear" w:color="auto" w:fill="CFF0FC"/>
            <w:vAlign w:val="bottom"/>
            <w:hideMark/>
          </w:tcPr>
          <w:p w14:paraId="708519A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3D35ACA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4F2E4BAD"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4</w:t>
            </w:r>
          </w:p>
        </w:tc>
        <w:tc>
          <w:tcPr>
            <w:tcW w:w="0" w:type="auto"/>
            <w:shd w:val="clear" w:color="auto" w:fill="CFF0FC"/>
            <w:vAlign w:val="bottom"/>
            <w:hideMark/>
          </w:tcPr>
          <w:p w14:paraId="3E1A1C1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0AB47BF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4903A15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2B5284AB"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w:t>
            </w:r>
          </w:p>
        </w:tc>
        <w:tc>
          <w:tcPr>
            <w:tcW w:w="0" w:type="auto"/>
            <w:shd w:val="clear" w:color="auto" w:fill="CFF0FC"/>
            <w:vAlign w:val="bottom"/>
            <w:hideMark/>
          </w:tcPr>
          <w:p w14:paraId="17B84EB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14B09DF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56A9049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2D22ECDA"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2</w:t>
            </w:r>
          </w:p>
        </w:tc>
        <w:tc>
          <w:tcPr>
            <w:tcW w:w="0" w:type="auto"/>
            <w:shd w:val="clear" w:color="auto" w:fill="CFF0FC"/>
            <w:vAlign w:val="bottom"/>
            <w:hideMark/>
          </w:tcPr>
          <w:p w14:paraId="2FE53DA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30E9497C" w14:textId="77777777" w:rsidTr="002F3D36">
        <w:trPr>
          <w:trHeight w:val="180"/>
          <w:tblCellSpacing w:w="15" w:type="dxa"/>
        </w:trPr>
        <w:tc>
          <w:tcPr>
            <w:tcW w:w="0" w:type="auto"/>
            <w:hideMark/>
          </w:tcPr>
          <w:p w14:paraId="022EA4DD" w14:textId="77777777" w:rsidR="002F3D36" w:rsidRPr="002F3D36" w:rsidRDefault="002F3D36" w:rsidP="002F3D36">
            <w:pPr>
              <w:widowControl/>
              <w:ind w:left="200"/>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Translation difference</w:t>
            </w:r>
          </w:p>
        </w:tc>
        <w:tc>
          <w:tcPr>
            <w:tcW w:w="0" w:type="auto"/>
            <w:vAlign w:val="bottom"/>
            <w:hideMark/>
          </w:tcPr>
          <w:p w14:paraId="52776FA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4B032A7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53801A8D"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w:t>
            </w:r>
          </w:p>
        </w:tc>
        <w:tc>
          <w:tcPr>
            <w:tcW w:w="0" w:type="auto"/>
            <w:vAlign w:val="bottom"/>
            <w:hideMark/>
          </w:tcPr>
          <w:p w14:paraId="7487637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08FFE10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5B690C9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681482B3"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w:t>
            </w:r>
          </w:p>
        </w:tc>
        <w:tc>
          <w:tcPr>
            <w:tcW w:w="0" w:type="auto"/>
            <w:vAlign w:val="bottom"/>
            <w:hideMark/>
          </w:tcPr>
          <w:p w14:paraId="75E6ED4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vAlign w:val="bottom"/>
            <w:hideMark/>
          </w:tcPr>
          <w:p w14:paraId="372AD93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01DB49C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54AA1F60"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0</w:t>
            </w:r>
          </w:p>
        </w:tc>
        <w:tc>
          <w:tcPr>
            <w:tcW w:w="0" w:type="auto"/>
            <w:vAlign w:val="bottom"/>
            <w:hideMark/>
          </w:tcPr>
          <w:p w14:paraId="1D8275AE"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256823C9" w14:textId="77777777" w:rsidTr="002F3D36">
        <w:trPr>
          <w:trHeight w:val="180"/>
          <w:tblCellSpacing w:w="15" w:type="dxa"/>
        </w:trPr>
        <w:tc>
          <w:tcPr>
            <w:tcW w:w="0" w:type="auto"/>
            <w:shd w:val="clear" w:color="auto" w:fill="CFF0FC"/>
            <w:hideMark/>
          </w:tcPr>
          <w:p w14:paraId="00B4F98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Allowance for credit loss at end of year</w:t>
            </w:r>
          </w:p>
        </w:tc>
        <w:tc>
          <w:tcPr>
            <w:tcW w:w="0" w:type="auto"/>
            <w:shd w:val="clear" w:color="auto" w:fill="CFF0FC"/>
            <w:vAlign w:val="bottom"/>
            <w:hideMark/>
          </w:tcPr>
          <w:p w14:paraId="39D4B37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2FF4A6E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tcBorders>
              <w:bottom w:val="single" w:sz="4" w:space="0" w:color="000000"/>
            </w:tcBorders>
            <w:shd w:val="clear" w:color="auto" w:fill="CFF0FC"/>
            <w:vAlign w:val="bottom"/>
            <w:hideMark/>
          </w:tcPr>
          <w:p w14:paraId="57B3E1B4"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(8</w:t>
            </w:r>
          </w:p>
        </w:tc>
        <w:tc>
          <w:tcPr>
            <w:tcW w:w="0" w:type="auto"/>
            <w:shd w:val="clear" w:color="auto" w:fill="CFF0FC"/>
            <w:vAlign w:val="bottom"/>
            <w:hideMark/>
          </w:tcPr>
          <w:p w14:paraId="2AE6A4E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shd w:val="clear" w:color="auto" w:fill="CFF0FC"/>
            <w:vAlign w:val="bottom"/>
            <w:hideMark/>
          </w:tcPr>
          <w:p w14:paraId="6D51556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6446840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tcBorders>
              <w:bottom w:val="single" w:sz="4" w:space="0" w:color="000000"/>
            </w:tcBorders>
            <w:shd w:val="clear" w:color="auto" w:fill="CFF0FC"/>
            <w:vAlign w:val="bottom"/>
            <w:hideMark/>
          </w:tcPr>
          <w:p w14:paraId="00439CCC"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(12</w:t>
            </w:r>
          </w:p>
        </w:tc>
        <w:tc>
          <w:tcPr>
            <w:tcW w:w="0" w:type="auto"/>
            <w:shd w:val="clear" w:color="auto" w:fill="CFF0FC"/>
            <w:vAlign w:val="bottom"/>
            <w:hideMark/>
          </w:tcPr>
          <w:p w14:paraId="3CE2DD9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shd w:val="clear" w:color="auto" w:fill="CFF0FC"/>
            <w:vAlign w:val="bottom"/>
            <w:hideMark/>
          </w:tcPr>
          <w:p w14:paraId="665B5BB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59D9973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tcBorders>
              <w:bottom w:val="single" w:sz="4" w:space="0" w:color="000000"/>
            </w:tcBorders>
            <w:shd w:val="clear" w:color="auto" w:fill="CFF0FC"/>
            <w:vAlign w:val="bottom"/>
            <w:hideMark/>
          </w:tcPr>
          <w:p w14:paraId="0B8B6490"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(9</w:t>
            </w:r>
          </w:p>
        </w:tc>
        <w:tc>
          <w:tcPr>
            <w:tcW w:w="0" w:type="auto"/>
            <w:shd w:val="clear" w:color="auto" w:fill="CFF0FC"/>
            <w:vAlign w:val="bottom"/>
            <w:hideMark/>
          </w:tcPr>
          <w:p w14:paraId="7D9DAFA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r>
      <w:tr w:rsidR="002F3D36" w:rsidRPr="002F3D36" w14:paraId="54CB138F" w14:textId="77777777" w:rsidTr="002F3D36">
        <w:trPr>
          <w:trHeight w:val="180"/>
          <w:tblCellSpacing w:w="15" w:type="dxa"/>
        </w:trPr>
        <w:tc>
          <w:tcPr>
            <w:tcW w:w="0" w:type="auto"/>
            <w:vAlign w:val="bottom"/>
            <w:hideMark/>
          </w:tcPr>
          <w:p w14:paraId="27319D9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Total receivables, net of allowance</w:t>
            </w:r>
          </w:p>
        </w:tc>
        <w:tc>
          <w:tcPr>
            <w:tcW w:w="0" w:type="auto"/>
            <w:vAlign w:val="bottom"/>
            <w:hideMark/>
          </w:tcPr>
          <w:p w14:paraId="3576FC2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30B41F4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tcBorders>
              <w:bottom w:val="single" w:sz="4" w:space="0" w:color="000000"/>
            </w:tcBorders>
            <w:vAlign w:val="bottom"/>
            <w:hideMark/>
          </w:tcPr>
          <w:p w14:paraId="0921196D"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1,699</w:t>
            </w:r>
          </w:p>
        </w:tc>
        <w:tc>
          <w:tcPr>
            <w:tcW w:w="0" w:type="auto"/>
            <w:vAlign w:val="bottom"/>
            <w:hideMark/>
          </w:tcPr>
          <w:p w14:paraId="55D91F4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05918E8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3C14CF0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tcBorders>
              <w:bottom w:val="single" w:sz="4" w:space="0" w:color="000000"/>
            </w:tcBorders>
            <w:vAlign w:val="bottom"/>
            <w:hideMark/>
          </w:tcPr>
          <w:p w14:paraId="0557AD38"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1,820</w:t>
            </w:r>
          </w:p>
        </w:tc>
        <w:tc>
          <w:tcPr>
            <w:tcW w:w="0" w:type="auto"/>
            <w:vAlign w:val="bottom"/>
            <w:hideMark/>
          </w:tcPr>
          <w:p w14:paraId="0F9CF71E"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13C0EF1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6BA16A9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tcBorders>
              <w:bottom w:val="single" w:sz="4" w:space="0" w:color="000000"/>
            </w:tcBorders>
            <w:vAlign w:val="bottom"/>
            <w:hideMark/>
          </w:tcPr>
          <w:p w14:paraId="2A8250BC"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1,624</w:t>
            </w:r>
          </w:p>
        </w:tc>
        <w:tc>
          <w:tcPr>
            <w:tcW w:w="0" w:type="auto"/>
            <w:vAlign w:val="bottom"/>
            <w:hideMark/>
          </w:tcPr>
          <w:p w14:paraId="6460132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bl>
    <w:p w14:paraId="0DBA39BB" w14:textId="77777777" w:rsidR="002F3D36" w:rsidRPr="002F3D36" w:rsidRDefault="002F3D36" w:rsidP="002F3D36">
      <w:pPr>
        <w:widowControl/>
        <w:jc w:val="left"/>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w:t>
      </w:r>
    </w:p>
    <w:p w14:paraId="3C457A2C" w14:textId="77777777" w:rsidR="002F3D36" w:rsidRPr="002F3D36" w:rsidRDefault="002F3D36" w:rsidP="002F3D36">
      <w:pPr>
        <w:widowControl/>
        <w:spacing w:before="16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22"/>
        </w:rPr>
        <w:t>7. Inventories</w:t>
      </w:r>
    </w:p>
    <w:p w14:paraId="506CCF83"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w:t>
      </w:r>
    </w:p>
    <w:tbl>
      <w:tblPr>
        <w:tblW w:w="16491" w:type="dxa"/>
        <w:tblCellSpacing w:w="15" w:type="dxa"/>
        <w:tblCellMar>
          <w:top w:w="15" w:type="dxa"/>
          <w:left w:w="15" w:type="dxa"/>
          <w:bottom w:w="15" w:type="dxa"/>
          <w:right w:w="15" w:type="dxa"/>
        </w:tblCellMar>
        <w:tblLook w:val="04A0" w:firstRow="1" w:lastRow="0" w:firstColumn="1" w:lastColumn="0" w:noHBand="0" w:noVBand="1"/>
      </w:tblPr>
      <w:tblGrid>
        <w:gridCol w:w="10077"/>
        <w:gridCol w:w="267"/>
        <w:gridCol w:w="298"/>
        <w:gridCol w:w="1376"/>
        <w:gridCol w:w="192"/>
        <w:gridCol w:w="267"/>
        <w:gridCol w:w="298"/>
        <w:gridCol w:w="1376"/>
        <w:gridCol w:w="192"/>
        <w:gridCol w:w="267"/>
        <w:gridCol w:w="298"/>
        <w:gridCol w:w="1376"/>
        <w:gridCol w:w="207"/>
      </w:tblGrid>
      <w:tr w:rsidR="002F3D36" w:rsidRPr="002F3D36" w14:paraId="5CB42464" w14:textId="77777777" w:rsidTr="002F3D36">
        <w:trPr>
          <w:tblCellSpacing w:w="15" w:type="dxa"/>
        </w:trPr>
        <w:tc>
          <w:tcPr>
            <w:tcW w:w="10056" w:type="dxa"/>
            <w:vAlign w:val="center"/>
            <w:hideMark/>
          </w:tcPr>
          <w:p w14:paraId="7961B325" w14:textId="77777777" w:rsidR="002F3D36" w:rsidRPr="002F3D36" w:rsidRDefault="002F3D36" w:rsidP="002F3D36">
            <w:pPr>
              <w:widowControl/>
              <w:jc w:val="left"/>
              <w:rPr>
                <w:rFonts w:ascii="Times New Roman" w:eastAsia="宋体" w:hAnsi="Times New Roman" w:cs="Times New Roman"/>
                <w:color w:val="000000"/>
                <w:kern w:val="0"/>
                <w:sz w:val="20"/>
                <w:szCs w:val="20"/>
              </w:rPr>
            </w:pPr>
          </w:p>
        </w:tc>
        <w:tc>
          <w:tcPr>
            <w:tcW w:w="237" w:type="dxa"/>
            <w:vAlign w:val="center"/>
            <w:hideMark/>
          </w:tcPr>
          <w:p w14:paraId="34229B7C"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68" w:type="dxa"/>
            <w:vAlign w:val="center"/>
            <w:hideMark/>
          </w:tcPr>
          <w:p w14:paraId="2EB3C66E"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349" w:type="dxa"/>
            <w:vAlign w:val="center"/>
            <w:hideMark/>
          </w:tcPr>
          <w:p w14:paraId="41D03065"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62" w:type="dxa"/>
            <w:vAlign w:val="center"/>
            <w:hideMark/>
          </w:tcPr>
          <w:p w14:paraId="6ADD62A3"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37" w:type="dxa"/>
            <w:vAlign w:val="center"/>
            <w:hideMark/>
          </w:tcPr>
          <w:p w14:paraId="4A1E0026"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68" w:type="dxa"/>
            <w:vAlign w:val="center"/>
            <w:hideMark/>
          </w:tcPr>
          <w:p w14:paraId="7BF8923C"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349" w:type="dxa"/>
            <w:vAlign w:val="center"/>
            <w:hideMark/>
          </w:tcPr>
          <w:p w14:paraId="0A0EFF3C"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62" w:type="dxa"/>
            <w:vAlign w:val="center"/>
            <w:hideMark/>
          </w:tcPr>
          <w:p w14:paraId="7C6268F3"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37" w:type="dxa"/>
            <w:vAlign w:val="center"/>
            <w:hideMark/>
          </w:tcPr>
          <w:p w14:paraId="66612F68"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68" w:type="dxa"/>
            <w:vAlign w:val="center"/>
            <w:hideMark/>
          </w:tcPr>
          <w:p w14:paraId="39648FCF"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349" w:type="dxa"/>
            <w:vAlign w:val="center"/>
            <w:hideMark/>
          </w:tcPr>
          <w:p w14:paraId="61EDC8AC"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62" w:type="dxa"/>
            <w:vAlign w:val="center"/>
            <w:hideMark/>
          </w:tcPr>
          <w:p w14:paraId="7A384B78" w14:textId="77777777" w:rsidR="002F3D36" w:rsidRPr="002F3D36" w:rsidRDefault="002F3D36" w:rsidP="002F3D36">
            <w:pPr>
              <w:widowControl/>
              <w:jc w:val="left"/>
              <w:rPr>
                <w:rFonts w:ascii="Times New Roman" w:eastAsia="Times New Roman" w:hAnsi="Times New Roman" w:cs="Times New Roman"/>
                <w:kern w:val="0"/>
                <w:sz w:val="20"/>
                <w:szCs w:val="20"/>
              </w:rPr>
            </w:pPr>
          </w:p>
        </w:tc>
      </w:tr>
      <w:tr w:rsidR="002F3D36" w:rsidRPr="002F3D36" w14:paraId="3E9C0ED7" w14:textId="77777777" w:rsidTr="002F3D36">
        <w:trPr>
          <w:trHeight w:val="160"/>
          <w:tblCellSpacing w:w="15" w:type="dxa"/>
        </w:trPr>
        <w:tc>
          <w:tcPr>
            <w:tcW w:w="0" w:type="auto"/>
            <w:vAlign w:val="bottom"/>
            <w:hideMark/>
          </w:tcPr>
          <w:p w14:paraId="05E4FC74"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color w:val="000000"/>
                <w:kern w:val="0"/>
                <w:sz w:val="16"/>
                <w:szCs w:val="16"/>
              </w:rPr>
              <w:t>(Dollars in millions)</w:t>
            </w:r>
          </w:p>
        </w:tc>
        <w:tc>
          <w:tcPr>
            <w:tcW w:w="0" w:type="auto"/>
            <w:vAlign w:val="bottom"/>
            <w:hideMark/>
          </w:tcPr>
          <w:p w14:paraId="3CB5A5BD" w14:textId="77777777" w:rsidR="002F3D36" w:rsidRPr="002F3D36" w:rsidRDefault="002F3D36" w:rsidP="002F3D36">
            <w:pPr>
              <w:widowControl/>
              <w:jc w:val="left"/>
              <w:rPr>
                <w:rFonts w:ascii="Times New Roman" w:eastAsia="宋体" w:hAnsi="Times New Roman" w:cs="Times New Roman"/>
                <w:kern w:val="0"/>
                <w:sz w:val="22"/>
              </w:rPr>
            </w:pPr>
            <w:r w:rsidRPr="002F3D36">
              <w:rPr>
                <w:rFonts w:ascii="Arial" w:eastAsia="宋体" w:hAnsi="Arial" w:cs="Arial"/>
                <w:kern w:val="0"/>
                <w:sz w:val="22"/>
              </w:rPr>
              <w:t> </w:t>
            </w:r>
          </w:p>
        </w:tc>
        <w:tc>
          <w:tcPr>
            <w:tcW w:w="0" w:type="auto"/>
            <w:gridSpan w:val="10"/>
            <w:tcBorders>
              <w:bottom w:val="single" w:sz="4" w:space="0" w:color="000000"/>
            </w:tcBorders>
            <w:vAlign w:val="bottom"/>
            <w:hideMark/>
          </w:tcPr>
          <w:p w14:paraId="1FA414F6"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December 31,</w:t>
            </w:r>
          </w:p>
        </w:tc>
        <w:tc>
          <w:tcPr>
            <w:tcW w:w="0" w:type="auto"/>
            <w:vAlign w:val="bottom"/>
            <w:hideMark/>
          </w:tcPr>
          <w:p w14:paraId="74C4D7E9"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r>
      <w:tr w:rsidR="002F3D36" w:rsidRPr="002F3D36" w14:paraId="4DC1EBF7" w14:textId="77777777" w:rsidTr="002F3D36">
        <w:trPr>
          <w:trHeight w:val="160"/>
          <w:tblCellSpacing w:w="15" w:type="dxa"/>
        </w:trPr>
        <w:tc>
          <w:tcPr>
            <w:tcW w:w="0" w:type="auto"/>
            <w:vAlign w:val="bottom"/>
            <w:hideMark/>
          </w:tcPr>
          <w:p w14:paraId="03F21810"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vAlign w:val="bottom"/>
            <w:hideMark/>
          </w:tcPr>
          <w:p w14:paraId="7991DC00"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2"/>
            <w:tcBorders>
              <w:bottom w:val="single" w:sz="4" w:space="0" w:color="000000"/>
            </w:tcBorders>
            <w:vAlign w:val="bottom"/>
            <w:hideMark/>
          </w:tcPr>
          <w:p w14:paraId="6BB1E30F"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2021</w:t>
            </w:r>
          </w:p>
        </w:tc>
        <w:tc>
          <w:tcPr>
            <w:tcW w:w="0" w:type="auto"/>
            <w:vAlign w:val="bottom"/>
            <w:hideMark/>
          </w:tcPr>
          <w:p w14:paraId="2260A86B"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vAlign w:val="bottom"/>
            <w:hideMark/>
          </w:tcPr>
          <w:p w14:paraId="7129CEFC"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2"/>
            <w:tcBorders>
              <w:bottom w:val="single" w:sz="4" w:space="0" w:color="000000"/>
            </w:tcBorders>
            <w:vAlign w:val="bottom"/>
            <w:hideMark/>
          </w:tcPr>
          <w:p w14:paraId="6BF689A3"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2020</w:t>
            </w:r>
          </w:p>
        </w:tc>
        <w:tc>
          <w:tcPr>
            <w:tcW w:w="0" w:type="auto"/>
            <w:vAlign w:val="bottom"/>
            <w:hideMark/>
          </w:tcPr>
          <w:p w14:paraId="6C0B2839"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vAlign w:val="bottom"/>
            <w:hideMark/>
          </w:tcPr>
          <w:p w14:paraId="03131636"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2"/>
            <w:tcBorders>
              <w:bottom w:val="single" w:sz="4" w:space="0" w:color="000000"/>
            </w:tcBorders>
            <w:vAlign w:val="bottom"/>
            <w:hideMark/>
          </w:tcPr>
          <w:p w14:paraId="0E47C0B4"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2019</w:t>
            </w:r>
          </w:p>
        </w:tc>
        <w:tc>
          <w:tcPr>
            <w:tcW w:w="0" w:type="auto"/>
            <w:vAlign w:val="bottom"/>
            <w:hideMark/>
          </w:tcPr>
          <w:p w14:paraId="71B87DE0"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r>
      <w:tr w:rsidR="002F3D36" w:rsidRPr="002F3D36" w14:paraId="2E16022F" w14:textId="77777777" w:rsidTr="002F3D36">
        <w:trPr>
          <w:trHeight w:val="180"/>
          <w:tblCellSpacing w:w="15" w:type="dxa"/>
        </w:trPr>
        <w:tc>
          <w:tcPr>
            <w:tcW w:w="0" w:type="auto"/>
            <w:hideMark/>
          </w:tcPr>
          <w:p w14:paraId="23864AA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Raw material</w:t>
            </w:r>
          </w:p>
        </w:tc>
        <w:tc>
          <w:tcPr>
            <w:tcW w:w="0" w:type="auto"/>
            <w:vAlign w:val="bottom"/>
            <w:hideMark/>
          </w:tcPr>
          <w:p w14:paraId="71EAE66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5B95A8F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vAlign w:val="bottom"/>
            <w:hideMark/>
          </w:tcPr>
          <w:p w14:paraId="177F60A6"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395</w:t>
            </w:r>
          </w:p>
        </w:tc>
        <w:tc>
          <w:tcPr>
            <w:tcW w:w="0" w:type="auto"/>
            <w:vAlign w:val="bottom"/>
            <w:hideMark/>
          </w:tcPr>
          <w:p w14:paraId="0CAB892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2BB8CC7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6B88FFBE"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vAlign w:val="bottom"/>
            <w:hideMark/>
          </w:tcPr>
          <w:p w14:paraId="01C8084D"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379</w:t>
            </w:r>
          </w:p>
        </w:tc>
        <w:tc>
          <w:tcPr>
            <w:tcW w:w="0" w:type="auto"/>
            <w:vAlign w:val="bottom"/>
            <w:hideMark/>
          </w:tcPr>
          <w:p w14:paraId="71F3113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14E8615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31EC43C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vAlign w:val="bottom"/>
            <w:hideMark/>
          </w:tcPr>
          <w:p w14:paraId="4FF09044"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366</w:t>
            </w:r>
          </w:p>
        </w:tc>
        <w:tc>
          <w:tcPr>
            <w:tcW w:w="0" w:type="auto"/>
            <w:vAlign w:val="bottom"/>
            <w:hideMark/>
          </w:tcPr>
          <w:p w14:paraId="5ADB674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69436DD2" w14:textId="77777777" w:rsidTr="002F3D36">
        <w:trPr>
          <w:trHeight w:val="180"/>
          <w:tblCellSpacing w:w="15" w:type="dxa"/>
        </w:trPr>
        <w:tc>
          <w:tcPr>
            <w:tcW w:w="0" w:type="auto"/>
            <w:shd w:val="clear" w:color="auto" w:fill="CFF0FC"/>
            <w:hideMark/>
          </w:tcPr>
          <w:p w14:paraId="1D5E946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Work in progress</w:t>
            </w:r>
          </w:p>
        </w:tc>
        <w:tc>
          <w:tcPr>
            <w:tcW w:w="0" w:type="auto"/>
            <w:shd w:val="clear" w:color="auto" w:fill="CFF0FC"/>
            <w:vAlign w:val="bottom"/>
            <w:hideMark/>
          </w:tcPr>
          <w:p w14:paraId="5070DAC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14862BE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7A4F49C8"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283</w:t>
            </w:r>
          </w:p>
        </w:tc>
        <w:tc>
          <w:tcPr>
            <w:tcW w:w="0" w:type="auto"/>
            <w:shd w:val="clear" w:color="auto" w:fill="CFF0FC"/>
            <w:vAlign w:val="bottom"/>
            <w:hideMark/>
          </w:tcPr>
          <w:p w14:paraId="4ECE6A1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5FC854C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236A775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46714542"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292</w:t>
            </w:r>
          </w:p>
        </w:tc>
        <w:tc>
          <w:tcPr>
            <w:tcW w:w="0" w:type="auto"/>
            <w:shd w:val="clear" w:color="auto" w:fill="CFF0FC"/>
            <w:vAlign w:val="bottom"/>
            <w:hideMark/>
          </w:tcPr>
          <w:p w14:paraId="027ACA1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3BA7E1B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328C2CD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46A1E7E9"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257</w:t>
            </w:r>
          </w:p>
        </w:tc>
        <w:tc>
          <w:tcPr>
            <w:tcW w:w="0" w:type="auto"/>
            <w:shd w:val="clear" w:color="auto" w:fill="CFF0FC"/>
            <w:vAlign w:val="bottom"/>
            <w:hideMark/>
          </w:tcPr>
          <w:p w14:paraId="4C4AB66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13276BD2" w14:textId="77777777" w:rsidTr="002F3D36">
        <w:trPr>
          <w:trHeight w:val="180"/>
          <w:tblCellSpacing w:w="15" w:type="dxa"/>
        </w:trPr>
        <w:tc>
          <w:tcPr>
            <w:tcW w:w="0" w:type="auto"/>
            <w:hideMark/>
          </w:tcPr>
          <w:p w14:paraId="5AD8EF2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Finished products</w:t>
            </w:r>
          </w:p>
        </w:tc>
        <w:tc>
          <w:tcPr>
            <w:tcW w:w="0" w:type="auto"/>
            <w:vAlign w:val="bottom"/>
            <w:hideMark/>
          </w:tcPr>
          <w:p w14:paraId="4F5C5BA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2535DCE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1E678632"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190</w:t>
            </w:r>
          </w:p>
        </w:tc>
        <w:tc>
          <w:tcPr>
            <w:tcW w:w="0" w:type="auto"/>
            <w:vAlign w:val="bottom"/>
            <w:hideMark/>
          </w:tcPr>
          <w:p w14:paraId="0493F99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3BD9FB8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349256C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6D191FF5"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220</w:t>
            </w:r>
          </w:p>
        </w:tc>
        <w:tc>
          <w:tcPr>
            <w:tcW w:w="0" w:type="auto"/>
            <w:vAlign w:val="bottom"/>
            <w:hideMark/>
          </w:tcPr>
          <w:p w14:paraId="77EBF54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322CDD8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7E3BB4A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538E2303"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200</w:t>
            </w:r>
          </w:p>
        </w:tc>
        <w:tc>
          <w:tcPr>
            <w:tcW w:w="0" w:type="auto"/>
            <w:vAlign w:val="bottom"/>
            <w:hideMark/>
          </w:tcPr>
          <w:p w14:paraId="0EE21AB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020FC4A7" w14:textId="77777777" w:rsidTr="002F3D36">
        <w:trPr>
          <w:trHeight w:val="180"/>
          <w:tblCellSpacing w:w="15" w:type="dxa"/>
        </w:trPr>
        <w:tc>
          <w:tcPr>
            <w:tcW w:w="0" w:type="auto"/>
            <w:shd w:val="clear" w:color="auto" w:fill="CFF0FC"/>
            <w:hideMark/>
          </w:tcPr>
          <w:p w14:paraId="6A60178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Inventories</w:t>
            </w:r>
          </w:p>
        </w:tc>
        <w:tc>
          <w:tcPr>
            <w:tcW w:w="0" w:type="auto"/>
            <w:shd w:val="clear" w:color="auto" w:fill="CFF0FC"/>
            <w:vAlign w:val="bottom"/>
            <w:hideMark/>
          </w:tcPr>
          <w:p w14:paraId="03727CE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5A2E062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shd w:val="clear" w:color="auto" w:fill="CFF0FC"/>
            <w:vAlign w:val="bottom"/>
            <w:hideMark/>
          </w:tcPr>
          <w:p w14:paraId="32AFD3E6"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868</w:t>
            </w:r>
          </w:p>
        </w:tc>
        <w:tc>
          <w:tcPr>
            <w:tcW w:w="0" w:type="auto"/>
            <w:shd w:val="clear" w:color="auto" w:fill="CFF0FC"/>
            <w:vAlign w:val="bottom"/>
            <w:hideMark/>
          </w:tcPr>
          <w:p w14:paraId="1E60F97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094E4A8E"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1B8EEFA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shd w:val="clear" w:color="auto" w:fill="CFF0FC"/>
            <w:vAlign w:val="bottom"/>
            <w:hideMark/>
          </w:tcPr>
          <w:p w14:paraId="558C6069"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891</w:t>
            </w:r>
          </w:p>
        </w:tc>
        <w:tc>
          <w:tcPr>
            <w:tcW w:w="0" w:type="auto"/>
            <w:shd w:val="clear" w:color="auto" w:fill="CFF0FC"/>
            <w:vAlign w:val="bottom"/>
            <w:hideMark/>
          </w:tcPr>
          <w:p w14:paraId="055B835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22C9BF3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30B8DC4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shd w:val="clear" w:color="auto" w:fill="CFF0FC"/>
            <w:vAlign w:val="bottom"/>
            <w:hideMark/>
          </w:tcPr>
          <w:p w14:paraId="3EE72D9D"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824</w:t>
            </w:r>
          </w:p>
        </w:tc>
        <w:tc>
          <w:tcPr>
            <w:tcW w:w="0" w:type="auto"/>
            <w:shd w:val="clear" w:color="auto" w:fill="CFF0FC"/>
            <w:vAlign w:val="bottom"/>
            <w:hideMark/>
          </w:tcPr>
          <w:p w14:paraId="45CDC51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682A483B" w14:textId="77777777" w:rsidTr="002F3D36">
        <w:trPr>
          <w:trHeight w:val="180"/>
          <w:tblCellSpacing w:w="15" w:type="dxa"/>
        </w:trPr>
        <w:tc>
          <w:tcPr>
            <w:tcW w:w="0" w:type="auto"/>
            <w:vAlign w:val="bottom"/>
            <w:hideMark/>
          </w:tcPr>
          <w:p w14:paraId="31F7E95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Inventory reserve at beginning of year</w:t>
            </w:r>
          </w:p>
        </w:tc>
        <w:tc>
          <w:tcPr>
            <w:tcW w:w="0" w:type="auto"/>
            <w:vAlign w:val="bottom"/>
            <w:hideMark/>
          </w:tcPr>
          <w:p w14:paraId="0EBFDB6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715076E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vAlign w:val="bottom"/>
            <w:hideMark/>
          </w:tcPr>
          <w:p w14:paraId="36EF35A5"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(93</w:t>
            </w:r>
          </w:p>
        </w:tc>
        <w:tc>
          <w:tcPr>
            <w:tcW w:w="0" w:type="auto"/>
            <w:vAlign w:val="bottom"/>
            <w:hideMark/>
          </w:tcPr>
          <w:p w14:paraId="11E9C2C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vAlign w:val="bottom"/>
            <w:hideMark/>
          </w:tcPr>
          <w:p w14:paraId="4FE2ED5E"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4FB9002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vAlign w:val="bottom"/>
            <w:hideMark/>
          </w:tcPr>
          <w:p w14:paraId="074772D9"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(83</w:t>
            </w:r>
          </w:p>
        </w:tc>
        <w:tc>
          <w:tcPr>
            <w:tcW w:w="0" w:type="auto"/>
            <w:vAlign w:val="bottom"/>
            <w:hideMark/>
          </w:tcPr>
          <w:p w14:paraId="5B0D956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vAlign w:val="bottom"/>
            <w:hideMark/>
          </w:tcPr>
          <w:p w14:paraId="332A189E"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70FF2AB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vAlign w:val="bottom"/>
            <w:hideMark/>
          </w:tcPr>
          <w:p w14:paraId="08163C45"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(85</w:t>
            </w:r>
          </w:p>
        </w:tc>
        <w:tc>
          <w:tcPr>
            <w:tcW w:w="0" w:type="auto"/>
            <w:vAlign w:val="bottom"/>
            <w:hideMark/>
          </w:tcPr>
          <w:p w14:paraId="5812E6B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r>
      <w:tr w:rsidR="002F3D36" w:rsidRPr="002F3D36" w14:paraId="40280D72" w14:textId="77777777" w:rsidTr="002F3D36">
        <w:trPr>
          <w:trHeight w:val="180"/>
          <w:tblCellSpacing w:w="15" w:type="dxa"/>
        </w:trPr>
        <w:tc>
          <w:tcPr>
            <w:tcW w:w="0" w:type="auto"/>
            <w:shd w:val="clear" w:color="auto" w:fill="CFF0FC"/>
            <w:hideMark/>
          </w:tcPr>
          <w:p w14:paraId="3921F765" w14:textId="77777777" w:rsidR="002F3D36" w:rsidRPr="002F3D36" w:rsidRDefault="002F3D36" w:rsidP="002F3D36">
            <w:pPr>
              <w:widowControl/>
              <w:ind w:left="200"/>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Reversal of (addition to) reserve</w:t>
            </w:r>
          </w:p>
        </w:tc>
        <w:tc>
          <w:tcPr>
            <w:tcW w:w="0" w:type="auto"/>
            <w:shd w:val="clear" w:color="auto" w:fill="CFF0FC"/>
            <w:vAlign w:val="bottom"/>
            <w:hideMark/>
          </w:tcPr>
          <w:p w14:paraId="671CB01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529D1AE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701D1B7A"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(3</w:t>
            </w:r>
          </w:p>
        </w:tc>
        <w:tc>
          <w:tcPr>
            <w:tcW w:w="0" w:type="auto"/>
            <w:shd w:val="clear" w:color="auto" w:fill="CFF0FC"/>
            <w:vAlign w:val="bottom"/>
            <w:hideMark/>
          </w:tcPr>
          <w:p w14:paraId="27B40D2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416A934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30A0BE0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21A78F21"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(3</w:t>
            </w:r>
          </w:p>
        </w:tc>
        <w:tc>
          <w:tcPr>
            <w:tcW w:w="0" w:type="auto"/>
            <w:shd w:val="clear" w:color="auto" w:fill="CFF0FC"/>
            <w:vAlign w:val="bottom"/>
            <w:hideMark/>
          </w:tcPr>
          <w:p w14:paraId="342AA46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62F0EA5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4F5AE1E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6C99FE29"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6</w:t>
            </w:r>
          </w:p>
        </w:tc>
        <w:tc>
          <w:tcPr>
            <w:tcW w:w="0" w:type="auto"/>
            <w:shd w:val="clear" w:color="auto" w:fill="CFF0FC"/>
            <w:vAlign w:val="bottom"/>
            <w:hideMark/>
          </w:tcPr>
          <w:p w14:paraId="6AB86C8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3C8B0C2D" w14:textId="77777777" w:rsidTr="002F3D36">
        <w:trPr>
          <w:trHeight w:val="180"/>
          <w:tblCellSpacing w:w="15" w:type="dxa"/>
        </w:trPr>
        <w:tc>
          <w:tcPr>
            <w:tcW w:w="0" w:type="auto"/>
            <w:hideMark/>
          </w:tcPr>
          <w:p w14:paraId="5B98B42A" w14:textId="77777777" w:rsidR="002F3D36" w:rsidRPr="002F3D36" w:rsidRDefault="002F3D36" w:rsidP="002F3D36">
            <w:pPr>
              <w:widowControl/>
              <w:ind w:left="200"/>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Translation difference</w:t>
            </w:r>
          </w:p>
        </w:tc>
        <w:tc>
          <w:tcPr>
            <w:tcW w:w="0" w:type="auto"/>
            <w:vAlign w:val="bottom"/>
            <w:hideMark/>
          </w:tcPr>
          <w:p w14:paraId="0C44A2B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4023698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29941D1C"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5</w:t>
            </w:r>
          </w:p>
        </w:tc>
        <w:tc>
          <w:tcPr>
            <w:tcW w:w="0" w:type="auto"/>
            <w:vAlign w:val="bottom"/>
            <w:hideMark/>
          </w:tcPr>
          <w:p w14:paraId="322D967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19F1034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4E189F2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219E7083"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(6</w:t>
            </w:r>
          </w:p>
        </w:tc>
        <w:tc>
          <w:tcPr>
            <w:tcW w:w="0" w:type="auto"/>
            <w:vAlign w:val="bottom"/>
            <w:hideMark/>
          </w:tcPr>
          <w:p w14:paraId="564F272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vAlign w:val="bottom"/>
            <w:hideMark/>
          </w:tcPr>
          <w:p w14:paraId="359E140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0C72487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17532932"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(5</w:t>
            </w:r>
          </w:p>
        </w:tc>
        <w:tc>
          <w:tcPr>
            <w:tcW w:w="0" w:type="auto"/>
            <w:vAlign w:val="bottom"/>
            <w:hideMark/>
          </w:tcPr>
          <w:p w14:paraId="6C60117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r>
      <w:tr w:rsidR="002F3D36" w:rsidRPr="002F3D36" w14:paraId="32EF1477" w14:textId="77777777" w:rsidTr="002F3D36">
        <w:trPr>
          <w:trHeight w:val="180"/>
          <w:tblCellSpacing w:w="15" w:type="dxa"/>
        </w:trPr>
        <w:tc>
          <w:tcPr>
            <w:tcW w:w="0" w:type="auto"/>
            <w:shd w:val="clear" w:color="auto" w:fill="CFF0FC"/>
            <w:hideMark/>
          </w:tcPr>
          <w:p w14:paraId="3D5EDD4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Inventory reserve at end of year</w:t>
            </w:r>
          </w:p>
        </w:tc>
        <w:tc>
          <w:tcPr>
            <w:tcW w:w="0" w:type="auto"/>
            <w:shd w:val="clear" w:color="auto" w:fill="CFF0FC"/>
            <w:vAlign w:val="bottom"/>
            <w:hideMark/>
          </w:tcPr>
          <w:p w14:paraId="7B5B0EAE"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6F4F240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tcBorders>
              <w:bottom w:val="single" w:sz="4" w:space="0" w:color="000000"/>
            </w:tcBorders>
            <w:shd w:val="clear" w:color="auto" w:fill="CFF0FC"/>
            <w:vAlign w:val="bottom"/>
            <w:hideMark/>
          </w:tcPr>
          <w:p w14:paraId="4A25A291"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(91</w:t>
            </w:r>
          </w:p>
        </w:tc>
        <w:tc>
          <w:tcPr>
            <w:tcW w:w="0" w:type="auto"/>
            <w:shd w:val="clear" w:color="auto" w:fill="CFF0FC"/>
            <w:vAlign w:val="bottom"/>
            <w:hideMark/>
          </w:tcPr>
          <w:p w14:paraId="20DA6AE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shd w:val="clear" w:color="auto" w:fill="CFF0FC"/>
            <w:vAlign w:val="bottom"/>
            <w:hideMark/>
          </w:tcPr>
          <w:p w14:paraId="764495D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4034EBC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tcBorders>
              <w:bottom w:val="single" w:sz="4" w:space="0" w:color="000000"/>
            </w:tcBorders>
            <w:shd w:val="clear" w:color="auto" w:fill="CFF0FC"/>
            <w:vAlign w:val="bottom"/>
            <w:hideMark/>
          </w:tcPr>
          <w:p w14:paraId="49457A85"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(93</w:t>
            </w:r>
          </w:p>
        </w:tc>
        <w:tc>
          <w:tcPr>
            <w:tcW w:w="0" w:type="auto"/>
            <w:shd w:val="clear" w:color="auto" w:fill="CFF0FC"/>
            <w:vAlign w:val="bottom"/>
            <w:hideMark/>
          </w:tcPr>
          <w:p w14:paraId="097A22A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shd w:val="clear" w:color="auto" w:fill="CFF0FC"/>
            <w:vAlign w:val="bottom"/>
            <w:hideMark/>
          </w:tcPr>
          <w:p w14:paraId="2D8F139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64EF5BE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tcBorders>
              <w:bottom w:val="single" w:sz="4" w:space="0" w:color="000000"/>
            </w:tcBorders>
            <w:shd w:val="clear" w:color="auto" w:fill="CFF0FC"/>
            <w:vAlign w:val="bottom"/>
            <w:hideMark/>
          </w:tcPr>
          <w:p w14:paraId="4DA6654B"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(83</w:t>
            </w:r>
          </w:p>
        </w:tc>
        <w:tc>
          <w:tcPr>
            <w:tcW w:w="0" w:type="auto"/>
            <w:shd w:val="clear" w:color="auto" w:fill="CFF0FC"/>
            <w:vAlign w:val="bottom"/>
            <w:hideMark/>
          </w:tcPr>
          <w:p w14:paraId="0388D20E"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r>
      <w:tr w:rsidR="002F3D36" w:rsidRPr="002F3D36" w14:paraId="0DA531BE" w14:textId="77777777" w:rsidTr="002F3D36">
        <w:trPr>
          <w:trHeight w:val="180"/>
          <w:tblCellSpacing w:w="15" w:type="dxa"/>
        </w:trPr>
        <w:tc>
          <w:tcPr>
            <w:tcW w:w="0" w:type="auto"/>
            <w:vAlign w:val="bottom"/>
            <w:hideMark/>
          </w:tcPr>
          <w:p w14:paraId="18F0E79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Total inventories, net of reserve</w:t>
            </w:r>
          </w:p>
        </w:tc>
        <w:tc>
          <w:tcPr>
            <w:tcW w:w="0" w:type="auto"/>
            <w:vAlign w:val="bottom"/>
            <w:hideMark/>
          </w:tcPr>
          <w:p w14:paraId="6CF1FEF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1AD066B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tcBorders>
              <w:bottom w:val="single" w:sz="4" w:space="0" w:color="000000"/>
            </w:tcBorders>
            <w:vAlign w:val="bottom"/>
            <w:hideMark/>
          </w:tcPr>
          <w:p w14:paraId="48021BEE"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777</w:t>
            </w:r>
          </w:p>
        </w:tc>
        <w:tc>
          <w:tcPr>
            <w:tcW w:w="0" w:type="auto"/>
            <w:vAlign w:val="bottom"/>
            <w:hideMark/>
          </w:tcPr>
          <w:p w14:paraId="13F646F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6A0C37F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71CC8D5E"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tcBorders>
              <w:bottom w:val="single" w:sz="4" w:space="0" w:color="000000"/>
            </w:tcBorders>
            <w:vAlign w:val="bottom"/>
            <w:hideMark/>
          </w:tcPr>
          <w:p w14:paraId="4F5852A6"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798</w:t>
            </w:r>
          </w:p>
        </w:tc>
        <w:tc>
          <w:tcPr>
            <w:tcW w:w="0" w:type="auto"/>
            <w:vAlign w:val="bottom"/>
            <w:hideMark/>
          </w:tcPr>
          <w:p w14:paraId="0A677BC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3F035F9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7F774B2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tcBorders>
              <w:bottom w:val="single" w:sz="4" w:space="0" w:color="000000"/>
            </w:tcBorders>
            <w:vAlign w:val="bottom"/>
            <w:hideMark/>
          </w:tcPr>
          <w:p w14:paraId="1E8BA19E"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741</w:t>
            </w:r>
          </w:p>
        </w:tc>
        <w:tc>
          <w:tcPr>
            <w:tcW w:w="0" w:type="auto"/>
            <w:vAlign w:val="bottom"/>
            <w:hideMark/>
          </w:tcPr>
          <w:p w14:paraId="6DC3DA9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bl>
    <w:p w14:paraId="1571EEB6"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24"/>
          <w:szCs w:val="24"/>
        </w:rPr>
        <w:t> </w:t>
      </w:r>
    </w:p>
    <w:p w14:paraId="4EDF87CB" w14:textId="77777777" w:rsidR="002F3D36" w:rsidRPr="002F3D36" w:rsidRDefault="002F3D36" w:rsidP="002F3D36">
      <w:pPr>
        <w:widowControl/>
        <w:spacing w:before="10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22"/>
        </w:rPr>
        <w:t>8. Other Non-Current Assets</w:t>
      </w:r>
    </w:p>
    <w:p w14:paraId="7069621E"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lastRenderedPageBreak/>
        <w:t> </w:t>
      </w:r>
    </w:p>
    <w:tbl>
      <w:tblPr>
        <w:tblW w:w="14430" w:type="dxa"/>
        <w:tblCellSpacing w:w="15" w:type="dxa"/>
        <w:tblCellMar>
          <w:top w:w="15" w:type="dxa"/>
          <w:left w:w="15" w:type="dxa"/>
          <w:bottom w:w="15" w:type="dxa"/>
          <w:right w:w="15" w:type="dxa"/>
        </w:tblCellMar>
        <w:tblLook w:val="04A0" w:firstRow="1" w:lastRow="0" w:firstColumn="1" w:lastColumn="0" w:noHBand="0" w:noVBand="1"/>
      </w:tblPr>
      <w:tblGrid>
        <w:gridCol w:w="10201"/>
        <w:gridCol w:w="229"/>
        <w:gridCol w:w="320"/>
        <w:gridCol w:w="1406"/>
        <w:gridCol w:w="151"/>
        <w:gridCol w:w="230"/>
        <w:gridCol w:w="320"/>
        <w:gridCol w:w="1406"/>
        <w:gridCol w:w="167"/>
      </w:tblGrid>
      <w:tr w:rsidR="002F3D36" w:rsidRPr="002F3D36" w14:paraId="5755F5BE" w14:textId="77777777" w:rsidTr="002F3D36">
        <w:trPr>
          <w:tblCellSpacing w:w="15" w:type="dxa"/>
        </w:trPr>
        <w:tc>
          <w:tcPr>
            <w:tcW w:w="10179" w:type="dxa"/>
            <w:vAlign w:val="center"/>
            <w:hideMark/>
          </w:tcPr>
          <w:p w14:paraId="15E5FDE8" w14:textId="77777777" w:rsidR="002F3D36" w:rsidRPr="002F3D36" w:rsidRDefault="002F3D36" w:rsidP="002F3D36">
            <w:pPr>
              <w:widowControl/>
              <w:jc w:val="left"/>
              <w:rPr>
                <w:rFonts w:ascii="Times New Roman" w:eastAsia="宋体" w:hAnsi="Times New Roman" w:cs="Times New Roman"/>
                <w:color w:val="000000"/>
                <w:kern w:val="0"/>
                <w:sz w:val="20"/>
                <w:szCs w:val="20"/>
              </w:rPr>
            </w:pPr>
          </w:p>
        </w:tc>
        <w:tc>
          <w:tcPr>
            <w:tcW w:w="200" w:type="dxa"/>
            <w:vAlign w:val="center"/>
            <w:hideMark/>
          </w:tcPr>
          <w:p w14:paraId="334A5B10"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90" w:type="dxa"/>
            <w:vAlign w:val="center"/>
            <w:hideMark/>
          </w:tcPr>
          <w:p w14:paraId="46944DFA"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378" w:type="dxa"/>
            <w:vAlign w:val="center"/>
            <w:hideMark/>
          </w:tcPr>
          <w:p w14:paraId="42804F81"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21" w:type="dxa"/>
            <w:vAlign w:val="center"/>
            <w:hideMark/>
          </w:tcPr>
          <w:p w14:paraId="4F76DFFA"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00" w:type="dxa"/>
            <w:vAlign w:val="center"/>
            <w:hideMark/>
          </w:tcPr>
          <w:p w14:paraId="1E7B6B0A"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90" w:type="dxa"/>
            <w:vAlign w:val="center"/>
            <w:hideMark/>
          </w:tcPr>
          <w:p w14:paraId="7FC623B7"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378" w:type="dxa"/>
            <w:vAlign w:val="center"/>
            <w:hideMark/>
          </w:tcPr>
          <w:p w14:paraId="6F550F73"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22" w:type="dxa"/>
            <w:vAlign w:val="center"/>
            <w:hideMark/>
          </w:tcPr>
          <w:p w14:paraId="2D3EA53E" w14:textId="77777777" w:rsidR="002F3D36" w:rsidRPr="002F3D36" w:rsidRDefault="002F3D36" w:rsidP="002F3D36">
            <w:pPr>
              <w:widowControl/>
              <w:jc w:val="left"/>
              <w:rPr>
                <w:rFonts w:ascii="Times New Roman" w:eastAsia="Times New Roman" w:hAnsi="Times New Roman" w:cs="Times New Roman"/>
                <w:kern w:val="0"/>
                <w:sz w:val="20"/>
                <w:szCs w:val="20"/>
              </w:rPr>
            </w:pPr>
          </w:p>
        </w:tc>
      </w:tr>
      <w:tr w:rsidR="002F3D36" w:rsidRPr="002F3D36" w14:paraId="39677D54" w14:textId="77777777" w:rsidTr="002F3D36">
        <w:trPr>
          <w:trHeight w:val="160"/>
          <w:tblCellSpacing w:w="15" w:type="dxa"/>
        </w:trPr>
        <w:tc>
          <w:tcPr>
            <w:tcW w:w="0" w:type="auto"/>
            <w:vAlign w:val="bottom"/>
            <w:hideMark/>
          </w:tcPr>
          <w:p w14:paraId="17C15909"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color w:val="000000"/>
                <w:kern w:val="0"/>
                <w:sz w:val="16"/>
                <w:szCs w:val="16"/>
              </w:rPr>
              <w:t>(Dollars in millions)</w:t>
            </w:r>
          </w:p>
        </w:tc>
        <w:tc>
          <w:tcPr>
            <w:tcW w:w="0" w:type="auto"/>
            <w:vAlign w:val="bottom"/>
            <w:hideMark/>
          </w:tcPr>
          <w:p w14:paraId="6F816E08" w14:textId="77777777" w:rsidR="002F3D36" w:rsidRPr="002F3D36" w:rsidRDefault="002F3D36" w:rsidP="002F3D36">
            <w:pPr>
              <w:widowControl/>
              <w:jc w:val="left"/>
              <w:rPr>
                <w:rFonts w:ascii="Times New Roman" w:eastAsia="宋体" w:hAnsi="Times New Roman" w:cs="Times New Roman"/>
                <w:kern w:val="0"/>
                <w:sz w:val="20"/>
                <w:szCs w:val="20"/>
              </w:rPr>
            </w:pPr>
            <w:r w:rsidRPr="002F3D36">
              <w:rPr>
                <w:rFonts w:ascii="Arial" w:eastAsia="宋体" w:hAnsi="Arial" w:cs="Arial"/>
                <w:kern w:val="0"/>
                <w:sz w:val="20"/>
                <w:szCs w:val="20"/>
              </w:rPr>
              <w:t> </w:t>
            </w:r>
          </w:p>
        </w:tc>
        <w:tc>
          <w:tcPr>
            <w:tcW w:w="0" w:type="auto"/>
            <w:gridSpan w:val="6"/>
            <w:tcBorders>
              <w:bottom w:val="single" w:sz="4" w:space="0" w:color="000000"/>
            </w:tcBorders>
            <w:vAlign w:val="bottom"/>
            <w:hideMark/>
          </w:tcPr>
          <w:p w14:paraId="536718D9"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December 31,</w:t>
            </w:r>
          </w:p>
        </w:tc>
        <w:tc>
          <w:tcPr>
            <w:tcW w:w="0" w:type="auto"/>
            <w:vAlign w:val="bottom"/>
            <w:hideMark/>
          </w:tcPr>
          <w:p w14:paraId="3531250F"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r>
      <w:tr w:rsidR="002F3D36" w:rsidRPr="002F3D36" w14:paraId="7E6AB94E" w14:textId="77777777" w:rsidTr="002F3D36">
        <w:trPr>
          <w:trHeight w:val="160"/>
          <w:tblCellSpacing w:w="15" w:type="dxa"/>
        </w:trPr>
        <w:tc>
          <w:tcPr>
            <w:tcW w:w="0" w:type="auto"/>
            <w:vAlign w:val="bottom"/>
            <w:hideMark/>
          </w:tcPr>
          <w:p w14:paraId="523FC0ED"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vAlign w:val="bottom"/>
            <w:hideMark/>
          </w:tcPr>
          <w:p w14:paraId="72D933E3"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2"/>
            <w:tcBorders>
              <w:bottom w:val="single" w:sz="4" w:space="0" w:color="000000"/>
            </w:tcBorders>
            <w:vAlign w:val="bottom"/>
            <w:hideMark/>
          </w:tcPr>
          <w:p w14:paraId="11A88BF8"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2021</w:t>
            </w:r>
          </w:p>
        </w:tc>
        <w:tc>
          <w:tcPr>
            <w:tcW w:w="0" w:type="auto"/>
            <w:vAlign w:val="bottom"/>
            <w:hideMark/>
          </w:tcPr>
          <w:p w14:paraId="0A0E705B"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vAlign w:val="bottom"/>
            <w:hideMark/>
          </w:tcPr>
          <w:p w14:paraId="66F8FC91"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2"/>
            <w:tcBorders>
              <w:bottom w:val="single" w:sz="4" w:space="0" w:color="000000"/>
            </w:tcBorders>
            <w:vAlign w:val="bottom"/>
            <w:hideMark/>
          </w:tcPr>
          <w:p w14:paraId="78FE38A3"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2020</w:t>
            </w:r>
          </w:p>
        </w:tc>
        <w:tc>
          <w:tcPr>
            <w:tcW w:w="0" w:type="auto"/>
            <w:vAlign w:val="bottom"/>
            <w:hideMark/>
          </w:tcPr>
          <w:p w14:paraId="4BCFCFFB"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r>
      <w:tr w:rsidR="002F3D36" w:rsidRPr="002F3D36" w14:paraId="7D8B25CB" w14:textId="77777777" w:rsidTr="002F3D36">
        <w:trPr>
          <w:trHeight w:val="180"/>
          <w:tblCellSpacing w:w="15" w:type="dxa"/>
        </w:trPr>
        <w:tc>
          <w:tcPr>
            <w:tcW w:w="0" w:type="auto"/>
            <w:hideMark/>
          </w:tcPr>
          <w:p w14:paraId="5F53DF7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Equity method investments</w:t>
            </w:r>
          </w:p>
        </w:tc>
        <w:tc>
          <w:tcPr>
            <w:tcW w:w="0" w:type="auto"/>
            <w:vAlign w:val="bottom"/>
            <w:hideMark/>
          </w:tcPr>
          <w:p w14:paraId="2FB0DB6E"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2EDEE6D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vAlign w:val="bottom"/>
            <w:hideMark/>
          </w:tcPr>
          <w:p w14:paraId="3849FAA7"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11</w:t>
            </w:r>
          </w:p>
        </w:tc>
        <w:tc>
          <w:tcPr>
            <w:tcW w:w="0" w:type="auto"/>
            <w:vAlign w:val="bottom"/>
            <w:hideMark/>
          </w:tcPr>
          <w:p w14:paraId="0921B5E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6D4B511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7D724C0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vAlign w:val="bottom"/>
            <w:hideMark/>
          </w:tcPr>
          <w:p w14:paraId="24DB616A"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9</w:t>
            </w:r>
          </w:p>
        </w:tc>
        <w:tc>
          <w:tcPr>
            <w:tcW w:w="0" w:type="auto"/>
            <w:vAlign w:val="bottom"/>
            <w:hideMark/>
          </w:tcPr>
          <w:p w14:paraId="0F34F44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0608CE68" w14:textId="77777777" w:rsidTr="002F3D36">
        <w:trPr>
          <w:trHeight w:val="180"/>
          <w:tblCellSpacing w:w="15" w:type="dxa"/>
        </w:trPr>
        <w:tc>
          <w:tcPr>
            <w:tcW w:w="0" w:type="auto"/>
            <w:shd w:val="clear" w:color="auto" w:fill="CFF0FC"/>
            <w:hideMark/>
          </w:tcPr>
          <w:p w14:paraId="5E35E83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Deferred tax assets</w:t>
            </w:r>
          </w:p>
        </w:tc>
        <w:tc>
          <w:tcPr>
            <w:tcW w:w="0" w:type="auto"/>
            <w:shd w:val="clear" w:color="auto" w:fill="CFF0FC"/>
            <w:vAlign w:val="bottom"/>
            <w:hideMark/>
          </w:tcPr>
          <w:p w14:paraId="551954A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center"/>
            <w:hideMark/>
          </w:tcPr>
          <w:p w14:paraId="47D05A2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center"/>
            <w:hideMark/>
          </w:tcPr>
          <w:p w14:paraId="1F1ECCA7"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271</w:t>
            </w:r>
          </w:p>
        </w:tc>
        <w:tc>
          <w:tcPr>
            <w:tcW w:w="0" w:type="auto"/>
            <w:shd w:val="clear" w:color="auto" w:fill="CFF0FC"/>
            <w:vAlign w:val="center"/>
            <w:hideMark/>
          </w:tcPr>
          <w:p w14:paraId="7B9DF7A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7632014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center"/>
            <w:hideMark/>
          </w:tcPr>
          <w:p w14:paraId="7768E61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center"/>
            <w:hideMark/>
          </w:tcPr>
          <w:p w14:paraId="0E513CE9"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281</w:t>
            </w:r>
          </w:p>
        </w:tc>
        <w:tc>
          <w:tcPr>
            <w:tcW w:w="0" w:type="auto"/>
            <w:shd w:val="clear" w:color="auto" w:fill="CFF0FC"/>
            <w:vAlign w:val="center"/>
            <w:hideMark/>
          </w:tcPr>
          <w:p w14:paraId="5D9A5DAE"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48900367" w14:textId="77777777" w:rsidTr="002F3D36">
        <w:trPr>
          <w:trHeight w:val="180"/>
          <w:tblCellSpacing w:w="15" w:type="dxa"/>
        </w:trPr>
        <w:tc>
          <w:tcPr>
            <w:tcW w:w="0" w:type="auto"/>
            <w:hideMark/>
          </w:tcPr>
          <w:p w14:paraId="1AE3185E"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Income tax receivables</w:t>
            </w:r>
          </w:p>
        </w:tc>
        <w:tc>
          <w:tcPr>
            <w:tcW w:w="0" w:type="auto"/>
            <w:vAlign w:val="bottom"/>
            <w:hideMark/>
          </w:tcPr>
          <w:p w14:paraId="152A848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center"/>
            <w:hideMark/>
          </w:tcPr>
          <w:p w14:paraId="1B2BC3C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center"/>
            <w:hideMark/>
          </w:tcPr>
          <w:p w14:paraId="7901953B"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20</w:t>
            </w:r>
          </w:p>
        </w:tc>
        <w:tc>
          <w:tcPr>
            <w:tcW w:w="0" w:type="auto"/>
            <w:vAlign w:val="center"/>
            <w:hideMark/>
          </w:tcPr>
          <w:p w14:paraId="4CC6FBA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08B051C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center"/>
            <w:hideMark/>
          </w:tcPr>
          <w:p w14:paraId="6F3E875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center"/>
            <w:hideMark/>
          </w:tcPr>
          <w:p w14:paraId="4CDB60C9"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28</w:t>
            </w:r>
          </w:p>
        </w:tc>
        <w:tc>
          <w:tcPr>
            <w:tcW w:w="0" w:type="auto"/>
            <w:vAlign w:val="center"/>
            <w:hideMark/>
          </w:tcPr>
          <w:p w14:paraId="171CD7D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0A0AD836" w14:textId="77777777" w:rsidTr="002F3D36">
        <w:trPr>
          <w:trHeight w:val="180"/>
          <w:tblCellSpacing w:w="15" w:type="dxa"/>
        </w:trPr>
        <w:tc>
          <w:tcPr>
            <w:tcW w:w="0" w:type="auto"/>
            <w:shd w:val="clear" w:color="auto" w:fill="CFF0FC"/>
            <w:hideMark/>
          </w:tcPr>
          <w:p w14:paraId="57DF732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Insurance receivables</w:t>
            </w:r>
          </w:p>
        </w:tc>
        <w:tc>
          <w:tcPr>
            <w:tcW w:w="0" w:type="auto"/>
            <w:shd w:val="clear" w:color="auto" w:fill="CFF0FC"/>
            <w:vAlign w:val="bottom"/>
            <w:hideMark/>
          </w:tcPr>
          <w:p w14:paraId="3250F50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center"/>
            <w:hideMark/>
          </w:tcPr>
          <w:p w14:paraId="66D6172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center"/>
            <w:hideMark/>
          </w:tcPr>
          <w:p w14:paraId="3E429FFD"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127</w:t>
            </w:r>
          </w:p>
        </w:tc>
        <w:tc>
          <w:tcPr>
            <w:tcW w:w="0" w:type="auto"/>
            <w:shd w:val="clear" w:color="auto" w:fill="CFF0FC"/>
            <w:vAlign w:val="center"/>
            <w:hideMark/>
          </w:tcPr>
          <w:p w14:paraId="1D00739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355E668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center"/>
            <w:hideMark/>
          </w:tcPr>
          <w:p w14:paraId="0190359E"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center"/>
            <w:hideMark/>
          </w:tcPr>
          <w:p w14:paraId="1465A972"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105</w:t>
            </w:r>
          </w:p>
        </w:tc>
        <w:tc>
          <w:tcPr>
            <w:tcW w:w="0" w:type="auto"/>
            <w:shd w:val="clear" w:color="auto" w:fill="CFF0FC"/>
            <w:vAlign w:val="center"/>
            <w:hideMark/>
          </w:tcPr>
          <w:p w14:paraId="1B2232F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178ABF4C" w14:textId="77777777" w:rsidTr="002F3D36">
        <w:trPr>
          <w:trHeight w:val="180"/>
          <w:tblCellSpacing w:w="15" w:type="dxa"/>
        </w:trPr>
        <w:tc>
          <w:tcPr>
            <w:tcW w:w="0" w:type="auto"/>
            <w:vAlign w:val="bottom"/>
            <w:hideMark/>
          </w:tcPr>
          <w:p w14:paraId="5D15459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Other non-current assets</w:t>
            </w:r>
          </w:p>
        </w:tc>
        <w:tc>
          <w:tcPr>
            <w:tcW w:w="0" w:type="auto"/>
            <w:vAlign w:val="bottom"/>
            <w:hideMark/>
          </w:tcPr>
          <w:p w14:paraId="141C0D1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center"/>
            <w:hideMark/>
          </w:tcPr>
          <w:p w14:paraId="132DCE0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center"/>
            <w:hideMark/>
          </w:tcPr>
          <w:p w14:paraId="5F4559ED"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51</w:t>
            </w:r>
          </w:p>
        </w:tc>
        <w:tc>
          <w:tcPr>
            <w:tcW w:w="0" w:type="auto"/>
            <w:vAlign w:val="center"/>
            <w:hideMark/>
          </w:tcPr>
          <w:p w14:paraId="0297B73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115C4B7E"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center"/>
            <w:hideMark/>
          </w:tcPr>
          <w:p w14:paraId="1CC8CF1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center"/>
            <w:hideMark/>
          </w:tcPr>
          <w:p w14:paraId="5EBD2CD9"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44</w:t>
            </w:r>
          </w:p>
        </w:tc>
        <w:tc>
          <w:tcPr>
            <w:tcW w:w="0" w:type="auto"/>
            <w:vAlign w:val="center"/>
            <w:hideMark/>
          </w:tcPr>
          <w:p w14:paraId="1A6E60F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346C6008" w14:textId="77777777" w:rsidTr="002F3D36">
        <w:trPr>
          <w:trHeight w:val="180"/>
          <w:tblCellSpacing w:w="15" w:type="dxa"/>
        </w:trPr>
        <w:tc>
          <w:tcPr>
            <w:tcW w:w="0" w:type="auto"/>
            <w:shd w:val="clear" w:color="auto" w:fill="CFF0FC"/>
            <w:vAlign w:val="bottom"/>
            <w:hideMark/>
          </w:tcPr>
          <w:p w14:paraId="40D978B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Total other non-current assets</w:t>
            </w:r>
          </w:p>
        </w:tc>
        <w:tc>
          <w:tcPr>
            <w:tcW w:w="0" w:type="auto"/>
            <w:shd w:val="clear" w:color="auto" w:fill="CFF0FC"/>
            <w:vAlign w:val="bottom"/>
            <w:hideMark/>
          </w:tcPr>
          <w:p w14:paraId="71F9B1F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132E341E"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shd w:val="clear" w:color="auto" w:fill="CFF0FC"/>
            <w:vAlign w:val="bottom"/>
            <w:hideMark/>
          </w:tcPr>
          <w:p w14:paraId="6E922A74"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481</w:t>
            </w:r>
          </w:p>
        </w:tc>
        <w:tc>
          <w:tcPr>
            <w:tcW w:w="0" w:type="auto"/>
            <w:shd w:val="clear" w:color="auto" w:fill="CFF0FC"/>
            <w:vAlign w:val="bottom"/>
            <w:hideMark/>
          </w:tcPr>
          <w:p w14:paraId="78738FE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0463D91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058C61A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shd w:val="clear" w:color="auto" w:fill="CFF0FC"/>
            <w:vAlign w:val="bottom"/>
            <w:hideMark/>
          </w:tcPr>
          <w:p w14:paraId="758A5D9D"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466</w:t>
            </w:r>
          </w:p>
        </w:tc>
        <w:tc>
          <w:tcPr>
            <w:tcW w:w="0" w:type="auto"/>
            <w:shd w:val="clear" w:color="auto" w:fill="CFF0FC"/>
            <w:vAlign w:val="bottom"/>
            <w:hideMark/>
          </w:tcPr>
          <w:p w14:paraId="5836411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bl>
    <w:p w14:paraId="3CACE7BA"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w:t>
      </w:r>
    </w:p>
    <w:p w14:paraId="504295B9"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As of December 31, 2021 and 2020, the Company had one equity method investment. The Company has ownership of 49% in Autoliv-Hirotako Safety Sdn, Bhd (parent and subsidiaries) in Malaysia which it currently does not control, but in which it exercises significant influence over operations and financial position.</w:t>
      </w:r>
    </w:p>
    <w:p w14:paraId="2576BB2B" w14:textId="77777777" w:rsidR="002F3D36" w:rsidRPr="002F3D36" w:rsidRDefault="002F3D36" w:rsidP="002F3D36">
      <w:pPr>
        <w:widowControl/>
        <w:jc w:val="left"/>
        <w:rPr>
          <w:rFonts w:ascii="Times New Roman" w:eastAsia="宋体" w:hAnsi="Times New Roman" w:cs="Times New Roman"/>
          <w:color w:val="000000"/>
          <w:kern w:val="0"/>
          <w:sz w:val="20"/>
          <w:szCs w:val="20"/>
        </w:rPr>
      </w:pPr>
      <w:r w:rsidRPr="002F3D36">
        <w:rPr>
          <w:rFonts w:ascii="Times New Roman" w:eastAsia="宋体" w:hAnsi="Times New Roman" w:cs="Times New Roman"/>
          <w:color w:val="000000"/>
          <w:kern w:val="0"/>
          <w:sz w:val="20"/>
          <w:szCs w:val="20"/>
        </w:rPr>
        <w:t> </w:t>
      </w:r>
    </w:p>
    <w:p w14:paraId="56F715BF" w14:textId="77777777" w:rsidR="002F3D36" w:rsidRPr="002F3D36" w:rsidRDefault="002F3D36" w:rsidP="002F3D36">
      <w:pPr>
        <w:widowControl/>
        <w:spacing w:before="240"/>
        <w:jc w:val="center"/>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73</w:t>
      </w:r>
    </w:p>
    <w:p w14:paraId="600A11E8" w14:textId="77777777" w:rsidR="002F3D36" w:rsidRPr="002F3D36" w:rsidRDefault="002F3D36" w:rsidP="002F3D36">
      <w:pPr>
        <w:widowControl/>
        <w:jc w:val="left"/>
        <w:rPr>
          <w:rFonts w:ascii="宋体" w:eastAsia="宋体" w:hAnsi="宋体" w:cs="宋体"/>
          <w:kern w:val="0"/>
          <w:sz w:val="24"/>
          <w:szCs w:val="24"/>
        </w:rPr>
      </w:pPr>
      <w:r w:rsidRPr="002F3D36">
        <w:rPr>
          <w:rFonts w:ascii="宋体" w:eastAsia="宋体" w:hAnsi="宋体" w:cs="宋体"/>
          <w:kern w:val="0"/>
          <w:sz w:val="24"/>
          <w:szCs w:val="24"/>
        </w:rPr>
        <w:pict w14:anchorId="1FEE5939">
          <v:rect id="_x0000_i1100" style="width:0;height:1.5pt" o:hralign="center" o:hrstd="t" o:hrnoshade="t" o:hr="t" fillcolor="black" stroked="f"/>
        </w:pict>
      </w:r>
    </w:p>
    <w:p w14:paraId="7D5DE318" w14:textId="77777777" w:rsidR="002F3D36" w:rsidRPr="002F3D36" w:rsidRDefault="002F3D36" w:rsidP="002F3D36">
      <w:pPr>
        <w:widowControl/>
        <w:spacing w:line="20" w:lineRule="atLeast"/>
        <w:jc w:val="left"/>
        <w:rPr>
          <w:rFonts w:ascii="Times New Roman" w:eastAsia="宋体" w:hAnsi="Times New Roman" w:cs="Times New Roman"/>
          <w:color w:val="000000"/>
          <w:kern w:val="0"/>
          <w:sz w:val="20"/>
          <w:szCs w:val="20"/>
        </w:rPr>
      </w:pPr>
      <w:r w:rsidRPr="002F3D36">
        <w:rPr>
          <w:rFonts w:ascii="Arial" w:eastAsia="宋体" w:hAnsi="Arial" w:cs="Arial"/>
          <w:color w:val="000000"/>
          <w:kern w:val="0"/>
          <w:sz w:val="2"/>
          <w:szCs w:val="2"/>
        </w:rPr>
        <w:t> </w:t>
      </w:r>
    </w:p>
    <w:p w14:paraId="15DE0C8D"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22"/>
        </w:rPr>
        <w:t>9. Property, Plant and Equipment</w:t>
      </w:r>
    </w:p>
    <w:p w14:paraId="02944861" w14:textId="77777777" w:rsidR="002F3D36" w:rsidRPr="002F3D36" w:rsidRDefault="002F3D36" w:rsidP="002F3D36">
      <w:pPr>
        <w:widowControl/>
        <w:jc w:val="left"/>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w:t>
      </w:r>
    </w:p>
    <w:tbl>
      <w:tblPr>
        <w:tblW w:w="16491" w:type="dxa"/>
        <w:tblCellSpacing w:w="15" w:type="dxa"/>
        <w:tblCellMar>
          <w:top w:w="15" w:type="dxa"/>
          <w:left w:w="15" w:type="dxa"/>
          <w:bottom w:w="15" w:type="dxa"/>
          <w:right w:w="15" w:type="dxa"/>
        </w:tblCellMar>
        <w:tblLook w:val="04A0" w:firstRow="1" w:lastRow="0" w:firstColumn="1" w:lastColumn="0" w:noHBand="0" w:noVBand="1"/>
      </w:tblPr>
      <w:tblGrid>
        <w:gridCol w:w="8023"/>
        <w:gridCol w:w="244"/>
        <w:gridCol w:w="296"/>
        <w:gridCol w:w="1940"/>
        <w:gridCol w:w="191"/>
        <w:gridCol w:w="245"/>
        <w:gridCol w:w="297"/>
        <w:gridCol w:w="1940"/>
        <w:gridCol w:w="191"/>
        <w:gridCol w:w="245"/>
        <w:gridCol w:w="2879"/>
      </w:tblGrid>
      <w:tr w:rsidR="002F3D36" w:rsidRPr="002F3D36" w14:paraId="5D31A9E4" w14:textId="77777777" w:rsidTr="002F3D36">
        <w:trPr>
          <w:tblCellSpacing w:w="15" w:type="dxa"/>
        </w:trPr>
        <w:tc>
          <w:tcPr>
            <w:tcW w:w="7996" w:type="dxa"/>
            <w:vAlign w:val="center"/>
            <w:hideMark/>
          </w:tcPr>
          <w:p w14:paraId="0DA96BD6" w14:textId="77777777" w:rsidR="002F3D36" w:rsidRPr="002F3D36" w:rsidRDefault="002F3D36" w:rsidP="002F3D36">
            <w:pPr>
              <w:widowControl/>
              <w:jc w:val="left"/>
              <w:rPr>
                <w:rFonts w:ascii="Times New Roman" w:eastAsia="宋体" w:hAnsi="Times New Roman" w:cs="Times New Roman"/>
                <w:color w:val="000000"/>
                <w:kern w:val="0"/>
                <w:sz w:val="20"/>
                <w:szCs w:val="20"/>
              </w:rPr>
            </w:pPr>
          </w:p>
        </w:tc>
        <w:tc>
          <w:tcPr>
            <w:tcW w:w="215" w:type="dxa"/>
            <w:vAlign w:val="center"/>
            <w:hideMark/>
          </w:tcPr>
          <w:p w14:paraId="379AA5DF"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67" w:type="dxa"/>
            <w:vAlign w:val="center"/>
            <w:hideMark/>
          </w:tcPr>
          <w:p w14:paraId="42DA1E2C"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913" w:type="dxa"/>
            <w:vAlign w:val="center"/>
            <w:hideMark/>
          </w:tcPr>
          <w:p w14:paraId="44C466BC"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61" w:type="dxa"/>
            <w:vAlign w:val="center"/>
            <w:hideMark/>
          </w:tcPr>
          <w:p w14:paraId="3DA61197"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15" w:type="dxa"/>
            <w:vAlign w:val="center"/>
            <w:hideMark/>
          </w:tcPr>
          <w:p w14:paraId="26FD98C9"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67" w:type="dxa"/>
            <w:vAlign w:val="center"/>
            <w:hideMark/>
          </w:tcPr>
          <w:p w14:paraId="69DB2312"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913" w:type="dxa"/>
            <w:vAlign w:val="center"/>
            <w:hideMark/>
          </w:tcPr>
          <w:p w14:paraId="16DD5164"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61" w:type="dxa"/>
            <w:vAlign w:val="center"/>
            <w:hideMark/>
          </w:tcPr>
          <w:p w14:paraId="438839BA"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15" w:type="dxa"/>
            <w:vAlign w:val="center"/>
            <w:hideMark/>
          </w:tcPr>
          <w:p w14:paraId="5C1B6A96"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839" w:type="dxa"/>
            <w:vAlign w:val="center"/>
            <w:hideMark/>
          </w:tcPr>
          <w:p w14:paraId="22D4EA6A" w14:textId="77777777" w:rsidR="002F3D36" w:rsidRPr="002F3D36" w:rsidRDefault="002F3D36" w:rsidP="002F3D36">
            <w:pPr>
              <w:widowControl/>
              <w:jc w:val="left"/>
              <w:rPr>
                <w:rFonts w:ascii="Times New Roman" w:eastAsia="Times New Roman" w:hAnsi="Times New Roman" w:cs="Times New Roman"/>
                <w:kern w:val="0"/>
                <w:sz w:val="20"/>
                <w:szCs w:val="20"/>
              </w:rPr>
            </w:pPr>
          </w:p>
        </w:tc>
      </w:tr>
      <w:tr w:rsidR="002F3D36" w:rsidRPr="002F3D36" w14:paraId="3A8DB9A5" w14:textId="77777777" w:rsidTr="002F3D36">
        <w:trPr>
          <w:trHeight w:val="160"/>
          <w:tblCellSpacing w:w="15" w:type="dxa"/>
        </w:trPr>
        <w:tc>
          <w:tcPr>
            <w:tcW w:w="0" w:type="auto"/>
            <w:vAlign w:val="bottom"/>
            <w:hideMark/>
          </w:tcPr>
          <w:p w14:paraId="554F714F"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color w:val="000000"/>
                <w:kern w:val="0"/>
                <w:sz w:val="16"/>
                <w:szCs w:val="16"/>
              </w:rPr>
              <w:t>(Dollars in millions)</w:t>
            </w:r>
          </w:p>
        </w:tc>
        <w:tc>
          <w:tcPr>
            <w:tcW w:w="0" w:type="auto"/>
            <w:vAlign w:val="bottom"/>
            <w:hideMark/>
          </w:tcPr>
          <w:p w14:paraId="63BAC99A" w14:textId="77777777" w:rsidR="002F3D36" w:rsidRPr="002F3D36" w:rsidRDefault="002F3D36" w:rsidP="002F3D36">
            <w:pPr>
              <w:widowControl/>
              <w:jc w:val="left"/>
              <w:rPr>
                <w:rFonts w:ascii="Times New Roman" w:eastAsia="宋体" w:hAnsi="Times New Roman" w:cs="Times New Roman"/>
                <w:kern w:val="0"/>
                <w:sz w:val="22"/>
              </w:rPr>
            </w:pPr>
            <w:r w:rsidRPr="002F3D36">
              <w:rPr>
                <w:rFonts w:ascii="Arial" w:eastAsia="宋体" w:hAnsi="Arial" w:cs="Arial"/>
                <w:kern w:val="0"/>
                <w:sz w:val="22"/>
              </w:rPr>
              <w:t> </w:t>
            </w:r>
          </w:p>
        </w:tc>
        <w:tc>
          <w:tcPr>
            <w:tcW w:w="0" w:type="auto"/>
            <w:gridSpan w:val="6"/>
            <w:tcBorders>
              <w:bottom w:val="single" w:sz="4" w:space="0" w:color="000000"/>
            </w:tcBorders>
            <w:vAlign w:val="bottom"/>
            <w:hideMark/>
          </w:tcPr>
          <w:p w14:paraId="0FD4F3FD"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December 31,</w:t>
            </w:r>
          </w:p>
        </w:tc>
        <w:tc>
          <w:tcPr>
            <w:tcW w:w="0" w:type="auto"/>
            <w:vAlign w:val="bottom"/>
            <w:hideMark/>
          </w:tcPr>
          <w:p w14:paraId="77A0D89E"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vAlign w:val="bottom"/>
            <w:hideMark/>
          </w:tcPr>
          <w:p w14:paraId="70A32FF0" w14:textId="77777777" w:rsidR="002F3D36" w:rsidRPr="002F3D36" w:rsidRDefault="002F3D36" w:rsidP="002F3D36">
            <w:pPr>
              <w:widowControl/>
              <w:jc w:val="left"/>
              <w:rPr>
                <w:rFonts w:ascii="Times New Roman" w:eastAsia="宋体" w:hAnsi="Times New Roman" w:cs="Times New Roman"/>
                <w:kern w:val="0"/>
                <w:sz w:val="22"/>
              </w:rPr>
            </w:pPr>
            <w:r w:rsidRPr="002F3D36">
              <w:rPr>
                <w:rFonts w:ascii="Arial" w:eastAsia="宋体" w:hAnsi="Arial" w:cs="Arial"/>
                <w:kern w:val="0"/>
                <w:sz w:val="22"/>
              </w:rPr>
              <w:t> </w:t>
            </w:r>
          </w:p>
        </w:tc>
        <w:tc>
          <w:tcPr>
            <w:tcW w:w="0" w:type="auto"/>
            <w:vAlign w:val="bottom"/>
            <w:hideMark/>
          </w:tcPr>
          <w:p w14:paraId="3F7304D8" w14:textId="77777777" w:rsidR="002F3D36" w:rsidRPr="002F3D36" w:rsidRDefault="002F3D36" w:rsidP="002F3D36">
            <w:pPr>
              <w:widowControl/>
              <w:jc w:val="left"/>
              <w:rPr>
                <w:rFonts w:ascii="Times New Roman" w:eastAsia="宋体" w:hAnsi="Times New Roman" w:cs="Times New Roman"/>
                <w:kern w:val="0"/>
                <w:sz w:val="22"/>
              </w:rPr>
            </w:pPr>
            <w:r w:rsidRPr="002F3D36">
              <w:rPr>
                <w:rFonts w:ascii="Arial" w:eastAsia="宋体" w:hAnsi="Arial" w:cs="Arial"/>
                <w:kern w:val="0"/>
                <w:sz w:val="22"/>
              </w:rPr>
              <w:t> </w:t>
            </w:r>
          </w:p>
        </w:tc>
      </w:tr>
      <w:tr w:rsidR="002F3D36" w:rsidRPr="002F3D36" w14:paraId="64E9D755" w14:textId="77777777" w:rsidTr="002F3D36">
        <w:trPr>
          <w:trHeight w:val="160"/>
          <w:tblCellSpacing w:w="15" w:type="dxa"/>
        </w:trPr>
        <w:tc>
          <w:tcPr>
            <w:tcW w:w="0" w:type="auto"/>
            <w:vAlign w:val="bottom"/>
            <w:hideMark/>
          </w:tcPr>
          <w:p w14:paraId="6A17CD59"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vAlign w:val="bottom"/>
            <w:hideMark/>
          </w:tcPr>
          <w:p w14:paraId="2E2DCA71"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2"/>
            <w:tcBorders>
              <w:bottom w:val="single" w:sz="4" w:space="0" w:color="000000"/>
            </w:tcBorders>
            <w:vAlign w:val="bottom"/>
            <w:hideMark/>
          </w:tcPr>
          <w:p w14:paraId="2DBC153D"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2021</w:t>
            </w:r>
          </w:p>
        </w:tc>
        <w:tc>
          <w:tcPr>
            <w:tcW w:w="0" w:type="auto"/>
            <w:vAlign w:val="bottom"/>
            <w:hideMark/>
          </w:tcPr>
          <w:p w14:paraId="238783E1"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vAlign w:val="bottom"/>
            <w:hideMark/>
          </w:tcPr>
          <w:p w14:paraId="20DB037D"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2"/>
            <w:tcBorders>
              <w:bottom w:val="single" w:sz="4" w:space="0" w:color="000000"/>
            </w:tcBorders>
            <w:vAlign w:val="bottom"/>
            <w:hideMark/>
          </w:tcPr>
          <w:p w14:paraId="0D21A775"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2020</w:t>
            </w:r>
          </w:p>
        </w:tc>
        <w:tc>
          <w:tcPr>
            <w:tcW w:w="0" w:type="auto"/>
            <w:vAlign w:val="bottom"/>
            <w:hideMark/>
          </w:tcPr>
          <w:p w14:paraId="5F21ED32"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vAlign w:val="bottom"/>
            <w:hideMark/>
          </w:tcPr>
          <w:p w14:paraId="3395921F"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tcBorders>
              <w:bottom w:val="single" w:sz="4" w:space="0" w:color="000000"/>
            </w:tcBorders>
            <w:vAlign w:val="bottom"/>
            <w:hideMark/>
          </w:tcPr>
          <w:p w14:paraId="0C138BE0"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Estimated life</w:t>
            </w:r>
          </w:p>
        </w:tc>
      </w:tr>
      <w:tr w:rsidR="002F3D36" w:rsidRPr="002F3D36" w14:paraId="1AB627E2" w14:textId="77777777" w:rsidTr="002F3D36">
        <w:trPr>
          <w:trHeight w:val="180"/>
          <w:tblCellSpacing w:w="15" w:type="dxa"/>
        </w:trPr>
        <w:tc>
          <w:tcPr>
            <w:tcW w:w="0" w:type="auto"/>
            <w:hideMark/>
          </w:tcPr>
          <w:p w14:paraId="79F6B23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Land and land improvements</w:t>
            </w:r>
          </w:p>
        </w:tc>
        <w:tc>
          <w:tcPr>
            <w:tcW w:w="0" w:type="auto"/>
            <w:vAlign w:val="bottom"/>
            <w:hideMark/>
          </w:tcPr>
          <w:p w14:paraId="0820D09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6DEFD3A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vAlign w:val="bottom"/>
            <w:hideMark/>
          </w:tcPr>
          <w:p w14:paraId="2497857C"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147</w:t>
            </w:r>
          </w:p>
        </w:tc>
        <w:tc>
          <w:tcPr>
            <w:tcW w:w="0" w:type="auto"/>
            <w:vAlign w:val="bottom"/>
            <w:hideMark/>
          </w:tcPr>
          <w:p w14:paraId="63E8BB6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7269C0E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5E19FBA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vAlign w:val="bottom"/>
            <w:hideMark/>
          </w:tcPr>
          <w:p w14:paraId="25D886F2"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121</w:t>
            </w:r>
          </w:p>
        </w:tc>
        <w:tc>
          <w:tcPr>
            <w:tcW w:w="0" w:type="auto"/>
            <w:vAlign w:val="bottom"/>
            <w:hideMark/>
          </w:tcPr>
          <w:p w14:paraId="7EBDB1C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4E5909A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48D47C6C"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n/a to 15</w:t>
            </w:r>
          </w:p>
        </w:tc>
      </w:tr>
      <w:tr w:rsidR="002F3D36" w:rsidRPr="002F3D36" w14:paraId="31804092" w14:textId="77777777" w:rsidTr="002F3D36">
        <w:trPr>
          <w:trHeight w:val="180"/>
          <w:tblCellSpacing w:w="15" w:type="dxa"/>
        </w:trPr>
        <w:tc>
          <w:tcPr>
            <w:tcW w:w="0" w:type="auto"/>
            <w:shd w:val="clear" w:color="auto" w:fill="CFF0FC"/>
            <w:hideMark/>
          </w:tcPr>
          <w:p w14:paraId="5924CB1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Buildings</w:t>
            </w:r>
          </w:p>
        </w:tc>
        <w:tc>
          <w:tcPr>
            <w:tcW w:w="0" w:type="auto"/>
            <w:shd w:val="clear" w:color="auto" w:fill="CFF0FC"/>
            <w:vAlign w:val="bottom"/>
            <w:hideMark/>
          </w:tcPr>
          <w:p w14:paraId="7390F25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1AAE1FDE"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250951E8"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957</w:t>
            </w:r>
          </w:p>
        </w:tc>
        <w:tc>
          <w:tcPr>
            <w:tcW w:w="0" w:type="auto"/>
            <w:shd w:val="clear" w:color="auto" w:fill="CFF0FC"/>
            <w:vAlign w:val="bottom"/>
            <w:hideMark/>
          </w:tcPr>
          <w:p w14:paraId="7197E4F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6B3857C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6B8BA0F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66AA13F1"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962</w:t>
            </w:r>
          </w:p>
        </w:tc>
        <w:tc>
          <w:tcPr>
            <w:tcW w:w="0" w:type="auto"/>
            <w:shd w:val="clear" w:color="auto" w:fill="CFF0FC"/>
            <w:vAlign w:val="bottom"/>
            <w:hideMark/>
          </w:tcPr>
          <w:p w14:paraId="25CBEF0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1B9D974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07C1D11F"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20-40</w:t>
            </w:r>
          </w:p>
        </w:tc>
      </w:tr>
      <w:tr w:rsidR="002F3D36" w:rsidRPr="002F3D36" w14:paraId="6FBF3B98" w14:textId="77777777" w:rsidTr="002F3D36">
        <w:trPr>
          <w:trHeight w:val="180"/>
          <w:tblCellSpacing w:w="15" w:type="dxa"/>
        </w:trPr>
        <w:tc>
          <w:tcPr>
            <w:tcW w:w="0" w:type="auto"/>
            <w:hideMark/>
          </w:tcPr>
          <w:p w14:paraId="2039DE4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Machinery and equipment</w:t>
            </w:r>
          </w:p>
        </w:tc>
        <w:tc>
          <w:tcPr>
            <w:tcW w:w="0" w:type="auto"/>
            <w:vAlign w:val="bottom"/>
            <w:hideMark/>
          </w:tcPr>
          <w:p w14:paraId="67104CC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775FA24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2AE23C8A"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4,193</w:t>
            </w:r>
          </w:p>
        </w:tc>
        <w:tc>
          <w:tcPr>
            <w:tcW w:w="0" w:type="auto"/>
            <w:vAlign w:val="bottom"/>
            <w:hideMark/>
          </w:tcPr>
          <w:p w14:paraId="4439489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64A25CC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43CE70F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61D1C8A4"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4,208</w:t>
            </w:r>
          </w:p>
        </w:tc>
        <w:tc>
          <w:tcPr>
            <w:tcW w:w="0" w:type="auto"/>
            <w:vAlign w:val="bottom"/>
            <w:hideMark/>
          </w:tcPr>
          <w:p w14:paraId="480B2BE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6F9FD4BE"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61B17415"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3-12</w:t>
            </w:r>
          </w:p>
        </w:tc>
      </w:tr>
      <w:tr w:rsidR="002F3D36" w:rsidRPr="002F3D36" w14:paraId="1FBA5C41" w14:textId="77777777" w:rsidTr="002F3D36">
        <w:trPr>
          <w:trHeight w:val="180"/>
          <w:tblCellSpacing w:w="15" w:type="dxa"/>
        </w:trPr>
        <w:tc>
          <w:tcPr>
            <w:tcW w:w="0" w:type="auto"/>
            <w:shd w:val="clear" w:color="auto" w:fill="CFF0FC"/>
            <w:hideMark/>
          </w:tcPr>
          <w:p w14:paraId="165E1AA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Construction in progress</w:t>
            </w:r>
          </w:p>
        </w:tc>
        <w:tc>
          <w:tcPr>
            <w:tcW w:w="0" w:type="auto"/>
            <w:shd w:val="clear" w:color="auto" w:fill="CFF0FC"/>
            <w:vAlign w:val="bottom"/>
            <w:hideMark/>
          </w:tcPr>
          <w:p w14:paraId="33302EE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5A838E3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03F4707D"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354</w:t>
            </w:r>
          </w:p>
        </w:tc>
        <w:tc>
          <w:tcPr>
            <w:tcW w:w="0" w:type="auto"/>
            <w:shd w:val="clear" w:color="auto" w:fill="CFF0FC"/>
            <w:vAlign w:val="bottom"/>
            <w:hideMark/>
          </w:tcPr>
          <w:p w14:paraId="538C12F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3FC0B0B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5E479F7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7CBE5DCA"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314</w:t>
            </w:r>
          </w:p>
        </w:tc>
        <w:tc>
          <w:tcPr>
            <w:tcW w:w="0" w:type="auto"/>
            <w:shd w:val="clear" w:color="auto" w:fill="CFF0FC"/>
            <w:vAlign w:val="bottom"/>
            <w:hideMark/>
          </w:tcPr>
          <w:p w14:paraId="2E21175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4689B30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2BA623DB"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n/a</w:t>
            </w:r>
          </w:p>
        </w:tc>
      </w:tr>
      <w:tr w:rsidR="002F3D36" w:rsidRPr="002F3D36" w14:paraId="123D12C7" w14:textId="77777777" w:rsidTr="002F3D36">
        <w:trPr>
          <w:trHeight w:val="180"/>
          <w:tblCellSpacing w:w="15" w:type="dxa"/>
        </w:trPr>
        <w:tc>
          <w:tcPr>
            <w:tcW w:w="0" w:type="auto"/>
            <w:hideMark/>
          </w:tcPr>
          <w:p w14:paraId="4B71FF5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Property, plant and equipment</w:t>
            </w:r>
          </w:p>
        </w:tc>
        <w:tc>
          <w:tcPr>
            <w:tcW w:w="0" w:type="auto"/>
            <w:vAlign w:val="bottom"/>
            <w:hideMark/>
          </w:tcPr>
          <w:p w14:paraId="6F5D31E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655126F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vAlign w:val="bottom"/>
            <w:hideMark/>
          </w:tcPr>
          <w:p w14:paraId="7550B1DC"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5,651</w:t>
            </w:r>
          </w:p>
        </w:tc>
        <w:tc>
          <w:tcPr>
            <w:tcW w:w="0" w:type="auto"/>
            <w:vAlign w:val="bottom"/>
            <w:hideMark/>
          </w:tcPr>
          <w:p w14:paraId="33C446D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0BDECB7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7D30B63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vAlign w:val="bottom"/>
            <w:hideMark/>
          </w:tcPr>
          <w:p w14:paraId="50CB9DAB"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5,605</w:t>
            </w:r>
          </w:p>
        </w:tc>
        <w:tc>
          <w:tcPr>
            <w:tcW w:w="0" w:type="auto"/>
            <w:vAlign w:val="bottom"/>
            <w:hideMark/>
          </w:tcPr>
          <w:p w14:paraId="2E6C97C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1708051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29B7FBA1"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0DB7563A" w14:textId="77777777" w:rsidTr="002F3D36">
        <w:trPr>
          <w:trHeight w:val="180"/>
          <w:tblCellSpacing w:w="15" w:type="dxa"/>
        </w:trPr>
        <w:tc>
          <w:tcPr>
            <w:tcW w:w="0" w:type="auto"/>
            <w:shd w:val="clear" w:color="auto" w:fill="CFF0FC"/>
            <w:hideMark/>
          </w:tcPr>
          <w:p w14:paraId="4C06141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Less accumulated depreciation</w:t>
            </w:r>
          </w:p>
        </w:tc>
        <w:tc>
          <w:tcPr>
            <w:tcW w:w="0" w:type="auto"/>
            <w:shd w:val="clear" w:color="auto" w:fill="CFF0FC"/>
            <w:vAlign w:val="bottom"/>
            <w:hideMark/>
          </w:tcPr>
          <w:p w14:paraId="203E82B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192A5D3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09469E36"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(3,796</w:t>
            </w:r>
          </w:p>
        </w:tc>
        <w:tc>
          <w:tcPr>
            <w:tcW w:w="0" w:type="auto"/>
            <w:shd w:val="clear" w:color="auto" w:fill="CFF0FC"/>
            <w:vAlign w:val="bottom"/>
            <w:hideMark/>
          </w:tcPr>
          <w:p w14:paraId="75303CEE"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shd w:val="clear" w:color="auto" w:fill="CFF0FC"/>
            <w:vAlign w:val="bottom"/>
            <w:hideMark/>
          </w:tcPr>
          <w:p w14:paraId="569E62F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15472B7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665A711B"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(3,736</w:t>
            </w:r>
          </w:p>
        </w:tc>
        <w:tc>
          <w:tcPr>
            <w:tcW w:w="0" w:type="auto"/>
            <w:shd w:val="clear" w:color="auto" w:fill="CFF0FC"/>
            <w:vAlign w:val="bottom"/>
            <w:hideMark/>
          </w:tcPr>
          <w:p w14:paraId="36B1F79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shd w:val="clear" w:color="auto" w:fill="CFF0FC"/>
            <w:vAlign w:val="bottom"/>
            <w:hideMark/>
          </w:tcPr>
          <w:p w14:paraId="6474537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5DB1EBFE"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18459E89" w14:textId="77777777" w:rsidTr="002F3D36">
        <w:trPr>
          <w:trHeight w:val="180"/>
          <w:tblCellSpacing w:w="15" w:type="dxa"/>
        </w:trPr>
        <w:tc>
          <w:tcPr>
            <w:tcW w:w="0" w:type="auto"/>
            <w:hideMark/>
          </w:tcPr>
          <w:p w14:paraId="4D73B89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Net of depreciation</w:t>
            </w:r>
          </w:p>
        </w:tc>
        <w:tc>
          <w:tcPr>
            <w:tcW w:w="0" w:type="auto"/>
            <w:vAlign w:val="bottom"/>
            <w:hideMark/>
          </w:tcPr>
          <w:p w14:paraId="6B7CC08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2BF224A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vAlign w:val="bottom"/>
            <w:hideMark/>
          </w:tcPr>
          <w:p w14:paraId="0374E407"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1,855</w:t>
            </w:r>
          </w:p>
        </w:tc>
        <w:tc>
          <w:tcPr>
            <w:tcW w:w="0" w:type="auto"/>
            <w:vAlign w:val="bottom"/>
            <w:hideMark/>
          </w:tcPr>
          <w:p w14:paraId="365C8D5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17A7810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100CA58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vAlign w:val="bottom"/>
            <w:hideMark/>
          </w:tcPr>
          <w:p w14:paraId="503725A7"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1,869</w:t>
            </w:r>
          </w:p>
        </w:tc>
        <w:tc>
          <w:tcPr>
            <w:tcW w:w="0" w:type="auto"/>
            <w:vAlign w:val="bottom"/>
            <w:hideMark/>
          </w:tcPr>
          <w:p w14:paraId="6EAC49F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629D66F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4B83BF10"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bl>
    <w:p w14:paraId="41DF9974"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w:t>
      </w:r>
    </w:p>
    <w:tbl>
      <w:tblPr>
        <w:tblW w:w="16491" w:type="dxa"/>
        <w:tblCellSpacing w:w="15" w:type="dxa"/>
        <w:tblCellMar>
          <w:top w:w="15" w:type="dxa"/>
          <w:left w:w="15" w:type="dxa"/>
          <w:bottom w:w="15" w:type="dxa"/>
          <w:right w:w="15" w:type="dxa"/>
        </w:tblCellMar>
        <w:tblLook w:val="04A0" w:firstRow="1" w:lastRow="0" w:firstColumn="1" w:lastColumn="0" w:noHBand="0" w:noVBand="1"/>
      </w:tblPr>
      <w:tblGrid>
        <w:gridCol w:w="8509"/>
        <w:gridCol w:w="258"/>
        <w:gridCol w:w="300"/>
        <w:gridCol w:w="1948"/>
        <w:gridCol w:w="149"/>
        <w:gridCol w:w="259"/>
        <w:gridCol w:w="300"/>
        <w:gridCol w:w="1948"/>
        <w:gridCol w:w="149"/>
        <w:gridCol w:w="259"/>
        <w:gridCol w:w="300"/>
        <w:gridCol w:w="1948"/>
        <w:gridCol w:w="164"/>
      </w:tblGrid>
      <w:tr w:rsidR="002F3D36" w:rsidRPr="002F3D36" w14:paraId="5803BE81" w14:textId="77777777" w:rsidTr="002F3D36">
        <w:trPr>
          <w:tblCellSpacing w:w="15" w:type="dxa"/>
        </w:trPr>
        <w:tc>
          <w:tcPr>
            <w:tcW w:w="8482" w:type="dxa"/>
            <w:vAlign w:val="center"/>
            <w:hideMark/>
          </w:tcPr>
          <w:p w14:paraId="3A0ECD02" w14:textId="77777777" w:rsidR="002F3D36" w:rsidRPr="002F3D36" w:rsidRDefault="002F3D36" w:rsidP="002F3D36">
            <w:pPr>
              <w:widowControl/>
              <w:jc w:val="left"/>
              <w:rPr>
                <w:rFonts w:ascii="Times New Roman" w:eastAsia="宋体" w:hAnsi="Times New Roman" w:cs="Times New Roman"/>
                <w:color w:val="000000"/>
                <w:kern w:val="0"/>
                <w:sz w:val="20"/>
                <w:szCs w:val="20"/>
              </w:rPr>
            </w:pPr>
          </w:p>
        </w:tc>
        <w:tc>
          <w:tcPr>
            <w:tcW w:w="229" w:type="dxa"/>
            <w:vAlign w:val="center"/>
            <w:hideMark/>
          </w:tcPr>
          <w:p w14:paraId="64DBA5B5"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70" w:type="dxa"/>
            <w:vAlign w:val="center"/>
            <w:hideMark/>
          </w:tcPr>
          <w:p w14:paraId="597104BE"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922" w:type="dxa"/>
            <w:vAlign w:val="center"/>
            <w:hideMark/>
          </w:tcPr>
          <w:p w14:paraId="5FCFCDC1"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19" w:type="dxa"/>
            <w:vAlign w:val="center"/>
            <w:hideMark/>
          </w:tcPr>
          <w:p w14:paraId="4215520F"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29" w:type="dxa"/>
            <w:vAlign w:val="center"/>
            <w:hideMark/>
          </w:tcPr>
          <w:p w14:paraId="46F9E756"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70" w:type="dxa"/>
            <w:vAlign w:val="center"/>
            <w:hideMark/>
          </w:tcPr>
          <w:p w14:paraId="7C2C9891"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922" w:type="dxa"/>
            <w:vAlign w:val="center"/>
            <w:hideMark/>
          </w:tcPr>
          <w:p w14:paraId="55E5FA12"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19" w:type="dxa"/>
            <w:vAlign w:val="center"/>
            <w:hideMark/>
          </w:tcPr>
          <w:p w14:paraId="72B76711"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29" w:type="dxa"/>
            <w:vAlign w:val="center"/>
            <w:hideMark/>
          </w:tcPr>
          <w:p w14:paraId="00F9F1EA"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70" w:type="dxa"/>
            <w:vAlign w:val="center"/>
            <w:hideMark/>
          </w:tcPr>
          <w:p w14:paraId="0FC23F81"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922" w:type="dxa"/>
            <w:vAlign w:val="center"/>
            <w:hideMark/>
          </w:tcPr>
          <w:p w14:paraId="2A0AF2C2"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19" w:type="dxa"/>
            <w:vAlign w:val="center"/>
            <w:hideMark/>
          </w:tcPr>
          <w:p w14:paraId="010FD8FB" w14:textId="77777777" w:rsidR="002F3D36" w:rsidRPr="002F3D36" w:rsidRDefault="002F3D36" w:rsidP="002F3D36">
            <w:pPr>
              <w:widowControl/>
              <w:jc w:val="left"/>
              <w:rPr>
                <w:rFonts w:ascii="Times New Roman" w:eastAsia="Times New Roman" w:hAnsi="Times New Roman" w:cs="Times New Roman"/>
                <w:kern w:val="0"/>
                <w:sz w:val="20"/>
                <w:szCs w:val="20"/>
              </w:rPr>
            </w:pPr>
          </w:p>
        </w:tc>
      </w:tr>
      <w:tr w:rsidR="002F3D36" w:rsidRPr="002F3D36" w14:paraId="77E77F42" w14:textId="77777777" w:rsidTr="002F3D36">
        <w:trPr>
          <w:trHeight w:val="160"/>
          <w:tblCellSpacing w:w="15" w:type="dxa"/>
        </w:trPr>
        <w:tc>
          <w:tcPr>
            <w:tcW w:w="0" w:type="auto"/>
            <w:vAlign w:val="bottom"/>
            <w:hideMark/>
          </w:tcPr>
          <w:p w14:paraId="22B04E98"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u w:val="single"/>
              </w:rPr>
              <w:t>DEPRECIATION INCLUDED IN</w:t>
            </w:r>
          </w:p>
        </w:tc>
        <w:tc>
          <w:tcPr>
            <w:tcW w:w="0" w:type="auto"/>
            <w:vAlign w:val="bottom"/>
            <w:hideMark/>
          </w:tcPr>
          <w:p w14:paraId="60C3DDE1"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2"/>
            <w:tcBorders>
              <w:bottom w:val="single" w:sz="4" w:space="0" w:color="000000"/>
            </w:tcBorders>
            <w:vAlign w:val="bottom"/>
            <w:hideMark/>
          </w:tcPr>
          <w:p w14:paraId="5523F793"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2021</w:t>
            </w:r>
          </w:p>
        </w:tc>
        <w:tc>
          <w:tcPr>
            <w:tcW w:w="0" w:type="auto"/>
            <w:vAlign w:val="bottom"/>
            <w:hideMark/>
          </w:tcPr>
          <w:p w14:paraId="5FDD9F63"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vAlign w:val="bottom"/>
            <w:hideMark/>
          </w:tcPr>
          <w:p w14:paraId="543882C3"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2"/>
            <w:tcBorders>
              <w:bottom w:val="single" w:sz="4" w:space="0" w:color="000000"/>
            </w:tcBorders>
            <w:vAlign w:val="bottom"/>
            <w:hideMark/>
          </w:tcPr>
          <w:p w14:paraId="16FD5EF7"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2020</w:t>
            </w:r>
          </w:p>
        </w:tc>
        <w:tc>
          <w:tcPr>
            <w:tcW w:w="0" w:type="auto"/>
            <w:vAlign w:val="bottom"/>
            <w:hideMark/>
          </w:tcPr>
          <w:p w14:paraId="1130E155"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vAlign w:val="bottom"/>
            <w:hideMark/>
          </w:tcPr>
          <w:p w14:paraId="1B4124D1"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2"/>
            <w:tcBorders>
              <w:bottom w:val="single" w:sz="4" w:space="0" w:color="000000"/>
            </w:tcBorders>
            <w:vAlign w:val="bottom"/>
            <w:hideMark/>
          </w:tcPr>
          <w:p w14:paraId="2D2E1C7A"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2019</w:t>
            </w:r>
          </w:p>
        </w:tc>
        <w:tc>
          <w:tcPr>
            <w:tcW w:w="0" w:type="auto"/>
            <w:vAlign w:val="bottom"/>
            <w:hideMark/>
          </w:tcPr>
          <w:p w14:paraId="5D0730C9"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r>
      <w:tr w:rsidR="002F3D36" w:rsidRPr="002F3D36" w14:paraId="266E2DB6" w14:textId="77777777" w:rsidTr="002F3D36">
        <w:trPr>
          <w:trHeight w:val="180"/>
          <w:tblCellSpacing w:w="15" w:type="dxa"/>
        </w:trPr>
        <w:tc>
          <w:tcPr>
            <w:tcW w:w="0" w:type="auto"/>
            <w:shd w:val="clear" w:color="auto" w:fill="CFF0FC"/>
            <w:hideMark/>
          </w:tcPr>
          <w:p w14:paraId="070A0AEE"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Cost of sales</w:t>
            </w:r>
          </w:p>
        </w:tc>
        <w:tc>
          <w:tcPr>
            <w:tcW w:w="0" w:type="auto"/>
            <w:shd w:val="clear" w:color="auto" w:fill="CFF0FC"/>
            <w:vAlign w:val="bottom"/>
            <w:hideMark/>
          </w:tcPr>
          <w:p w14:paraId="2751FAFE"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0F16B46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75136386"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348</w:t>
            </w:r>
          </w:p>
        </w:tc>
        <w:tc>
          <w:tcPr>
            <w:tcW w:w="0" w:type="auto"/>
            <w:shd w:val="clear" w:color="auto" w:fill="CFF0FC"/>
            <w:vAlign w:val="bottom"/>
            <w:hideMark/>
          </w:tcPr>
          <w:p w14:paraId="03DE0DE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78C84B6E"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3702A61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7BAB506B"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327</w:t>
            </w:r>
          </w:p>
        </w:tc>
        <w:tc>
          <w:tcPr>
            <w:tcW w:w="0" w:type="auto"/>
            <w:shd w:val="clear" w:color="auto" w:fill="CFF0FC"/>
            <w:vAlign w:val="bottom"/>
            <w:hideMark/>
          </w:tcPr>
          <w:p w14:paraId="7639075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04DA7E6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4D2EFB8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1E740492"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307</w:t>
            </w:r>
          </w:p>
        </w:tc>
        <w:tc>
          <w:tcPr>
            <w:tcW w:w="0" w:type="auto"/>
            <w:shd w:val="clear" w:color="auto" w:fill="CFF0FC"/>
            <w:vAlign w:val="bottom"/>
            <w:hideMark/>
          </w:tcPr>
          <w:p w14:paraId="63E0140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5EA3D12B" w14:textId="77777777" w:rsidTr="002F3D36">
        <w:trPr>
          <w:trHeight w:val="180"/>
          <w:tblCellSpacing w:w="15" w:type="dxa"/>
        </w:trPr>
        <w:tc>
          <w:tcPr>
            <w:tcW w:w="0" w:type="auto"/>
            <w:hideMark/>
          </w:tcPr>
          <w:p w14:paraId="6BDC63A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Selling, general and administrative expenses</w:t>
            </w:r>
          </w:p>
        </w:tc>
        <w:tc>
          <w:tcPr>
            <w:tcW w:w="0" w:type="auto"/>
            <w:vAlign w:val="bottom"/>
            <w:hideMark/>
          </w:tcPr>
          <w:p w14:paraId="00E8C56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7CE9ED6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3546C68B"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13</w:t>
            </w:r>
          </w:p>
        </w:tc>
        <w:tc>
          <w:tcPr>
            <w:tcW w:w="0" w:type="auto"/>
            <w:vAlign w:val="bottom"/>
            <w:hideMark/>
          </w:tcPr>
          <w:p w14:paraId="773B943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43B2EEE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42831E5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3B30631F"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13</w:t>
            </w:r>
          </w:p>
        </w:tc>
        <w:tc>
          <w:tcPr>
            <w:tcW w:w="0" w:type="auto"/>
            <w:vAlign w:val="bottom"/>
            <w:hideMark/>
          </w:tcPr>
          <w:p w14:paraId="4A5782D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1A433F2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20D9CAB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5E421C94"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13</w:t>
            </w:r>
          </w:p>
        </w:tc>
        <w:tc>
          <w:tcPr>
            <w:tcW w:w="0" w:type="auto"/>
            <w:vAlign w:val="bottom"/>
            <w:hideMark/>
          </w:tcPr>
          <w:p w14:paraId="294F34A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1585F26F" w14:textId="77777777" w:rsidTr="002F3D36">
        <w:trPr>
          <w:trHeight w:val="180"/>
          <w:tblCellSpacing w:w="15" w:type="dxa"/>
        </w:trPr>
        <w:tc>
          <w:tcPr>
            <w:tcW w:w="0" w:type="auto"/>
            <w:shd w:val="clear" w:color="auto" w:fill="CFF0FC"/>
            <w:hideMark/>
          </w:tcPr>
          <w:p w14:paraId="4D9C4B0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Research, development and engineering expenses, net</w:t>
            </w:r>
          </w:p>
        </w:tc>
        <w:tc>
          <w:tcPr>
            <w:tcW w:w="0" w:type="auto"/>
            <w:shd w:val="clear" w:color="auto" w:fill="CFF0FC"/>
            <w:vAlign w:val="bottom"/>
            <w:hideMark/>
          </w:tcPr>
          <w:p w14:paraId="7FF7B87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5D6C946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29863844"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23</w:t>
            </w:r>
          </w:p>
        </w:tc>
        <w:tc>
          <w:tcPr>
            <w:tcW w:w="0" w:type="auto"/>
            <w:shd w:val="clear" w:color="auto" w:fill="CFF0FC"/>
            <w:vAlign w:val="bottom"/>
            <w:hideMark/>
          </w:tcPr>
          <w:p w14:paraId="1D29646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57FE1CE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4AA8E24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4BFD9562"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21</w:t>
            </w:r>
          </w:p>
        </w:tc>
        <w:tc>
          <w:tcPr>
            <w:tcW w:w="0" w:type="auto"/>
            <w:shd w:val="clear" w:color="auto" w:fill="CFF0FC"/>
            <w:vAlign w:val="bottom"/>
            <w:hideMark/>
          </w:tcPr>
          <w:p w14:paraId="5A58B76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1880CC5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202C5BA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60C60AE2"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19</w:t>
            </w:r>
          </w:p>
        </w:tc>
        <w:tc>
          <w:tcPr>
            <w:tcW w:w="0" w:type="auto"/>
            <w:shd w:val="clear" w:color="auto" w:fill="CFF0FC"/>
            <w:vAlign w:val="bottom"/>
            <w:hideMark/>
          </w:tcPr>
          <w:p w14:paraId="289C76C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1CFD75DA" w14:textId="77777777" w:rsidTr="002F3D36">
        <w:trPr>
          <w:trHeight w:val="180"/>
          <w:tblCellSpacing w:w="15" w:type="dxa"/>
        </w:trPr>
        <w:tc>
          <w:tcPr>
            <w:tcW w:w="0" w:type="auto"/>
            <w:hideMark/>
          </w:tcPr>
          <w:p w14:paraId="4EB2580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Total</w:t>
            </w:r>
          </w:p>
        </w:tc>
        <w:tc>
          <w:tcPr>
            <w:tcW w:w="0" w:type="auto"/>
            <w:vAlign w:val="bottom"/>
            <w:hideMark/>
          </w:tcPr>
          <w:p w14:paraId="2AE6E36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76AD988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tcBorders>
              <w:bottom w:val="single" w:sz="4" w:space="0" w:color="000000"/>
            </w:tcBorders>
            <w:vAlign w:val="bottom"/>
            <w:hideMark/>
          </w:tcPr>
          <w:p w14:paraId="7CC0D418"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384</w:t>
            </w:r>
          </w:p>
        </w:tc>
        <w:tc>
          <w:tcPr>
            <w:tcW w:w="0" w:type="auto"/>
            <w:vAlign w:val="bottom"/>
            <w:hideMark/>
          </w:tcPr>
          <w:p w14:paraId="0C959C5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629ADC8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6A0A8EE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tcBorders>
              <w:bottom w:val="single" w:sz="4" w:space="0" w:color="000000"/>
            </w:tcBorders>
            <w:vAlign w:val="bottom"/>
            <w:hideMark/>
          </w:tcPr>
          <w:p w14:paraId="3219947B"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361</w:t>
            </w:r>
          </w:p>
        </w:tc>
        <w:tc>
          <w:tcPr>
            <w:tcW w:w="0" w:type="auto"/>
            <w:vAlign w:val="bottom"/>
            <w:hideMark/>
          </w:tcPr>
          <w:p w14:paraId="1A61F4A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3AF24B9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7C4B5CF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tcBorders>
              <w:bottom w:val="single" w:sz="4" w:space="0" w:color="000000"/>
            </w:tcBorders>
            <w:vAlign w:val="bottom"/>
            <w:hideMark/>
          </w:tcPr>
          <w:p w14:paraId="723A3988"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339</w:t>
            </w:r>
          </w:p>
        </w:tc>
        <w:tc>
          <w:tcPr>
            <w:tcW w:w="0" w:type="auto"/>
            <w:vAlign w:val="bottom"/>
            <w:hideMark/>
          </w:tcPr>
          <w:p w14:paraId="3EBE137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bl>
    <w:p w14:paraId="429EF9D2"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w:t>
      </w:r>
    </w:p>
    <w:p w14:paraId="67E2CE05"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lastRenderedPageBreak/>
        <w:t>No significant fixed asset impairments related to the Company’s continuing operations were recognized during 2021, 2020 or 2019.</w:t>
      </w:r>
    </w:p>
    <w:p w14:paraId="030682C4"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The net book value of machinery and equipment and buildings and land under finance lease contracts recorded at December 31, 2021 and December 31, 2020 were immaterial. The amortization expense related to finance leases is included with depreciation expenses disclosed in the table above.</w:t>
      </w:r>
    </w:p>
    <w:p w14:paraId="2BD350BA"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22"/>
        </w:rPr>
        <w:t>10. Goodwill and Intangible Assets</w:t>
      </w:r>
    </w:p>
    <w:p w14:paraId="64CCB9E6"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w:t>
      </w:r>
    </w:p>
    <w:tbl>
      <w:tblPr>
        <w:tblW w:w="14430" w:type="dxa"/>
        <w:tblCellSpacing w:w="15" w:type="dxa"/>
        <w:tblCellMar>
          <w:top w:w="15" w:type="dxa"/>
          <w:left w:w="15" w:type="dxa"/>
          <w:bottom w:w="15" w:type="dxa"/>
          <w:right w:w="15" w:type="dxa"/>
        </w:tblCellMar>
        <w:tblLook w:val="04A0" w:firstRow="1" w:lastRow="0" w:firstColumn="1" w:lastColumn="0" w:noHBand="0" w:noVBand="1"/>
      </w:tblPr>
      <w:tblGrid>
        <w:gridCol w:w="9963"/>
        <w:gridCol w:w="245"/>
        <w:gridCol w:w="319"/>
        <w:gridCol w:w="1484"/>
        <w:gridCol w:w="202"/>
        <w:gridCol w:w="249"/>
        <w:gridCol w:w="319"/>
        <w:gridCol w:w="1484"/>
        <w:gridCol w:w="165"/>
      </w:tblGrid>
      <w:tr w:rsidR="002F3D36" w:rsidRPr="002F3D36" w14:paraId="0B39CF96" w14:textId="77777777" w:rsidTr="002F3D36">
        <w:trPr>
          <w:tblCellSpacing w:w="15" w:type="dxa"/>
        </w:trPr>
        <w:tc>
          <w:tcPr>
            <w:tcW w:w="9942" w:type="dxa"/>
            <w:vAlign w:val="center"/>
            <w:hideMark/>
          </w:tcPr>
          <w:p w14:paraId="1D04A498" w14:textId="77777777" w:rsidR="002F3D36" w:rsidRPr="002F3D36" w:rsidRDefault="002F3D36" w:rsidP="002F3D36">
            <w:pPr>
              <w:widowControl/>
              <w:jc w:val="left"/>
              <w:rPr>
                <w:rFonts w:ascii="Times New Roman" w:eastAsia="宋体" w:hAnsi="Times New Roman" w:cs="Times New Roman"/>
                <w:color w:val="000000"/>
                <w:kern w:val="0"/>
                <w:sz w:val="20"/>
                <w:szCs w:val="20"/>
              </w:rPr>
            </w:pPr>
          </w:p>
        </w:tc>
        <w:tc>
          <w:tcPr>
            <w:tcW w:w="215" w:type="dxa"/>
            <w:vAlign w:val="center"/>
            <w:hideMark/>
          </w:tcPr>
          <w:p w14:paraId="562B0E3E"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89" w:type="dxa"/>
            <w:vAlign w:val="center"/>
            <w:hideMark/>
          </w:tcPr>
          <w:p w14:paraId="4CCE551D"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457" w:type="dxa"/>
            <w:vAlign w:val="center"/>
            <w:hideMark/>
          </w:tcPr>
          <w:p w14:paraId="22A4054A"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72" w:type="dxa"/>
            <w:vAlign w:val="center"/>
            <w:hideMark/>
          </w:tcPr>
          <w:p w14:paraId="096BB3DD"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19" w:type="dxa"/>
            <w:vAlign w:val="center"/>
            <w:hideMark/>
          </w:tcPr>
          <w:p w14:paraId="03DFDFCF"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89" w:type="dxa"/>
            <w:vAlign w:val="center"/>
            <w:hideMark/>
          </w:tcPr>
          <w:p w14:paraId="3E99B65B"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457" w:type="dxa"/>
            <w:vAlign w:val="center"/>
            <w:hideMark/>
          </w:tcPr>
          <w:p w14:paraId="29F596B4"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20" w:type="dxa"/>
            <w:vAlign w:val="center"/>
            <w:hideMark/>
          </w:tcPr>
          <w:p w14:paraId="4DA34278" w14:textId="77777777" w:rsidR="002F3D36" w:rsidRPr="002F3D36" w:rsidRDefault="002F3D36" w:rsidP="002F3D36">
            <w:pPr>
              <w:widowControl/>
              <w:jc w:val="left"/>
              <w:rPr>
                <w:rFonts w:ascii="Times New Roman" w:eastAsia="Times New Roman" w:hAnsi="Times New Roman" w:cs="Times New Roman"/>
                <w:kern w:val="0"/>
                <w:sz w:val="20"/>
                <w:szCs w:val="20"/>
              </w:rPr>
            </w:pPr>
          </w:p>
        </w:tc>
      </w:tr>
      <w:tr w:rsidR="002F3D36" w:rsidRPr="002F3D36" w14:paraId="0708FD1C" w14:textId="77777777" w:rsidTr="002F3D36">
        <w:trPr>
          <w:trHeight w:val="160"/>
          <w:tblCellSpacing w:w="15" w:type="dxa"/>
        </w:trPr>
        <w:tc>
          <w:tcPr>
            <w:tcW w:w="0" w:type="auto"/>
            <w:vAlign w:val="bottom"/>
            <w:hideMark/>
          </w:tcPr>
          <w:p w14:paraId="43DD66BD"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u w:val="single"/>
              </w:rPr>
              <w:t xml:space="preserve">GOODWILL </w:t>
            </w:r>
            <w:r w:rsidRPr="002F3D36">
              <w:rPr>
                <w:rFonts w:ascii="Arial" w:eastAsia="宋体" w:hAnsi="Arial" w:cs="Arial"/>
                <w:color w:val="000000"/>
                <w:kern w:val="0"/>
                <w:sz w:val="16"/>
                <w:szCs w:val="16"/>
                <w:u w:val="single"/>
              </w:rPr>
              <w:t>(Dollars in millions)</w:t>
            </w:r>
          </w:p>
        </w:tc>
        <w:tc>
          <w:tcPr>
            <w:tcW w:w="0" w:type="auto"/>
            <w:vAlign w:val="bottom"/>
            <w:hideMark/>
          </w:tcPr>
          <w:p w14:paraId="1FBB31CF"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2"/>
            <w:tcBorders>
              <w:bottom w:val="single" w:sz="4" w:space="0" w:color="000000"/>
            </w:tcBorders>
            <w:vAlign w:val="bottom"/>
            <w:hideMark/>
          </w:tcPr>
          <w:p w14:paraId="6B72A12C"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2021</w:t>
            </w:r>
          </w:p>
        </w:tc>
        <w:tc>
          <w:tcPr>
            <w:tcW w:w="0" w:type="auto"/>
            <w:vAlign w:val="bottom"/>
            <w:hideMark/>
          </w:tcPr>
          <w:p w14:paraId="279E000F"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vAlign w:val="bottom"/>
            <w:hideMark/>
          </w:tcPr>
          <w:p w14:paraId="737508A7"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2"/>
            <w:tcBorders>
              <w:bottom w:val="single" w:sz="4" w:space="0" w:color="000000"/>
            </w:tcBorders>
            <w:vAlign w:val="bottom"/>
            <w:hideMark/>
          </w:tcPr>
          <w:p w14:paraId="6BD9DA43"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2020</w:t>
            </w:r>
          </w:p>
        </w:tc>
        <w:tc>
          <w:tcPr>
            <w:tcW w:w="0" w:type="auto"/>
            <w:vAlign w:val="bottom"/>
            <w:hideMark/>
          </w:tcPr>
          <w:p w14:paraId="1F973640"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r>
      <w:tr w:rsidR="002F3D36" w:rsidRPr="002F3D36" w14:paraId="4DB4042A" w14:textId="77777777" w:rsidTr="002F3D36">
        <w:trPr>
          <w:trHeight w:val="180"/>
          <w:tblCellSpacing w:w="15" w:type="dxa"/>
        </w:trPr>
        <w:tc>
          <w:tcPr>
            <w:tcW w:w="0" w:type="auto"/>
            <w:shd w:val="clear" w:color="auto" w:fill="CFF0FC"/>
            <w:hideMark/>
          </w:tcPr>
          <w:p w14:paraId="7EE2D61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Carrying amount at beginning of year</w:t>
            </w:r>
          </w:p>
        </w:tc>
        <w:tc>
          <w:tcPr>
            <w:tcW w:w="0" w:type="auto"/>
            <w:shd w:val="clear" w:color="auto" w:fill="CFF0FC"/>
            <w:vAlign w:val="bottom"/>
            <w:hideMark/>
          </w:tcPr>
          <w:p w14:paraId="5F3B1B2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798E4E7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shd w:val="clear" w:color="auto" w:fill="CFF0FC"/>
            <w:vAlign w:val="bottom"/>
            <w:hideMark/>
          </w:tcPr>
          <w:p w14:paraId="6364D8C9"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1,398</w:t>
            </w:r>
          </w:p>
        </w:tc>
        <w:tc>
          <w:tcPr>
            <w:tcW w:w="0" w:type="auto"/>
            <w:shd w:val="clear" w:color="auto" w:fill="CFF0FC"/>
            <w:vAlign w:val="bottom"/>
            <w:hideMark/>
          </w:tcPr>
          <w:p w14:paraId="2EDD81A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02C35CA1" w14:textId="77777777" w:rsidR="002F3D36" w:rsidRPr="002F3D36" w:rsidRDefault="002F3D36" w:rsidP="002F3D36">
            <w:pPr>
              <w:widowControl/>
              <w:jc w:val="left"/>
              <w:rPr>
                <w:rFonts w:ascii="Times New Roman" w:eastAsia="宋体" w:hAnsi="Times New Roman" w:cs="Times New Roman"/>
                <w:kern w:val="0"/>
                <w:sz w:val="20"/>
                <w:szCs w:val="20"/>
              </w:rPr>
            </w:pPr>
            <w:r w:rsidRPr="002F3D36">
              <w:rPr>
                <w:rFonts w:ascii="Arial" w:eastAsia="宋体" w:hAnsi="Arial" w:cs="Arial"/>
                <w:kern w:val="0"/>
                <w:sz w:val="20"/>
                <w:szCs w:val="20"/>
              </w:rPr>
              <w:t> </w:t>
            </w:r>
          </w:p>
        </w:tc>
        <w:tc>
          <w:tcPr>
            <w:tcW w:w="0" w:type="auto"/>
            <w:shd w:val="clear" w:color="auto" w:fill="CFF0FC"/>
            <w:vAlign w:val="bottom"/>
            <w:hideMark/>
          </w:tcPr>
          <w:p w14:paraId="1BC53D1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shd w:val="clear" w:color="auto" w:fill="CFF0FC"/>
            <w:vAlign w:val="bottom"/>
            <w:hideMark/>
          </w:tcPr>
          <w:p w14:paraId="78C67D51"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1,388</w:t>
            </w:r>
          </w:p>
        </w:tc>
        <w:tc>
          <w:tcPr>
            <w:tcW w:w="0" w:type="auto"/>
            <w:shd w:val="clear" w:color="auto" w:fill="CFF0FC"/>
            <w:vAlign w:val="bottom"/>
            <w:hideMark/>
          </w:tcPr>
          <w:p w14:paraId="71C27FF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4DA3F1A8" w14:textId="77777777" w:rsidTr="002F3D36">
        <w:trPr>
          <w:trHeight w:val="180"/>
          <w:tblCellSpacing w:w="15" w:type="dxa"/>
        </w:trPr>
        <w:tc>
          <w:tcPr>
            <w:tcW w:w="0" w:type="auto"/>
            <w:hideMark/>
          </w:tcPr>
          <w:p w14:paraId="0E10AC9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Translation differences</w:t>
            </w:r>
          </w:p>
        </w:tc>
        <w:tc>
          <w:tcPr>
            <w:tcW w:w="0" w:type="auto"/>
            <w:vAlign w:val="bottom"/>
            <w:hideMark/>
          </w:tcPr>
          <w:p w14:paraId="30B9842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580EC21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493835CF"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(11</w:t>
            </w:r>
          </w:p>
        </w:tc>
        <w:tc>
          <w:tcPr>
            <w:tcW w:w="0" w:type="auto"/>
            <w:vAlign w:val="bottom"/>
            <w:hideMark/>
          </w:tcPr>
          <w:p w14:paraId="0C75170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vAlign w:val="bottom"/>
            <w:hideMark/>
          </w:tcPr>
          <w:p w14:paraId="030200D4" w14:textId="77777777" w:rsidR="002F3D36" w:rsidRPr="002F3D36" w:rsidRDefault="002F3D36" w:rsidP="002F3D36">
            <w:pPr>
              <w:widowControl/>
              <w:jc w:val="left"/>
              <w:rPr>
                <w:rFonts w:ascii="Times New Roman" w:eastAsia="宋体" w:hAnsi="Times New Roman" w:cs="Times New Roman"/>
                <w:kern w:val="0"/>
                <w:sz w:val="20"/>
                <w:szCs w:val="20"/>
              </w:rPr>
            </w:pPr>
            <w:r w:rsidRPr="002F3D36">
              <w:rPr>
                <w:rFonts w:ascii="Arial" w:eastAsia="宋体" w:hAnsi="Arial" w:cs="Arial"/>
                <w:kern w:val="0"/>
                <w:sz w:val="20"/>
                <w:szCs w:val="20"/>
              </w:rPr>
              <w:t> </w:t>
            </w:r>
          </w:p>
        </w:tc>
        <w:tc>
          <w:tcPr>
            <w:tcW w:w="0" w:type="auto"/>
            <w:tcBorders>
              <w:bottom w:val="single" w:sz="4" w:space="0" w:color="000000"/>
            </w:tcBorders>
            <w:vAlign w:val="bottom"/>
            <w:hideMark/>
          </w:tcPr>
          <w:p w14:paraId="7EE673D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69F71377"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10</w:t>
            </w:r>
          </w:p>
        </w:tc>
        <w:tc>
          <w:tcPr>
            <w:tcW w:w="0" w:type="auto"/>
            <w:vAlign w:val="bottom"/>
            <w:hideMark/>
          </w:tcPr>
          <w:p w14:paraId="46B29FA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05D465A1" w14:textId="77777777" w:rsidTr="002F3D36">
        <w:trPr>
          <w:trHeight w:val="180"/>
          <w:tblCellSpacing w:w="15" w:type="dxa"/>
        </w:trPr>
        <w:tc>
          <w:tcPr>
            <w:tcW w:w="0" w:type="auto"/>
            <w:shd w:val="clear" w:color="auto" w:fill="CFF0FC"/>
            <w:hideMark/>
          </w:tcPr>
          <w:p w14:paraId="257A9D0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Carrying amount at end of year</w:t>
            </w:r>
          </w:p>
        </w:tc>
        <w:tc>
          <w:tcPr>
            <w:tcW w:w="0" w:type="auto"/>
            <w:shd w:val="clear" w:color="auto" w:fill="CFF0FC"/>
            <w:vAlign w:val="bottom"/>
            <w:hideMark/>
          </w:tcPr>
          <w:p w14:paraId="6BE653E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7E2DC09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shd w:val="clear" w:color="auto" w:fill="CFF0FC"/>
            <w:vAlign w:val="bottom"/>
            <w:hideMark/>
          </w:tcPr>
          <w:p w14:paraId="3C438FC5"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1,387</w:t>
            </w:r>
          </w:p>
        </w:tc>
        <w:tc>
          <w:tcPr>
            <w:tcW w:w="0" w:type="auto"/>
            <w:shd w:val="clear" w:color="auto" w:fill="CFF0FC"/>
            <w:vAlign w:val="bottom"/>
            <w:hideMark/>
          </w:tcPr>
          <w:p w14:paraId="06EF43B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2405CACE" w14:textId="77777777" w:rsidR="002F3D36" w:rsidRPr="002F3D36" w:rsidRDefault="002F3D36" w:rsidP="002F3D36">
            <w:pPr>
              <w:widowControl/>
              <w:jc w:val="left"/>
              <w:rPr>
                <w:rFonts w:ascii="Times New Roman" w:eastAsia="宋体" w:hAnsi="Times New Roman" w:cs="Times New Roman"/>
                <w:kern w:val="0"/>
                <w:sz w:val="20"/>
                <w:szCs w:val="20"/>
              </w:rPr>
            </w:pPr>
            <w:r w:rsidRPr="002F3D36">
              <w:rPr>
                <w:rFonts w:ascii="Arial" w:eastAsia="宋体" w:hAnsi="Arial" w:cs="Arial"/>
                <w:kern w:val="0"/>
                <w:sz w:val="20"/>
                <w:szCs w:val="20"/>
              </w:rPr>
              <w:t> </w:t>
            </w:r>
          </w:p>
        </w:tc>
        <w:tc>
          <w:tcPr>
            <w:tcW w:w="0" w:type="auto"/>
            <w:shd w:val="clear" w:color="auto" w:fill="CFF0FC"/>
            <w:vAlign w:val="bottom"/>
            <w:hideMark/>
          </w:tcPr>
          <w:p w14:paraId="0D41F5F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shd w:val="clear" w:color="auto" w:fill="CFF0FC"/>
            <w:vAlign w:val="bottom"/>
            <w:hideMark/>
          </w:tcPr>
          <w:p w14:paraId="3685AFE4"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1,398</w:t>
            </w:r>
          </w:p>
        </w:tc>
        <w:tc>
          <w:tcPr>
            <w:tcW w:w="0" w:type="auto"/>
            <w:shd w:val="clear" w:color="auto" w:fill="CFF0FC"/>
            <w:vAlign w:val="bottom"/>
            <w:hideMark/>
          </w:tcPr>
          <w:p w14:paraId="41B9894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bl>
    <w:p w14:paraId="404B7621"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24"/>
          <w:szCs w:val="24"/>
        </w:rPr>
        <w:t> </w:t>
      </w:r>
    </w:p>
    <w:p w14:paraId="29FFA303"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Approximately $1.2 billion of the Company’s goodwill is associated with the 1997 merger of Autoliv AB and the Automotive Safety Products Division of Morton International, Inc. No goodwill impairment charges were recognized during 2021, 2020 or 2019.</w:t>
      </w:r>
    </w:p>
    <w:p w14:paraId="4F1D6775"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w:t>
      </w:r>
    </w:p>
    <w:tbl>
      <w:tblPr>
        <w:tblW w:w="14430" w:type="dxa"/>
        <w:tblCellSpacing w:w="15" w:type="dxa"/>
        <w:tblCellMar>
          <w:top w:w="15" w:type="dxa"/>
          <w:left w:w="15" w:type="dxa"/>
          <w:bottom w:w="15" w:type="dxa"/>
          <w:right w:w="15" w:type="dxa"/>
        </w:tblCellMar>
        <w:tblLook w:val="04A0" w:firstRow="1" w:lastRow="0" w:firstColumn="1" w:lastColumn="0" w:noHBand="0" w:noVBand="1"/>
      </w:tblPr>
      <w:tblGrid>
        <w:gridCol w:w="10115"/>
        <w:gridCol w:w="230"/>
        <w:gridCol w:w="317"/>
        <w:gridCol w:w="1406"/>
        <w:gridCol w:w="202"/>
        <w:gridCol w:w="217"/>
        <w:gridCol w:w="317"/>
        <w:gridCol w:w="1408"/>
        <w:gridCol w:w="218"/>
      </w:tblGrid>
      <w:tr w:rsidR="002F3D36" w:rsidRPr="002F3D36" w14:paraId="63777606" w14:textId="77777777" w:rsidTr="002F3D36">
        <w:trPr>
          <w:tblCellSpacing w:w="15" w:type="dxa"/>
        </w:trPr>
        <w:tc>
          <w:tcPr>
            <w:tcW w:w="10094" w:type="dxa"/>
            <w:vAlign w:val="center"/>
            <w:hideMark/>
          </w:tcPr>
          <w:p w14:paraId="3616C447" w14:textId="77777777" w:rsidR="002F3D36" w:rsidRPr="002F3D36" w:rsidRDefault="002F3D36" w:rsidP="002F3D36">
            <w:pPr>
              <w:widowControl/>
              <w:jc w:val="left"/>
              <w:rPr>
                <w:rFonts w:ascii="Times New Roman" w:eastAsia="宋体" w:hAnsi="Times New Roman" w:cs="Times New Roman"/>
                <w:color w:val="000000"/>
                <w:kern w:val="0"/>
                <w:sz w:val="20"/>
                <w:szCs w:val="20"/>
              </w:rPr>
            </w:pPr>
          </w:p>
        </w:tc>
        <w:tc>
          <w:tcPr>
            <w:tcW w:w="200" w:type="dxa"/>
            <w:vAlign w:val="center"/>
            <w:hideMark/>
          </w:tcPr>
          <w:p w14:paraId="2274AA4B"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87" w:type="dxa"/>
            <w:vAlign w:val="center"/>
            <w:hideMark/>
          </w:tcPr>
          <w:p w14:paraId="70B5B232"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379" w:type="dxa"/>
            <w:vAlign w:val="center"/>
            <w:hideMark/>
          </w:tcPr>
          <w:p w14:paraId="058215CA"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72" w:type="dxa"/>
            <w:vAlign w:val="center"/>
            <w:hideMark/>
          </w:tcPr>
          <w:p w14:paraId="6A8A8FF7"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87" w:type="dxa"/>
            <w:vAlign w:val="center"/>
            <w:hideMark/>
          </w:tcPr>
          <w:p w14:paraId="60C1EFAA"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87" w:type="dxa"/>
            <w:vAlign w:val="center"/>
            <w:hideMark/>
          </w:tcPr>
          <w:p w14:paraId="0B142D0B"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381" w:type="dxa"/>
            <w:vAlign w:val="center"/>
            <w:hideMark/>
          </w:tcPr>
          <w:p w14:paraId="2010C222"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73" w:type="dxa"/>
            <w:vAlign w:val="center"/>
            <w:hideMark/>
          </w:tcPr>
          <w:p w14:paraId="3DF4629A" w14:textId="77777777" w:rsidR="002F3D36" w:rsidRPr="002F3D36" w:rsidRDefault="002F3D36" w:rsidP="002F3D36">
            <w:pPr>
              <w:widowControl/>
              <w:jc w:val="left"/>
              <w:rPr>
                <w:rFonts w:ascii="Times New Roman" w:eastAsia="Times New Roman" w:hAnsi="Times New Roman" w:cs="Times New Roman"/>
                <w:kern w:val="0"/>
                <w:sz w:val="20"/>
                <w:szCs w:val="20"/>
              </w:rPr>
            </w:pPr>
          </w:p>
        </w:tc>
      </w:tr>
      <w:tr w:rsidR="002F3D36" w:rsidRPr="002F3D36" w14:paraId="49880E0C" w14:textId="77777777" w:rsidTr="002F3D36">
        <w:trPr>
          <w:trHeight w:val="160"/>
          <w:tblCellSpacing w:w="15" w:type="dxa"/>
        </w:trPr>
        <w:tc>
          <w:tcPr>
            <w:tcW w:w="0" w:type="auto"/>
            <w:vAlign w:val="bottom"/>
            <w:hideMark/>
          </w:tcPr>
          <w:p w14:paraId="78F7BA57"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u w:val="single"/>
              </w:rPr>
              <w:t xml:space="preserve">AMORTIZABLE INTANGIBLES </w:t>
            </w:r>
            <w:r w:rsidRPr="002F3D36">
              <w:rPr>
                <w:rFonts w:ascii="Arial" w:eastAsia="宋体" w:hAnsi="Arial" w:cs="Arial"/>
                <w:color w:val="000000"/>
                <w:kern w:val="0"/>
                <w:sz w:val="16"/>
                <w:szCs w:val="16"/>
                <w:u w:val="single"/>
              </w:rPr>
              <w:t>(Dollars in millions)</w:t>
            </w:r>
          </w:p>
        </w:tc>
        <w:tc>
          <w:tcPr>
            <w:tcW w:w="0" w:type="auto"/>
            <w:vAlign w:val="bottom"/>
            <w:hideMark/>
          </w:tcPr>
          <w:p w14:paraId="52B4869A"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2"/>
            <w:tcBorders>
              <w:bottom w:val="single" w:sz="4" w:space="0" w:color="000000"/>
            </w:tcBorders>
            <w:vAlign w:val="bottom"/>
            <w:hideMark/>
          </w:tcPr>
          <w:p w14:paraId="729CAA78"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2021</w:t>
            </w:r>
          </w:p>
        </w:tc>
        <w:tc>
          <w:tcPr>
            <w:tcW w:w="0" w:type="auto"/>
            <w:vAlign w:val="bottom"/>
            <w:hideMark/>
          </w:tcPr>
          <w:p w14:paraId="7F44A657"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vAlign w:val="bottom"/>
            <w:hideMark/>
          </w:tcPr>
          <w:p w14:paraId="07AE556A"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2"/>
            <w:tcBorders>
              <w:bottom w:val="single" w:sz="4" w:space="0" w:color="000000"/>
            </w:tcBorders>
            <w:vAlign w:val="bottom"/>
            <w:hideMark/>
          </w:tcPr>
          <w:p w14:paraId="460F7616"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2020</w:t>
            </w:r>
          </w:p>
        </w:tc>
        <w:tc>
          <w:tcPr>
            <w:tcW w:w="0" w:type="auto"/>
            <w:vAlign w:val="bottom"/>
            <w:hideMark/>
          </w:tcPr>
          <w:p w14:paraId="5A31F4C5"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r>
      <w:tr w:rsidR="002F3D36" w:rsidRPr="002F3D36" w14:paraId="3CE3C75E" w14:textId="77777777" w:rsidTr="002F3D36">
        <w:trPr>
          <w:trHeight w:val="180"/>
          <w:tblCellSpacing w:w="15" w:type="dxa"/>
        </w:trPr>
        <w:tc>
          <w:tcPr>
            <w:tcW w:w="0" w:type="auto"/>
            <w:shd w:val="clear" w:color="auto" w:fill="CFF0FC"/>
            <w:hideMark/>
          </w:tcPr>
          <w:p w14:paraId="038FAC1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Gross carrying amount</w:t>
            </w:r>
          </w:p>
        </w:tc>
        <w:tc>
          <w:tcPr>
            <w:tcW w:w="0" w:type="auto"/>
            <w:shd w:val="clear" w:color="auto" w:fill="CFF0FC"/>
            <w:vAlign w:val="bottom"/>
            <w:hideMark/>
          </w:tcPr>
          <w:p w14:paraId="39C9BE0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0B8B096E"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6FF56500"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398</w:t>
            </w:r>
          </w:p>
        </w:tc>
        <w:tc>
          <w:tcPr>
            <w:tcW w:w="0" w:type="auto"/>
            <w:shd w:val="clear" w:color="auto" w:fill="CFF0FC"/>
            <w:vAlign w:val="bottom"/>
            <w:hideMark/>
          </w:tcPr>
          <w:p w14:paraId="3430990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476A735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59D7780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3A24201F"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407</w:t>
            </w:r>
          </w:p>
        </w:tc>
        <w:tc>
          <w:tcPr>
            <w:tcW w:w="0" w:type="auto"/>
            <w:shd w:val="clear" w:color="auto" w:fill="CFF0FC"/>
            <w:vAlign w:val="bottom"/>
            <w:hideMark/>
          </w:tcPr>
          <w:p w14:paraId="16F129F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7CDFBB01" w14:textId="77777777" w:rsidTr="002F3D36">
        <w:trPr>
          <w:trHeight w:val="180"/>
          <w:tblCellSpacing w:w="15" w:type="dxa"/>
        </w:trPr>
        <w:tc>
          <w:tcPr>
            <w:tcW w:w="0" w:type="auto"/>
            <w:hideMark/>
          </w:tcPr>
          <w:p w14:paraId="0964247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Accumulated amortization</w:t>
            </w:r>
          </w:p>
        </w:tc>
        <w:tc>
          <w:tcPr>
            <w:tcW w:w="0" w:type="auto"/>
            <w:vAlign w:val="bottom"/>
            <w:hideMark/>
          </w:tcPr>
          <w:p w14:paraId="61D6948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000C256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6D04BD82"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(390</w:t>
            </w:r>
          </w:p>
        </w:tc>
        <w:tc>
          <w:tcPr>
            <w:tcW w:w="0" w:type="auto"/>
            <w:vAlign w:val="bottom"/>
            <w:hideMark/>
          </w:tcPr>
          <w:p w14:paraId="69E7082E"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vAlign w:val="bottom"/>
            <w:hideMark/>
          </w:tcPr>
          <w:p w14:paraId="5F31C02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12A654A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120AE131"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(393</w:t>
            </w:r>
          </w:p>
        </w:tc>
        <w:tc>
          <w:tcPr>
            <w:tcW w:w="0" w:type="auto"/>
            <w:vAlign w:val="bottom"/>
            <w:hideMark/>
          </w:tcPr>
          <w:p w14:paraId="466DC9B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r>
      <w:tr w:rsidR="002F3D36" w:rsidRPr="002F3D36" w14:paraId="24F26013" w14:textId="77777777" w:rsidTr="002F3D36">
        <w:trPr>
          <w:trHeight w:val="180"/>
          <w:tblCellSpacing w:w="15" w:type="dxa"/>
        </w:trPr>
        <w:tc>
          <w:tcPr>
            <w:tcW w:w="0" w:type="auto"/>
            <w:shd w:val="clear" w:color="auto" w:fill="CFF0FC"/>
            <w:hideMark/>
          </w:tcPr>
          <w:p w14:paraId="2E16138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Carrying value</w:t>
            </w:r>
          </w:p>
        </w:tc>
        <w:tc>
          <w:tcPr>
            <w:tcW w:w="0" w:type="auto"/>
            <w:shd w:val="clear" w:color="auto" w:fill="CFF0FC"/>
            <w:vAlign w:val="bottom"/>
            <w:hideMark/>
          </w:tcPr>
          <w:p w14:paraId="1FF890D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1DD95DA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shd w:val="clear" w:color="auto" w:fill="CFF0FC"/>
            <w:vAlign w:val="bottom"/>
            <w:hideMark/>
          </w:tcPr>
          <w:p w14:paraId="36EB79F5"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8</w:t>
            </w:r>
          </w:p>
        </w:tc>
        <w:tc>
          <w:tcPr>
            <w:tcW w:w="0" w:type="auto"/>
            <w:shd w:val="clear" w:color="auto" w:fill="CFF0FC"/>
            <w:vAlign w:val="bottom"/>
            <w:hideMark/>
          </w:tcPr>
          <w:p w14:paraId="02B28A1E"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166959C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62A5AF3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shd w:val="clear" w:color="auto" w:fill="CFF0FC"/>
            <w:vAlign w:val="bottom"/>
            <w:hideMark/>
          </w:tcPr>
          <w:p w14:paraId="09408B62"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14</w:t>
            </w:r>
          </w:p>
        </w:tc>
        <w:tc>
          <w:tcPr>
            <w:tcW w:w="0" w:type="auto"/>
            <w:shd w:val="clear" w:color="auto" w:fill="CFF0FC"/>
            <w:vAlign w:val="bottom"/>
            <w:hideMark/>
          </w:tcPr>
          <w:p w14:paraId="0C2FE86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bl>
    <w:p w14:paraId="015C9166"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24"/>
          <w:szCs w:val="24"/>
        </w:rPr>
        <w:t> </w:t>
      </w:r>
    </w:p>
    <w:p w14:paraId="57429706"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At December 31, 2021, intangible assets subject to amortization mainly relate to acquired technology. No significant impairments of intangible assets were recognized during 2021, 2020 or 2019.</w:t>
      </w:r>
    </w:p>
    <w:p w14:paraId="30A89806"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Amortization expense related to intangible assets was $10 million, $10 million and $12 million in 2021, 2020 and 2019, respectively. Estimated future amortization expense is: 2022: $3 million; 2023: $3 million; 2024: $2 million; 2025: $— million and 2026: $— million.</w:t>
      </w:r>
    </w:p>
    <w:p w14:paraId="4EDCF120" w14:textId="77777777" w:rsidR="002F3D36" w:rsidRPr="002F3D36" w:rsidRDefault="002F3D36" w:rsidP="002F3D36">
      <w:pPr>
        <w:widowControl/>
        <w:jc w:val="left"/>
        <w:rPr>
          <w:rFonts w:ascii="Times New Roman" w:eastAsia="宋体" w:hAnsi="Times New Roman" w:cs="Times New Roman"/>
          <w:color w:val="000000"/>
          <w:kern w:val="0"/>
          <w:sz w:val="20"/>
          <w:szCs w:val="20"/>
        </w:rPr>
      </w:pPr>
      <w:r w:rsidRPr="002F3D36">
        <w:rPr>
          <w:rFonts w:ascii="Times New Roman" w:eastAsia="宋体" w:hAnsi="Times New Roman" w:cs="Times New Roman"/>
          <w:color w:val="000000"/>
          <w:kern w:val="0"/>
          <w:sz w:val="20"/>
          <w:szCs w:val="20"/>
        </w:rPr>
        <w:t> </w:t>
      </w:r>
    </w:p>
    <w:p w14:paraId="0D1B3564" w14:textId="77777777" w:rsidR="002F3D36" w:rsidRPr="002F3D36" w:rsidRDefault="002F3D36" w:rsidP="002F3D36">
      <w:pPr>
        <w:widowControl/>
        <w:spacing w:before="240"/>
        <w:jc w:val="center"/>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74</w:t>
      </w:r>
    </w:p>
    <w:p w14:paraId="67DBEBDB" w14:textId="77777777" w:rsidR="002F3D36" w:rsidRPr="002F3D36" w:rsidRDefault="002F3D36" w:rsidP="002F3D36">
      <w:pPr>
        <w:widowControl/>
        <w:jc w:val="left"/>
        <w:rPr>
          <w:rFonts w:ascii="宋体" w:eastAsia="宋体" w:hAnsi="宋体" w:cs="宋体"/>
          <w:kern w:val="0"/>
          <w:sz w:val="24"/>
          <w:szCs w:val="24"/>
        </w:rPr>
      </w:pPr>
      <w:r w:rsidRPr="002F3D36">
        <w:rPr>
          <w:rFonts w:ascii="宋体" w:eastAsia="宋体" w:hAnsi="宋体" w:cs="宋体"/>
          <w:kern w:val="0"/>
          <w:sz w:val="24"/>
          <w:szCs w:val="24"/>
        </w:rPr>
        <w:pict w14:anchorId="15E1A6BE">
          <v:rect id="_x0000_i1101" style="width:0;height:1.5pt" o:hralign="center" o:hrstd="t" o:hrnoshade="t" o:hr="t" fillcolor="black" stroked="f"/>
        </w:pict>
      </w:r>
    </w:p>
    <w:p w14:paraId="7AF4290A" w14:textId="77777777" w:rsidR="002F3D36" w:rsidRPr="002F3D36" w:rsidRDefault="002F3D36" w:rsidP="002F3D36">
      <w:pPr>
        <w:widowControl/>
        <w:spacing w:line="20" w:lineRule="atLeast"/>
        <w:jc w:val="left"/>
        <w:rPr>
          <w:rFonts w:ascii="Times New Roman" w:eastAsia="宋体" w:hAnsi="Times New Roman" w:cs="Times New Roman"/>
          <w:color w:val="000000"/>
          <w:kern w:val="0"/>
          <w:sz w:val="20"/>
          <w:szCs w:val="20"/>
        </w:rPr>
      </w:pPr>
      <w:r w:rsidRPr="002F3D36">
        <w:rPr>
          <w:rFonts w:ascii="Arial" w:eastAsia="宋体" w:hAnsi="Arial" w:cs="Arial"/>
          <w:color w:val="000000"/>
          <w:kern w:val="0"/>
          <w:sz w:val="2"/>
          <w:szCs w:val="2"/>
        </w:rPr>
        <w:t> </w:t>
      </w:r>
    </w:p>
    <w:p w14:paraId="03D767D6" w14:textId="77777777" w:rsidR="002F3D36" w:rsidRPr="002F3D36" w:rsidRDefault="002F3D36" w:rsidP="002F3D36">
      <w:pPr>
        <w:widowControl/>
        <w:spacing w:before="340"/>
        <w:rPr>
          <w:rFonts w:ascii="Times New Roman" w:eastAsia="微软雅黑" w:hAnsi="Times New Roman" w:cs="Times New Roman"/>
          <w:color w:val="000000"/>
          <w:kern w:val="0"/>
          <w:sz w:val="20"/>
          <w:szCs w:val="20"/>
        </w:rPr>
      </w:pPr>
      <w:r w:rsidRPr="002F3D36">
        <w:rPr>
          <w:rFonts w:ascii="Arial" w:eastAsia="微软雅黑" w:hAnsi="Arial" w:cs="Arial"/>
          <w:b/>
          <w:bCs/>
          <w:color w:val="000000"/>
          <w:kern w:val="0"/>
          <w:sz w:val="22"/>
        </w:rPr>
        <w:t>11. Restructuring</w:t>
      </w:r>
    </w:p>
    <w:p w14:paraId="79B73250" w14:textId="77777777" w:rsidR="002F3D36" w:rsidRPr="002F3D36" w:rsidRDefault="002F3D36" w:rsidP="002F3D36">
      <w:pPr>
        <w:widowControl/>
        <w:spacing w:before="120"/>
        <w:rPr>
          <w:rFonts w:ascii="Times New Roman" w:eastAsia="微软雅黑" w:hAnsi="Times New Roman" w:cs="Times New Roman"/>
          <w:color w:val="000000"/>
          <w:kern w:val="0"/>
          <w:sz w:val="20"/>
          <w:szCs w:val="20"/>
        </w:rPr>
      </w:pPr>
      <w:r w:rsidRPr="002F3D36">
        <w:rPr>
          <w:rFonts w:ascii="Arial" w:eastAsia="微软雅黑" w:hAnsi="Arial" w:cs="Arial"/>
          <w:color w:val="000000"/>
          <w:kern w:val="0"/>
          <w:sz w:val="18"/>
          <w:szCs w:val="18"/>
        </w:rPr>
        <w:t xml:space="preserve">Restructuring provisions are made on a case-by-case basis and primarily include severance costs incurred in connection with headcount reductions and plant consolidations. Restructuring costs other than employee related costs are immaterial for all periods presented and are included in the table below. The Company expects to finance restructuring programs over the next several years through cash generated from its ongoing operations or through cash available under its existing credit facilities. The Company does not expect that the execution of these programs will have an adverse impact on its liquidity position. The changes in the employee-related reserves have been charged against Other income (expense), net </w:t>
      </w:r>
      <w:r w:rsidRPr="002F3D36">
        <w:rPr>
          <w:rFonts w:ascii="Arial" w:eastAsia="微软雅黑" w:hAnsi="Arial" w:cs="Arial"/>
          <w:color w:val="000000"/>
          <w:kern w:val="0"/>
          <w:sz w:val="18"/>
          <w:szCs w:val="18"/>
        </w:rPr>
        <w:lastRenderedPageBreak/>
        <w:t>in the Consolidated Statements of Income. The restructuring reserve balance is included within Accrued expenses in the Consolidated Balance Sheet.</w:t>
      </w:r>
    </w:p>
    <w:p w14:paraId="04122266" w14:textId="77777777" w:rsidR="002F3D36" w:rsidRPr="002F3D36" w:rsidRDefault="002F3D36" w:rsidP="002F3D36">
      <w:pPr>
        <w:widowControl/>
        <w:spacing w:before="120"/>
        <w:rPr>
          <w:rFonts w:ascii="Times New Roman" w:eastAsia="微软雅黑" w:hAnsi="Times New Roman" w:cs="Times New Roman"/>
          <w:color w:val="000000"/>
          <w:kern w:val="0"/>
          <w:sz w:val="20"/>
          <w:szCs w:val="20"/>
        </w:rPr>
      </w:pPr>
      <w:r w:rsidRPr="002F3D36">
        <w:rPr>
          <w:rFonts w:ascii="Arial" w:eastAsia="微软雅黑" w:hAnsi="Arial" w:cs="Arial"/>
          <w:color w:val="000000"/>
          <w:kern w:val="0"/>
          <w:sz w:val="18"/>
          <w:szCs w:val="18"/>
        </w:rPr>
        <w:t> </w:t>
      </w:r>
    </w:p>
    <w:tbl>
      <w:tblPr>
        <w:tblW w:w="20614" w:type="dxa"/>
        <w:tblCellSpacing w:w="15" w:type="dxa"/>
        <w:tblCellMar>
          <w:top w:w="15" w:type="dxa"/>
          <w:left w:w="15" w:type="dxa"/>
          <w:bottom w:w="15" w:type="dxa"/>
          <w:right w:w="15" w:type="dxa"/>
        </w:tblCellMar>
        <w:tblLook w:val="04A0" w:firstRow="1" w:lastRow="0" w:firstColumn="1" w:lastColumn="0" w:noHBand="0" w:noVBand="1"/>
      </w:tblPr>
      <w:tblGrid>
        <w:gridCol w:w="10343"/>
        <w:gridCol w:w="345"/>
        <w:gridCol w:w="305"/>
        <w:gridCol w:w="2493"/>
        <w:gridCol w:w="196"/>
        <w:gridCol w:w="345"/>
        <w:gridCol w:w="305"/>
        <w:gridCol w:w="2493"/>
        <w:gridCol w:w="196"/>
        <w:gridCol w:w="345"/>
        <w:gridCol w:w="305"/>
        <w:gridCol w:w="2731"/>
        <w:gridCol w:w="212"/>
      </w:tblGrid>
      <w:tr w:rsidR="002F3D36" w:rsidRPr="002F3D36" w14:paraId="6731A5DF" w14:textId="77777777" w:rsidTr="002F3D36">
        <w:trPr>
          <w:tblCellSpacing w:w="15" w:type="dxa"/>
        </w:trPr>
        <w:tc>
          <w:tcPr>
            <w:tcW w:w="10315" w:type="dxa"/>
            <w:vAlign w:val="center"/>
            <w:hideMark/>
          </w:tcPr>
          <w:p w14:paraId="46BE55EE" w14:textId="77777777" w:rsidR="002F3D36" w:rsidRPr="002F3D36" w:rsidRDefault="002F3D36" w:rsidP="002F3D36">
            <w:pPr>
              <w:widowControl/>
              <w:jc w:val="left"/>
              <w:rPr>
                <w:rFonts w:ascii="Times New Roman" w:eastAsia="微软雅黑" w:hAnsi="Times New Roman" w:cs="Times New Roman"/>
                <w:color w:val="000000"/>
                <w:kern w:val="0"/>
                <w:sz w:val="20"/>
                <w:szCs w:val="20"/>
              </w:rPr>
            </w:pPr>
          </w:p>
        </w:tc>
        <w:tc>
          <w:tcPr>
            <w:tcW w:w="315" w:type="dxa"/>
            <w:vAlign w:val="center"/>
            <w:hideMark/>
          </w:tcPr>
          <w:p w14:paraId="0EF3721E"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75" w:type="dxa"/>
            <w:vAlign w:val="center"/>
            <w:hideMark/>
          </w:tcPr>
          <w:p w14:paraId="2C6D9688"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467" w:type="dxa"/>
            <w:vAlign w:val="center"/>
            <w:hideMark/>
          </w:tcPr>
          <w:p w14:paraId="0334AAA3"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66" w:type="dxa"/>
            <w:vAlign w:val="center"/>
            <w:hideMark/>
          </w:tcPr>
          <w:p w14:paraId="1682F0C8"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315" w:type="dxa"/>
            <w:vAlign w:val="center"/>
            <w:hideMark/>
          </w:tcPr>
          <w:p w14:paraId="385BD9AA"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75" w:type="dxa"/>
            <w:vAlign w:val="center"/>
            <w:hideMark/>
          </w:tcPr>
          <w:p w14:paraId="36BA114C"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467" w:type="dxa"/>
            <w:vAlign w:val="center"/>
            <w:hideMark/>
          </w:tcPr>
          <w:p w14:paraId="1B364F7A"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66" w:type="dxa"/>
            <w:vAlign w:val="center"/>
            <w:hideMark/>
          </w:tcPr>
          <w:p w14:paraId="0D93BE03"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315" w:type="dxa"/>
            <w:vAlign w:val="center"/>
            <w:hideMark/>
          </w:tcPr>
          <w:p w14:paraId="77ED1F86"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75" w:type="dxa"/>
            <w:vAlign w:val="center"/>
            <w:hideMark/>
          </w:tcPr>
          <w:p w14:paraId="5EDF5ED9"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705" w:type="dxa"/>
            <w:vAlign w:val="center"/>
            <w:hideMark/>
          </w:tcPr>
          <w:p w14:paraId="3A469EBF"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67" w:type="dxa"/>
            <w:vAlign w:val="center"/>
            <w:hideMark/>
          </w:tcPr>
          <w:p w14:paraId="4244DF27" w14:textId="77777777" w:rsidR="002F3D36" w:rsidRPr="002F3D36" w:rsidRDefault="002F3D36" w:rsidP="002F3D36">
            <w:pPr>
              <w:widowControl/>
              <w:jc w:val="left"/>
              <w:rPr>
                <w:rFonts w:ascii="Times New Roman" w:eastAsia="Times New Roman" w:hAnsi="Times New Roman" w:cs="Times New Roman"/>
                <w:kern w:val="0"/>
                <w:sz w:val="20"/>
                <w:szCs w:val="20"/>
              </w:rPr>
            </w:pPr>
          </w:p>
        </w:tc>
      </w:tr>
      <w:tr w:rsidR="002F3D36" w:rsidRPr="002F3D36" w14:paraId="402140FF" w14:textId="77777777" w:rsidTr="002F3D36">
        <w:trPr>
          <w:trHeight w:val="160"/>
          <w:tblCellSpacing w:w="15" w:type="dxa"/>
        </w:trPr>
        <w:tc>
          <w:tcPr>
            <w:tcW w:w="0" w:type="auto"/>
            <w:vAlign w:val="bottom"/>
            <w:hideMark/>
          </w:tcPr>
          <w:p w14:paraId="76B53985"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color w:val="000000"/>
                <w:kern w:val="0"/>
                <w:sz w:val="16"/>
                <w:szCs w:val="16"/>
              </w:rPr>
              <w:t>(Dollars in millions)</w:t>
            </w:r>
          </w:p>
        </w:tc>
        <w:tc>
          <w:tcPr>
            <w:tcW w:w="0" w:type="auto"/>
            <w:vAlign w:val="bottom"/>
            <w:hideMark/>
          </w:tcPr>
          <w:p w14:paraId="216C9788"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2"/>
            <w:tcBorders>
              <w:bottom w:val="single" w:sz="4" w:space="0" w:color="000000"/>
            </w:tcBorders>
            <w:vAlign w:val="bottom"/>
            <w:hideMark/>
          </w:tcPr>
          <w:p w14:paraId="5DFE0BC1"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2021</w:t>
            </w:r>
          </w:p>
        </w:tc>
        <w:tc>
          <w:tcPr>
            <w:tcW w:w="0" w:type="auto"/>
            <w:vAlign w:val="bottom"/>
            <w:hideMark/>
          </w:tcPr>
          <w:p w14:paraId="7615D2A9"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vAlign w:val="bottom"/>
            <w:hideMark/>
          </w:tcPr>
          <w:p w14:paraId="3E3F9EA5"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2"/>
            <w:tcBorders>
              <w:bottom w:val="single" w:sz="4" w:space="0" w:color="000000"/>
            </w:tcBorders>
            <w:vAlign w:val="bottom"/>
            <w:hideMark/>
          </w:tcPr>
          <w:p w14:paraId="29B60685"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2020</w:t>
            </w:r>
          </w:p>
        </w:tc>
        <w:tc>
          <w:tcPr>
            <w:tcW w:w="0" w:type="auto"/>
            <w:vAlign w:val="bottom"/>
            <w:hideMark/>
          </w:tcPr>
          <w:p w14:paraId="4724E958"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vAlign w:val="bottom"/>
            <w:hideMark/>
          </w:tcPr>
          <w:p w14:paraId="6E18A451"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2"/>
            <w:tcBorders>
              <w:bottom w:val="single" w:sz="4" w:space="0" w:color="000000"/>
            </w:tcBorders>
            <w:vAlign w:val="bottom"/>
            <w:hideMark/>
          </w:tcPr>
          <w:p w14:paraId="42649EFA"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2019</w:t>
            </w:r>
          </w:p>
        </w:tc>
        <w:tc>
          <w:tcPr>
            <w:tcW w:w="0" w:type="auto"/>
            <w:vAlign w:val="bottom"/>
            <w:hideMark/>
          </w:tcPr>
          <w:p w14:paraId="2933B7DC"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r>
      <w:tr w:rsidR="002F3D36" w:rsidRPr="002F3D36" w14:paraId="35404835" w14:textId="77777777" w:rsidTr="002F3D36">
        <w:trPr>
          <w:trHeight w:val="180"/>
          <w:tblCellSpacing w:w="15" w:type="dxa"/>
        </w:trPr>
        <w:tc>
          <w:tcPr>
            <w:tcW w:w="0" w:type="auto"/>
            <w:hideMark/>
          </w:tcPr>
          <w:p w14:paraId="56C75AD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Reserve at beginning of the period</w:t>
            </w:r>
          </w:p>
        </w:tc>
        <w:tc>
          <w:tcPr>
            <w:tcW w:w="0" w:type="auto"/>
            <w:vAlign w:val="bottom"/>
            <w:hideMark/>
          </w:tcPr>
          <w:p w14:paraId="38F3D825" w14:textId="77777777" w:rsidR="002F3D36" w:rsidRPr="002F3D36" w:rsidRDefault="002F3D36" w:rsidP="002F3D36">
            <w:pPr>
              <w:widowControl/>
              <w:jc w:val="center"/>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7DB7E39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vAlign w:val="bottom"/>
            <w:hideMark/>
          </w:tcPr>
          <w:p w14:paraId="12A259F8"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126</w:t>
            </w:r>
          </w:p>
        </w:tc>
        <w:tc>
          <w:tcPr>
            <w:tcW w:w="0" w:type="auto"/>
            <w:vAlign w:val="bottom"/>
            <w:hideMark/>
          </w:tcPr>
          <w:p w14:paraId="7962315E"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470CDEC8" w14:textId="77777777" w:rsidR="002F3D36" w:rsidRPr="002F3D36" w:rsidRDefault="002F3D36" w:rsidP="002F3D36">
            <w:pPr>
              <w:widowControl/>
              <w:jc w:val="center"/>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53CB6D6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vAlign w:val="bottom"/>
            <w:hideMark/>
          </w:tcPr>
          <w:p w14:paraId="3E3104F3"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56</w:t>
            </w:r>
          </w:p>
        </w:tc>
        <w:tc>
          <w:tcPr>
            <w:tcW w:w="0" w:type="auto"/>
            <w:vAlign w:val="bottom"/>
            <w:hideMark/>
          </w:tcPr>
          <w:p w14:paraId="7997B3C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4BD87012"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495044C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vAlign w:val="bottom"/>
            <w:hideMark/>
          </w:tcPr>
          <w:p w14:paraId="276B186D"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33</w:t>
            </w:r>
          </w:p>
        </w:tc>
        <w:tc>
          <w:tcPr>
            <w:tcW w:w="0" w:type="auto"/>
            <w:vAlign w:val="bottom"/>
            <w:hideMark/>
          </w:tcPr>
          <w:p w14:paraId="5294E5C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1B2B30FE" w14:textId="77777777" w:rsidTr="002F3D36">
        <w:trPr>
          <w:trHeight w:val="180"/>
          <w:tblCellSpacing w:w="15" w:type="dxa"/>
        </w:trPr>
        <w:tc>
          <w:tcPr>
            <w:tcW w:w="0" w:type="auto"/>
            <w:shd w:val="clear" w:color="auto" w:fill="CFF0FC"/>
            <w:hideMark/>
          </w:tcPr>
          <w:p w14:paraId="7E1EDA3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Provision - charge</w:t>
            </w:r>
          </w:p>
        </w:tc>
        <w:tc>
          <w:tcPr>
            <w:tcW w:w="0" w:type="auto"/>
            <w:shd w:val="clear" w:color="auto" w:fill="CFF0FC"/>
            <w:vAlign w:val="bottom"/>
            <w:hideMark/>
          </w:tcPr>
          <w:p w14:paraId="00A65C55" w14:textId="77777777" w:rsidR="002F3D36" w:rsidRPr="002F3D36" w:rsidRDefault="002F3D36" w:rsidP="002F3D36">
            <w:pPr>
              <w:widowControl/>
              <w:jc w:val="center"/>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0930CF2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3088777F"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39</w:t>
            </w:r>
          </w:p>
        </w:tc>
        <w:tc>
          <w:tcPr>
            <w:tcW w:w="0" w:type="auto"/>
            <w:shd w:val="clear" w:color="auto" w:fill="CFF0FC"/>
            <w:vAlign w:val="bottom"/>
            <w:hideMark/>
          </w:tcPr>
          <w:p w14:paraId="7E5CFE1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508BB9D7" w14:textId="77777777" w:rsidR="002F3D36" w:rsidRPr="002F3D36" w:rsidRDefault="002F3D36" w:rsidP="002F3D36">
            <w:pPr>
              <w:widowControl/>
              <w:jc w:val="center"/>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1B653F4E"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163A50C8"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109</w:t>
            </w:r>
          </w:p>
        </w:tc>
        <w:tc>
          <w:tcPr>
            <w:tcW w:w="0" w:type="auto"/>
            <w:shd w:val="clear" w:color="auto" w:fill="CFF0FC"/>
            <w:vAlign w:val="bottom"/>
            <w:hideMark/>
          </w:tcPr>
          <w:p w14:paraId="5639BA0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7FA2B9A4"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20B8C8A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6BF5B2A9"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57</w:t>
            </w:r>
          </w:p>
        </w:tc>
        <w:tc>
          <w:tcPr>
            <w:tcW w:w="0" w:type="auto"/>
            <w:shd w:val="clear" w:color="auto" w:fill="CFF0FC"/>
            <w:vAlign w:val="bottom"/>
            <w:hideMark/>
          </w:tcPr>
          <w:p w14:paraId="4BD3E5FE"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3E1AE071" w14:textId="77777777" w:rsidTr="002F3D36">
        <w:trPr>
          <w:trHeight w:val="180"/>
          <w:tblCellSpacing w:w="15" w:type="dxa"/>
        </w:trPr>
        <w:tc>
          <w:tcPr>
            <w:tcW w:w="0" w:type="auto"/>
            <w:hideMark/>
          </w:tcPr>
          <w:p w14:paraId="6303537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Provision - reversal</w:t>
            </w:r>
          </w:p>
        </w:tc>
        <w:tc>
          <w:tcPr>
            <w:tcW w:w="0" w:type="auto"/>
            <w:vAlign w:val="bottom"/>
            <w:hideMark/>
          </w:tcPr>
          <w:p w14:paraId="11A507B8" w14:textId="77777777" w:rsidR="002F3D36" w:rsidRPr="002F3D36" w:rsidRDefault="002F3D36" w:rsidP="002F3D36">
            <w:pPr>
              <w:widowControl/>
              <w:jc w:val="center"/>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0325E66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vAlign w:val="bottom"/>
            <w:hideMark/>
          </w:tcPr>
          <w:p w14:paraId="6003C41E"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(31</w:t>
            </w:r>
          </w:p>
        </w:tc>
        <w:tc>
          <w:tcPr>
            <w:tcW w:w="0" w:type="auto"/>
            <w:vAlign w:val="bottom"/>
            <w:hideMark/>
          </w:tcPr>
          <w:p w14:paraId="0B87AB8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vAlign w:val="bottom"/>
            <w:hideMark/>
          </w:tcPr>
          <w:p w14:paraId="6ECC822E" w14:textId="77777777" w:rsidR="002F3D36" w:rsidRPr="002F3D36" w:rsidRDefault="002F3D36" w:rsidP="002F3D36">
            <w:pPr>
              <w:widowControl/>
              <w:jc w:val="center"/>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36AB0FA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vAlign w:val="bottom"/>
            <w:hideMark/>
          </w:tcPr>
          <w:p w14:paraId="5B836323"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(10</w:t>
            </w:r>
          </w:p>
        </w:tc>
        <w:tc>
          <w:tcPr>
            <w:tcW w:w="0" w:type="auto"/>
            <w:vAlign w:val="bottom"/>
            <w:hideMark/>
          </w:tcPr>
          <w:p w14:paraId="5A7F12C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vAlign w:val="bottom"/>
            <w:hideMark/>
          </w:tcPr>
          <w:p w14:paraId="580026B2"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18D962A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vAlign w:val="bottom"/>
            <w:hideMark/>
          </w:tcPr>
          <w:p w14:paraId="66AAF217"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(3</w:t>
            </w:r>
          </w:p>
        </w:tc>
        <w:tc>
          <w:tcPr>
            <w:tcW w:w="0" w:type="auto"/>
            <w:vAlign w:val="bottom"/>
            <w:hideMark/>
          </w:tcPr>
          <w:p w14:paraId="4716507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r>
      <w:tr w:rsidR="002F3D36" w:rsidRPr="002F3D36" w14:paraId="57656175" w14:textId="77777777" w:rsidTr="002F3D36">
        <w:trPr>
          <w:trHeight w:val="180"/>
          <w:tblCellSpacing w:w="15" w:type="dxa"/>
        </w:trPr>
        <w:tc>
          <w:tcPr>
            <w:tcW w:w="0" w:type="auto"/>
            <w:shd w:val="clear" w:color="auto" w:fill="CFF0FC"/>
            <w:hideMark/>
          </w:tcPr>
          <w:p w14:paraId="282133C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Cash payments</w:t>
            </w:r>
          </w:p>
        </w:tc>
        <w:tc>
          <w:tcPr>
            <w:tcW w:w="0" w:type="auto"/>
            <w:shd w:val="clear" w:color="auto" w:fill="CFF0FC"/>
            <w:vAlign w:val="bottom"/>
            <w:hideMark/>
          </w:tcPr>
          <w:p w14:paraId="1CCB51C0" w14:textId="77777777" w:rsidR="002F3D36" w:rsidRPr="002F3D36" w:rsidRDefault="002F3D36" w:rsidP="002F3D36">
            <w:pPr>
              <w:widowControl/>
              <w:jc w:val="center"/>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3F0BF60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48EA9574"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(37</w:t>
            </w:r>
          </w:p>
        </w:tc>
        <w:tc>
          <w:tcPr>
            <w:tcW w:w="0" w:type="auto"/>
            <w:shd w:val="clear" w:color="auto" w:fill="CFF0FC"/>
            <w:vAlign w:val="bottom"/>
            <w:hideMark/>
          </w:tcPr>
          <w:p w14:paraId="6A74695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0EFA2585" w14:textId="77777777" w:rsidR="002F3D36" w:rsidRPr="002F3D36" w:rsidRDefault="002F3D36" w:rsidP="002F3D36">
            <w:pPr>
              <w:widowControl/>
              <w:jc w:val="center"/>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2D7E1CE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5A27D5F5"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(38</w:t>
            </w:r>
          </w:p>
        </w:tc>
        <w:tc>
          <w:tcPr>
            <w:tcW w:w="0" w:type="auto"/>
            <w:shd w:val="clear" w:color="auto" w:fill="CFF0FC"/>
            <w:vAlign w:val="bottom"/>
            <w:hideMark/>
          </w:tcPr>
          <w:p w14:paraId="4548048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76E17CEF"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4382E63E"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0FC7B776"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(30</w:t>
            </w:r>
          </w:p>
        </w:tc>
        <w:tc>
          <w:tcPr>
            <w:tcW w:w="0" w:type="auto"/>
            <w:shd w:val="clear" w:color="auto" w:fill="CFF0FC"/>
            <w:vAlign w:val="bottom"/>
            <w:hideMark/>
          </w:tcPr>
          <w:p w14:paraId="7BD5E2A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r>
      <w:tr w:rsidR="002F3D36" w:rsidRPr="002F3D36" w14:paraId="489029E8" w14:textId="77777777" w:rsidTr="002F3D36">
        <w:trPr>
          <w:trHeight w:val="180"/>
          <w:tblCellSpacing w:w="15" w:type="dxa"/>
        </w:trPr>
        <w:tc>
          <w:tcPr>
            <w:tcW w:w="0" w:type="auto"/>
            <w:hideMark/>
          </w:tcPr>
          <w:p w14:paraId="6758AD4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Translation difference</w:t>
            </w:r>
          </w:p>
        </w:tc>
        <w:tc>
          <w:tcPr>
            <w:tcW w:w="0" w:type="auto"/>
            <w:vAlign w:val="bottom"/>
            <w:hideMark/>
          </w:tcPr>
          <w:p w14:paraId="4FFC6C96" w14:textId="77777777" w:rsidR="002F3D36" w:rsidRPr="002F3D36" w:rsidRDefault="002F3D36" w:rsidP="002F3D36">
            <w:pPr>
              <w:widowControl/>
              <w:jc w:val="center"/>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21DE90A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tcBorders>
              <w:bottom w:val="single" w:sz="4" w:space="0" w:color="000000"/>
            </w:tcBorders>
            <w:vAlign w:val="bottom"/>
            <w:hideMark/>
          </w:tcPr>
          <w:p w14:paraId="725F5E08"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(8</w:t>
            </w:r>
          </w:p>
        </w:tc>
        <w:tc>
          <w:tcPr>
            <w:tcW w:w="0" w:type="auto"/>
            <w:vAlign w:val="bottom"/>
            <w:hideMark/>
          </w:tcPr>
          <w:p w14:paraId="4FA7482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vAlign w:val="bottom"/>
            <w:hideMark/>
          </w:tcPr>
          <w:p w14:paraId="5F88B625" w14:textId="77777777" w:rsidR="002F3D36" w:rsidRPr="002F3D36" w:rsidRDefault="002F3D36" w:rsidP="002F3D36">
            <w:pPr>
              <w:widowControl/>
              <w:jc w:val="center"/>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1AC0947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tcBorders>
              <w:bottom w:val="single" w:sz="4" w:space="0" w:color="000000"/>
            </w:tcBorders>
            <w:vAlign w:val="bottom"/>
            <w:hideMark/>
          </w:tcPr>
          <w:p w14:paraId="690B7536"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9</w:t>
            </w:r>
          </w:p>
        </w:tc>
        <w:tc>
          <w:tcPr>
            <w:tcW w:w="0" w:type="auto"/>
            <w:vAlign w:val="bottom"/>
            <w:hideMark/>
          </w:tcPr>
          <w:p w14:paraId="779C815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4A1BCA71"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27321C0E"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tcBorders>
              <w:bottom w:val="single" w:sz="4" w:space="0" w:color="000000"/>
            </w:tcBorders>
            <w:vAlign w:val="bottom"/>
            <w:hideMark/>
          </w:tcPr>
          <w:p w14:paraId="486B181B"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w:t>
            </w:r>
          </w:p>
        </w:tc>
        <w:tc>
          <w:tcPr>
            <w:tcW w:w="0" w:type="auto"/>
            <w:vAlign w:val="bottom"/>
            <w:hideMark/>
          </w:tcPr>
          <w:p w14:paraId="4F88A78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r>
      <w:tr w:rsidR="002F3D36" w:rsidRPr="002F3D36" w14:paraId="002DAA67" w14:textId="77777777" w:rsidTr="002F3D36">
        <w:trPr>
          <w:trHeight w:val="180"/>
          <w:tblCellSpacing w:w="15" w:type="dxa"/>
        </w:trPr>
        <w:tc>
          <w:tcPr>
            <w:tcW w:w="0" w:type="auto"/>
            <w:shd w:val="clear" w:color="auto" w:fill="CFF0FC"/>
            <w:hideMark/>
          </w:tcPr>
          <w:p w14:paraId="5DA47BC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Reserve at end of the period</w:t>
            </w:r>
          </w:p>
        </w:tc>
        <w:tc>
          <w:tcPr>
            <w:tcW w:w="0" w:type="auto"/>
            <w:shd w:val="clear" w:color="auto" w:fill="CFF0FC"/>
            <w:vAlign w:val="bottom"/>
            <w:hideMark/>
          </w:tcPr>
          <w:p w14:paraId="0A2D5A9C" w14:textId="77777777" w:rsidR="002F3D36" w:rsidRPr="002F3D36" w:rsidRDefault="002F3D36" w:rsidP="002F3D36">
            <w:pPr>
              <w:widowControl/>
              <w:jc w:val="center"/>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08F9D9E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shd w:val="clear" w:color="auto" w:fill="CFF0FC"/>
            <w:vAlign w:val="bottom"/>
            <w:hideMark/>
          </w:tcPr>
          <w:p w14:paraId="742A4F55"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88</w:t>
            </w:r>
          </w:p>
        </w:tc>
        <w:tc>
          <w:tcPr>
            <w:tcW w:w="0" w:type="auto"/>
            <w:shd w:val="clear" w:color="auto" w:fill="CFF0FC"/>
            <w:vAlign w:val="bottom"/>
            <w:hideMark/>
          </w:tcPr>
          <w:p w14:paraId="163261D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25E07FF3" w14:textId="77777777" w:rsidR="002F3D36" w:rsidRPr="002F3D36" w:rsidRDefault="002F3D36" w:rsidP="002F3D36">
            <w:pPr>
              <w:widowControl/>
              <w:jc w:val="center"/>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3099570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shd w:val="clear" w:color="auto" w:fill="CFF0FC"/>
            <w:vAlign w:val="bottom"/>
            <w:hideMark/>
          </w:tcPr>
          <w:p w14:paraId="05ABB761"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126</w:t>
            </w:r>
          </w:p>
        </w:tc>
        <w:tc>
          <w:tcPr>
            <w:tcW w:w="0" w:type="auto"/>
            <w:shd w:val="clear" w:color="auto" w:fill="CFF0FC"/>
            <w:vAlign w:val="bottom"/>
            <w:hideMark/>
          </w:tcPr>
          <w:p w14:paraId="27A6BAF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425E5397"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37B9AFD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shd w:val="clear" w:color="auto" w:fill="CFF0FC"/>
            <w:vAlign w:val="bottom"/>
            <w:hideMark/>
          </w:tcPr>
          <w:p w14:paraId="699C42E4"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56</w:t>
            </w:r>
          </w:p>
        </w:tc>
        <w:tc>
          <w:tcPr>
            <w:tcW w:w="0" w:type="auto"/>
            <w:shd w:val="clear" w:color="auto" w:fill="CFF0FC"/>
            <w:vAlign w:val="bottom"/>
            <w:hideMark/>
          </w:tcPr>
          <w:p w14:paraId="2ABF18F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bl>
    <w:p w14:paraId="72EEEFC1" w14:textId="77777777" w:rsidR="002F3D36" w:rsidRPr="002F3D36" w:rsidRDefault="002F3D36" w:rsidP="002F3D36">
      <w:pPr>
        <w:widowControl/>
        <w:rPr>
          <w:rFonts w:ascii="Times New Roman" w:eastAsia="微软雅黑" w:hAnsi="Times New Roman" w:cs="Times New Roman"/>
          <w:color w:val="000000"/>
          <w:kern w:val="0"/>
          <w:sz w:val="20"/>
          <w:szCs w:val="20"/>
        </w:rPr>
      </w:pPr>
      <w:r w:rsidRPr="002F3D36">
        <w:rPr>
          <w:rFonts w:ascii="Arial" w:eastAsia="微软雅黑" w:hAnsi="Arial" w:cs="Arial"/>
          <w:color w:val="000000"/>
          <w:kern w:val="0"/>
          <w:sz w:val="18"/>
          <w:szCs w:val="18"/>
        </w:rPr>
        <w:t> </w:t>
      </w:r>
    </w:p>
    <w:p w14:paraId="5370C41D" w14:textId="77777777" w:rsidR="002F3D36" w:rsidRPr="002F3D36" w:rsidRDefault="002F3D36" w:rsidP="002F3D36">
      <w:pPr>
        <w:widowControl/>
        <w:rPr>
          <w:rFonts w:ascii="Times New Roman" w:eastAsia="微软雅黑" w:hAnsi="Times New Roman" w:cs="Times New Roman"/>
          <w:color w:val="000000"/>
          <w:kern w:val="0"/>
          <w:sz w:val="20"/>
          <w:szCs w:val="20"/>
        </w:rPr>
      </w:pPr>
      <w:r w:rsidRPr="002F3D36">
        <w:rPr>
          <w:rFonts w:ascii="Arial" w:eastAsia="微软雅黑" w:hAnsi="Arial" w:cs="Arial"/>
          <w:color w:val="000000"/>
          <w:kern w:val="0"/>
          <w:sz w:val="18"/>
          <w:szCs w:val="18"/>
        </w:rPr>
        <w:t xml:space="preserve">As of December 31, 2021, approximately $15 million out of the $88 million in total reserve balance can be attributed to the structural efficiency program initiated in the second quarter of 2020. This program is expected to be concluded in 2022. Approximately $52 million of the total reserve balance can be attributed to footprint optimization activities in Europe, initiated in the third quarter of 2020 and expected to be concluded in 2023, and in Asia, initiated in the fourth quarter of 2021 and expected to be concluded in 2022. </w:t>
      </w:r>
    </w:p>
    <w:p w14:paraId="28205E49" w14:textId="77777777" w:rsidR="002F3D36" w:rsidRPr="002F3D36" w:rsidRDefault="002F3D36" w:rsidP="002F3D36">
      <w:pPr>
        <w:widowControl/>
        <w:spacing w:before="120"/>
        <w:rPr>
          <w:rFonts w:ascii="Times New Roman" w:eastAsia="微软雅黑" w:hAnsi="Times New Roman" w:cs="Times New Roman"/>
          <w:color w:val="000000"/>
          <w:kern w:val="0"/>
          <w:sz w:val="20"/>
          <w:szCs w:val="20"/>
        </w:rPr>
      </w:pPr>
      <w:r w:rsidRPr="002F3D36">
        <w:rPr>
          <w:rFonts w:ascii="Arial" w:eastAsia="微软雅黑" w:hAnsi="Arial" w:cs="Arial"/>
          <w:color w:val="000000"/>
          <w:kern w:val="0"/>
          <w:sz w:val="18"/>
          <w:szCs w:val="18"/>
        </w:rPr>
        <w:t xml:space="preserve">The restructuring charges in 2021 of $39 million mainly relates to footprint optimization activities primarily in Asia. Reversals are mainly related to the structural efficiency program initiated in the second quarter of 2020. Cash payments in 2021 are related to the structural efficiency program initiated in the second quarter of 2020 and other footprint activities. </w:t>
      </w:r>
    </w:p>
    <w:p w14:paraId="7CCDD083" w14:textId="77777777" w:rsidR="002F3D36" w:rsidRPr="002F3D36" w:rsidRDefault="002F3D36" w:rsidP="002F3D36">
      <w:pPr>
        <w:widowControl/>
        <w:spacing w:before="120"/>
        <w:rPr>
          <w:rFonts w:ascii="Times New Roman" w:eastAsia="微软雅黑" w:hAnsi="Times New Roman" w:cs="Times New Roman"/>
          <w:color w:val="000000"/>
          <w:kern w:val="0"/>
          <w:sz w:val="20"/>
          <w:szCs w:val="20"/>
        </w:rPr>
      </w:pPr>
      <w:r w:rsidRPr="002F3D36">
        <w:rPr>
          <w:rFonts w:ascii="Arial" w:eastAsia="微软雅黑" w:hAnsi="Arial" w:cs="Arial"/>
          <w:color w:val="000000"/>
          <w:kern w:val="0"/>
          <w:sz w:val="18"/>
          <w:szCs w:val="18"/>
        </w:rPr>
        <w:t xml:space="preserve">The restructuring charges in 2020 of $109 million, mainly related to the structural efficiency program initiated in the second quarter of 2020 in the Americas and Europe, and footprint optimization activities in Europe initiated in the third quarter of 2020. Cash payments in 2020 mainly related to the structural efficiency program initiated in 2019. </w:t>
      </w:r>
    </w:p>
    <w:p w14:paraId="7EC5220E" w14:textId="77777777" w:rsidR="002F3D36" w:rsidRPr="002F3D36" w:rsidRDefault="002F3D36" w:rsidP="002F3D36">
      <w:pPr>
        <w:widowControl/>
        <w:spacing w:before="120"/>
        <w:rPr>
          <w:rFonts w:ascii="Times New Roman" w:eastAsia="微软雅黑" w:hAnsi="Times New Roman" w:cs="Times New Roman"/>
          <w:color w:val="000000"/>
          <w:kern w:val="0"/>
          <w:sz w:val="20"/>
          <w:szCs w:val="20"/>
        </w:rPr>
      </w:pPr>
      <w:r w:rsidRPr="002F3D36">
        <w:rPr>
          <w:rFonts w:ascii="Arial" w:eastAsia="微软雅黑" w:hAnsi="Arial" w:cs="Arial"/>
          <w:color w:val="000000"/>
          <w:kern w:val="0"/>
          <w:sz w:val="18"/>
          <w:szCs w:val="18"/>
        </w:rPr>
        <w:t>The restructuring charges in 2019 of $57 million mainly related to the structural efficiency program initiated in the second quarter of 2019. Cash payments in 2019 mainly related to the structural efficiency program initiated in 2019.</w:t>
      </w:r>
    </w:p>
    <w:p w14:paraId="6BB865A6"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22"/>
        </w:rPr>
        <w:t>12. Product Related Liabilities</w:t>
      </w:r>
    </w:p>
    <w:p w14:paraId="1C20872B"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Autoliv is exposed to product liability and warranty claims in the event that the Company’s products fail to perform as represented and such failure results, or is alleged to result, in bodily injury, and/or property damage or other loss. The Company has reserves for product risks. Such reserves are related to product performance issues including recall, product liability and warranty issues. For further information, see Note 17.</w:t>
      </w:r>
    </w:p>
    <w:p w14:paraId="26EE4BD2"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The Company records liabilities for product related risks when probable claims are identified and when it is possible to reasonably estimate costs. Changes in reserve for warranty claims are estimated based on prior experience, likely changes in performance of newer products, and the mix and volume of the products sold. The changes in reserve are recorded on an accrual basis.</w:t>
      </w:r>
    </w:p>
    <w:p w14:paraId="1EDF90E8"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lastRenderedPageBreak/>
        <w:t>Pursuant to the Spin-off Agreements, Autoliv is also required to indemnify Veoneer for recalls related to certain qualified Electronics products. At December 31, 2021, the reserves for indemnification liabilities were approximately $9 million and were included within accrued expenses on the Consolidated Balance Sheet.</w:t>
      </w:r>
    </w:p>
    <w:p w14:paraId="01C6D10D" w14:textId="77777777" w:rsidR="002F3D36" w:rsidRPr="002F3D36" w:rsidRDefault="002F3D36" w:rsidP="002F3D36">
      <w:pPr>
        <w:widowControl/>
        <w:spacing w:before="120" w:after="20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Of the cash payments in 2021 the main part was related to the previously disclosed "Toyota Recall" issue. In 2020, the change in reserve mainly related to recall related issues, whereof the “Toyota Recall” represented the major recall issue. In 2019, the change in the reserve mainly related to other recall and warranty related issues. In 2020 and 2019, cash payments primarily relate to recall and warranty related issues. The reserve for product related liabilities is included in accrued expenses on the Consolidated Balance Sheet.</w:t>
      </w:r>
    </w:p>
    <w:p w14:paraId="434E9F1D" w14:textId="77777777" w:rsidR="002F3D36" w:rsidRPr="002F3D36" w:rsidRDefault="002F3D36" w:rsidP="002F3D36">
      <w:pPr>
        <w:widowControl/>
        <w:spacing w:before="120" w:after="20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xml:space="preserve">A majority of the Company’s recall related issues as of December 31, 2021 are covered by insurance. Insurance receivables are included within other current and non-current assets on the Consolidated Balance Sheet. As of December 31, 2021, the Company had total insurance receivables related to recall issues of $138 million ($343 million as of December 31, 2020). </w:t>
      </w:r>
    </w:p>
    <w:p w14:paraId="3A3AE8A4"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The table below summarizes the change in the balance sheet position of the product related liabilities (dollars in millions).</w:t>
      </w:r>
    </w:p>
    <w:p w14:paraId="00FBA28A"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w:t>
      </w:r>
    </w:p>
    <w:tbl>
      <w:tblPr>
        <w:tblW w:w="16491" w:type="dxa"/>
        <w:tblCellSpacing w:w="15" w:type="dxa"/>
        <w:tblCellMar>
          <w:top w:w="15" w:type="dxa"/>
          <w:left w:w="15" w:type="dxa"/>
          <w:bottom w:w="15" w:type="dxa"/>
          <w:right w:w="15" w:type="dxa"/>
        </w:tblCellMar>
        <w:tblLook w:val="04A0" w:firstRow="1" w:lastRow="0" w:firstColumn="1" w:lastColumn="0" w:noHBand="0" w:noVBand="1"/>
      </w:tblPr>
      <w:tblGrid>
        <w:gridCol w:w="10192"/>
        <w:gridCol w:w="256"/>
        <w:gridCol w:w="301"/>
        <w:gridCol w:w="1369"/>
        <w:gridCol w:w="192"/>
        <w:gridCol w:w="257"/>
        <w:gridCol w:w="302"/>
        <w:gridCol w:w="1341"/>
        <w:gridCol w:w="192"/>
        <w:gridCol w:w="257"/>
        <w:gridCol w:w="302"/>
        <w:gridCol w:w="1322"/>
        <w:gridCol w:w="208"/>
      </w:tblGrid>
      <w:tr w:rsidR="002F3D36" w:rsidRPr="002F3D36" w14:paraId="7DCD45CB" w14:textId="77777777" w:rsidTr="002F3D36">
        <w:trPr>
          <w:tblCellSpacing w:w="15" w:type="dxa"/>
        </w:trPr>
        <w:tc>
          <w:tcPr>
            <w:tcW w:w="10169" w:type="dxa"/>
            <w:vAlign w:val="center"/>
            <w:hideMark/>
          </w:tcPr>
          <w:p w14:paraId="50973C22" w14:textId="77777777" w:rsidR="002F3D36" w:rsidRPr="002F3D36" w:rsidRDefault="002F3D36" w:rsidP="002F3D36">
            <w:pPr>
              <w:widowControl/>
              <w:jc w:val="left"/>
              <w:rPr>
                <w:rFonts w:ascii="Times New Roman" w:eastAsia="宋体" w:hAnsi="Times New Roman" w:cs="Times New Roman"/>
                <w:color w:val="000000"/>
                <w:kern w:val="0"/>
                <w:sz w:val="20"/>
                <w:szCs w:val="20"/>
              </w:rPr>
            </w:pPr>
          </w:p>
        </w:tc>
        <w:tc>
          <w:tcPr>
            <w:tcW w:w="227" w:type="dxa"/>
            <w:vAlign w:val="center"/>
            <w:hideMark/>
          </w:tcPr>
          <w:p w14:paraId="54EAC070"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72" w:type="dxa"/>
            <w:vAlign w:val="center"/>
            <w:hideMark/>
          </w:tcPr>
          <w:p w14:paraId="4CE5770E"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341" w:type="dxa"/>
            <w:vAlign w:val="center"/>
            <w:hideMark/>
          </w:tcPr>
          <w:p w14:paraId="1A154348"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62" w:type="dxa"/>
            <w:vAlign w:val="center"/>
            <w:hideMark/>
          </w:tcPr>
          <w:p w14:paraId="3CC2E9EA"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27" w:type="dxa"/>
            <w:vAlign w:val="center"/>
            <w:hideMark/>
          </w:tcPr>
          <w:p w14:paraId="1C9477CC"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72" w:type="dxa"/>
            <w:vAlign w:val="center"/>
            <w:hideMark/>
          </w:tcPr>
          <w:p w14:paraId="06C49305"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313" w:type="dxa"/>
            <w:vAlign w:val="center"/>
            <w:hideMark/>
          </w:tcPr>
          <w:p w14:paraId="3E48EC5A"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62" w:type="dxa"/>
            <w:vAlign w:val="center"/>
            <w:hideMark/>
          </w:tcPr>
          <w:p w14:paraId="0EA001C1"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27" w:type="dxa"/>
            <w:vAlign w:val="center"/>
            <w:hideMark/>
          </w:tcPr>
          <w:p w14:paraId="2B700069"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72" w:type="dxa"/>
            <w:vAlign w:val="center"/>
            <w:hideMark/>
          </w:tcPr>
          <w:p w14:paraId="02CC97F0"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294" w:type="dxa"/>
            <w:vAlign w:val="center"/>
            <w:hideMark/>
          </w:tcPr>
          <w:p w14:paraId="7DED72DA"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63" w:type="dxa"/>
            <w:vAlign w:val="center"/>
            <w:hideMark/>
          </w:tcPr>
          <w:p w14:paraId="195C1CE5" w14:textId="77777777" w:rsidR="002F3D36" w:rsidRPr="002F3D36" w:rsidRDefault="002F3D36" w:rsidP="002F3D36">
            <w:pPr>
              <w:widowControl/>
              <w:jc w:val="left"/>
              <w:rPr>
                <w:rFonts w:ascii="Times New Roman" w:eastAsia="Times New Roman" w:hAnsi="Times New Roman" w:cs="Times New Roman"/>
                <w:kern w:val="0"/>
                <w:sz w:val="20"/>
                <w:szCs w:val="20"/>
              </w:rPr>
            </w:pPr>
          </w:p>
        </w:tc>
      </w:tr>
      <w:tr w:rsidR="002F3D36" w:rsidRPr="002F3D36" w14:paraId="5AACF089" w14:textId="77777777" w:rsidTr="002F3D36">
        <w:trPr>
          <w:trHeight w:val="160"/>
          <w:tblCellSpacing w:w="15" w:type="dxa"/>
        </w:trPr>
        <w:tc>
          <w:tcPr>
            <w:tcW w:w="0" w:type="auto"/>
            <w:vAlign w:val="bottom"/>
            <w:hideMark/>
          </w:tcPr>
          <w:p w14:paraId="46FB7D53"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color w:val="000000"/>
                <w:kern w:val="0"/>
                <w:sz w:val="16"/>
                <w:szCs w:val="16"/>
              </w:rPr>
              <w:t>(Dollars in millions)</w:t>
            </w:r>
          </w:p>
        </w:tc>
        <w:tc>
          <w:tcPr>
            <w:tcW w:w="0" w:type="auto"/>
            <w:vAlign w:val="bottom"/>
            <w:hideMark/>
          </w:tcPr>
          <w:p w14:paraId="3903A74E"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2"/>
            <w:tcBorders>
              <w:bottom w:val="single" w:sz="4" w:space="0" w:color="000000"/>
            </w:tcBorders>
            <w:vAlign w:val="bottom"/>
            <w:hideMark/>
          </w:tcPr>
          <w:p w14:paraId="5C36201E"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2021</w:t>
            </w:r>
          </w:p>
        </w:tc>
        <w:tc>
          <w:tcPr>
            <w:tcW w:w="0" w:type="auto"/>
            <w:vAlign w:val="bottom"/>
            <w:hideMark/>
          </w:tcPr>
          <w:p w14:paraId="237B155D"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vAlign w:val="bottom"/>
            <w:hideMark/>
          </w:tcPr>
          <w:p w14:paraId="43EF4AEE"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2"/>
            <w:tcBorders>
              <w:bottom w:val="single" w:sz="4" w:space="0" w:color="000000"/>
            </w:tcBorders>
            <w:vAlign w:val="bottom"/>
            <w:hideMark/>
          </w:tcPr>
          <w:p w14:paraId="4E1A6480"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2020</w:t>
            </w:r>
          </w:p>
        </w:tc>
        <w:tc>
          <w:tcPr>
            <w:tcW w:w="0" w:type="auto"/>
            <w:vAlign w:val="bottom"/>
            <w:hideMark/>
          </w:tcPr>
          <w:p w14:paraId="658E6CBF"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vAlign w:val="bottom"/>
            <w:hideMark/>
          </w:tcPr>
          <w:p w14:paraId="23EECAF5"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2"/>
            <w:tcBorders>
              <w:bottom w:val="single" w:sz="4" w:space="0" w:color="000000"/>
            </w:tcBorders>
            <w:vAlign w:val="bottom"/>
            <w:hideMark/>
          </w:tcPr>
          <w:p w14:paraId="1AECDE3E"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2019</w:t>
            </w:r>
          </w:p>
        </w:tc>
        <w:tc>
          <w:tcPr>
            <w:tcW w:w="0" w:type="auto"/>
            <w:vAlign w:val="bottom"/>
            <w:hideMark/>
          </w:tcPr>
          <w:p w14:paraId="0C169DB5"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r>
      <w:tr w:rsidR="002F3D36" w:rsidRPr="002F3D36" w14:paraId="5E88954B" w14:textId="77777777" w:rsidTr="002F3D36">
        <w:trPr>
          <w:trHeight w:val="180"/>
          <w:tblCellSpacing w:w="15" w:type="dxa"/>
        </w:trPr>
        <w:tc>
          <w:tcPr>
            <w:tcW w:w="0" w:type="auto"/>
            <w:shd w:val="clear" w:color="auto" w:fill="CFF0FC"/>
            <w:vAlign w:val="center"/>
            <w:hideMark/>
          </w:tcPr>
          <w:p w14:paraId="3794920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Reserve at beginning of the year</w:t>
            </w:r>
          </w:p>
        </w:tc>
        <w:tc>
          <w:tcPr>
            <w:tcW w:w="0" w:type="auto"/>
            <w:shd w:val="clear" w:color="auto" w:fill="CFF0FC"/>
            <w:vAlign w:val="bottom"/>
            <w:hideMark/>
          </w:tcPr>
          <w:p w14:paraId="59B41E9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center"/>
            <w:hideMark/>
          </w:tcPr>
          <w:p w14:paraId="6E0587B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shd w:val="clear" w:color="auto" w:fill="CFF0FC"/>
            <w:vAlign w:val="center"/>
            <w:hideMark/>
          </w:tcPr>
          <w:p w14:paraId="6533D4DD"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341</w:t>
            </w:r>
          </w:p>
        </w:tc>
        <w:tc>
          <w:tcPr>
            <w:tcW w:w="0" w:type="auto"/>
            <w:shd w:val="clear" w:color="auto" w:fill="CFF0FC"/>
            <w:vAlign w:val="center"/>
            <w:hideMark/>
          </w:tcPr>
          <w:p w14:paraId="1079FF6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3348A39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center"/>
            <w:hideMark/>
          </w:tcPr>
          <w:p w14:paraId="04B9553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shd w:val="clear" w:color="auto" w:fill="CFF0FC"/>
            <w:vAlign w:val="center"/>
            <w:hideMark/>
          </w:tcPr>
          <w:p w14:paraId="5505F125"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72</w:t>
            </w:r>
          </w:p>
        </w:tc>
        <w:tc>
          <w:tcPr>
            <w:tcW w:w="0" w:type="auto"/>
            <w:shd w:val="clear" w:color="auto" w:fill="CFF0FC"/>
            <w:vAlign w:val="center"/>
            <w:hideMark/>
          </w:tcPr>
          <w:p w14:paraId="6001090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22C55E8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center"/>
            <w:hideMark/>
          </w:tcPr>
          <w:p w14:paraId="08C7AE2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shd w:val="clear" w:color="auto" w:fill="CFF0FC"/>
            <w:vAlign w:val="center"/>
            <w:hideMark/>
          </w:tcPr>
          <w:p w14:paraId="6F7174A5"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62</w:t>
            </w:r>
          </w:p>
        </w:tc>
        <w:tc>
          <w:tcPr>
            <w:tcW w:w="0" w:type="auto"/>
            <w:shd w:val="clear" w:color="auto" w:fill="CFF0FC"/>
            <w:vAlign w:val="center"/>
            <w:hideMark/>
          </w:tcPr>
          <w:p w14:paraId="6E94D3A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6A7D8CB4" w14:textId="77777777" w:rsidTr="002F3D36">
        <w:trPr>
          <w:trHeight w:val="180"/>
          <w:tblCellSpacing w:w="15" w:type="dxa"/>
        </w:trPr>
        <w:tc>
          <w:tcPr>
            <w:tcW w:w="0" w:type="auto"/>
            <w:vAlign w:val="center"/>
            <w:hideMark/>
          </w:tcPr>
          <w:p w14:paraId="38D4402E"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Change in reserve</w:t>
            </w:r>
          </w:p>
        </w:tc>
        <w:tc>
          <w:tcPr>
            <w:tcW w:w="0" w:type="auto"/>
            <w:vAlign w:val="bottom"/>
            <w:hideMark/>
          </w:tcPr>
          <w:p w14:paraId="41AEE7B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center"/>
            <w:hideMark/>
          </w:tcPr>
          <w:p w14:paraId="6DFB805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center"/>
            <w:hideMark/>
          </w:tcPr>
          <w:p w14:paraId="647759ED"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49</w:t>
            </w:r>
          </w:p>
        </w:tc>
        <w:tc>
          <w:tcPr>
            <w:tcW w:w="0" w:type="auto"/>
            <w:vAlign w:val="center"/>
            <w:hideMark/>
          </w:tcPr>
          <w:p w14:paraId="51C1CE8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131C434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center"/>
            <w:hideMark/>
          </w:tcPr>
          <w:p w14:paraId="3E4D731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center"/>
            <w:hideMark/>
          </w:tcPr>
          <w:p w14:paraId="3C4484E8"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304</w:t>
            </w:r>
          </w:p>
        </w:tc>
        <w:tc>
          <w:tcPr>
            <w:tcW w:w="0" w:type="auto"/>
            <w:vAlign w:val="center"/>
            <w:hideMark/>
          </w:tcPr>
          <w:p w14:paraId="2BAB8C6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6F370AC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center"/>
            <w:hideMark/>
          </w:tcPr>
          <w:p w14:paraId="2DA4BA8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center"/>
            <w:hideMark/>
          </w:tcPr>
          <w:p w14:paraId="23947EDF"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39</w:t>
            </w:r>
          </w:p>
        </w:tc>
        <w:tc>
          <w:tcPr>
            <w:tcW w:w="0" w:type="auto"/>
            <w:vAlign w:val="center"/>
            <w:hideMark/>
          </w:tcPr>
          <w:p w14:paraId="12D402D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00380E91" w14:textId="77777777" w:rsidTr="002F3D36">
        <w:trPr>
          <w:trHeight w:val="180"/>
          <w:tblCellSpacing w:w="15" w:type="dxa"/>
        </w:trPr>
        <w:tc>
          <w:tcPr>
            <w:tcW w:w="0" w:type="auto"/>
            <w:shd w:val="clear" w:color="auto" w:fill="CFF0FC"/>
            <w:vAlign w:val="center"/>
            <w:hideMark/>
          </w:tcPr>
          <w:p w14:paraId="6D8BC1B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Cash payments</w:t>
            </w:r>
          </w:p>
        </w:tc>
        <w:tc>
          <w:tcPr>
            <w:tcW w:w="0" w:type="auto"/>
            <w:shd w:val="clear" w:color="auto" w:fill="CFF0FC"/>
            <w:vAlign w:val="bottom"/>
            <w:hideMark/>
          </w:tcPr>
          <w:p w14:paraId="25943C2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center"/>
            <w:hideMark/>
          </w:tcPr>
          <w:p w14:paraId="42D4DC4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center"/>
            <w:hideMark/>
          </w:tcPr>
          <w:p w14:paraId="7B1301B4"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(245</w:t>
            </w:r>
          </w:p>
        </w:tc>
        <w:tc>
          <w:tcPr>
            <w:tcW w:w="0" w:type="auto"/>
            <w:shd w:val="clear" w:color="auto" w:fill="CFF0FC"/>
            <w:vAlign w:val="center"/>
            <w:hideMark/>
          </w:tcPr>
          <w:p w14:paraId="233550E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4F6D60C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center"/>
            <w:hideMark/>
          </w:tcPr>
          <w:p w14:paraId="3227326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center"/>
            <w:hideMark/>
          </w:tcPr>
          <w:p w14:paraId="24C5470D"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(36</w:t>
            </w:r>
          </w:p>
        </w:tc>
        <w:tc>
          <w:tcPr>
            <w:tcW w:w="0" w:type="auto"/>
            <w:shd w:val="clear" w:color="auto" w:fill="CFF0FC"/>
            <w:vAlign w:val="center"/>
            <w:hideMark/>
          </w:tcPr>
          <w:p w14:paraId="3F4388F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1CE9BA3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center"/>
            <w:hideMark/>
          </w:tcPr>
          <w:p w14:paraId="4D99344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center"/>
            <w:hideMark/>
          </w:tcPr>
          <w:p w14:paraId="097699E0"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(29</w:t>
            </w:r>
          </w:p>
        </w:tc>
        <w:tc>
          <w:tcPr>
            <w:tcW w:w="0" w:type="auto"/>
            <w:shd w:val="clear" w:color="auto" w:fill="CFF0FC"/>
            <w:vAlign w:val="center"/>
            <w:hideMark/>
          </w:tcPr>
          <w:p w14:paraId="25F9EE4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r>
      <w:tr w:rsidR="002F3D36" w:rsidRPr="002F3D36" w14:paraId="0C5753FA" w14:textId="77777777" w:rsidTr="002F3D36">
        <w:trPr>
          <w:trHeight w:val="180"/>
          <w:tblCellSpacing w:w="15" w:type="dxa"/>
        </w:trPr>
        <w:tc>
          <w:tcPr>
            <w:tcW w:w="0" w:type="auto"/>
            <w:vAlign w:val="center"/>
            <w:hideMark/>
          </w:tcPr>
          <w:p w14:paraId="0193773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Translation difference</w:t>
            </w:r>
          </w:p>
        </w:tc>
        <w:tc>
          <w:tcPr>
            <w:tcW w:w="0" w:type="auto"/>
            <w:vAlign w:val="bottom"/>
            <w:hideMark/>
          </w:tcPr>
          <w:p w14:paraId="1150543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center"/>
            <w:hideMark/>
          </w:tcPr>
          <w:p w14:paraId="51BB99C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center"/>
            <w:hideMark/>
          </w:tcPr>
          <w:p w14:paraId="25077DFA"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w:t>
            </w:r>
          </w:p>
        </w:tc>
        <w:tc>
          <w:tcPr>
            <w:tcW w:w="0" w:type="auto"/>
            <w:vAlign w:val="center"/>
            <w:hideMark/>
          </w:tcPr>
          <w:p w14:paraId="2B789E0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vAlign w:val="bottom"/>
            <w:hideMark/>
          </w:tcPr>
          <w:p w14:paraId="4D52A9C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center"/>
            <w:hideMark/>
          </w:tcPr>
          <w:p w14:paraId="774875E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center"/>
            <w:hideMark/>
          </w:tcPr>
          <w:p w14:paraId="31E04915"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w:t>
            </w:r>
          </w:p>
        </w:tc>
        <w:tc>
          <w:tcPr>
            <w:tcW w:w="0" w:type="auto"/>
            <w:vAlign w:val="center"/>
            <w:hideMark/>
          </w:tcPr>
          <w:p w14:paraId="0460719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02F261D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center"/>
            <w:hideMark/>
          </w:tcPr>
          <w:p w14:paraId="27A0EAA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center"/>
            <w:hideMark/>
          </w:tcPr>
          <w:p w14:paraId="63569ED9"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(0</w:t>
            </w:r>
          </w:p>
        </w:tc>
        <w:tc>
          <w:tcPr>
            <w:tcW w:w="0" w:type="auto"/>
            <w:vAlign w:val="center"/>
            <w:hideMark/>
          </w:tcPr>
          <w:p w14:paraId="0D18D2B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r>
      <w:tr w:rsidR="002F3D36" w:rsidRPr="002F3D36" w14:paraId="4A502A20" w14:textId="77777777" w:rsidTr="002F3D36">
        <w:trPr>
          <w:trHeight w:val="180"/>
          <w:tblCellSpacing w:w="15" w:type="dxa"/>
        </w:trPr>
        <w:tc>
          <w:tcPr>
            <w:tcW w:w="0" w:type="auto"/>
            <w:shd w:val="clear" w:color="auto" w:fill="CFF0FC"/>
            <w:vAlign w:val="center"/>
            <w:hideMark/>
          </w:tcPr>
          <w:p w14:paraId="0D3D4D7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Reserve at end of the year</w:t>
            </w:r>
          </w:p>
        </w:tc>
        <w:tc>
          <w:tcPr>
            <w:tcW w:w="0" w:type="auto"/>
            <w:shd w:val="clear" w:color="auto" w:fill="CFF0FC"/>
            <w:vAlign w:val="bottom"/>
            <w:hideMark/>
          </w:tcPr>
          <w:p w14:paraId="03D208E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center"/>
            <w:hideMark/>
          </w:tcPr>
          <w:p w14:paraId="2BAB652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shd w:val="clear" w:color="auto" w:fill="CFF0FC"/>
            <w:vAlign w:val="center"/>
            <w:hideMark/>
          </w:tcPr>
          <w:p w14:paraId="695337BE"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144</w:t>
            </w:r>
          </w:p>
        </w:tc>
        <w:tc>
          <w:tcPr>
            <w:tcW w:w="0" w:type="auto"/>
            <w:shd w:val="clear" w:color="auto" w:fill="CFF0FC"/>
            <w:vAlign w:val="center"/>
            <w:hideMark/>
          </w:tcPr>
          <w:p w14:paraId="388E59E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481CB42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center"/>
            <w:hideMark/>
          </w:tcPr>
          <w:p w14:paraId="103770C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shd w:val="clear" w:color="auto" w:fill="CFF0FC"/>
            <w:vAlign w:val="center"/>
            <w:hideMark/>
          </w:tcPr>
          <w:p w14:paraId="39EED990"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341</w:t>
            </w:r>
          </w:p>
        </w:tc>
        <w:tc>
          <w:tcPr>
            <w:tcW w:w="0" w:type="auto"/>
            <w:shd w:val="clear" w:color="auto" w:fill="CFF0FC"/>
            <w:vAlign w:val="center"/>
            <w:hideMark/>
          </w:tcPr>
          <w:p w14:paraId="1B1D3D8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4BCE6A8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center"/>
            <w:hideMark/>
          </w:tcPr>
          <w:p w14:paraId="48DA0BB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shd w:val="clear" w:color="auto" w:fill="CFF0FC"/>
            <w:vAlign w:val="center"/>
            <w:hideMark/>
          </w:tcPr>
          <w:p w14:paraId="6FFF8427"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72</w:t>
            </w:r>
          </w:p>
        </w:tc>
        <w:tc>
          <w:tcPr>
            <w:tcW w:w="0" w:type="auto"/>
            <w:shd w:val="clear" w:color="auto" w:fill="CFF0FC"/>
            <w:vAlign w:val="center"/>
            <w:hideMark/>
          </w:tcPr>
          <w:p w14:paraId="387DB9D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bl>
    <w:p w14:paraId="006CFB79"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Times New Roman" w:eastAsia="宋体" w:hAnsi="Times New Roman" w:cs="Times New Roman"/>
          <w:color w:val="000000"/>
          <w:kern w:val="0"/>
          <w:sz w:val="20"/>
          <w:szCs w:val="20"/>
        </w:rPr>
        <w:t> </w:t>
      </w:r>
    </w:p>
    <w:p w14:paraId="6FF80F5F" w14:textId="77777777" w:rsidR="002F3D36" w:rsidRPr="002F3D36" w:rsidRDefault="002F3D36" w:rsidP="002F3D36">
      <w:pPr>
        <w:widowControl/>
        <w:spacing w:before="240"/>
        <w:jc w:val="center"/>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75</w:t>
      </w:r>
    </w:p>
    <w:p w14:paraId="1A72951E" w14:textId="77777777" w:rsidR="002F3D36" w:rsidRPr="002F3D36" w:rsidRDefault="002F3D36" w:rsidP="002F3D36">
      <w:pPr>
        <w:widowControl/>
        <w:jc w:val="left"/>
        <w:rPr>
          <w:rFonts w:ascii="宋体" w:eastAsia="宋体" w:hAnsi="宋体" w:cs="宋体"/>
          <w:kern w:val="0"/>
          <w:sz w:val="24"/>
          <w:szCs w:val="24"/>
        </w:rPr>
      </w:pPr>
      <w:r w:rsidRPr="002F3D36">
        <w:rPr>
          <w:rFonts w:ascii="宋体" w:eastAsia="宋体" w:hAnsi="宋体" w:cs="宋体"/>
          <w:kern w:val="0"/>
          <w:sz w:val="24"/>
          <w:szCs w:val="24"/>
        </w:rPr>
        <w:pict w14:anchorId="0CC681FF">
          <v:rect id="_x0000_i1102" style="width:0;height:1.5pt" o:hralign="center" o:hrstd="t" o:hrnoshade="t" o:hr="t" fillcolor="black" stroked="f"/>
        </w:pict>
      </w:r>
    </w:p>
    <w:p w14:paraId="38CF6A9A" w14:textId="77777777" w:rsidR="002F3D36" w:rsidRPr="002F3D36" w:rsidRDefault="002F3D36" w:rsidP="002F3D36">
      <w:pPr>
        <w:widowControl/>
        <w:spacing w:line="20" w:lineRule="atLeast"/>
        <w:jc w:val="left"/>
        <w:rPr>
          <w:rFonts w:ascii="Times New Roman" w:eastAsia="宋体" w:hAnsi="Times New Roman" w:cs="Times New Roman"/>
          <w:color w:val="000000"/>
          <w:kern w:val="0"/>
          <w:sz w:val="20"/>
          <w:szCs w:val="20"/>
        </w:rPr>
      </w:pPr>
      <w:r w:rsidRPr="002F3D36">
        <w:rPr>
          <w:rFonts w:ascii="Arial" w:eastAsia="宋体" w:hAnsi="Arial" w:cs="Arial"/>
          <w:color w:val="000000"/>
          <w:kern w:val="0"/>
          <w:sz w:val="2"/>
          <w:szCs w:val="2"/>
        </w:rPr>
        <w:t> </w:t>
      </w:r>
    </w:p>
    <w:p w14:paraId="08397376" w14:textId="77777777" w:rsidR="002F3D36" w:rsidRPr="002F3D36" w:rsidRDefault="002F3D36" w:rsidP="002F3D36">
      <w:pPr>
        <w:widowControl/>
        <w:spacing w:before="10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22"/>
        </w:rPr>
        <w:t>13. Debt and Credit Agreements</w:t>
      </w:r>
    </w:p>
    <w:p w14:paraId="1F0F1D5B"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2"/>
          <w:szCs w:val="12"/>
        </w:rPr>
        <w:t> </w:t>
      </w:r>
    </w:p>
    <w:p w14:paraId="21E5FB56"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SHORT-TERM DEBT</w:t>
      </w:r>
    </w:p>
    <w:p w14:paraId="0EE7CC77"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As of December 31, 2021 and 2020, total short-term debt was $346 million and $302 million, respectively. As of December 31, 2021, short-term debt consisted mainly of a $332 million (SEK 3,000 million) loan from Swedish Export Credit Corporation.</w:t>
      </w:r>
    </w:p>
    <w:p w14:paraId="6D9BA9E0"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The Company’s subsidiaries have credit agreements, principally in the form of overdraft facilities with several local banks. Total available short-term facilities as of December 31, 2021, excluding commercial paper facilities as described below, amounted to $428 million, of which approximately $14 million was utilized. The weighted average interest rate on total short-term debt outstanding at December 31, 2021 and 2020, excluding the short-term portion of long-term debt, was 2% and 3%, respectively.</w:t>
      </w:r>
    </w:p>
    <w:p w14:paraId="07D0DC82"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lastRenderedPageBreak/>
        <w:t xml:space="preserve">LONG-TERM DEBT </w:t>
      </w:r>
    </w:p>
    <w:p w14:paraId="72A80A84"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xml:space="preserve">As of December 31, 2021 and 2020, total long-term debt was $1,662 million and $2,110 million, respectively. </w:t>
      </w:r>
    </w:p>
    <w:p w14:paraId="33A858FF"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xml:space="preserve">In June 2020 the Company utilized its new SEK 6,000 million facility with Swedish Export Credit Corporation which was signed in May 2020. The SEK 6,000 million facility was utilized in two different loans. One SEK 3,000 million loan maturing in 2022 carrying a floating interest rate of 3M STIBOR +1.35% and one SEK 3,000 million loan maturing in 2025 carrying a floating interest rate of 3M STIBOR +1.85%. </w:t>
      </w:r>
    </w:p>
    <w:p w14:paraId="5C6B0FF8"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In June 2018, the Company also issued €500 million of 5-year notes in the Eurobond market. The notes carry a coupon of 0.75%.</w:t>
      </w:r>
    </w:p>
    <w:p w14:paraId="12507510"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In 2014, the Company issued</w:t>
      </w:r>
      <w:r w:rsidRPr="002F3D36">
        <w:rPr>
          <w:rFonts w:ascii="Arial" w:eastAsia="宋体" w:hAnsi="Arial" w:cs="Arial"/>
          <w:color w:val="000000"/>
          <w:kern w:val="0"/>
          <w:sz w:val="20"/>
          <w:szCs w:val="20"/>
        </w:rPr>
        <w:t xml:space="preserve"> </w:t>
      </w:r>
      <w:r w:rsidRPr="002F3D36">
        <w:rPr>
          <w:rFonts w:ascii="Arial" w:eastAsia="宋体" w:hAnsi="Arial" w:cs="Arial"/>
          <w:color w:val="000000"/>
          <w:kern w:val="0"/>
          <w:sz w:val="18"/>
          <w:szCs w:val="18"/>
        </w:rPr>
        <w:t>long-term debt securities in a U.S. Private Placement. As of December 31, 2021 the total long-term debt outstanding from the 2014 issuance of $767 million consist of: $297 million aggregate principal amount of 10-year senior notes with an interest rate of 4.09%; $285 million aggregate principal amount of 12-year senior notes with an interest rate of 4.24%; and $185 million aggregate principal amount of 15-year senior notes with an interest rate of 4.44%.</w:t>
      </w:r>
    </w:p>
    <w:p w14:paraId="33A7A3BB"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CREDIT FACILITIES</w:t>
      </w:r>
    </w:p>
    <w:p w14:paraId="41410A43"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In July 2016, the Company signed a $1,100 million senior unsecured revolving credit facility with 14 banks. The term of the facility was 5 years with two one-year extension options. The Company has utilized these extension options and extended the maturity to July 2023. The Company pays a commitment fee on the undrawn amount. The commitment fee is 35% of the applicable margin. The applicable margin is related to the Company’s credit rating. Given the Company’s current credit rating of BBB from S&amp;P Global Ratings, the applicable margin is 0.375%. As of December 31, 2021, the facility was not utilized.</w:t>
      </w:r>
    </w:p>
    <w:p w14:paraId="77337132"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The Company has a €3,000 million Euro Medium Term Note Program in place for being able to issue notes to be traded on the Global Exchange Market of Euronext Dublin. At December 31, 2021, no notes had been issued under this program.</w:t>
      </w:r>
    </w:p>
    <w:p w14:paraId="0B8A8899"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xml:space="preserve">The Company has two commercial paper programs: one SEK 7 billion (approx. $774 million) Swedish program and a $1 billion U.S. program. At December 31, 2021 no commercial papers have been issued under these programs. </w:t>
      </w:r>
    </w:p>
    <w:p w14:paraId="5CA70BC1"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The Company is not subject to any financial covenants, i.e. performance related restrictions, in any of its significant long-term borrowings or commitments.</w:t>
      </w:r>
    </w:p>
    <w:p w14:paraId="0F7AD178"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CREDIT RISK</w:t>
      </w:r>
    </w:p>
    <w:p w14:paraId="75C2A0B6"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In the Company’s financial operations, credit risk arises in connection with cash deposits with banks and when entering into forward exchange agreements, swap contracts or other financial instruments. In order to reduce this risk, deposits and financial instruments are only entered with a limited number of banks up to a calculated risk amount of $200 million per bank for banks rated A- or above and up to $50 million for banks rated BBB+. The policy of the Company is to work with banks that have a strong credit rating and that participate in the Company’s financing. In addition to this, deposits of up to an aggregate amount of $2 billion can be placed in U.S. and Swedish government paper and in certain AAA rated money market funds. As of December 31, 2021, the Company had placed $579 million in money market funds.</w:t>
      </w:r>
    </w:p>
    <w:p w14:paraId="469C6831"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lastRenderedPageBreak/>
        <w:t>The table below shows debt maturity as cash flow. For a description of hedging instruments used as part of debt management, see the Financial Instruments section of Note 2 and Note 4.</w:t>
      </w:r>
    </w:p>
    <w:p w14:paraId="79560639"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DEBT PROFILE</w:t>
      </w:r>
    </w:p>
    <w:tbl>
      <w:tblPr>
        <w:tblW w:w="20614" w:type="dxa"/>
        <w:tblCellSpacing w:w="15" w:type="dxa"/>
        <w:tblCellMar>
          <w:top w:w="15" w:type="dxa"/>
          <w:left w:w="15" w:type="dxa"/>
          <w:bottom w:w="15" w:type="dxa"/>
          <w:right w:w="15" w:type="dxa"/>
        </w:tblCellMar>
        <w:tblLook w:val="04A0" w:firstRow="1" w:lastRow="0" w:firstColumn="1" w:lastColumn="0" w:noHBand="0" w:noVBand="1"/>
      </w:tblPr>
      <w:tblGrid>
        <w:gridCol w:w="6454"/>
        <w:gridCol w:w="244"/>
        <w:gridCol w:w="268"/>
        <w:gridCol w:w="1027"/>
        <w:gridCol w:w="146"/>
        <w:gridCol w:w="245"/>
        <w:gridCol w:w="269"/>
        <w:gridCol w:w="1028"/>
        <w:gridCol w:w="147"/>
        <w:gridCol w:w="245"/>
        <w:gridCol w:w="269"/>
        <w:gridCol w:w="1028"/>
        <w:gridCol w:w="147"/>
        <w:gridCol w:w="245"/>
        <w:gridCol w:w="269"/>
        <w:gridCol w:w="1028"/>
        <w:gridCol w:w="147"/>
        <w:gridCol w:w="245"/>
        <w:gridCol w:w="269"/>
        <w:gridCol w:w="1028"/>
        <w:gridCol w:w="147"/>
        <w:gridCol w:w="245"/>
        <w:gridCol w:w="269"/>
        <w:gridCol w:w="1281"/>
        <w:gridCol w:w="147"/>
        <w:gridCol w:w="245"/>
        <w:gridCol w:w="269"/>
        <w:gridCol w:w="1031"/>
        <w:gridCol w:w="147"/>
        <w:gridCol w:w="245"/>
        <w:gridCol w:w="269"/>
        <w:gridCol w:w="1031"/>
        <w:gridCol w:w="147"/>
        <w:gridCol w:w="393"/>
      </w:tblGrid>
      <w:tr w:rsidR="002F3D36" w:rsidRPr="002F3D36" w14:paraId="75FCF034" w14:textId="77777777" w:rsidTr="002F3D36">
        <w:trPr>
          <w:tblCellSpacing w:w="15" w:type="dxa"/>
        </w:trPr>
        <w:tc>
          <w:tcPr>
            <w:tcW w:w="6423" w:type="dxa"/>
            <w:vAlign w:val="center"/>
            <w:hideMark/>
          </w:tcPr>
          <w:p w14:paraId="7439C485" w14:textId="77777777" w:rsidR="002F3D36" w:rsidRPr="002F3D36" w:rsidRDefault="002F3D36" w:rsidP="002F3D36">
            <w:pPr>
              <w:widowControl/>
              <w:jc w:val="left"/>
              <w:rPr>
                <w:rFonts w:ascii="Times New Roman" w:eastAsia="宋体" w:hAnsi="Times New Roman" w:cs="Times New Roman"/>
                <w:color w:val="000000"/>
                <w:kern w:val="0"/>
                <w:sz w:val="20"/>
                <w:szCs w:val="20"/>
              </w:rPr>
            </w:pPr>
          </w:p>
        </w:tc>
        <w:tc>
          <w:tcPr>
            <w:tcW w:w="215" w:type="dxa"/>
            <w:vAlign w:val="center"/>
            <w:hideMark/>
          </w:tcPr>
          <w:p w14:paraId="6735206B"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39" w:type="dxa"/>
            <w:vAlign w:val="center"/>
            <w:hideMark/>
          </w:tcPr>
          <w:p w14:paraId="7C299DAE"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000" w:type="dxa"/>
            <w:vAlign w:val="center"/>
            <w:hideMark/>
          </w:tcPr>
          <w:p w14:paraId="6393233B"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17" w:type="dxa"/>
            <w:vAlign w:val="center"/>
            <w:hideMark/>
          </w:tcPr>
          <w:p w14:paraId="1EBB7490"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15" w:type="dxa"/>
            <w:vAlign w:val="center"/>
            <w:hideMark/>
          </w:tcPr>
          <w:p w14:paraId="187381E5"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39" w:type="dxa"/>
            <w:vAlign w:val="center"/>
            <w:hideMark/>
          </w:tcPr>
          <w:p w14:paraId="224AEFE8"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000" w:type="dxa"/>
            <w:vAlign w:val="center"/>
            <w:hideMark/>
          </w:tcPr>
          <w:p w14:paraId="2FE25639"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17" w:type="dxa"/>
            <w:vAlign w:val="center"/>
            <w:hideMark/>
          </w:tcPr>
          <w:p w14:paraId="1912925D"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15" w:type="dxa"/>
            <w:vAlign w:val="center"/>
            <w:hideMark/>
          </w:tcPr>
          <w:p w14:paraId="7885C276"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39" w:type="dxa"/>
            <w:vAlign w:val="center"/>
            <w:hideMark/>
          </w:tcPr>
          <w:p w14:paraId="3E82306A"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000" w:type="dxa"/>
            <w:vAlign w:val="center"/>
            <w:hideMark/>
          </w:tcPr>
          <w:p w14:paraId="23881C9D"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17" w:type="dxa"/>
            <w:vAlign w:val="center"/>
            <w:hideMark/>
          </w:tcPr>
          <w:p w14:paraId="37BE7F2A"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15" w:type="dxa"/>
            <w:vAlign w:val="center"/>
            <w:hideMark/>
          </w:tcPr>
          <w:p w14:paraId="222136B7"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39" w:type="dxa"/>
            <w:vAlign w:val="center"/>
            <w:hideMark/>
          </w:tcPr>
          <w:p w14:paraId="6F3CD6C1"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000" w:type="dxa"/>
            <w:vAlign w:val="center"/>
            <w:hideMark/>
          </w:tcPr>
          <w:p w14:paraId="0C07A6DF"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17" w:type="dxa"/>
            <w:vAlign w:val="center"/>
            <w:hideMark/>
          </w:tcPr>
          <w:p w14:paraId="1C997D20"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15" w:type="dxa"/>
            <w:vAlign w:val="center"/>
            <w:hideMark/>
          </w:tcPr>
          <w:p w14:paraId="4761EC5F"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39" w:type="dxa"/>
            <w:vAlign w:val="center"/>
            <w:hideMark/>
          </w:tcPr>
          <w:p w14:paraId="12B5D7C0"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000" w:type="dxa"/>
            <w:vAlign w:val="center"/>
            <w:hideMark/>
          </w:tcPr>
          <w:p w14:paraId="65228F0E"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17" w:type="dxa"/>
            <w:vAlign w:val="center"/>
            <w:hideMark/>
          </w:tcPr>
          <w:p w14:paraId="79D6EFAA"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15" w:type="dxa"/>
            <w:vAlign w:val="center"/>
            <w:hideMark/>
          </w:tcPr>
          <w:p w14:paraId="45B535F5"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39" w:type="dxa"/>
            <w:vAlign w:val="center"/>
            <w:hideMark/>
          </w:tcPr>
          <w:p w14:paraId="53E3D2BE"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253" w:type="dxa"/>
            <w:vAlign w:val="center"/>
            <w:hideMark/>
          </w:tcPr>
          <w:p w14:paraId="66189B96"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17" w:type="dxa"/>
            <w:vAlign w:val="center"/>
            <w:hideMark/>
          </w:tcPr>
          <w:p w14:paraId="5915BE28"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15" w:type="dxa"/>
            <w:vAlign w:val="center"/>
            <w:hideMark/>
          </w:tcPr>
          <w:p w14:paraId="322CD741"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39" w:type="dxa"/>
            <w:vAlign w:val="center"/>
            <w:hideMark/>
          </w:tcPr>
          <w:p w14:paraId="7D4AA077"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002" w:type="dxa"/>
            <w:vAlign w:val="center"/>
            <w:hideMark/>
          </w:tcPr>
          <w:p w14:paraId="32FAFCDA"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17" w:type="dxa"/>
            <w:vAlign w:val="center"/>
            <w:hideMark/>
          </w:tcPr>
          <w:p w14:paraId="61C30857"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15" w:type="dxa"/>
            <w:vAlign w:val="center"/>
            <w:hideMark/>
          </w:tcPr>
          <w:p w14:paraId="1223E6F2"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39" w:type="dxa"/>
            <w:vAlign w:val="center"/>
            <w:hideMark/>
          </w:tcPr>
          <w:p w14:paraId="065F96A1"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002" w:type="dxa"/>
            <w:vAlign w:val="center"/>
            <w:hideMark/>
          </w:tcPr>
          <w:p w14:paraId="1C224142"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17" w:type="dxa"/>
            <w:vAlign w:val="center"/>
            <w:hideMark/>
          </w:tcPr>
          <w:p w14:paraId="692E3F3D"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348" w:type="dxa"/>
            <w:vAlign w:val="center"/>
            <w:hideMark/>
          </w:tcPr>
          <w:p w14:paraId="2E3D0531" w14:textId="77777777" w:rsidR="002F3D36" w:rsidRPr="002F3D36" w:rsidRDefault="002F3D36" w:rsidP="002F3D36">
            <w:pPr>
              <w:widowControl/>
              <w:jc w:val="left"/>
              <w:rPr>
                <w:rFonts w:ascii="Times New Roman" w:eastAsia="Times New Roman" w:hAnsi="Times New Roman" w:cs="Times New Roman"/>
                <w:kern w:val="0"/>
                <w:sz w:val="20"/>
                <w:szCs w:val="20"/>
              </w:rPr>
            </w:pPr>
          </w:p>
        </w:tc>
      </w:tr>
      <w:tr w:rsidR="002F3D36" w:rsidRPr="002F3D36" w14:paraId="2626E7A5" w14:textId="77777777" w:rsidTr="002F3D36">
        <w:trPr>
          <w:trHeight w:val="140"/>
          <w:tblCellSpacing w:w="15" w:type="dxa"/>
        </w:trPr>
        <w:tc>
          <w:tcPr>
            <w:tcW w:w="0" w:type="auto"/>
            <w:vAlign w:val="bottom"/>
            <w:hideMark/>
          </w:tcPr>
          <w:p w14:paraId="0397FF11" w14:textId="77777777" w:rsidR="002F3D36" w:rsidRPr="002F3D36" w:rsidRDefault="002F3D36" w:rsidP="002F3D36">
            <w:pPr>
              <w:widowControl/>
              <w:jc w:val="center"/>
              <w:rPr>
                <w:rFonts w:ascii="Times New Roman" w:eastAsia="宋体" w:hAnsi="Times New Roman" w:cs="Times New Roman"/>
                <w:kern w:val="0"/>
                <w:sz w:val="14"/>
                <w:szCs w:val="14"/>
              </w:rPr>
            </w:pPr>
            <w:r w:rsidRPr="002F3D36">
              <w:rPr>
                <w:rFonts w:ascii="Arial" w:eastAsia="宋体" w:hAnsi="Arial" w:cs="Arial"/>
                <w:kern w:val="0"/>
                <w:sz w:val="14"/>
                <w:szCs w:val="14"/>
              </w:rPr>
              <w:t> </w:t>
            </w:r>
          </w:p>
        </w:tc>
        <w:tc>
          <w:tcPr>
            <w:tcW w:w="0" w:type="auto"/>
            <w:vAlign w:val="bottom"/>
            <w:hideMark/>
          </w:tcPr>
          <w:p w14:paraId="7920F288" w14:textId="77777777" w:rsidR="002F3D36" w:rsidRPr="002F3D36" w:rsidRDefault="002F3D36" w:rsidP="002F3D36">
            <w:pPr>
              <w:widowControl/>
              <w:jc w:val="center"/>
              <w:rPr>
                <w:rFonts w:ascii="Times New Roman" w:eastAsia="宋体" w:hAnsi="Times New Roman" w:cs="Times New Roman"/>
                <w:kern w:val="0"/>
                <w:sz w:val="14"/>
                <w:szCs w:val="14"/>
              </w:rPr>
            </w:pPr>
            <w:r w:rsidRPr="002F3D36">
              <w:rPr>
                <w:rFonts w:ascii="Arial" w:eastAsia="宋体" w:hAnsi="Arial" w:cs="Arial"/>
                <w:kern w:val="0"/>
                <w:sz w:val="14"/>
                <w:szCs w:val="14"/>
              </w:rPr>
              <w:t> </w:t>
            </w:r>
          </w:p>
        </w:tc>
        <w:tc>
          <w:tcPr>
            <w:tcW w:w="0" w:type="auto"/>
            <w:gridSpan w:val="2"/>
            <w:vAlign w:val="bottom"/>
            <w:hideMark/>
          </w:tcPr>
          <w:p w14:paraId="000556ED" w14:textId="77777777" w:rsidR="002F3D36" w:rsidRPr="002F3D36" w:rsidRDefault="002F3D36" w:rsidP="002F3D36">
            <w:pPr>
              <w:widowControl/>
              <w:jc w:val="center"/>
              <w:rPr>
                <w:rFonts w:ascii="Times New Roman" w:eastAsia="宋体" w:hAnsi="Times New Roman" w:cs="Times New Roman"/>
                <w:kern w:val="0"/>
                <w:sz w:val="14"/>
                <w:szCs w:val="14"/>
              </w:rPr>
            </w:pPr>
            <w:r w:rsidRPr="002F3D36">
              <w:rPr>
                <w:rFonts w:ascii="Arial" w:eastAsia="宋体" w:hAnsi="Arial" w:cs="Arial"/>
                <w:kern w:val="0"/>
                <w:sz w:val="14"/>
                <w:szCs w:val="14"/>
              </w:rPr>
              <w:t> </w:t>
            </w:r>
          </w:p>
        </w:tc>
        <w:tc>
          <w:tcPr>
            <w:tcW w:w="0" w:type="auto"/>
            <w:vAlign w:val="bottom"/>
            <w:hideMark/>
          </w:tcPr>
          <w:p w14:paraId="67E47DF7" w14:textId="77777777" w:rsidR="002F3D36" w:rsidRPr="002F3D36" w:rsidRDefault="002F3D36" w:rsidP="002F3D36">
            <w:pPr>
              <w:widowControl/>
              <w:jc w:val="center"/>
              <w:rPr>
                <w:rFonts w:ascii="Times New Roman" w:eastAsia="宋体" w:hAnsi="Times New Roman" w:cs="Times New Roman"/>
                <w:kern w:val="0"/>
                <w:sz w:val="14"/>
                <w:szCs w:val="14"/>
              </w:rPr>
            </w:pPr>
            <w:r w:rsidRPr="002F3D36">
              <w:rPr>
                <w:rFonts w:ascii="Arial" w:eastAsia="宋体" w:hAnsi="Arial" w:cs="Arial"/>
                <w:kern w:val="0"/>
                <w:sz w:val="14"/>
                <w:szCs w:val="14"/>
              </w:rPr>
              <w:t> </w:t>
            </w:r>
          </w:p>
        </w:tc>
        <w:tc>
          <w:tcPr>
            <w:tcW w:w="0" w:type="auto"/>
            <w:vAlign w:val="bottom"/>
            <w:hideMark/>
          </w:tcPr>
          <w:p w14:paraId="43C14B97" w14:textId="77777777" w:rsidR="002F3D36" w:rsidRPr="002F3D36" w:rsidRDefault="002F3D36" w:rsidP="002F3D36">
            <w:pPr>
              <w:widowControl/>
              <w:jc w:val="center"/>
              <w:rPr>
                <w:rFonts w:ascii="Times New Roman" w:eastAsia="宋体" w:hAnsi="Times New Roman" w:cs="Times New Roman"/>
                <w:kern w:val="0"/>
                <w:sz w:val="14"/>
                <w:szCs w:val="14"/>
              </w:rPr>
            </w:pPr>
            <w:r w:rsidRPr="002F3D36">
              <w:rPr>
                <w:rFonts w:ascii="Arial" w:eastAsia="宋体" w:hAnsi="Arial" w:cs="Arial"/>
                <w:kern w:val="0"/>
                <w:sz w:val="14"/>
                <w:szCs w:val="14"/>
              </w:rPr>
              <w:t> </w:t>
            </w:r>
          </w:p>
        </w:tc>
        <w:tc>
          <w:tcPr>
            <w:tcW w:w="0" w:type="auto"/>
            <w:gridSpan w:val="2"/>
            <w:vAlign w:val="bottom"/>
            <w:hideMark/>
          </w:tcPr>
          <w:p w14:paraId="697DC5E8" w14:textId="77777777" w:rsidR="002F3D36" w:rsidRPr="002F3D36" w:rsidRDefault="002F3D36" w:rsidP="002F3D36">
            <w:pPr>
              <w:widowControl/>
              <w:jc w:val="center"/>
              <w:rPr>
                <w:rFonts w:ascii="Times New Roman" w:eastAsia="宋体" w:hAnsi="Times New Roman" w:cs="Times New Roman"/>
                <w:kern w:val="0"/>
                <w:sz w:val="14"/>
                <w:szCs w:val="14"/>
              </w:rPr>
            </w:pPr>
            <w:r w:rsidRPr="002F3D36">
              <w:rPr>
                <w:rFonts w:ascii="Arial" w:eastAsia="宋体" w:hAnsi="Arial" w:cs="Arial"/>
                <w:kern w:val="0"/>
                <w:sz w:val="14"/>
                <w:szCs w:val="14"/>
              </w:rPr>
              <w:t> </w:t>
            </w:r>
          </w:p>
        </w:tc>
        <w:tc>
          <w:tcPr>
            <w:tcW w:w="0" w:type="auto"/>
            <w:vAlign w:val="bottom"/>
            <w:hideMark/>
          </w:tcPr>
          <w:p w14:paraId="191E3E42" w14:textId="77777777" w:rsidR="002F3D36" w:rsidRPr="002F3D36" w:rsidRDefault="002F3D36" w:rsidP="002F3D36">
            <w:pPr>
              <w:widowControl/>
              <w:jc w:val="center"/>
              <w:rPr>
                <w:rFonts w:ascii="Times New Roman" w:eastAsia="宋体" w:hAnsi="Times New Roman" w:cs="Times New Roman"/>
                <w:kern w:val="0"/>
                <w:sz w:val="14"/>
                <w:szCs w:val="14"/>
              </w:rPr>
            </w:pPr>
            <w:r w:rsidRPr="002F3D36">
              <w:rPr>
                <w:rFonts w:ascii="Arial" w:eastAsia="宋体" w:hAnsi="Arial" w:cs="Arial"/>
                <w:kern w:val="0"/>
                <w:sz w:val="14"/>
                <w:szCs w:val="14"/>
              </w:rPr>
              <w:t> </w:t>
            </w:r>
          </w:p>
        </w:tc>
        <w:tc>
          <w:tcPr>
            <w:tcW w:w="0" w:type="auto"/>
            <w:vAlign w:val="bottom"/>
            <w:hideMark/>
          </w:tcPr>
          <w:p w14:paraId="38472FCF" w14:textId="77777777" w:rsidR="002F3D36" w:rsidRPr="002F3D36" w:rsidRDefault="002F3D36" w:rsidP="002F3D36">
            <w:pPr>
              <w:widowControl/>
              <w:jc w:val="center"/>
              <w:rPr>
                <w:rFonts w:ascii="Times New Roman" w:eastAsia="宋体" w:hAnsi="Times New Roman" w:cs="Times New Roman"/>
                <w:kern w:val="0"/>
                <w:sz w:val="14"/>
                <w:szCs w:val="14"/>
              </w:rPr>
            </w:pPr>
            <w:r w:rsidRPr="002F3D36">
              <w:rPr>
                <w:rFonts w:ascii="Arial" w:eastAsia="宋体" w:hAnsi="Arial" w:cs="Arial"/>
                <w:kern w:val="0"/>
                <w:sz w:val="14"/>
                <w:szCs w:val="14"/>
              </w:rPr>
              <w:t> </w:t>
            </w:r>
          </w:p>
        </w:tc>
        <w:tc>
          <w:tcPr>
            <w:tcW w:w="0" w:type="auto"/>
            <w:gridSpan w:val="2"/>
            <w:vAlign w:val="bottom"/>
            <w:hideMark/>
          </w:tcPr>
          <w:p w14:paraId="1E01FD21" w14:textId="77777777" w:rsidR="002F3D36" w:rsidRPr="002F3D36" w:rsidRDefault="002F3D36" w:rsidP="002F3D36">
            <w:pPr>
              <w:widowControl/>
              <w:jc w:val="center"/>
              <w:rPr>
                <w:rFonts w:ascii="Times New Roman" w:eastAsia="宋体" w:hAnsi="Times New Roman" w:cs="Times New Roman"/>
                <w:kern w:val="0"/>
                <w:sz w:val="14"/>
                <w:szCs w:val="14"/>
              </w:rPr>
            </w:pPr>
            <w:r w:rsidRPr="002F3D36">
              <w:rPr>
                <w:rFonts w:ascii="Arial" w:eastAsia="宋体" w:hAnsi="Arial" w:cs="Arial"/>
                <w:kern w:val="0"/>
                <w:sz w:val="14"/>
                <w:szCs w:val="14"/>
              </w:rPr>
              <w:t> </w:t>
            </w:r>
          </w:p>
        </w:tc>
        <w:tc>
          <w:tcPr>
            <w:tcW w:w="0" w:type="auto"/>
            <w:vAlign w:val="bottom"/>
            <w:hideMark/>
          </w:tcPr>
          <w:p w14:paraId="4D58A82A" w14:textId="77777777" w:rsidR="002F3D36" w:rsidRPr="002F3D36" w:rsidRDefault="002F3D36" w:rsidP="002F3D36">
            <w:pPr>
              <w:widowControl/>
              <w:jc w:val="center"/>
              <w:rPr>
                <w:rFonts w:ascii="Times New Roman" w:eastAsia="宋体" w:hAnsi="Times New Roman" w:cs="Times New Roman"/>
                <w:kern w:val="0"/>
                <w:sz w:val="14"/>
                <w:szCs w:val="14"/>
              </w:rPr>
            </w:pPr>
            <w:r w:rsidRPr="002F3D36">
              <w:rPr>
                <w:rFonts w:ascii="Arial" w:eastAsia="宋体" w:hAnsi="Arial" w:cs="Arial"/>
                <w:kern w:val="0"/>
                <w:sz w:val="14"/>
                <w:szCs w:val="14"/>
              </w:rPr>
              <w:t> </w:t>
            </w:r>
          </w:p>
        </w:tc>
        <w:tc>
          <w:tcPr>
            <w:tcW w:w="0" w:type="auto"/>
            <w:vAlign w:val="bottom"/>
            <w:hideMark/>
          </w:tcPr>
          <w:p w14:paraId="5D38308B" w14:textId="77777777" w:rsidR="002F3D36" w:rsidRPr="002F3D36" w:rsidRDefault="002F3D36" w:rsidP="002F3D36">
            <w:pPr>
              <w:widowControl/>
              <w:jc w:val="center"/>
              <w:rPr>
                <w:rFonts w:ascii="Times New Roman" w:eastAsia="宋体" w:hAnsi="Times New Roman" w:cs="Times New Roman"/>
                <w:kern w:val="0"/>
                <w:sz w:val="14"/>
                <w:szCs w:val="14"/>
              </w:rPr>
            </w:pPr>
            <w:r w:rsidRPr="002F3D36">
              <w:rPr>
                <w:rFonts w:ascii="Arial" w:eastAsia="宋体" w:hAnsi="Arial" w:cs="Arial"/>
                <w:kern w:val="0"/>
                <w:sz w:val="14"/>
                <w:szCs w:val="14"/>
              </w:rPr>
              <w:t> </w:t>
            </w:r>
          </w:p>
        </w:tc>
        <w:tc>
          <w:tcPr>
            <w:tcW w:w="0" w:type="auto"/>
            <w:gridSpan w:val="2"/>
            <w:vAlign w:val="bottom"/>
            <w:hideMark/>
          </w:tcPr>
          <w:p w14:paraId="4FAB23CE" w14:textId="77777777" w:rsidR="002F3D36" w:rsidRPr="002F3D36" w:rsidRDefault="002F3D36" w:rsidP="002F3D36">
            <w:pPr>
              <w:widowControl/>
              <w:jc w:val="center"/>
              <w:rPr>
                <w:rFonts w:ascii="Times New Roman" w:eastAsia="宋体" w:hAnsi="Times New Roman" w:cs="Times New Roman"/>
                <w:kern w:val="0"/>
                <w:sz w:val="14"/>
                <w:szCs w:val="14"/>
              </w:rPr>
            </w:pPr>
            <w:r w:rsidRPr="002F3D36">
              <w:rPr>
                <w:rFonts w:ascii="Arial" w:eastAsia="宋体" w:hAnsi="Arial" w:cs="Arial"/>
                <w:kern w:val="0"/>
                <w:sz w:val="14"/>
                <w:szCs w:val="14"/>
              </w:rPr>
              <w:t> </w:t>
            </w:r>
          </w:p>
        </w:tc>
        <w:tc>
          <w:tcPr>
            <w:tcW w:w="0" w:type="auto"/>
            <w:vAlign w:val="bottom"/>
            <w:hideMark/>
          </w:tcPr>
          <w:p w14:paraId="73897178" w14:textId="77777777" w:rsidR="002F3D36" w:rsidRPr="002F3D36" w:rsidRDefault="002F3D36" w:rsidP="002F3D36">
            <w:pPr>
              <w:widowControl/>
              <w:jc w:val="center"/>
              <w:rPr>
                <w:rFonts w:ascii="Times New Roman" w:eastAsia="宋体" w:hAnsi="Times New Roman" w:cs="Times New Roman"/>
                <w:kern w:val="0"/>
                <w:sz w:val="14"/>
                <w:szCs w:val="14"/>
              </w:rPr>
            </w:pPr>
            <w:r w:rsidRPr="002F3D36">
              <w:rPr>
                <w:rFonts w:ascii="Arial" w:eastAsia="宋体" w:hAnsi="Arial" w:cs="Arial"/>
                <w:kern w:val="0"/>
                <w:sz w:val="14"/>
                <w:szCs w:val="14"/>
              </w:rPr>
              <w:t> </w:t>
            </w:r>
          </w:p>
        </w:tc>
        <w:tc>
          <w:tcPr>
            <w:tcW w:w="0" w:type="auto"/>
            <w:vAlign w:val="bottom"/>
            <w:hideMark/>
          </w:tcPr>
          <w:p w14:paraId="7AD30E6A" w14:textId="77777777" w:rsidR="002F3D36" w:rsidRPr="002F3D36" w:rsidRDefault="002F3D36" w:rsidP="002F3D36">
            <w:pPr>
              <w:widowControl/>
              <w:jc w:val="left"/>
              <w:rPr>
                <w:rFonts w:ascii="Times New Roman" w:eastAsia="宋体" w:hAnsi="Times New Roman" w:cs="Times New Roman"/>
                <w:kern w:val="0"/>
                <w:sz w:val="14"/>
                <w:szCs w:val="14"/>
              </w:rPr>
            </w:pPr>
            <w:r w:rsidRPr="002F3D36">
              <w:rPr>
                <w:rFonts w:ascii="Arial" w:eastAsia="宋体" w:hAnsi="Arial" w:cs="Arial"/>
                <w:kern w:val="0"/>
                <w:sz w:val="14"/>
                <w:szCs w:val="14"/>
              </w:rPr>
              <w:t> </w:t>
            </w:r>
          </w:p>
        </w:tc>
        <w:tc>
          <w:tcPr>
            <w:tcW w:w="0" w:type="auto"/>
            <w:gridSpan w:val="2"/>
            <w:vAlign w:val="bottom"/>
            <w:hideMark/>
          </w:tcPr>
          <w:p w14:paraId="0DDCE23C" w14:textId="77777777" w:rsidR="002F3D36" w:rsidRPr="002F3D36" w:rsidRDefault="002F3D36" w:rsidP="002F3D36">
            <w:pPr>
              <w:widowControl/>
              <w:jc w:val="center"/>
              <w:rPr>
                <w:rFonts w:ascii="Times New Roman" w:eastAsia="宋体" w:hAnsi="Times New Roman" w:cs="Times New Roman"/>
                <w:kern w:val="0"/>
                <w:sz w:val="14"/>
                <w:szCs w:val="14"/>
              </w:rPr>
            </w:pPr>
            <w:r w:rsidRPr="002F3D36">
              <w:rPr>
                <w:rFonts w:ascii="Arial" w:eastAsia="宋体" w:hAnsi="Arial" w:cs="Arial"/>
                <w:kern w:val="0"/>
                <w:sz w:val="14"/>
                <w:szCs w:val="14"/>
              </w:rPr>
              <w:t> </w:t>
            </w:r>
          </w:p>
        </w:tc>
        <w:tc>
          <w:tcPr>
            <w:tcW w:w="0" w:type="auto"/>
            <w:vAlign w:val="bottom"/>
            <w:hideMark/>
          </w:tcPr>
          <w:p w14:paraId="6DDFD6A9" w14:textId="77777777" w:rsidR="002F3D36" w:rsidRPr="002F3D36" w:rsidRDefault="002F3D36" w:rsidP="002F3D36">
            <w:pPr>
              <w:widowControl/>
              <w:jc w:val="center"/>
              <w:rPr>
                <w:rFonts w:ascii="Times New Roman" w:eastAsia="宋体" w:hAnsi="Times New Roman" w:cs="Times New Roman"/>
                <w:kern w:val="0"/>
                <w:sz w:val="14"/>
                <w:szCs w:val="14"/>
              </w:rPr>
            </w:pPr>
            <w:r w:rsidRPr="002F3D36">
              <w:rPr>
                <w:rFonts w:ascii="Arial" w:eastAsia="宋体" w:hAnsi="Arial" w:cs="Arial"/>
                <w:kern w:val="0"/>
                <w:sz w:val="14"/>
                <w:szCs w:val="14"/>
              </w:rPr>
              <w:t> </w:t>
            </w:r>
          </w:p>
        </w:tc>
        <w:tc>
          <w:tcPr>
            <w:tcW w:w="0" w:type="auto"/>
            <w:vAlign w:val="bottom"/>
            <w:hideMark/>
          </w:tcPr>
          <w:p w14:paraId="3F3AFA72" w14:textId="77777777" w:rsidR="002F3D36" w:rsidRPr="002F3D36" w:rsidRDefault="002F3D36" w:rsidP="002F3D36">
            <w:pPr>
              <w:widowControl/>
              <w:jc w:val="center"/>
              <w:rPr>
                <w:rFonts w:ascii="Times New Roman" w:eastAsia="宋体" w:hAnsi="Times New Roman" w:cs="Times New Roman"/>
                <w:kern w:val="0"/>
                <w:sz w:val="14"/>
                <w:szCs w:val="14"/>
              </w:rPr>
            </w:pPr>
            <w:r w:rsidRPr="002F3D36">
              <w:rPr>
                <w:rFonts w:ascii="Arial" w:eastAsia="宋体" w:hAnsi="Arial" w:cs="Arial"/>
                <w:kern w:val="0"/>
                <w:sz w:val="14"/>
                <w:szCs w:val="14"/>
              </w:rPr>
              <w:t> </w:t>
            </w:r>
          </w:p>
        </w:tc>
        <w:tc>
          <w:tcPr>
            <w:tcW w:w="0" w:type="auto"/>
            <w:gridSpan w:val="2"/>
            <w:vAlign w:val="bottom"/>
            <w:hideMark/>
          </w:tcPr>
          <w:p w14:paraId="54A6B45D" w14:textId="77777777" w:rsidR="002F3D36" w:rsidRPr="002F3D36" w:rsidRDefault="002F3D36" w:rsidP="002F3D36">
            <w:pPr>
              <w:widowControl/>
              <w:jc w:val="center"/>
              <w:rPr>
                <w:rFonts w:ascii="Times New Roman" w:eastAsia="宋体" w:hAnsi="Times New Roman" w:cs="Times New Roman"/>
                <w:kern w:val="0"/>
                <w:sz w:val="14"/>
                <w:szCs w:val="14"/>
              </w:rPr>
            </w:pPr>
            <w:r w:rsidRPr="002F3D36">
              <w:rPr>
                <w:rFonts w:ascii="Arial" w:eastAsia="宋体" w:hAnsi="Arial" w:cs="Arial"/>
                <w:kern w:val="0"/>
                <w:sz w:val="14"/>
                <w:szCs w:val="14"/>
              </w:rPr>
              <w:t> </w:t>
            </w:r>
          </w:p>
        </w:tc>
        <w:tc>
          <w:tcPr>
            <w:tcW w:w="0" w:type="auto"/>
            <w:vAlign w:val="bottom"/>
            <w:hideMark/>
          </w:tcPr>
          <w:p w14:paraId="1A624288" w14:textId="77777777" w:rsidR="002F3D36" w:rsidRPr="002F3D36" w:rsidRDefault="002F3D36" w:rsidP="002F3D36">
            <w:pPr>
              <w:widowControl/>
              <w:jc w:val="center"/>
              <w:rPr>
                <w:rFonts w:ascii="Times New Roman" w:eastAsia="宋体" w:hAnsi="Times New Roman" w:cs="Times New Roman"/>
                <w:kern w:val="0"/>
                <w:sz w:val="14"/>
                <w:szCs w:val="14"/>
              </w:rPr>
            </w:pPr>
            <w:r w:rsidRPr="002F3D36">
              <w:rPr>
                <w:rFonts w:ascii="Arial" w:eastAsia="宋体" w:hAnsi="Arial" w:cs="Arial"/>
                <w:kern w:val="0"/>
                <w:sz w:val="14"/>
                <w:szCs w:val="14"/>
              </w:rPr>
              <w:t> </w:t>
            </w:r>
          </w:p>
        </w:tc>
        <w:tc>
          <w:tcPr>
            <w:tcW w:w="0" w:type="auto"/>
            <w:vAlign w:val="bottom"/>
            <w:hideMark/>
          </w:tcPr>
          <w:p w14:paraId="469F20B7" w14:textId="77777777" w:rsidR="002F3D36" w:rsidRPr="002F3D36" w:rsidRDefault="002F3D36" w:rsidP="002F3D36">
            <w:pPr>
              <w:widowControl/>
              <w:jc w:val="center"/>
              <w:rPr>
                <w:rFonts w:ascii="Times New Roman" w:eastAsia="宋体" w:hAnsi="Times New Roman" w:cs="Times New Roman"/>
                <w:kern w:val="0"/>
                <w:sz w:val="14"/>
                <w:szCs w:val="14"/>
              </w:rPr>
            </w:pPr>
            <w:r w:rsidRPr="002F3D36">
              <w:rPr>
                <w:rFonts w:ascii="Arial" w:eastAsia="宋体" w:hAnsi="Arial" w:cs="Arial"/>
                <w:kern w:val="0"/>
                <w:sz w:val="14"/>
                <w:szCs w:val="14"/>
              </w:rPr>
              <w:t> </w:t>
            </w:r>
          </w:p>
        </w:tc>
        <w:tc>
          <w:tcPr>
            <w:tcW w:w="0" w:type="auto"/>
            <w:gridSpan w:val="2"/>
            <w:vAlign w:val="bottom"/>
            <w:hideMark/>
          </w:tcPr>
          <w:p w14:paraId="61B6E6FE" w14:textId="77777777" w:rsidR="002F3D36" w:rsidRPr="002F3D36" w:rsidRDefault="002F3D36" w:rsidP="002F3D36">
            <w:pPr>
              <w:widowControl/>
              <w:jc w:val="center"/>
              <w:rPr>
                <w:rFonts w:ascii="Times New Roman" w:eastAsia="宋体" w:hAnsi="Times New Roman" w:cs="Times New Roman"/>
                <w:kern w:val="0"/>
                <w:sz w:val="14"/>
                <w:szCs w:val="14"/>
              </w:rPr>
            </w:pPr>
            <w:r w:rsidRPr="002F3D36">
              <w:rPr>
                <w:rFonts w:ascii="Arial" w:eastAsia="宋体" w:hAnsi="Arial" w:cs="Arial"/>
                <w:b/>
                <w:bCs/>
                <w:color w:val="000000"/>
                <w:kern w:val="0"/>
                <w:sz w:val="14"/>
                <w:szCs w:val="14"/>
              </w:rPr>
              <w:t>Total</w:t>
            </w:r>
          </w:p>
        </w:tc>
        <w:tc>
          <w:tcPr>
            <w:tcW w:w="0" w:type="auto"/>
            <w:vAlign w:val="bottom"/>
            <w:hideMark/>
          </w:tcPr>
          <w:p w14:paraId="40C8884C" w14:textId="77777777" w:rsidR="002F3D36" w:rsidRPr="002F3D36" w:rsidRDefault="002F3D36" w:rsidP="002F3D36">
            <w:pPr>
              <w:widowControl/>
              <w:jc w:val="center"/>
              <w:rPr>
                <w:rFonts w:ascii="Times New Roman" w:eastAsia="宋体" w:hAnsi="Times New Roman" w:cs="Times New Roman"/>
                <w:kern w:val="0"/>
                <w:sz w:val="14"/>
                <w:szCs w:val="14"/>
              </w:rPr>
            </w:pPr>
            <w:r w:rsidRPr="002F3D36">
              <w:rPr>
                <w:rFonts w:ascii="Arial" w:eastAsia="宋体" w:hAnsi="Arial" w:cs="Arial"/>
                <w:kern w:val="0"/>
                <w:sz w:val="14"/>
                <w:szCs w:val="14"/>
              </w:rPr>
              <w:t> </w:t>
            </w:r>
          </w:p>
        </w:tc>
        <w:tc>
          <w:tcPr>
            <w:tcW w:w="0" w:type="auto"/>
            <w:vAlign w:val="bottom"/>
            <w:hideMark/>
          </w:tcPr>
          <w:p w14:paraId="6821A645" w14:textId="77777777" w:rsidR="002F3D36" w:rsidRPr="002F3D36" w:rsidRDefault="002F3D36" w:rsidP="002F3D36">
            <w:pPr>
              <w:widowControl/>
              <w:jc w:val="center"/>
              <w:rPr>
                <w:rFonts w:ascii="Times New Roman" w:eastAsia="宋体" w:hAnsi="Times New Roman" w:cs="Times New Roman"/>
                <w:kern w:val="0"/>
                <w:sz w:val="14"/>
                <w:szCs w:val="14"/>
              </w:rPr>
            </w:pPr>
            <w:r w:rsidRPr="002F3D36">
              <w:rPr>
                <w:rFonts w:ascii="Arial" w:eastAsia="宋体" w:hAnsi="Arial" w:cs="Arial"/>
                <w:kern w:val="0"/>
                <w:sz w:val="14"/>
                <w:szCs w:val="14"/>
              </w:rPr>
              <w:t> </w:t>
            </w:r>
          </w:p>
        </w:tc>
        <w:tc>
          <w:tcPr>
            <w:tcW w:w="0" w:type="auto"/>
            <w:gridSpan w:val="2"/>
            <w:vAlign w:val="bottom"/>
            <w:hideMark/>
          </w:tcPr>
          <w:p w14:paraId="6DF49D06" w14:textId="77777777" w:rsidR="002F3D36" w:rsidRPr="002F3D36" w:rsidRDefault="002F3D36" w:rsidP="002F3D36">
            <w:pPr>
              <w:widowControl/>
              <w:jc w:val="center"/>
              <w:rPr>
                <w:rFonts w:ascii="Times New Roman" w:eastAsia="宋体" w:hAnsi="Times New Roman" w:cs="Times New Roman"/>
                <w:kern w:val="0"/>
                <w:sz w:val="14"/>
                <w:szCs w:val="14"/>
              </w:rPr>
            </w:pPr>
            <w:r w:rsidRPr="002F3D36">
              <w:rPr>
                <w:rFonts w:ascii="Arial" w:eastAsia="宋体" w:hAnsi="Arial" w:cs="Arial"/>
                <w:kern w:val="0"/>
                <w:sz w:val="14"/>
                <w:szCs w:val="14"/>
              </w:rPr>
              <w:t> </w:t>
            </w:r>
          </w:p>
        </w:tc>
        <w:tc>
          <w:tcPr>
            <w:tcW w:w="0" w:type="auto"/>
            <w:vAlign w:val="bottom"/>
            <w:hideMark/>
          </w:tcPr>
          <w:p w14:paraId="5C38E7F6" w14:textId="77777777" w:rsidR="002F3D36" w:rsidRPr="002F3D36" w:rsidRDefault="002F3D36" w:rsidP="002F3D36">
            <w:pPr>
              <w:widowControl/>
              <w:jc w:val="center"/>
              <w:rPr>
                <w:rFonts w:ascii="Times New Roman" w:eastAsia="宋体" w:hAnsi="Times New Roman" w:cs="Times New Roman"/>
                <w:kern w:val="0"/>
                <w:sz w:val="14"/>
                <w:szCs w:val="14"/>
              </w:rPr>
            </w:pPr>
            <w:r w:rsidRPr="002F3D36">
              <w:rPr>
                <w:rFonts w:ascii="Arial" w:eastAsia="宋体" w:hAnsi="Arial" w:cs="Arial"/>
                <w:kern w:val="0"/>
                <w:sz w:val="14"/>
                <w:szCs w:val="14"/>
              </w:rPr>
              <w:t> </w:t>
            </w:r>
          </w:p>
        </w:tc>
        <w:tc>
          <w:tcPr>
            <w:tcW w:w="0" w:type="auto"/>
            <w:vAlign w:val="bottom"/>
            <w:hideMark/>
          </w:tcPr>
          <w:p w14:paraId="0E27C114" w14:textId="77777777" w:rsidR="002F3D36" w:rsidRPr="002F3D36" w:rsidRDefault="002F3D36" w:rsidP="002F3D36">
            <w:pPr>
              <w:widowControl/>
              <w:jc w:val="center"/>
              <w:rPr>
                <w:rFonts w:ascii="Times New Roman" w:eastAsia="宋体" w:hAnsi="Times New Roman" w:cs="Times New Roman"/>
                <w:kern w:val="0"/>
                <w:sz w:val="14"/>
                <w:szCs w:val="14"/>
              </w:rPr>
            </w:pPr>
            <w:r w:rsidRPr="002F3D36">
              <w:rPr>
                <w:rFonts w:ascii="Arial" w:eastAsia="宋体" w:hAnsi="Arial" w:cs="Arial"/>
                <w:kern w:val="0"/>
                <w:sz w:val="14"/>
                <w:szCs w:val="14"/>
              </w:rPr>
              <w:t> </w:t>
            </w:r>
          </w:p>
        </w:tc>
      </w:tr>
      <w:tr w:rsidR="002F3D36" w:rsidRPr="002F3D36" w14:paraId="21987939" w14:textId="77777777" w:rsidTr="002F3D36">
        <w:trPr>
          <w:trHeight w:val="140"/>
          <w:tblCellSpacing w:w="15" w:type="dxa"/>
        </w:trPr>
        <w:tc>
          <w:tcPr>
            <w:tcW w:w="0" w:type="auto"/>
            <w:vAlign w:val="bottom"/>
            <w:hideMark/>
          </w:tcPr>
          <w:p w14:paraId="3D917471" w14:textId="77777777" w:rsidR="002F3D36" w:rsidRPr="002F3D36" w:rsidRDefault="002F3D36" w:rsidP="002F3D36">
            <w:pPr>
              <w:widowControl/>
              <w:jc w:val="left"/>
              <w:rPr>
                <w:rFonts w:ascii="Times New Roman" w:eastAsia="宋体" w:hAnsi="Times New Roman" w:cs="Times New Roman"/>
                <w:kern w:val="0"/>
                <w:sz w:val="14"/>
                <w:szCs w:val="14"/>
              </w:rPr>
            </w:pPr>
            <w:r w:rsidRPr="002F3D36">
              <w:rPr>
                <w:rFonts w:ascii="Arial" w:eastAsia="宋体" w:hAnsi="Arial" w:cs="Arial"/>
                <w:b/>
                <w:bCs/>
                <w:color w:val="000000"/>
                <w:kern w:val="0"/>
                <w:sz w:val="14"/>
                <w:szCs w:val="14"/>
                <w:u w:val="single"/>
              </w:rPr>
              <w:t>PRINCIPAL AMOUNT BY EXPECTED MATURITY</w:t>
            </w:r>
            <w:r w:rsidRPr="002F3D36">
              <w:rPr>
                <w:rFonts w:ascii="Arial" w:eastAsia="宋体" w:hAnsi="Arial" w:cs="Arial"/>
                <w:b/>
                <w:bCs/>
                <w:color w:val="000000"/>
                <w:kern w:val="0"/>
                <w:sz w:val="14"/>
                <w:szCs w:val="14"/>
                <w:u w:val="single"/>
              </w:rPr>
              <w:br/>
            </w:r>
            <w:r w:rsidRPr="002F3D36">
              <w:rPr>
                <w:rFonts w:ascii="Arial" w:eastAsia="宋体" w:hAnsi="Arial" w:cs="Arial"/>
                <w:color w:val="000000"/>
                <w:kern w:val="0"/>
                <w:sz w:val="14"/>
                <w:szCs w:val="14"/>
                <w:u w:val="single"/>
              </w:rPr>
              <w:t>(dollars in millions)</w:t>
            </w:r>
          </w:p>
        </w:tc>
        <w:tc>
          <w:tcPr>
            <w:tcW w:w="0" w:type="auto"/>
            <w:vAlign w:val="bottom"/>
            <w:hideMark/>
          </w:tcPr>
          <w:p w14:paraId="102CE22E" w14:textId="77777777" w:rsidR="002F3D36" w:rsidRPr="002F3D36" w:rsidRDefault="002F3D36" w:rsidP="002F3D36">
            <w:pPr>
              <w:widowControl/>
              <w:jc w:val="center"/>
              <w:rPr>
                <w:rFonts w:ascii="Times New Roman" w:eastAsia="宋体" w:hAnsi="Times New Roman" w:cs="Times New Roman"/>
                <w:kern w:val="0"/>
                <w:sz w:val="14"/>
                <w:szCs w:val="14"/>
              </w:rPr>
            </w:pPr>
            <w:r w:rsidRPr="002F3D36">
              <w:rPr>
                <w:rFonts w:ascii="Arial" w:eastAsia="宋体" w:hAnsi="Arial" w:cs="Arial"/>
                <w:kern w:val="0"/>
                <w:sz w:val="14"/>
                <w:szCs w:val="14"/>
              </w:rPr>
              <w:t> </w:t>
            </w:r>
          </w:p>
        </w:tc>
        <w:tc>
          <w:tcPr>
            <w:tcW w:w="0" w:type="auto"/>
            <w:gridSpan w:val="2"/>
            <w:tcBorders>
              <w:bottom w:val="single" w:sz="4" w:space="0" w:color="000000"/>
            </w:tcBorders>
            <w:vAlign w:val="bottom"/>
            <w:hideMark/>
          </w:tcPr>
          <w:p w14:paraId="24EDAAFF" w14:textId="77777777" w:rsidR="002F3D36" w:rsidRPr="002F3D36" w:rsidRDefault="002F3D36" w:rsidP="002F3D36">
            <w:pPr>
              <w:widowControl/>
              <w:jc w:val="center"/>
              <w:rPr>
                <w:rFonts w:ascii="Times New Roman" w:eastAsia="宋体" w:hAnsi="Times New Roman" w:cs="Times New Roman"/>
                <w:kern w:val="0"/>
                <w:sz w:val="14"/>
                <w:szCs w:val="14"/>
              </w:rPr>
            </w:pPr>
            <w:r w:rsidRPr="002F3D36">
              <w:rPr>
                <w:rFonts w:ascii="Arial" w:eastAsia="宋体" w:hAnsi="Arial" w:cs="Arial"/>
                <w:b/>
                <w:bCs/>
                <w:color w:val="000000"/>
                <w:kern w:val="0"/>
                <w:sz w:val="14"/>
                <w:szCs w:val="14"/>
              </w:rPr>
              <w:t>2022</w:t>
            </w:r>
          </w:p>
        </w:tc>
        <w:tc>
          <w:tcPr>
            <w:tcW w:w="0" w:type="auto"/>
            <w:vAlign w:val="bottom"/>
            <w:hideMark/>
          </w:tcPr>
          <w:p w14:paraId="4CC5B986" w14:textId="77777777" w:rsidR="002F3D36" w:rsidRPr="002F3D36" w:rsidRDefault="002F3D36" w:rsidP="002F3D36">
            <w:pPr>
              <w:widowControl/>
              <w:jc w:val="center"/>
              <w:rPr>
                <w:rFonts w:ascii="Times New Roman" w:eastAsia="宋体" w:hAnsi="Times New Roman" w:cs="Times New Roman"/>
                <w:kern w:val="0"/>
                <w:sz w:val="14"/>
                <w:szCs w:val="14"/>
              </w:rPr>
            </w:pPr>
            <w:r w:rsidRPr="002F3D36">
              <w:rPr>
                <w:rFonts w:ascii="Arial" w:eastAsia="宋体" w:hAnsi="Arial" w:cs="Arial"/>
                <w:kern w:val="0"/>
                <w:sz w:val="14"/>
                <w:szCs w:val="14"/>
              </w:rPr>
              <w:t> </w:t>
            </w:r>
          </w:p>
        </w:tc>
        <w:tc>
          <w:tcPr>
            <w:tcW w:w="0" w:type="auto"/>
            <w:vAlign w:val="bottom"/>
            <w:hideMark/>
          </w:tcPr>
          <w:p w14:paraId="586B2F0E" w14:textId="77777777" w:rsidR="002F3D36" w:rsidRPr="002F3D36" w:rsidRDefault="002F3D36" w:rsidP="002F3D36">
            <w:pPr>
              <w:widowControl/>
              <w:jc w:val="center"/>
              <w:rPr>
                <w:rFonts w:ascii="Times New Roman" w:eastAsia="宋体" w:hAnsi="Times New Roman" w:cs="Times New Roman"/>
                <w:kern w:val="0"/>
                <w:sz w:val="14"/>
                <w:szCs w:val="14"/>
              </w:rPr>
            </w:pPr>
            <w:r w:rsidRPr="002F3D36">
              <w:rPr>
                <w:rFonts w:ascii="Arial" w:eastAsia="宋体" w:hAnsi="Arial" w:cs="Arial"/>
                <w:kern w:val="0"/>
                <w:sz w:val="14"/>
                <w:szCs w:val="14"/>
              </w:rPr>
              <w:t> </w:t>
            </w:r>
          </w:p>
        </w:tc>
        <w:tc>
          <w:tcPr>
            <w:tcW w:w="0" w:type="auto"/>
            <w:gridSpan w:val="2"/>
            <w:tcBorders>
              <w:bottom w:val="single" w:sz="4" w:space="0" w:color="000000"/>
            </w:tcBorders>
            <w:vAlign w:val="bottom"/>
            <w:hideMark/>
          </w:tcPr>
          <w:p w14:paraId="22F92313" w14:textId="77777777" w:rsidR="002F3D36" w:rsidRPr="002F3D36" w:rsidRDefault="002F3D36" w:rsidP="002F3D36">
            <w:pPr>
              <w:widowControl/>
              <w:jc w:val="center"/>
              <w:rPr>
                <w:rFonts w:ascii="Times New Roman" w:eastAsia="宋体" w:hAnsi="Times New Roman" w:cs="Times New Roman"/>
                <w:kern w:val="0"/>
                <w:sz w:val="14"/>
                <w:szCs w:val="14"/>
              </w:rPr>
            </w:pPr>
            <w:r w:rsidRPr="002F3D36">
              <w:rPr>
                <w:rFonts w:ascii="Arial" w:eastAsia="宋体" w:hAnsi="Arial" w:cs="Arial"/>
                <w:b/>
                <w:bCs/>
                <w:color w:val="000000"/>
                <w:kern w:val="0"/>
                <w:sz w:val="14"/>
                <w:szCs w:val="14"/>
              </w:rPr>
              <w:t>2023</w:t>
            </w:r>
          </w:p>
        </w:tc>
        <w:tc>
          <w:tcPr>
            <w:tcW w:w="0" w:type="auto"/>
            <w:vAlign w:val="bottom"/>
            <w:hideMark/>
          </w:tcPr>
          <w:p w14:paraId="4AC35476" w14:textId="77777777" w:rsidR="002F3D36" w:rsidRPr="002F3D36" w:rsidRDefault="002F3D36" w:rsidP="002F3D36">
            <w:pPr>
              <w:widowControl/>
              <w:jc w:val="center"/>
              <w:rPr>
                <w:rFonts w:ascii="Times New Roman" w:eastAsia="宋体" w:hAnsi="Times New Roman" w:cs="Times New Roman"/>
                <w:kern w:val="0"/>
                <w:sz w:val="14"/>
                <w:szCs w:val="14"/>
              </w:rPr>
            </w:pPr>
            <w:r w:rsidRPr="002F3D36">
              <w:rPr>
                <w:rFonts w:ascii="Arial" w:eastAsia="宋体" w:hAnsi="Arial" w:cs="Arial"/>
                <w:kern w:val="0"/>
                <w:sz w:val="14"/>
                <w:szCs w:val="14"/>
              </w:rPr>
              <w:t> </w:t>
            </w:r>
          </w:p>
        </w:tc>
        <w:tc>
          <w:tcPr>
            <w:tcW w:w="0" w:type="auto"/>
            <w:vAlign w:val="bottom"/>
            <w:hideMark/>
          </w:tcPr>
          <w:p w14:paraId="428C146D" w14:textId="77777777" w:rsidR="002F3D36" w:rsidRPr="002F3D36" w:rsidRDefault="002F3D36" w:rsidP="002F3D36">
            <w:pPr>
              <w:widowControl/>
              <w:jc w:val="center"/>
              <w:rPr>
                <w:rFonts w:ascii="Times New Roman" w:eastAsia="宋体" w:hAnsi="Times New Roman" w:cs="Times New Roman"/>
                <w:kern w:val="0"/>
                <w:sz w:val="14"/>
                <w:szCs w:val="14"/>
              </w:rPr>
            </w:pPr>
            <w:r w:rsidRPr="002F3D36">
              <w:rPr>
                <w:rFonts w:ascii="Arial" w:eastAsia="宋体" w:hAnsi="Arial" w:cs="Arial"/>
                <w:kern w:val="0"/>
                <w:sz w:val="14"/>
                <w:szCs w:val="14"/>
              </w:rPr>
              <w:t> </w:t>
            </w:r>
          </w:p>
        </w:tc>
        <w:tc>
          <w:tcPr>
            <w:tcW w:w="0" w:type="auto"/>
            <w:gridSpan w:val="2"/>
            <w:tcBorders>
              <w:bottom w:val="single" w:sz="4" w:space="0" w:color="000000"/>
            </w:tcBorders>
            <w:vAlign w:val="bottom"/>
            <w:hideMark/>
          </w:tcPr>
          <w:p w14:paraId="12F8601C" w14:textId="77777777" w:rsidR="002F3D36" w:rsidRPr="002F3D36" w:rsidRDefault="002F3D36" w:rsidP="002F3D36">
            <w:pPr>
              <w:widowControl/>
              <w:jc w:val="center"/>
              <w:rPr>
                <w:rFonts w:ascii="Times New Roman" w:eastAsia="宋体" w:hAnsi="Times New Roman" w:cs="Times New Roman"/>
                <w:kern w:val="0"/>
                <w:sz w:val="14"/>
                <w:szCs w:val="14"/>
              </w:rPr>
            </w:pPr>
            <w:r w:rsidRPr="002F3D36">
              <w:rPr>
                <w:rFonts w:ascii="Arial" w:eastAsia="宋体" w:hAnsi="Arial" w:cs="Arial"/>
                <w:b/>
                <w:bCs/>
                <w:color w:val="000000"/>
                <w:kern w:val="0"/>
                <w:sz w:val="14"/>
                <w:szCs w:val="14"/>
              </w:rPr>
              <w:t>2024</w:t>
            </w:r>
          </w:p>
        </w:tc>
        <w:tc>
          <w:tcPr>
            <w:tcW w:w="0" w:type="auto"/>
            <w:vAlign w:val="bottom"/>
            <w:hideMark/>
          </w:tcPr>
          <w:p w14:paraId="5D8BC2B9" w14:textId="77777777" w:rsidR="002F3D36" w:rsidRPr="002F3D36" w:rsidRDefault="002F3D36" w:rsidP="002F3D36">
            <w:pPr>
              <w:widowControl/>
              <w:jc w:val="center"/>
              <w:rPr>
                <w:rFonts w:ascii="Times New Roman" w:eastAsia="宋体" w:hAnsi="Times New Roman" w:cs="Times New Roman"/>
                <w:kern w:val="0"/>
                <w:sz w:val="14"/>
                <w:szCs w:val="14"/>
              </w:rPr>
            </w:pPr>
            <w:r w:rsidRPr="002F3D36">
              <w:rPr>
                <w:rFonts w:ascii="Arial" w:eastAsia="宋体" w:hAnsi="Arial" w:cs="Arial"/>
                <w:kern w:val="0"/>
                <w:sz w:val="14"/>
                <w:szCs w:val="14"/>
              </w:rPr>
              <w:t> </w:t>
            </w:r>
          </w:p>
        </w:tc>
        <w:tc>
          <w:tcPr>
            <w:tcW w:w="0" w:type="auto"/>
            <w:vAlign w:val="bottom"/>
            <w:hideMark/>
          </w:tcPr>
          <w:p w14:paraId="55BA2805" w14:textId="77777777" w:rsidR="002F3D36" w:rsidRPr="002F3D36" w:rsidRDefault="002F3D36" w:rsidP="002F3D36">
            <w:pPr>
              <w:widowControl/>
              <w:jc w:val="center"/>
              <w:rPr>
                <w:rFonts w:ascii="Times New Roman" w:eastAsia="宋体" w:hAnsi="Times New Roman" w:cs="Times New Roman"/>
                <w:kern w:val="0"/>
                <w:sz w:val="14"/>
                <w:szCs w:val="14"/>
              </w:rPr>
            </w:pPr>
            <w:r w:rsidRPr="002F3D36">
              <w:rPr>
                <w:rFonts w:ascii="Arial" w:eastAsia="宋体" w:hAnsi="Arial" w:cs="Arial"/>
                <w:kern w:val="0"/>
                <w:sz w:val="14"/>
                <w:szCs w:val="14"/>
              </w:rPr>
              <w:t> </w:t>
            </w:r>
          </w:p>
        </w:tc>
        <w:tc>
          <w:tcPr>
            <w:tcW w:w="0" w:type="auto"/>
            <w:gridSpan w:val="2"/>
            <w:tcBorders>
              <w:bottom w:val="single" w:sz="4" w:space="0" w:color="000000"/>
            </w:tcBorders>
            <w:vAlign w:val="bottom"/>
            <w:hideMark/>
          </w:tcPr>
          <w:p w14:paraId="619E2879" w14:textId="77777777" w:rsidR="002F3D36" w:rsidRPr="002F3D36" w:rsidRDefault="002F3D36" w:rsidP="002F3D36">
            <w:pPr>
              <w:widowControl/>
              <w:jc w:val="center"/>
              <w:rPr>
                <w:rFonts w:ascii="Times New Roman" w:eastAsia="宋体" w:hAnsi="Times New Roman" w:cs="Times New Roman"/>
                <w:kern w:val="0"/>
                <w:sz w:val="14"/>
                <w:szCs w:val="14"/>
              </w:rPr>
            </w:pPr>
            <w:r w:rsidRPr="002F3D36">
              <w:rPr>
                <w:rFonts w:ascii="Arial" w:eastAsia="宋体" w:hAnsi="Arial" w:cs="Arial"/>
                <w:b/>
                <w:bCs/>
                <w:color w:val="000000"/>
                <w:kern w:val="0"/>
                <w:sz w:val="14"/>
                <w:szCs w:val="14"/>
              </w:rPr>
              <w:t>2025</w:t>
            </w:r>
          </w:p>
        </w:tc>
        <w:tc>
          <w:tcPr>
            <w:tcW w:w="0" w:type="auto"/>
            <w:vAlign w:val="bottom"/>
            <w:hideMark/>
          </w:tcPr>
          <w:p w14:paraId="0B838FF0" w14:textId="77777777" w:rsidR="002F3D36" w:rsidRPr="002F3D36" w:rsidRDefault="002F3D36" w:rsidP="002F3D36">
            <w:pPr>
              <w:widowControl/>
              <w:jc w:val="center"/>
              <w:rPr>
                <w:rFonts w:ascii="Times New Roman" w:eastAsia="宋体" w:hAnsi="Times New Roman" w:cs="Times New Roman"/>
                <w:kern w:val="0"/>
                <w:sz w:val="14"/>
                <w:szCs w:val="14"/>
              </w:rPr>
            </w:pPr>
            <w:r w:rsidRPr="002F3D36">
              <w:rPr>
                <w:rFonts w:ascii="Arial" w:eastAsia="宋体" w:hAnsi="Arial" w:cs="Arial"/>
                <w:kern w:val="0"/>
                <w:sz w:val="14"/>
                <w:szCs w:val="14"/>
              </w:rPr>
              <w:t> </w:t>
            </w:r>
          </w:p>
        </w:tc>
        <w:tc>
          <w:tcPr>
            <w:tcW w:w="0" w:type="auto"/>
            <w:vAlign w:val="bottom"/>
            <w:hideMark/>
          </w:tcPr>
          <w:p w14:paraId="5135A5D4" w14:textId="77777777" w:rsidR="002F3D36" w:rsidRPr="002F3D36" w:rsidRDefault="002F3D36" w:rsidP="002F3D36">
            <w:pPr>
              <w:widowControl/>
              <w:jc w:val="left"/>
              <w:rPr>
                <w:rFonts w:ascii="Times New Roman" w:eastAsia="宋体" w:hAnsi="Times New Roman" w:cs="Times New Roman"/>
                <w:kern w:val="0"/>
                <w:sz w:val="14"/>
                <w:szCs w:val="14"/>
              </w:rPr>
            </w:pPr>
            <w:r w:rsidRPr="002F3D36">
              <w:rPr>
                <w:rFonts w:ascii="Arial" w:eastAsia="宋体" w:hAnsi="Arial" w:cs="Arial"/>
                <w:kern w:val="0"/>
                <w:sz w:val="14"/>
                <w:szCs w:val="14"/>
              </w:rPr>
              <w:t> </w:t>
            </w:r>
          </w:p>
        </w:tc>
        <w:tc>
          <w:tcPr>
            <w:tcW w:w="0" w:type="auto"/>
            <w:gridSpan w:val="2"/>
            <w:tcBorders>
              <w:bottom w:val="single" w:sz="4" w:space="0" w:color="000000"/>
            </w:tcBorders>
            <w:vAlign w:val="bottom"/>
            <w:hideMark/>
          </w:tcPr>
          <w:p w14:paraId="1227A656" w14:textId="77777777" w:rsidR="002F3D36" w:rsidRPr="002F3D36" w:rsidRDefault="002F3D36" w:rsidP="002F3D36">
            <w:pPr>
              <w:widowControl/>
              <w:jc w:val="center"/>
              <w:rPr>
                <w:rFonts w:ascii="Times New Roman" w:eastAsia="宋体" w:hAnsi="Times New Roman" w:cs="Times New Roman"/>
                <w:kern w:val="0"/>
                <w:sz w:val="14"/>
                <w:szCs w:val="14"/>
              </w:rPr>
            </w:pPr>
            <w:r w:rsidRPr="002F3D36">
              <w:rPr>
                <w:rFonts w:ascii="Arial" w:eastAsia="宋体" w:hAnsi="Arial" w:cs="Arial"/>
                <w:b/>
                <w:bCs/>
                <w:color w:val="000000"/>
                <w:kern w:val="0"/>
                <w:sz w:val="14"/>
                <w:szCs w:val="14"/>
              </w:rPr>
              <w:t>2026</w:t>
            </w:r>
          </w:p>
        </w:tc>
        <w:tc>
          <w:tcPr>
            <w:tcW w:w="0" w:type="auto"/>
            <w:vAlign w:val="bottom"/>
            <w:hideMark/>
          </w:tcPr>
          <w:p w14:paraId="1624EF70" w14:textId="77777777" w:rsidR="002F3D36" w:rsidRPr="002F3D36" w:rsidRDefault="002F3D36" w:rsidP="002F3D36">
            <w:pPr>
              <w:widowControl/>
              <w:jc w:val="center"/>
              <w:rPr>
                <w:rFonts w:ascii="Times New Roman" w:eastAsia="宋体" w:hAnsi="Times New Roman" w:cs="Times New Roman"/>
                <w:kern w:val="0"/>
                <w:sz w:val="14"/>
                <w:szCs w:val="14"/>
              </w:rPr>
            </w:pPr>
            <w:r w:rsidRPr="002F3D36">
              <w:rPr>
                <w:rFonts w:ascii="Arial" w:eastAsia="宋体" w:hAnsi="Arial" w:cs="Arial"/>
                <w:kern w:val="0"/>
                <w:sz w:val="14"/>
                <w:szCs w:val="14"/>
              </w:rPr>
              <w:t> </w:t>
            </w:r>
          </w:p>
        </w:tc>
        <w:tc>
          <w:tcPr>
            <w:tcW w:w="0" w:type="auto"/>
            <w:vAlign w:val="bottom"/>
            <w:hideMark/>
          </w:tcPr>
          <w:p w14:paraId="22024606" w14:textId="77777777" w:rsidR="002F3D36" w:rsidRPr="002F3D36" w:rsidRDefault="002F3D36" w:rsidP="002F3D36">
            <w:pPr>
              <w:widowControl/>
              <w:jc w:val="center"/>
              <w:rPr>
                <w:rFonts w:ascii="Times New Roman" w:eastAsia="宋体" w:hAnsi="Times New Roman" w:cs="Times New Roman"/>
                <w:kern w:val="0"/>
                <w:sz w:val="14"/>
                <w:szCs w:val="14"/>
              </w:rPr>
            </w:pPr>
            <w:r w:rsidRPr="002F3D36">
              <w:rPr>
                <w:rFonts w:ascii="Arial" w:eastAsia="宋体" w:hAnsi="Arial" w:cs="Arial"/>
                <w:kern w:val="0"/>
                <w:sz w:val="14"/>
                <w:szCs w:val="14"/>
              </w:rPr>
              <w:t> </w:t>
            </w:r>
          </w:p>
        </w:tc>
        <w:tc>
          <w:tcPr>
            <w:tcW w:w="0" w:type="auto"/>
            <w:gridSpan w:val="2"/>
            <w:tcBorders>
              <w:bottom w:val="single" w:sz="4" w:space="0" w:color="000000"/>
            </w:tcBorders>
            <w:vAlign w:val="bottom"/>
            <w:hideMark/>
          </w:tcPr>
          <w:p w14:paraId="4C451FB5" w14:textId="77777777" w:rsidR="002F3D36" w:rsidRPr="002F3D36" w:rsidRDefault="002F3D36" w:rsidP="002F3D36">
            <w:pPr>
              <w:widowControl/>
              <w:jc w:val="center"/>
              <w:rPr>
                <w:rFonts w:ascii="Times New Roman" w:eastAsia="宋体" w:hAnsi="Times New Roman" w:cs="Times New Roman"/>
                <w:kern w:val="0"/>
                <w:sz w:val="14"/>
                <w:szCs w:val="14"/>
              </w:rPr>
            </w:pPr>
            <w:r w:rsidRPr="002F3D36">
              <w:rPr>
                <w:rFonts w:ascii="Arial" w:eastAsia="宋体" w:hAnsi="Arial" w:cs="Arial"/>
                <w:b/>
                <w:bCs/>
                <w:color w:val="000000"/>
                <w:kern w:val="0"/>
                <w:sz w:val="14"/>
                <w:szCs w:val="14"/>
              </w:rPr>
              <w:t>Thereafter</w:t>
            </w:r>
          </w:p>
        </w:tc>
        <w:tc>
          <w:tcPr>
            <w:tcW w:w="0" w:type="auto"/>
            <w:vAlign w:val="bottom"/>
            <w:hideMark/>
          </w:tcPr>
          <w:p w14:paraId="12DE4031" w14:textId="77777777" w:rsidR="002F3D36" w:rsidRPr="002F3D36" w:rsidRDefault="002F3D36" w:rsidP="002F3D36">
            <w:pPr>
              <w:widowControl/>
              <w:jc w:val="center"/>
              <w:rPr>
                <w:rFonts w:ascii="Times New Roman" w:eastAsia="宋体" w:hAnsi="Times New Roman" w:cs="Times New Roman"/>
                <w:kern w:val="0"/>
                <w:sz w:val="14"/>
                <w:szCs w:val="14"/>
              </w:rPr>
            </w:pPr>
            <w:r w:rsidRPr="002F3D36">
              <w:rPr>
                <w:rFonts w:ascii="Arial" w:eastAsia="宋体" w:hAnsi="Arial" w:cs="Arial"/>
                <w:kern w:val="0"/>
                <w:sz w:val="14"/>
                <w:szCs w:val="14"/>
              </w:rPr>
              <w:t> </w:t>
            </w:r>
          </w:p>
        </w:tc>
        <w:tc>
          <w:tcPr>
            <w:tcW w:w="0" w:type="auto"/>
            <w:vAlign w:val="bottom"/>
            <w:hideMark/>
          </w:tcPr>
          <w:p w14:paraId="73515EAE" w14:textId="77777777" w:rsidR="002F3D36" w:rsidRPr="002F3D36" w:rsidRDefault="002F3D36" w:rsidP="002F3D36">
            <w:pPr>
              <w:widowControl/>
              <w:jc w:val="center"/>
              <w:rPr>
                <w:rFonts w:ascii="Times New Roman" w:eastAsia="宋体" w:hAnsi="Times New Roman" w:cs="Times New Roman"/>
                <w:kern w:val="0"/>
                <w:sz w:val="14"/>
                <w:szCs w:val="14"/>
              </w:rPr>
            </w:pPr>
            <w:r w:rsidRPr="002F3D36">
              <w:rPr>
                <w:rFonts w:ascii="Arial" w:eastAsia="宋体" w:hAnsi="Arial" w:cs="Arial"/>
                <w:kern w:val="0"/>
                <w:sz w:val="14"/>
                <w:szCs w:val="14"/>
              </w:rPr>
              <w:t> </w:t>
            </w:r>
          </w:p>
        </w:tc>
        <w:tc>
          <w:tcPr>
            <w:tcW w:w="0" w:type="auto"/>
            <w:gridSpan w:val="2"/>
            <w:tcBorders>
              <w:bottom w:val="single" w:sz="4" w:space="0" w:color="000000"/>
            </w:tcBorders>
            <w:vAlign w:val="bottom"/>
            <w:hideMark/>
          </w:tcPr>
          <w:p w14:paraId="13AA32F9" w14:textId="77777777" w:rsidR="002F3D36" w:rsidRPr="002F3D36" w:rsidRDefault="002F3D36" w:rsidP="002F3D36">
            <w:pPr>
              <w:widowControl/>
              <w:jc w:val="center"/>
              <w:rPr>
                <w:rFonts w:ascii="Times New Roman" w:eastAsia="宋体" w:hAnsi="Times New Roman" w:cs="Times New Roman"/>
                <w:kern w:val="0"/>
                <w:sz w:val="14"/>
                <w:szCs w:val="14"/>
              </w:rPr>
            </w:pPr>
            <w:r w:rsidRPr="002F3D36">
              <w:rPr>
                <w:rFonts w:ascii="Arial" w:eastAsia="宋体" w:hAnsi="Arial" w:cs="Arial"/>
                <w:b/>
                <w:bCs/>
                <w:color w:val="000000"/>
                <w:kern w:val="0"/>
                <w:sz w:val="14"/>
                <w:szCs w:val="14"/>
              </w:rPr>
              <w:t>long-</w:t>
            </w:r>
            <w:r w:rsidRPr="002F3D36">
              <w:rPr>
                <w:rFonts w:ascii="Arial" w:eastAsia="宋体" w:hAnsi="Arial" w:cs="Arial"/>
                <w:b/>
                <w:bCs/>
                <w:color w:val="000000"/>
                <w:kern w:val="0"/>
                <w:sz w:val="14"/>
                <w:szCs w:val="14"/>
              </w:rPr>
              <w:br/>
              <w:t>term</w:t>
            </w:r>
          </w:p>
        </w:tc>
        <w:tc>
          <w:tcPr>
            <w:tcW w:w="0" w:type="auto"/>
            <w:vAlign w:val="bottom"/>
            <w:hideMark/>
          </w:tcPr>
          <w:p w14:paraId="03723461" w14:textId="77777777" w:rsidR="002F3D36" w:rsidRPr="002F3D36" w:rsidRDefault="002F3D36" w:rsidP="002F3D36">
            <w:pPr>
              <w:widowControl/>
              <w:jc w:val="center"/>
              <w:rPr>
                <w:rFonts w:ascii="Times New Roman" w:eastAsia="宋体" w:hAnsi="Times New Roman" w:cs="Times New Roman"/>
                <w:kern w:val="0"/>
                <w:sz w:val="14"/>
                <w:szCs w:val="14"/>
              </w:rPr>
            </w:pPr>
            <w:r w:rsidRPr="002F3D36">
              <w:rPr>
                <w:rFonts w:ascii="Arial" w:eastAsia="宋体" w:hAnsi="Arial" w:cs="Arial"/>
                <w:kern w:val="0"/>
                <w:sz w:val="14"/>
                <w:szCs w:val="14"/>
              </w:rPr>
              <w:t> </w:t>
            </w:r>
          </w:p>
        </w:tc>
        <w:tc>
          <w:tcPr>
            <w:tcW w:w="0" w:type="auto"/>
            <w:vAlign w:val="bottom"/>
            <w:hideMark/>
          </w:tcPr>
          <w:p w14:paraId="4F503060" w14:textId="77777777" w:rsidR="002F3D36" w:rsidRPr="002F3D36" w:rsidRDefault="002F3D36" w:rsidP="002F3D36">
            <w:pPr>
              <w:widowControl/>
              <w:jc w:val="center"/>
              <w:rPr>
                <w:rFonts w:ascii="Times New Roman" w:eastAsia="宋体" w:hAnsi="Times New Roman" w:cs="Times New Roman"/>
                <w:kern w:val="0"/>
                <w:sz w:val="14"/>
                <w:szCs w:val="14"/>
              </w:rPr>
            </w:pPr>
            <w:r w:rsidRPr="002F3D36">
              <w:rPr>
                <w:rFonts w:ascii="Arial" w:eastAsia="宋体" w:hAnsi="Arial" w:cs="Arial"/>
                <w:kern w:val="0"/>
                <w:sz w:val="14"/>
                <w:szCs w:val="14"/>
              </w:rPr>
              <w:t> </w:t>
            </w:r>
          </w:p>
        </w:tc>
        <w:tc>
          <w:tcPr>
            <w:tcW w:w="0" w:type="auto"/>
            <w:gridSpan w:val="2"/>
            <w:tcBorders>
              <w:bottom w:val="single" w:sz="4" w:space="0" w:color="000000"/>
            </w:tcBorders>
            <w:vAlign w:val="bottom"/>
            <w:hideMark/>
          </w:tcPr>
          <w:p w14:paraId="525CA31F" w14:textId="77777777" w:rsidR="002F3D36" w:rsidRPr="002F3D36" w:rsidRDefault="002F3D36" w:rsidP="002F3D36">
            <w:pPr>
              <w:widowControl/>
              <w:jc w:val="center"/>
              <w:rPr>
                <w:rFonts w:ascii="Times New Roman" w:eastAsia="宋体" w:hAnsi="Times New Roman" w:cs="Times New Roman"/>
                <w:kern w:val="0"/>
                <w:sz w:val="14"/>
                <w:szCs w:val="14"/>
              </w:rPr>
            </w:pPr>
            <w:r w:rsidRPr="002F3D36">
              <w:rPr>
                <w:rFonts w:ascii="Arial" w:eastAsia="宋体" w:hAnsi="Arial" w:cs="Arial"/>
                <w:b/>
                <w:bCs/>
                <w:color w:val="000000"/>
                <w:kern w:val="0"/>
                <w:sz w:val="14"/>
                <w:szCs w:val="14"/>
              </w:rPr>
              <w:t>Total</w:t>
            </w:r>
          </w:p>
        </w:tc>
        <w:tc>
          <w:tcPr>
            <w:tcW w:w="0" w:type="auto"/>
            <w:vAlign w:val="bottom"/>
            <w:hideMark/>
          </w:tcPr>
          <w:p w14:paraId="46EACAB5" w14:textId="77777777" w:rsidR="002F3D36" w:rsidRPr="002F3D36" w:rsidRDefault="002F3D36" w:rsidP="002F3D36">
            <w:pPr>
              <w:widowControl/>
              <w:jc w:val="center"/>
              <w:rPr>
                <w:rFonts w:ascii="Times New Roman" w:eastAsia="宋体" w:hAnsi="Times New Roman" w:cs="Times New Roman"/>
                <w:kern w:val="0"/>
                <w:sz w:val="14"/>
                <w:szCs w:val="14"/>
              </w:rPr>
            </w:pPr>
            <w:r w:rsidRPr="002F3D36">
              <w:rPr>
                <w:rFonts w:ascii="Arial" w:eastAsia="宋体" w:hAnsi="Arial" w:cs="Arial"/>
                <w:kern w:val="0"/>
                <w:sz w:val="14"/>
                <w:szCs w:val="14"/>
              </w:rPr>
              <w:t> </w:t>
            </w:r>
          </w:p>
        </w:tc>
        <w:tc>
          <w:tcPr>
            <w:tcW w:w="0" w:type="auto"/>
            <w:vAlign w:val="bottom"/>
            <w:hideMark/>
          </w:tcPr>
          <w:p w14:paraId="386F518E" w14:textId="77777777" w:rsidR="002F3D36" w:rsidRPr="002F3D36" w:rsidRDefault="002F3D36" w:rsidP="002F3D36">
            <w:pPr>
              <w:widowControl/>
              <w:jc w:val="center"/>
              <w:rPr>
                <w:rFonts w:ascii="Times New Roman" w:eastAsia="宋体" w:hAnsi="Times New Roman" w:cs="Times New Roman"/>
                <w:kern w:val="0"/>
                <w:sz w:val="14"/>
                <w:szCs w:val="14"/>
              </w:rPr>
            </w:pPr>
            <w:r w:rsidRPr="002F3D36">
              <w:rPr>
                <w:rFonts w:ascii="Arial" w:eastAsia="宋体" w:hAnsi="Arial" w:cs="Arial"/>
                <w:kern w:val="0"/>
                <w:sz w:val="14"/>
                <w:szCs w:val="14"/>
              </w:rPr>
              <w:t> </w:t>
            </w:r>
          </w:p>
        </w:tc>
      </w:tr>
      <w:tr w:rsidR="002F3D36" w:rsidRPr="002F3D36" w14:paraId="3EA5B5EE" w14:textId="77777777" w:rsidTr="002F3D36">
        <w:trPr>
          <w:trHeight w:val="180"/>
          <w:tblCellSpacing w:w="15" w:type="dxa"/>
        </w:trPr>
        <w:tc>
          <w:tcPr>
            <w:tcW w:w="0" w:type="auto"/>
            <w:shd w:val="clear" w:color="auto" w:fill="CFF0FC"/>
            <w:vAlign w:val="bottom"/>
            <w:hideMark/>
          </w:tcPr>
          <w:p w14:paraId="716F41DE"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Bonds</w:t>
            </w:r>
          </w:p>
        </w:tc>
        <w:tc>
          <w:tcPr>
            <w:tcW w:w="0" w:type="auto"/>
            <w:shd w:val="clear" w:color="auto" w:fill="CFF0FC"/>
            <w:vAlign w:val="bottom"/>
            <w:hideMark/>
          </w:tcPr>
          <w:p w14:paraId="543ECA6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07E7828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57861B00"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4EC6B92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38BAB59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6DD504D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2027CC01"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565</w:t>
            </w:r>
          </w:p>
        </w:tc>
        <w:tc>
          <w:tcPr>
            <w:tcW w:w="0" w:type="auto"/>
            <w:shd w:val="clear" w:color="auto" w:fill="CFF0FC"/>
            <w:vAlign w:val="bottom"/>
            <w:hideMark/>
          </w:tcPr>
          <w:p w14:paraId="31CA0DD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2F80E16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7E53AAB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6AC841AF"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297</w:t>
            </w:r>
          </w:p>
        </w:tc>
        <w:tc>
          <w:tcPr>
            <w:tcW w:w="0" w:type="auto"/>
            <w:shd w:val="clear" w:color="auto" w:fill="CFF0FC"/>
            <w:vAlign w:val="bottom"/>
            <w:hideMark/>
          </w:tcPr>
          <w:p w14:paraId="1F8CBA4E"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74D4132E"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06F0CB8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5EBD4279"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1DAC17E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6E1D49E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74AA5A4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4656F4D8"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285</w:t>
            </w:r>
          </w:p>
        </w:tc>
        <w:tc>
          <w:tcPr>
            <w:tcW w:w="0" w:type="auto"/>
            <w:shd w:val="clear" w:color="auto" w:fill="CFF0FC"/>
            <w:vAlign w:val="bottom"/>
            <w:hideMark/>
          </w:tcPr>
          <w:p w14:paraId="10FBD73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287C1D2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3C77B95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580DF35B"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185</w:t>
            </w:r>
          </w:p>
        </w:tc>
        <w:tc>
          <w:tcPr>
            <w:tcW w:w="0" w:type="auto"/>
            <w:shd w:val="clear" w:color="auto" w:fill="CFF0FC"/>
            <w:vAlign w:val="bottom"/>
            <w:hideMark/>
          </w:tcPr>
          <w:p w14:paraId="2A3DBF1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1DD9288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2EF3B17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55EBB21D"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1,332</w:t>
            </w:r>
          </w:p>
        </w:tc>
        <w:tc>
          <w:tcPr>
            <w:tcW w:w="0" w:type="auto"/>
            <w:shd w:val="clear" w:color="auto" w:fill="CFF0FC"/>
            <w:vAlign w:val="bottom"/>
            <w:hideMark/>
          </w:tcPr>
          <w:p w14:paraId="4E1CEFD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472A7EE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4453FFD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6589FE31"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1,332</w:t>
            </w:r>
          </w:p>
        </w:tc>
        <w:tc>
          <w:tcPr>
            <w:tcW w:w="0" w:type="auto"/>
            <w:shd w:val="clear" w:color="auto" w:fill="CFF0FC"/>
            <w:vAlign w:val="bottom"/>
            <w:hideMark/>
          </w:tcPr>
          <w:p w14:paraId="79E9950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11066D8F" w14:textId="77777777" w:rsidR="002F3D36" w:rsidRPr="002F3D36" w:rsidRDefault="002F3D36" w:rsidP="002F3D36">
            <w:pPr>
              <w:widowControl/>
              <w:jc w:val="left"/>
              <w:rPr>
                <w:rFonts w:ascii="Times New Roman" w:eastAsia="宋体" w:hAnsi="Times New Roman" w:cs="Times New Roman"/>
                <w:kern w:val="0"/>
                <w:sz w:val="20"/>
                <w:szCs w:val="20"/>
              </w:rPr>
            </w:pPr>
            <w:r w:rsidRPr="002F3D36">
              <w:rPr>
                <w:rFonts w:ascii="Arial" w:eastAsia="宋体" w:hAnsi="Arial" w:cs="Arial"/>
                <w:kern w:val="0"/>
                <w:sz w:val="20"/>
                <w:szCs w:val="20"/>
              </w:rPr>
              <w:t> </w:t>
            </w:r>
          </w:p>
        </w:tc>
      </w:tr>
      <w:tr w:rsidR="002F3D36" w:rsidRPr="002F3D36" w14:paraId="1AC1AAC2" w14:textId="77777777" w:rsidTr="002F3D36">
        <w:trPr>
          <w:trHeight w:val="180"/>
          <w:tblCellSpacing w:w="15" w:type="dxa"/>
        </w:trPr>
        <w:tc>
          <w:tcPr>
            <w:tcW w:w="0" w:type="auto"/>
            <w:vAlign w:val="bottom"/>
            <w:hideMark/>
          </w:tcPr>
          <w:p w14:paraId="7641410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Loans</w:t>
            </w:r>
          </w:p>
        </w:tc>
        <w:tc>
          <w:tcPr>
            <w:tcW w:w="0" w:type="auto"/>
            <w:vAlign w:val="bottom"/>
            <w:hideMark/>
          </w:tcPr>
          <w:p w14:paraId="4068940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07033BA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2213C26B"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332</w:t>
            </w:r>
          </w:p>
        </w:tc>
        <w:tc>
          <w:tcPr>
            <w:tcW w:w="0" w:type="auto"/>
            <w:vAlign w:val="bottom"/>
            <w:hideMark/>
          </w:tcPr>
          <w:p w14:paraId="6B16536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528B13D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3C846B7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3F1C21C1"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vAlign w:val="bottom"/>
            <w:hideMark/>
          </w:tcPr>
          <w:p w14:paraId="3547BB5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1BE9A98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6E18919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3F96B5AF"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vAlign w:val="bottom"/>
            <w:hideMark/>
          </w:tcPr>
          <w:p w14:paraId="13C4D46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0115B82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3947961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0A5631AD"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332</w:t>
            </w:r>
          </w:p>
        </w:tc>
        <w:tc>
          <w:tcPr>
            <w:tcW w:w="0" w:type="auto"/>
            <w:vAlign w:val="bottom"/>
            <w:hideMark/>
          </w:tcPr>
          <w:p w14:paraId="27BC6AB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02563F5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41C92FDE"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5E3E3F20"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vAlign w:val="bottom"/>
            <w:hideMark/>
          </w:tcPr>
          <w:p w14:paraId="1508998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05F7716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00C6DC6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68014C27"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vAlign w:val="bottom"/>
            <w:hideMark/>
          </w:tcPr>
          <w:p w14:paraId="14D368F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0D6F514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028EFB4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424B63E8"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332</w:t>
            </w:r>
          </w:p>
        </w:tc>
        <w:tc>
          <w:tcPr>
            <w:tcW w:w="0" w:type="auto"/>
            <w:vAlign w:val="bottom"/>
            <w:hideMark/>
          </w:tcPr>
          <w:p w14:paraId="6144983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1F8F89A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609FF30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733B31F3"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664</w:t>
            </w:r>
          </w:p>
        </w:tc>
        <w:tc>
          <w:tcPr>
            <w:tcW w:w="0" w:type="auto"/>
            <w:vAlign w:val="bottom"/>
            <w:hideMark/>
          </w:tcPr>
          <w:p w14:paraId="40F8326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0CB1C43A" w14:textId="77777777" w:rsidR="002F3D36" w:rsidRPr="002F3D36" w:rsidRDefault="002F3D36" w:rsidP="002F3D36">
            <w:pPr>
              <w:widowControl/>
              <w:jc w:val="left"/>
              <w:rPr>
                <w:rFonts w:ascii="Times New Roman" w:eastAsia="宋体" w:hAnsi="Times New Roman" w:cs="Times New Roman"/>
                <w:kern w:val="0"/>
                <w:sz w:val="20"/>
                <w:szCs w:val="20"/>
              </w:rPr>
            </w:pPr>
            <w:r w:rsidRPr="002F3D36">
              <w:rPr>
                <w:rFonts w:ascii="Arial" w:eastAsia="宋体" w:hAnsi="Arial" w:cs="Arial"/>
                <w:kern w:val="0"/>
                <w:sz w:val="20"/>
                <w:szCs w:val="20"/>
              </w:rPr>
              <w:t> </w:t>
            </w:r>
          </w:p>
        </w:tc>
      </w:tr>
      <w:tr w:rsidR="002F3D36" w:rsidRPr="002F3D36" w14:paraId="417777BD" w14:textId="77777777" w:rsidTr="002F3D36">
        <w:trPr>
          <w:trHeight w:val="180"/>
          <w:tblCellSpacing w:w="15" w:type="dxa"/>
        </w:trPr>
        <w:tc>
          <w:tcPr>
            <w:tcW w:w="0" w:type="auto"/>
            <w:shd w:val="clear" w:color="auto" w:fill="CFF0FC"/>
            <w:vAlign w:val="bottom"/>
            <w:hideMark/>
          </w:tcPr>
          <w:p w14:paraId="12C0851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Commercial papers</w:t>
            </w:r>
          </w:p>
        </w:tc>
        <w:tc>
          <w:tcPr>
            <w:tcW w:w="0" w:type="auto"/>
            <w:shd w:val="clear" w:color="auto" w:fill="CFF0FC"/>
            <w:vAlign w:val="bottom"/>
            <w:hideMark/>
          </w:tcPr>
          <w:p w14:paraId="7EBF323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07F6B79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1EEE9BBD"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42D960C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28617D5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3F12596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3DFCCCB7"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26464B7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71C9FCE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6CF8209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0607A95D"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6EF8FA2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60A25C5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4FBCBD2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16B29688"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5C45ACCE"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78034D0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31AED87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1BB41040"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65E01CB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61BBBFC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7AB805F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00C986B6"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4E41AD9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48AD398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38857DE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743D1E00"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67B4E09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2118944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46FCA9E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660EDB68"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6304127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2E45A92A" w14:textId="77777777" w:rsidR="002F3D36" w:rsidRPr="002F3D36" w:rsidRDefault="002F3D36" w:rsidP="002F3D36">
            <w:pPr>
              <w:widowControl/>
              <w:jc w:val="left"/>
              <w:rPr>
                <w:rFonts w:ascii="Times New Roman" w:eastAsia="宋体" w:hAnsi="Times New Roman" w:cs="Times New Roman"/>
                <w:kern w:val="0"/>
                <w:sz w:val="20"/>
                <w:szCs w:val="20"/>
              </w:rPr>
            </w:pPr>
            <w:r w:rsidRPr="002F3D36">
              <w:rPr>
                <w:rFonts w:ascii="Arial" w:eastAsia="宋体" w:hAnsi="Arial" w:cs="Arial"/>
                <w:kern w:val="0"/>
                <w:sz w:val="20"/>
                <w:szCs w:val="20"/>
              </w:rPr>
              <w:t> </w:t>
            </w:r>
          </w:p>
        </w:tc>
      </w:tr>
      <w:tr w:rsidR="002F3D36" w:rsidRPr="002F3D36" w14:paraId="57E67937" w14:textId="77777777" w:rsidTr="002F3D36">
        <w:trPr>
          <w:trHeight w:val="180"/>
          <w:tblCellSpacing w:w="15" w:type="dxa"/>
        </w:trPr>
        <w:tc>
          <w:tcPr>
            <w:tcW w:w="0" w:type="auto"/>
            <w:vAlign w:val="bottom"/>
            <w:hideMark/>
          </w:tcPr>
          <w:p w14:paraId="1F39727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Other short-term debt</w:t>
            </w:r>
          </w:p>
        </w:tc>
        <w:tc>
          <w:tcPr>
            <w:tcW w:w="0" w:type="auto"/>
            <w:vAlign w:val="bottom"/>
            <w:hideMark/>
          </w:tcPr>
          <w:p w14:paraId="79E8184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57F8B46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7B2DFEC7"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14</w:t>
            </w:r>
          </w:p>
        </w:tc>
        <w:tc>
          <w:tcPr>
            <w:tcW w:w="0" w:type="auto"/>
            <w:vAlign w:val="bottom"/>
            <w:hideMark/>
          </w:tcPr>
          <w:p w14:paraId="2E9401F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7F1B58E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572DCA3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12B474FB"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vAlign w:val="bottom"/>
            <w:hideMark/>
          </w:tcPr>
          <w:p w14:paraId="2FF88D7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6D57BE4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5A2AD46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38223E04"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vAlign w:val="bottom"/>
            <w:hideMark/>
          </w:tcPr>
          <w:p w14:paraId="14B202D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0C22937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25812FE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68167BD0"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vAlign w:val="bottom"/>
            <w:hideMark/>
          </w:tcPr>
          <w:p w14:paraId="4198D9C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1FE8048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2303A43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5DBE8ECA"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vAlign w:val="bottom"/>
            <w:hideMark/>
          </w:tcPr>
          <w:p w14:paraId="7278D4E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208D06A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5D45E37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5D33B35A"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vAlign w:val="bottom"/>
            <w:hideMark/>
          </w:tcPr>
          <w:p w14:paraId="2374783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4634746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6562638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0A909F77"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vAlign w:val="bottom"/>
            <w:hideMark/>
          </w:tcPr>
          <w:p w14:paraId="694249E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2F1A338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1B37B19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42A59945"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14</w:t>
            </w:r>
          </w:p>
        </w:tc>
        <w:tc>
          <w:tcPr>
            <w:tcW w:w="0" w:type="auto"/>
            <w:vAlign w:val="bottom"/>
            <w:hideMark/>
          </w:tcPr>
          <w:p w14:paraId="65F5BF9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1FC4B1D2" w14:textId="77777777" w:rsidR="002F3D36" w:rsidRPr="002F3D36" w:rsidRDefault="002F3D36" w:rsidP="002F3D36">
            <w:pPr>
              <w:widowControl/>
              <w:jc w:val="left"/>
              <w:rPr>
                <w:rFonts w:ascii="Times New Roman" w:eastAsia="宋体" w:hAnsi="Times New Roman" w:cs="Times New Roman"/>
                <w:kern w:val="0"/>
                <w:sz w:val="20"/>
                <w:szCs w:val="20"/>
              </w:rPr>
            </w:pPr>
            <w:r w:rsidRPr="002F3D36">
              <w:rPr>
                <w:rFonts w:ascii="Arial" w:eastAsia="宋体" w:hAnsi="Arial" w:cs="Arial"/>
                <w:kern w:val="0"/>
                <w:sz w:val="20"/>
                <w:szCs w:val="20"/>
              </w:rPr>
              <w:t> </w:t>
            </w:r>
          </w:p>
        </w:tc>
      </w:tr>
      <w:tr w:rsidR="002F3D36" w:rsidRPr="002F3D36" w14:paraId="4FA9FB73" w14:textId="77777777" w:rsidTr="002F3D36">
        <w:trPr>
          <w:trHeight w:val="200"/>
          <w:tblCellSpacing w:w="15" w:type="dxa"/>
        </w:trPr>
        <w:tc>
          <w:tcPr>
            <w:tcW w:w="0" w:type="auto"/>
            <w:shd w:val="clear" w:color="auto" w:fill="CFF0FC"/>
            <w:vAlign w:val="bottom"/>
            <w:hideMark/>
          </w:tcPr>
          <w:p w14:paraId="3FC5081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Total principal amount</w:t>
            </w:r>
          </w:p>
        </w:tc>
        <w:tc>
          <w:tcPr>
            <w:tcW w:w="0" w:type="auto"/>
            <w:shd w:val="clear" w:color="auto" w:fill="CFF0FC"/>
            <w:vAlign w:val="bottom"/>
            <w:hideMark/>
          </w:tcPr>
          <w:p w14:paraId="04D48E1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695C98A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tcBorders>
              <w:bottom w:val="single" w:sz="4" w:space="0" w:color="000000"/>
            </w:tcBorders>
            <w:shd w:val="clear" w:color="auto" w:fill="CFF0FC"/>
            <w:vAlign w:val="bottom"/>
            <w:hideMark/>
          </w:tcPr>
          <w:p w14:paraId="2058CEEE"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346</w:t>
            </w:r>
          </w:p>
        </w:tc>
        <w:tc>
          <w:tcPr>
            <w:tcW w:w="0" w:type="auto"/>
            <w:shd w:val="clear" w:color="auto" w:fill="CFF0FC"/>
            <w:vAlign w:val="bottom"/>
            <w:hideMark/>
          </w:tcPr>
          <w:p w14:paraId="0A0743E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53C4945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377A9F0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tcBorders>
              <w:bottom w:val="single" w:sz="4" w:space="0" w:color="000000"/>
            </w:tcBorders>
            <w:shd w:val="clear" w:color="auto" w:fill="CFF0FC"/>
            <w:vAlign w:val="bottom"/>
            <w:hideMark/>
          </w:tcPr>
          <w:p w14:paraId="76337A79"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565</w:t>
            </w:r>
          </w:p>
        </w:tc>
        <w:tc>
          <w:tcPr>
            <w:tcW w:w="0" w:type="auto"/>
            <w:shd w:val="clear" w:color="auto" w:fill="CFF0FC"/>
            <w:vAlign w:val="bottom"/>
            <w:hideMark/>
          </w:tcPr>
          <w:p w14:paraId="2FEE773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6A60F54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24ADFB9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tcBorders>
              <w:bottom w:val="single" w:sz="4" w:space="0" w:color="000000"/>
            </w:tcBorders>
            <w:shd w:val="clear" w:color="auto" w:fill="CFF0FC"/>
            <w:vAlign w:val="bottom"/>
            <w:hideMark/>
          </w:tcPr>
          <w:p w14:paraId="419960B7"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297</w:t>
            </w:r>
          </w:p>
        </w:tc>
        <w:tc>
          <w:tcPr>
            <w:tcW w:w="0" w:type="auto"/>
            <w:shd w:val="clear" w:color="auto" w:fill="CFF0FC"/>
            <w:vAlign w:val="bottom"/>
            <w:hideMark/>
          </w:tcPr>
          <w:p w14:paraId="3420214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4FAA522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541D769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tcBorders>
              <w:bottom w:val="single" w:sz="4" w:space="0" w:color="000000"/>
            </w:tcBorders>
            <w:shd w:val="clear" w:color="auto" w:fill="CFF0FC"/>
            <w:vAlign w:val="bottom"/>
            <w:hideMark/>
          </w:tcPr>
          <w:p w14:paraId="095B0D9F"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332</w:t>
            </w:r>
          </w:p>
        </w:tc>
        <w:tc>
          <w:tcPr>
            <w:tcW w:w="0" w:type="auto"/>
            <w:shd w:val="clear" w:color="auto" w:fill="CFF0FC"/>
            <w:vAlign w:val="bottom"/>
            <w:hideMark/>
          </w:tcPr>
          <w:p w14:paraId="052637E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263C243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6C451BE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tcBorders>
              <w:bottom w:val="single" w:sz="4" w:space="0" w:color="000000"/>
            </w:tcBorders>
            <w:shd w:val="clear" w:color="auto" w:fill="CFF0FC"/>
            <w:vAlign w:val="bottom"/>
            <w:hideMark/>
          </w:tcPr>
          <w:p w14:paraId="324C5E49"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285</w:t>
            </w:r>
          </w:p>
        </w:tc>
        <w:tc>
          <w:tcPr>
            <w:tcW w:w="0" w:type="auto"/>
            <w:shd w:val="clear" w:color="auto" w:fill="CFF0FC"/>
            <w:vAlign w:val="bottom"/>
            <w:hideMark/>
          </w:tcPr>
          <w:p w14:paraId="36C9E99E"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7B1416B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4CB8F6F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tcBorders>
              <w:bottom w:val="single" w:sz="4" w:space="0" w:color="000000"/>
            </w:tcBorders>
            <w:shd w:val="clear" w:color="auto" w:fill="CFF0FC"/>
            <w:vAlign w:val="bottom"/>
            <w:hideMark/>
          </w:tcPr>
          <w:p w14:paraId="6EE69B38"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185</w:t>
            </w:r>
          </w:p>
        </w:tc>
        <w:tc>
          <w:tcPr>
            <w:tcW w:w="0" w:type="auto"/>
            <w:shd w:val="clear" w:color="auto" w:fill="CFF0FC"/>
            <w:vAlign w:val="bottom"/>
            <w:hideMark/>
          </w:tcPr>
          <w:p w14:paraId="1FDDB67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17ADEEA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06A8C34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tcBorders>
              <w:bottom w:val="single" w:sz="4" w:space="0" w:color="000000"/>
            </w:tcBorders>
            <w:shd w:val="clear" w:color="auto" w:fill="CFF0FC"/>
            <w:vAlign w:val="bottom"/>
            <w:hideMark/>
          </w:tcPr>
          <w:p w14:paraId="13582907"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1,664</w:t>
            </w:r>
          </w:p>
        </w:tc>
        <w:tc>
          <w:tcPr>
            <w:tcW w:w="0" w:type="auto"/>
            <w:shd w:val="clear" w:color="auto" w:fill="CFF0FC"/>
            <w:vAlign w:val="bottom"/>
            <w:hideMark/>
          </w:tcPr>
          <w:p w14:paraId="382AA7C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5773DDB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130D1CC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tcBorders>
              <w:bottom w:val="single" w:sz="4" w:space="0" w:color="000000"/>
            </w:tcBorders>
            <w:shd w:val="clear" w:color="auto" w:fill="CFF0FC"/>
            <w:vAlign w:val="bottom"/>
            <w:hideMark/>
          </w:tcPr>
          <w:p w14:paraId="7914F432"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2,010</w:t>
            </w:r>
          </w:p>
        </w:tc>
        <w:tc>
          <w:tcPr>
            <w:tcW w:w="0" w:type="auto"/>
            <w:shd w:val="clear" w:color="auto" w:fill="CFF0FC"/>
            <w:vAlign w:val="bottom"/>
            <w:hideMark/>
          </w:tcPr>
          <w:p w14:paraId="33E92B6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1334122D" w14:textId="77777777" w:rsidR="002F3D36" w:rsidRPr="002F3D36" w:rsidRDefault="002F3D36" w:rsidP="002F3D36">
            <w:pPr>
              <w:widowControl/>
              <w:jc w:val="left"/>
              <w:rPr>
                <w:rFonts w:ascii="Times New Roman" w:eastAsia="宋体" w:hAnsi="Times New Roman" w:cs="Times New Roman"/>
                <w:kern w:val="0"/>
                <w:sz w:val="20"/>
                <w:szCs w:val="20"/>
              </w:rPr>
            </w:pPr>
            <w:r w:rsidRPr="002F3D36">
              <w:rPr>
                <w:rFonts w:ascii="Arial" w:eastAsia="宋体" w:hAnsi="Arial" w:cs="Arial"/>
                <w:color w:val="000000"/>
                <w:kern w:val="0"/>
                <w:sz w:val="13"/>
                <w:szCs w:val="13"/>
              </w:rPr>
              <w:t>1)</w:t>
            </w:r>
          </w:p>
        </w:tc>
      </w:tr>
    </w:tbl>
    <w:p w14:paraId="47203FF8" w14:textId="77777777" w:rsidR="002F3D36" w:rsidRPr="002F3D36" w:rsidRDefault="002F3D36" w:rsidP="002F3D36">
      <w:pPr>
        <w:widowControl/>
        <w:ind w:hanging="581"/>
        <w:rPr>
          <w:rFonts w:ascii="Times New Roman" w:eastAsia="宋体" w:hAnsi="Times New Roman" w:cs="Times New Roman"/>
          <w:color w:val="000000"/>
          <w:kern w:val="0"/>
          <w:sz w:val="20"/>
          <w:szCs w:val="20"/>
        </w:rPr>
      </w:pPr>
      <w:r w:rsidRPr="002F3D36">
        <w:rPr>
          <w:rFonts w:ascii="Arial" w:eastAsia="宋体" w:hAnsi="Arial" w:cs="Arial"/>
          <w:color w:val="000000"/>
          <w:kern w:val="0"/>
          <w:sz w:val="24"/>
          <w:szCs w:val="24"/>
        </w:rPr>
        <w:t> </w:t>
      </w:r>
    </w:p>
    <w:p w14:paraId="3B42FB17"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6"/>
          <w:szCs w:val="16"/>
        </w:rPr>
        <w:t>1) The difference between reported total debt and total principal amount is mainly related to capitalized debt issuance costs.</w:t>
      </w:r>
    </w:p>
    <w:p w14:paraId="13A76DB6" w14:textId="77777777" w:rsidR="002F3D36" w:rsidRPr="002F3D36" w:rsidRDefault="002F3D36" w:rsidP="002F3D36">
      <w:pPr>
        <w:widowControl/>
        <w:spacing w:before="240"/>
        <w:jc w:val="center"/>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76</w:t>
      </w:r>
    </w:p>
    <w:p w14:paraId="1928961E" w14:textId="77777777" w:rsidR="002F3D36" w:rsidRPr="002F3D36" w:rsidRDefault="002F3D36" w:rsidP="002F3D36">
      <w:pPr>
        <w:widowControl/>
        <w:jc w:val="left"/>
        <w:rPr>
          <w:rFonts w:ascii="宋体" w:eastAsia="宋体" w:hAnsi="宋体" w:cs="宋体"/>
          <w:kern w:val="0"/>
          <w:sz w:val="24"/>
          <w:szCs w:val="24"/>
        </w:rPr>
      </w:pPr>
      <w:r w:rsidRPr="002F3D36">
        <w:rPr>
          <w:rFonts w:ascii="宋体" w:eastAsia="宋体" w:hAnsi="宋体" w:cs="宋体"/>
          <w:kern w:val="0"/>
          <w:sz w:val="24"/>
          <w:szCs w:val="24"/>
        </w:rPr>
        <w:pict w14:anchorId="3675C53D">
          <v:rect id="_x0000_i1103" style="width:0;height:1.5pt" o:hralign="center" o:hrstd="t" o:hrnoshade="t" o:hr="t" fillcolor="black" stroked="f"/>
        </w:pict>
      </w:r>
    </w:p>
    <w:p w14:paraId="4513BCD0" w14:textId="77777777" w:rsidR="002F3D36" w:rsidRPr="002F3D36" w:rsidRDefault="002F3D36" w:rsidP="002F3D36">
      <w:pPr>
        <w:widowControl/>
        <w:spacing w:line="20" w:lineRule="atLeast"/>
        <w:jc w:val="left"/>
        <w:rPr>
          <w:rFonts w:ascii="Times New Roman" w:eastAsia="宋体" w:hAnsi="Times New Roman" w:cs="Times New Roman"/>
          <w:color w:val="000000"/>
          <w:kern w:val="0"/>
          <w:sz w:val="20"/>
          <w:szCs w:val="20"/>
        </w:rPr>
      </w:pPr>
      <w:r w:rsidRPr="002F3D36">
        <w:rPr>
          <w:rFonts w:ascii="Arial" w:eastAsia="宋体" w:hAnsi="Arial" w:cs="Arial"/>
          <w:color w:val="000000"/>
          <w:kern w:val="0"/>
          <w:sz w:val="2"/>
          <w:szCs w:val="2"/>
        </w:rPr>
        <w:t> </w:t>
      </w:r>
    </w:p>
    <w:p w14:paraId="213F4F15"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22"/>
        </w:rPr>
        <w:t>14. Shareholders’ Equity</w:t>
      </w:r>
    </w:p>
    <w:p w14:paraId="14C9921A"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The number of shares outstanding as of December 31, 2021 was 87,483,781.</w:t>
      </w:r>
    </w:p>
    <w:p w14:paraId="13F6AF23"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w:t>
      </w:r>
    </w:p>
    <w:tbl>
      <w:tblPr>
        <w:tblW w:w="16491" w:type="dxa"/>
        <w:tblCellSpacing w:w="15" w:type="dxa"/>
        <w:tblCellMar>
          <w:top w:w="15" w:type="dxa"/>
          <w:left w:w="15" w:type="dxa"/>
          <w:bottom w:w="15" w:type="dxa"/>
          <w:right w:w="15" w:type="dxa"/>
        </w:tblCellMar>
        <w:tblLook w:val="04A0" w:firstRow="1" w:lastRow="0" w:firstColumn="1" w:lastColumn="0" w:noHBand="0" w:noVBand="1"/>
      </w:tblPr>
      <w:tblGrid>
        <w:gridCol w:w="10187"/>
        <w:gridCol w:w="256"/>
        <w:gridCol w:w="301"/>
        <w:gridCol w:w="1363"/>
        <w:gridCol w:w="171"/>
        <w:gridCol w:w="257"/>
        <w:gridCol w:w="302"/>
        <w:gridCol w:w="1367"/>
        <w:gridCol w:w="171"/>
        <w:gridCol w:w="257"/>
        <w:gridCol w:w="302"/>
        <w:gridCol w:w="1369"/>
        <w:gridCol w:w="188"/>
      </w:tblGrid>
      <w:tr w:rsidR="002F3D36" w:rsidRPr="002F3D36" w14:paraId="77F1E0AC" w14:textId="77777777" w:rsidTr="002F3D36">
        <w:trPr>
          <w:tblCellSpacing w:w="15" w:type="dxa"/>
        </w:trPr>
        <w:tc>
          <w:tcPr>
            <w:tcW w:w="10163" w:type="dxa"/>
            <w:vAlign w:val="center"/>
            <w:hideMark/>
          </w:tcPr>
          <w:p w14:paraId="79A99453" w14:textId="77777777" w:rsidR="002F3D36" w:rsidRPr="002F3D36" w:rsidRDefault="002F3D36" w:rsidP="002F3D36">
            <w:pPr>
              <w:widowControl/>
              <w:jc w:val="left"/>
              <w:rPr>
                <w:rFonts w:ascii="Times New Roman" w:eastAsia="宋体" w:hAnsi="Times New Roman" w:cs="Times New Roman"/>
                <w:color w:val="000000"/>
                <w:kern w:val="0"/>
                <w:sz w:val="20"/>
                <w:szCs w:val="20"/>
              </w:rPr>
            </w:pPr>
          </w:p>
        </w:tc>
        <w:tc>
          <w:tcPr>
            <w:tcW w:w="227" w:type="dxa"/>
            <w:vAlign w:val="center"/>
            <w:hideMark/>
          </w:tcPr>
          <w:p w14:paraId="79AC2058"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72" w:type="dxa"/>
            <w:vAlign w:val="center"/>
            <w:hideMark/>
          </w:tcPr>
          <w:p w14:paraId="5B61DB42"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335" w:type="dxa"/>
            <w:vAlign w:val="center"/>
            <w:hideMark/>
          </w:tcPr>
          <w:p w14:paraId="54256697"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41" w:type="dxa"/>
            <w:vAlign w:val="center"/>
            <w:hideMark/>
          </w:tcPr>
          <w:p w14:paraId="39DD931C"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27" w:type="dxa"/>
            <w:vAlign w:val="center"/>
            <w:hideMark/>
          </w:tcPr>
          <w:p w14:paraId="0461745D"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72" w:type="dxa"/>
            <w:vAlign w:val="center"/>
            <w:hideMark/>
          </w:tcPr>
          <w:p w14:paraId="29B9C96F"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339" w:type="dxa"/>
            <w:vAlign w:val="center"/>
            <w:hideMark/>
          </w:tcPr>
          <w:p w14:paraId="57718343"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41" w:type="dxa"/>
            <w:vAlign w:val="center"/>
            <w:hideMark/>
          </w:tcPr>
          <w:p w14:paraId="38C5764F"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27" w:type="dxa"/>
            <w:vAlign w:val="center"/>
            <w:hideMark/>
          </w:tcPr>
          <w:p w14:paraId="0A588DCB"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72" w:type="dxa"/>
            <w:vAlign w:val="center"/>
            <w:hideMark/>
          </w:tcPr>
          <w:p w14:paraId="0244571A"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341" w:type="dxa"/>
            <w:vAlign w:val="center"/>
            <w:hideMark/>
          </w:tcPr>
          <w:p w14:paraId="12CE3652"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43" w:type="dxa"/>
            <w:vAlign w:val="center"/>
            <w:hideMark/>
          </w:tcPr>
          <w:p w14:paraId="0C06B246" w14:textId="77777777" w:rsidR="002F3D36" w:rsidRPr="002F3D36" w:rsidRDefault="002F3D36" w:rsidP="002F3D36">
            <w:pPr>
              <w:widowControl/>
              <w:jc w:val="left"/>
              <w:rPr>
                <w:rFonts w:ascii="Times New Roman" w:eastAsia="Times New Roman" w:hAnsi="Times New Roman" w:cs="Times New Roman"/>
                <w:kern w:val="0"/>
                <w:sz w:val="20"/>
                <w:szCs w:val="20"/>
              </w:rPr>
            </w:pPr>
          </w:p>
        </w:tc>
      </w:tr>
      <w:tr w:rsidR="002F3D36" w:rsidRPr="002F3D36" w14:paraId="6104531E" w14:textId="77777777" w:rsidTr="002F3D36">
        <w:trPr>
          <w:trHeight w:val="160"/>
          <w:tblCellSpacing w:w="15" w:type="dxa"/>
        </w:trPr>
        <w:tc>
          <w:tcPr>
            <w:tcW w:w="0" w:type="auto"/>
            <w:vAlign w:val="bottom"/>
            <w:hideMark/>
          </w:tcPr>
          <w:p w14:paraId="15451DFF"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u w:val="single"/>
              </w:rPr>
              <w:t>DIVIDENDS</w:t>
            </w:r>
          </w:p>
        </w:tc>
        <w:tc>
          <w:tcPr>
            <w:tcW w:w="0" w:type="auto"/>
            <w:vAlign w:val="bottom"/>
            <w:hideMark/>
          </w:tcPr>
          <w:p w14:paraId="179C8EB0"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2"/>
            <w:tcBorders>
              <w:bottom w:val="single" w:sz="4" w:space="0" w:color="000000"/>
            </w:tcBorders>
            <w:vAlign w:val="bottom"/>
            <w:hideMark/>
          </w:tcPr>
          <w:p w14:paraId="6C1AC19D"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2021</w:t>
            </w:r>
          </w:p>
        </w:tc>
        <w:tc>
          <w:tcPr>
            <w:tcW w:w="0" w:type="auto"/>
            <w:vAlign w:val="bottom"/>
            <w:hideMark/>
          </w:tcPr>
          <w:p w14:paraId="59828F68"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vAlign w:val="bottom"/>
            <w:hideMark/>
          </w:tcPr>
          <w:p w14:paraId="00C46DDD"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2"/>
            <w:tcBorders>
              <w:bottom w:val="single" w:sz="4" w:space="0" w:color="000000"/>
            </w:tcBorders>
            <w:vAlign w:val="bottom"/>
            <w:hideMark/>
          </w:tcPr>
          <w:p w14:paraId="0AB76C0A"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2020</w:t>
            </w:r>
          </w:p>
        </w:tc>
        <w:tc>
          <w:tcPr>
            <w:tcW w:w="0" w:type="auto"/>
            <w:vAlign w:val="bottom"/>
            <w:hideMark/>
          </w:tcPr>
          <w:p w14:paraId="39B86A51"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vAlign w:val="bottom"/>
            <w:hideMark/>
          </w:tcPr>
          <w:p w14:paraId="72D36A9F"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2"/>
            <w:tcBorders>
              <w:bottom w:val="single" w:sz="4" w:space="0" w:color="000000"/>
            </w:tcBorders>
            <w:vAlign w:val="bottom"/>
            <w:hideMark/>
          </w:tcPr>
          <w:p w14:paraId="33AE38F8"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2019</w:t>
            </w:r>
          </w:p>
        </w:tc>
        <w:tc>
          <w:tcPr>
            <w:tcW w:w="0" w:type="auto"/>
            <w:vAlign w:val="bottom"/>
            <w:hideMark/>
          </w:tcPr>
          <w:p w14:paraId="3DCC4874"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r>
      <w:tr w:rsidR="002F3D36" w:rsidRPr="002F3D36" w14:paraId="2B2D63DC" w14:textId="77777777" w:rsidTr="002F3D36">
        <w:trPr>
          <w:trHeight w:val="180"/>
          <w:tblCellSpacing w:w="15" w:type="dxa"/>
        </w:trPr>
        <w:tc>
          <w:tcPr>
            <w:tcW w:w="0" w:type="auto"/>
            <w:shd w:val="clear" w:color="auto" w:fill="CFF0FC"/>
            <w:hideMark/>
          </w:tcPr>
          <w:p w14:paraId="7DF5A2F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Cash dividend paid per share</w:t>
            </w:r>
          </w:p>
        </w:tc>
        <w:tc>
          <w:tcPr>
            <w:tcW w:w="0" w:type="auto"/>
            <w:shd w:val="clear" w:color="auto" w:fill="CFF0FC"/>
            <w:vAlign w:val="bottom"/>
            <w:hideMark/>
          </w:tcPr>
          <w:p w14:paraId="53794A8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6F2DC9E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4AA6A197"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1.88</w:t>
            </w:r>
          </w:p>
        </w:tc>
        <w:tc>
          <w:tcPr>
            <w:tcW w:w="0" w:type="auto"/>
            <w:shd w:val="clear" w:color="auto" w:fill="CFF0FC"/>
            <w:vAlign w:val="bottom"/>
            <w:hideMark/>
          </w:tcPr>
          <w:p w14:paraId="75920A9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7EAC98BE"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3E6CAE3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6A64D4FD"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0.62</w:t>
            </w:r>
          </w:p>
        </w:tc>
        <w:tc>
          <w:tcPr>
            <w:tcW w:w="0" w:type="auto"/>
            <w:shd w:val="clear" w:color="auto" w:fill="CFF0FC"/>
            <w:vAlign w:val="bottom"/>
            <w:hideMark/>
          </w:tcPr>
          <w:p w14:paraId="394BD9A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2DE9E38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00C9FE7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603502CF"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2.48</w:t>
            </w:r>
          </w:p>
        </w:tc>
        <w:tc>
          <w:tcPr>
            <w:tcW w:w="0" w:type="auto"/>
            <w:shd w:val="clear" w:color="auto" w:fill="CFF0FC"/>
            <w:vAlign w:val="bottom"/>
            <w:hideMark/>
          </w:tcPr>
          <w:p w14:paraId="6CB9B3A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41D12C7F" w14:textId="77777777" w:rsidTr="002F3D36">
        <w:trPr>
          <w:trHeight w:val="180"/>
          <w:tblCellSpacing w:w="15" w:type="dxa"/>
        </w:trPr>
        <w:tc>
          <w:tcPr>
            <w:tcW w:w="0" w:type="auto"/>
            <w:hideMark/>
          </w:tcPr>
          <w:p w14:paraId="075CBB4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Cash dividend declared per share</w:t>
            </w:r>
          </w:p>
        </w:tc>
        <w:tc>
          <w:tcPr>
            <w:tcW w:w="0" w:type="auto"/>
            <w:vAlign w:val="bottom"/>
            <w:hideMark/>
          </w:tcPr>
          <w:p w14:paraId="0B8949C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2CE0B0A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vAlign w:val="bottom"/>
            <w:hideMark/>
          </w:tcPr>
          <w:p w14:paraId="42E61AE9"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1.88</w:t>
            </w:r>
          </w:p>
        </w:tc>
        <w:tc>
          <w:tcPr>
            <w:tcW w:w="0" w:type="auto"/>
            <w:vAlign w:val="bottom"/>
            <w:hideMark/>
          </w:tcPr>
          <w:p w14:paraId="10A33C7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6153FA5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6DB8F77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vAlign w:val="bottom"/>
            <w:hideMark/>
          </w:tcPr>
          <w:p w14:paraId="6BFB3C3E"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vAlign w:val="bottom"/>
            <w:hideMark/>
          </w:tcPr>
          <w:p w14:paraId="2042FB7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44B55E6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7CF3069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vAlign w:val="bottom"/>
            <w:hideMark/>
          </w:tcPr>
          <w:p w14:paraId="12505D52"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2.48</w:t>
            </w:r>
          </w:p>
        </w:tc>
        <w:tc>
          <w:tcPr>
            <w:tcW w:w="0" w:type="auto"/>
            <w:vAlign w:val="bottom"/>
            <w:hideMark/>
          </w:tcPr>
          <w:p w14:paraId="3018C88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6DACC548" w14:textId="77777777" w:rsidTr="002F3D36">
        <w:trPr>
          <w:tblCellSpacing w:w="15" w:type="dxa"/>
        </w:trPr>
        <w:tc>
          <w:tcPr>
            <w:tcW w:w="0" w:type="auto"/>
            <w:gridSpan w:val="12"/>
            <w:hideMark/>
          </w:tcPr>
          <w:p w14:paraId="10A4D4FD"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hideMark/>
          </w:tcPr>
          <w:p w14:paraId="1E8BA103"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r>
    </w:tbl>
    <w:p w14:paraId="18194927"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w:t>
      </w:r>
    </w:p>
    <w:tbl>
      <w:tblPr>
        <w:tblW w:w="16491" w:type="dxa"/>
        <w:tblCellSpacing w:w="15" w:type="dxa"/>
        <w:tblCellMar>
          <w:top w:w="15" w:type="dxa"/>
          <w:left w:w="15" w:type="dxa"/>
          <w:bottom w:w="15" w:type="dxa"/>
          <w:right w:w="15" w:type="dxa"/>
        </w:tblCellMar>
        <w:tblLook w:val="04A0" w:firstRow="1" w:lastRow="0" w:firstColumn="1" w:lastColumn="0" w:noHBand="0" w:noVBand="1"/>
      </w:tblPr>
      <w:tblGrid>
        <w:gridCol w:w="10207"/>
        <w:gridCol w:w="251"/>
        <w:gridCol w:w="297"/>
        <w:gridCol w:w="1348"/>
        <w:gridCol w:w="190"/>
        <w:gridCol w:w="254"/>
        <w:gridCol w:w="298"/>
        <w:gridCol w:w="1349"/>
        <w:gridCol w:w="190"/>
        <w:gridCol w:w="254"/>
        <w:gridCol w:w="298"/>
        <w:gridCol w:w="1349"/>
        <w:gridCol w:w="206"/>
      </w:tblGrid>
      <w:tr w:rsidR="002F3D36" w:rsidRPr="002F3D36" w14:paraId="722D6B40" w14:textId="77777777" w:rsidTr="002F3D36">
        <w:trPr>
          <w:tblCellSpacing w:w="15" w:type="dxa"/>
        </w:trPr>
        <w:tc>
          <w:tcPr>
            <w:tcW w:w="10184" w:type="dxa"/>
            <w:vAlign w:val="center"/>
            <w:hideMark/>
          </w:tcPr>
          <w:p w14:paraId="1D182986" w14:textId="77777777" w:rsidR="002F3D36" w:rsidRPr="002F3D36" w:rsidRDefault="002F3D36" w:rsidP="002F3D36">
            <w:pPr>
              <w:widowControl/>
              <w:jc w:val="left"/>
              <w:rPr>
                <w:rFonts w:ascii="Times New Roman" w:eastAsia="宋体" w:hAnsi="Times New Roman" w:cs="Times New Roman"/>
                <w:color w:val="000000"/>
                <w:kern w:val="0"/>
                <w:sz w:val="20"/>
                <w:szCs w:val="20"/>
              </w:rPr>
            </w:pPr>
          </w:p>
        </w:tc>
        <w:tc>
          <w:tcPr>
            <w:tcW w:w="222" w:type="dxa"/>
            <w:vAlign w:val="center"/>
            <w:hideMark/>
          </w:tcPr>
          <w:p w14:paraId="42FDB0AD"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68" w:type="dxa"/>
            <w:vAlign w:val="center"/>
            <w:hideMark/>
          </w:tcPr>
          <w:p w14:paraId="196FC321"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321" w:type="dxa"/>
            <w:vAlign w:val="center"/>
            <w:hideMark/>
          </w:tcPr>
          <w:p w14:paraId="6F9D7A23"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60" w:type="dxa"/>
            <w:vAlign w:val="center"/>
            <w:hideMark/>
          </w:tcPr>
          <w:p w14:paraId="076396EA"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24" w:type="dxa"/>
            <w:vAlign w:val="center"/>
            <w:hideMark/>
          </w:tcPr>
          <w:p w14:paraId="12A14EC6"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68" w:type="dxa"/>
            <w:vAlign w:val="center"/>
            <w:hideMark/>
          </w:tcPr>
          <w:p w14:paraId="5157CB82"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321" w:type="dxa"/>
            <w:vAlign w:val="center"/>
            <w:hideMark/>
          </w:tcPr>
          <w:p w14:paraId="3027224E"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60" w:type="dxa"/>
            <w:vAlign w:val="center"/>
            <w:hideMark/>
          </w:tcPr>
          <w:p w14:paraId="685BC946"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24" w:type="dxa"/>
            <w:vAlign w:val="center"/>
            <w:hideMark/>
          </w:tcPr>
          <w:p w14:paraId="24457273"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68" w:type="dxa"/>
            <w:vAlign w:val="center"/>
            <w:hideMark/>
          </w:tcPr>
          <w:p w14:paraId="17446E76"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321" w:type="dxa"/>
            <w:vAlign w:val="center"/>
            <w:hideMark/>
          </w:tcPr>
          <w:p w14:paraId="374E5FB0"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61" w:type="dxa"/>
            <w:vAlign w:val="center"/>
            <w:hideMark/>
          </w:tcPr>
          <w:p w14:paraId="54B9ACF7" w14:textId="77777777" w:rsidR="002F3D36" w:rsidRPr="002F3D36" w:rsidRDefault="002F3D36" w:rsidP="002F3D36">
            <w:pPr>
              <w:widowControl/>
              <w:jc w:val="left"/>
              <w:rPr>
                <w:rFonts w:ascii="Times New Roman" w:eastAsia="Times New Roman" w:hAnsi="Times New Roman" w:cs="Times New Roman"/>
                <w:kern w:val="0"/>
                <w:sz w:val="20"/>
                <w:szCs w:val="20"/>
              </w:rPr>
            </w:pPr>
          </w:p>
        </w:tc>
      </w:tr>
      <w:tr w:rsidR="002F3D36" w:rsidRPr="002F3D36" w14:paraId="5F930B47" w14:textId="77777777" w:rsidTr="002F3D36">
        <w:trPr>
          <w:trHeight w:val="160"/>
          <w:tblCellSpacing w:w="15" w:type="dxa"/>
        </w:trPr>
        <w:tc>
          <w:tcPr>
            <w:tcW w:w="0" w:type="auto"/>
            <w:vAlign w:val="bottom"/>
            <w:hideMark/>
          </w:tcPr>
          <w:p w14:paraId="53786930"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u w:val="single"/>
              </w:rPr>
              <w:t>OTHER COMPREHENSIVE LOSS / ENDING BALANCE</w:t>
            </w:r>
            <w:r w:rsidRPr="002F3D36">
              <w:rPr>
                <w:rFonts w:ascii="Arial" w:eastAsia="宋体" w:hAnsi="Arial" w:cs="Arial"/>
                <w:color w:val="000000"/>
                <w:kern w:val="0"/>
                <w:sz w:val="11"/>
                <w:szCs w:val="11"/>
              </w:rPr>
              <w:t>1)</w:t>
            </w:r>
            <w:r w:rsidRPr="002F3D36">
              <w:rPr>
                <w:rFonts w:ascii="Arial" w:eastAsia="宋体" w:hAnsi="Arial" w:cs="Arial"/>
                <w:color w:val="000000"/>
                <w:kern w:val="0"/>
                <w:sz w:val="16"/>
                <w:szCs w:val="16"/>
                <w:u w:val="single"/>
              </w:rPr>
              <w:t> (Dollars in millions)</w:t>
            </w:r>
          </w:p>
        </w:tc>
        <w:tc>
          <w:tcPr>
            <w:tcW w:w="0" w:type="auto"/>
            <w:vAlign w:val="bottom"/>
            <w:hideMark/>
          </w:tcPr>
          <w:p w14:paraId="4D6848DA"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2"/>
            <w:tcBorders>
              <w:bottom w:val="single" w:sz="4" w:space="0" w:color="000000"/>
            </w:tcBorders>
            <w:vAlign w:val="bottom"/>
            <w:hideMark/>
          </w:tcPr>
          <w:p w14:paraId="34BFBB0C"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2021</w:t>
            </w:r>
          </w:p>
        </w:tc>
        <w:tc>
          <w:tcPr>
            <w:tcW w:w="0" w:type="auto"/>
            <w:vAlign w:val="bottom"/>
            <w:hideMark/>
          </w:tcPr>
          <w:p w14:paraId="3A778BC2"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vAlign w:val="bottom"/>
            <w:hideMark/>
          </w:tcPr>
          <w:p w14:paraId="1739677F"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2"/>
            <w:tcBorders>
              <w:bottom w:val="single" w:sz="4" w:space="0" w:color="000000"/>
            </w:tcBorders>
            <w:vAlign w:val="bottom"/>
            <w:hideMark/>
          </w:tcPr>
          <w:p w14:paraId="10443AB2"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2020</w:t>
            </w:r>
          </w:p>
        </w:tc>
        <w:tc>
          <w:tcPr>
            <w:tcW w:w="0" w:type="auto"/>
            <w:vAlign w:val="bottom"/>
            <w:hideMark/>
          </w:tcPr>
          <w:p w14:paraId="248C840D"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vAlign w:val="bottom"/>
            <w:hideMark/>
          </w:tcPr>
          <w:p w14:paraId="3DB2A1D7"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2"/>
            <w:tcBorders>
              <w:bottom w:val="single" w:sz="4" w:space="0" w:color="000000"/>
            </w:tcBorders>
            <w:vAlign w:val="bottom"/>
            <w:hideMark/>
          </w:tcPr>
          <w:p w14:paraId="08F79B03"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2019</w:t>
            </w:r>
          </w:p>
        </w:tc>
        <w:tc>
          <w:tcPr>
            <w:tcW w:w="0" w:type="auto"/>
            <w:vAlign w:val="bottom"/>
            <w:hideMark/>
          </w:tcPr>
          <w:p w14:paraId="1E0276C4"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r>
      <w:tr w:rsidR="002F3D36" w:rsidRPr="002F3D36" w14:paraId="737DBB2D" w14:textId="77777777" w:rsidTr="002F3D36">
        <w:trPr>
          <w:trHeight w:val="180"/>
          <w:tblCellSpacing w:w="15" w:type="dxa"/>
        </w:trPr>
        <w:tc>
          <w:tcPr>
            <w:tcW w:w="0" w:type="auto"/>
            <w:shd w:val="clear" w:color="auto" w:fill="CFF0FC"/>
            <w:hideMark/>
          </w:tcPr>
          <w:p w14:paraId="272486F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Cumulative translation adjustments</w:t>
            </w:r>
          </w:p>
        </w:tc>
        <w:tc>
          <w:tcPr>
            <w:tcW w:w="0" w:type="auto"/>
            <w:shd w:val="clear" w:color="auto" w:fill="CFF0FC"/>
            <w:vAlign w:val="bottom"/>
            <w:hideMark/>
          </w:tcPr>
          <w:p w14:paraId="3F5AD2A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1A5116F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33EB76BF"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(355</w:t>
            </w:r>
          </w:p>
        </w:tc>
        <w:tc>
          <w:tcPr>
            <w:tcW w:w="0" w:type="auto"/>
            <w:shd w:val="clear" w:color="auto" w:fill="CFF0FC"/>
            <w:vAlign w:val="bottom"/>
            <w:hideMark/>
          </w:tcPr>
          <w:p w14:paraId="6B3755E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44E6601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5500696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0BD79C16"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(269</w:t>
            </w:r>
          </w:p>
        </w:tc>
        <w:tc>
          <w:tcPr>
            <w:tcW w:w="0" w:type="auto"/>
            <w:shd w:val="clear" w:color="auto" w:fill="CFF0FC"/>
            <w:vAlign w:val="bottom"/>
            <w:hideMark/>
          </w:tcPr>
          <w:p w14:paraId="698BB66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2FE1996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7CC62A2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594B128C"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(365</w:t>
            </w:r>
          </w:p>
        </w:tc>
        <w:tc>
          <w:tcPr>
            <w:tcW w:w="0" w:type="auto"/>
            <w:shd w:val="clear" w:color="auto" w:fill="CFF0FC"/>
            <w:vAlign w:val="bottom"/>
            <w:hideMark/>
          </w:tcPr>
          <w:p w14:paraId="301367B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r>
      <w:tr w:rsidR="002F3D36" w:rsidRPr="002F3D36" w14:paraId="0F1F1AE1" w14:textId="77777777" w:rsidTr="002F3D36">
        <w:trPr>
          <w:trHeight w:val="180"/>
          <w:tblCellSpacing w:w="15" w:type="dxa"/>
        </w:trPr>
        <w:tc>
          <w:tcPr>
            <w:tcW w:w="0" w:type="auto"/>
            <w:hideMark/>
          </w:tcPr>
          <w:p w14:paraId="3982B14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Net pension liability</w:t>
            </w:r>
          </w:p>
        </w:tc>
        <w:tc>
          <w:tcPr>
            <w:tcW w:w="0" w:type="auto"/>
            <w:vAlign w:val="bottom"/>
            <w:hideMark/>
          </w:tcPr>
          <w:p w14:paraId="65D8858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3E8677F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47B5DB62"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(52</w:t>
            </w:r>
          </w:p>
        </w:tc>
        <w:tc>
          <w:tcPr>
            <w:tcW w:w="0" w:type="auto"/>
            <w:vAlign w:val="bottom"/>
            <w:hideMark/>
          </w:tcPr>
          <w:p w14:paraId="26AE1A7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vAlign w:val="bottom"/>
            <w:hideMark/>
          </w:tcPr>
          <w:p w14:paraId="003A153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4F4D55A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64DB7348"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(78</w:t>
            </w:r>
          </w:p>
        </w:tc>
        <w:tc>
          <w:tcPr>
            <w:tcW w:w="0" w:type="auto"/>
            <w:vAlign w:val="bottom"/>
            <w:hideMark/>
          </w:tcPr>
          <w:p w14:paraId="51E27F4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vAlign w:val="bottom"/>
            <w:hideMark/>
          </w:tcPr>
          <w:p w14:paraId="793A874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5563EA7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75267187"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(84</w:t>
            </w:r>
          </w:p>
        </w:tc>
        <w:tc>
          <w:tcPr>
            <w:tcW w:w="0" w:type="auto"/>
            <w:vAlign w:val="bottom"/>
            <w:hideMark/>
          </w:tcPr>
          <w:p w14:paraId="5EDE3EE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r>
      <w:tr w:rsidR="002F3D36" w:rsidRPr="002F3D36" w14:paraId="3F2E25CD" w14:textId="77777777" w:rsidTr="002F3D36">
        <w:trPr>
          <w:trHeight w:val="180"/>
          <w:tblCellSpacing w:w="15" w:type="dxa"/>
        </w:trPr>
        <w:tc>
          <w:tcPr>
            <w:tcW w:w="0" w:type="auto"/>
            <w:shd w:val="clear" w:color="auto" w:fill="CFF0FC"/>
            <w:hideMark/>
          </w:tcPr>
          <w:p w14:paraId="3756D4B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Total (ending balance)</w:t>
            </w:r>
          </w:p>
        </w:tc>
        <w:tc>
          <w:tcPr>
            <w:tcW w:w="0" w:type="auto"/>
            <w:shd w:val="clear" w:color="auto" w:fill="CFF0FC"/>
            <w:vAlign w:val="bottom"/>
            <w:hideMark/>
          </w:tcPr>
          <w:p w14:paraId="192C874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5C4E1A6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tcBorders>
              <w:bottom w:val="single" w:sz="4" w:space="0" w:color="000000"/>
            </w:tcBorders>
            <w:shd w:val="clear" w:color="auto" w:fill="CFF0FC"/>
            <w:vAlign w:val="bottom"/>
            <w:hideMark/>
          </w:tcPr>
          <w:p w14:paraId="3B581EC3"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(408</w:t>
            </w:r>
          </w:p>
        </w:tc>
        <w:tc>
          <w:tcPr>
            <w:tcW w:w="0" w:type="auto"/>
            <w:shd w:val="clear" w:color="auto" w:fill="CFF0FC"/>
            <w:vAlign w:val="bottom"/>
            <w:hideMark/>
          </w:tcPr>
          <w:p w14:paraId="3EA0F8E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shd w:val="clear" w:color="auto" w:fill="CFF0FC"/>
            <w:vAlign w:val="bottom"/>
            <w:hideMark/>
          </w:tcPr>
          <w:p w14:paraId="40799C7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1475812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tcBorders>
              <w:bottom w:val="single" w:sz="4" w:space="0" w:color="000000"/>
            </w:tcBorders>
            <w:shd w:val="clear" w:color="auto" w:fill="CFF0FC"/>
            <w:vAlign w:val="bottom"/>
            <w:hideMark/>
          </w:tcPr>
          <w:p w14:paraId="7AE8F79B"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(347</w:t>
            </w:r>
          </w:p>
        </w:tc>
        <w:tc>
          <w:tcPr>
            <w:tcW w:w="0" w:type="auto"/>
            <w:shd w:val="clear" w:color="auto" w:fill="CFF0FC"/>
            <w:vAlign w:val="bottom"/>
            <w:hideMark/>
          </w:tcPr>
          <w:p w14:paraId="566FDCD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shd w:val="clear" w:color="auto" w:fill="CFF0FC"/>
            <w:vAlign w:val="bottom"/>
            <w:hideMark/>
          </w:tcPr>
          <w:p w14:paraId="1C78BEF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5F42B17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tcBorders>
              <w:bottom w:val="single" w:sz="4" w:space="0" w:color="000000"/>
            </w:tcBorders>
            <w:shd w:val="clear" w:color="auto" w:fill="CFF0FC"/>
            <w:vAlign w:val="bottom"/>
            <w:hideMark/>
          </w:tcPr>
          <w:p w14:paraId="1C9E203B"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(449</w:t>
            </w:r>
          </w:p>
        </w:tc>
        <w:tc>
          <w:tcPr>
            <w:tcW w:w="0" w:type="auto"/>
            <w:shd w:val="clear" w:color="auto" w:fill="CFF0FC"/>
            <w:vAlign w:val="bottom"/>
            <w:hideMark/>
          </w:tcPr>
          <w:p w14:paraId="79474BA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r>
      <w:tr w:rsidR="002F3D36" w:rsidRPr="002F3D36" w14:paraId="7EA357A0" w14:textId="77777777" w:rsidTr="002F3D36">
        <w:trPr>
          <w:tblCellSpacing w:w="15" w:type="dxa"/>
        </w:trPr>
        <w:tc>
          <w:tcPr>
            <w:tcW w:w="0" w:type="auto"/>
            <w:hideMark/>
          </w:tcPr>
          <w:p w14:paraId="686D051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3969E2A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gridSpan w:val="2"/>
            <w:vAlign w:val="bottom"/>
            <w:hideMark/>
          </w:tcPr>
          <w:p w14:paraId="2E282410"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54FC5107"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6EBD63D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gridSpan w:val="2"/>
            <w:vAlign w:val="bottom"/>
            <w:hideMark/>
          </w:tcPr>
          <w:p w14:paraId="72AD0BD2"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73AB5EE9"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106518F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gridSpan w:val="2"/>
            <w:vAlign w:val="bottom"/>
            <w:hideMark/>
          </w:tcPr>
          <w:p w14:paraId="117A989D"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273D8851"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68D35028" w14:textId="77777777" w:rsidTr="002F3D36">
        <w:trPr>
          <w:trHeight w:val="180"/>
          <w:tblCellSpacing w:w="15" w:type="dxa"/>
        </w:trPr>
        <w:tc>
          <w:tcPr>
            <w:tcW w:w="0" w:type="auto"/>
            <w:vAlign w:val="bottom"/>
            <w:hideMark/>
          </w:tcPr>
          <w:p w14:paraId="5B658AE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Deferred taxes on the pension liability</w:t>
            </w:r>
          </w:p>
        </w:tc>
        <w:tc>
          <w:tcPr>
            <w:tcW w:w="0" w:type="auto"/>
            <w:vAlign w:val="bottom"/>
            <w:hideMark/>
          </w:tcPr>
          <w:p w14:paraId="618EFB2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4546510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vAlign w:val="bottom"/>
            <w:hideMark/>
          </w:tcPr>
          <w:p w14:paraId="359F3A0F"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15</w:t>
            </w:r>
          </w:p>
        </w:tc>
        <w:tc>
          <w:tcPr>
            <w:tcW w:w="0" w:type="auto"/>
            <w:vAlign w:val="bottom"/>
            <w:hideMark/>
          </w:tcPr>
          <w:p w14:paraId="388313F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17A28FC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527287F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vAlign w:val="bottom"/>
            <w:hideMark/>
          </w:tcPr>
          <w:p w14:paraId="0ED774FD"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23</w:t>
            </w:r>
          </w:p>
        </w:tc>
        <w:tc>
          <w:tcPr>
            <w:tcW w:w="0" w:type="auto"/>
            <w:vAlign w:val="bottom"/>
            <w:hideMark/>
          </w:tcPr>
          <w:p w14:paraId="7AAFC85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44A6189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330AF28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vAlign w:val="bottom"/>
            <w:hideMark/>
          </w:tcPr>
          <w:p w14:paraId="46065D43"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25</w:t>
            </w:r>
          </w:p>
        </w:tc>
        <w:tc>
          <w:tcPr>
            <w:tcW w:w="0" w:type="auto"/>
            <w:vAlign w:val="bottom"/>
            <w:hideMark/>
          </w:tcPr>
          <w:p w14:paraId="7D34ACB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bl>
    <w:p w14:paraId="0DB700A7" w14:textId="77777777" w:rsidR="002F3D36" w:rsidRPr="002F3D36" w:rsidRDefault="002F3D36" w:rsidP="002F3D36">
      <w:pPr>
        <w:widowControl/>
        <w:jc w:val="left"/>
        <w:rPr>
          <w:rFonts w:ascii="Times New Roman" w:eastAsia="宋体" w:hAnsi="Times New Roman" w:cs="Times New Roman"/>
          <w:color w:val="000000"/>
          <w:kern w:val="0"/>
          <w:sz w:val="20"/>
          <w:szCs w:val="20"/>
        </w:rPr>
      </w:pPr>
      <w:r w:rsidRPr="002F3D36">
        <w:rPr>
          <w:rFonts w:ascii="Arial" w:eastAsia="宋体" w:hAnsi="Arial" w:cs="Arial"/>
          <w:color w:val="000000"/>
          <w:kern w:val="0"/>
          <w:sz w:val="4"/>
          <w:szCs w:val="4"/>
        </w:rPr>
        <w:t> </w:t>
      </w:r>
    </w:p>
    <w:p w14:paraId="40A0AC48"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6"/>
          <w:szCs w:val="16"/>
        </w:rPr>
        <w:t>1) The components of Other Comprehensive Loss are net of any related income tax effects.</w:t>
      </w:r>
    </w:p>
    <w:p w14:paraId="6EFE2709"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SHARE REPURCHASE PROGRAM</w:t>
      </w:r>
    </w:p>
    <w:p w14:paraId="272C7F27"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lastRenderedPageBreak/>
        <w:t>On December 31, 2021, the stock repurchase program authorized by the Board of Directors in 2014 expired with approximately 3 million shares remaining. In November 2021, the Board of Directors approved a new stock repurchase program that authorizes the Company to repurchase up to $1.5 billion or up to 17 million shares (whichever comes first) between January 2022 and the end of 2024.</w:t>
      </w:r>
    </w:p>
    <w:p w14:paraId="7116D0CF"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24"/>
          <w:szCs w:val="24"/>
        </w:rPr>
        <w:t> </w:t>
      </w:r>
    </w:p>
    <w:p w14:paraId="135586A5" w14:textId="77777777" w:rsidR="002F3D36" w:rsidRPr="002F3D36" w:rsidRDefault="002F3D36" w:rsidP="002F3D36">
      <w:pPr>
        <w:widowControl/>
        <w:spacing w:before="10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22"/>
        </w:rPr>
        <w:t>15. Supplemental Cash Flow Information</w:t>
      </w:r>
    </w:p>
    <w:p w14:paraId="531B1BB7"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Payments for interest and income taxes were as follows:</w:t>
      </w:r>
    </w:p>
    <w:p w14:paraId="52032906"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w:t>
      </w:r>
    </w:p>
    <w:tbl>
      <w:tblPr>
        <w:tblW w:w="16491" w:type="dxa"/>
        <w:tblCellSpacing w:w="15" w:type="dxa"/>
        <w:tblCellMar>
          <w:top w:w="15" w:type="dxa"/>
          <w:left w:w="15" w:type="dxa"/>
          <w:bottom w:w="15" w:type="dxa"/>
          <w:right w:w="15" w:type="dxa"/>
        </w:tblCellMar>
        <w:tblLook w:val="04A0" w:firstRow="1" w:lastRow="0" w:firstColumn="1" w:lastColumn="0" w:noHBand="0" w:noVBand="1"/>
      </w:tblPr>
      <w:tblGrid>
        <w:gridCol w:w="10201"/>
        <w:gridCol w:w="260"/>
        <w:gridCol w:w="303"/>
        <w:gridCol w:w="1352"/>
        <w:gridCol w:w="173"/>
        <w:gridCol w:w="261"/>
        <w:gridCol w:w="304"/>
        <w:gridCol w:w="1355"/>
        <w:gridCol w:w="173"/>
        <w:gridCol w:w="261"/>
        <w:gridCol w:w="304"/>
        <w:gridCol w:w="1355"/>
        <w:gridCol w:w="189"/>
      </w:tblGrid>
      <w:tr w:rsidR="002F3D36" w:rsidRPr="002F3D36" w14:paraId="4363BE30" w14:textId="77777777" w:rsidTr="002F3D36">
        <w:trPr>
          <w:tblCellSpacing w:w="15" w:type="dxa"/>
        </w:trPr>
        <w:tc>
          <w:tcPr>
            <w:tcW w:w="10179" w:type="dxa"/>
            <w:vAlign w:val="center"/>
            <w:hideMark/>
          </w:tcPr>
          <w:p w14:paraId="5E49BA72" w14:textId="77777777" w:rsidR="002F3D36" w:rsidRPr="002F3D36" w:rsidRDefault="002F3D36" w:rsidP="002F3D36">
            <w:pPr>
              <w:widowControl/>
              <w:jc w:val="left"/>
              <w:rPr>
                <w:rFonts w:ascii="Times New Roman" w:eastAsia="宋体" w:hAnsi="Times New Roman" w:cs="Times New Roman"/>
                <w:color w:val="000000"/>
                <w:kern w:val="0"/>
                <w:sz w:val="20"/>
                <w:szCs w:val="20"/>
              </w:rPr>
            </w:pPr>
          </w:p>
        </w:tc>
        <w:tc>
          <w:tcPr>
            <w:tcW w:w="231" w:type="dxa"/>
            <w:vAlign w:val="center"/>
            <w:hideMark/>
          </w:tcPr>
          <w:p w14:paraId="4D829D80"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74" w:type="dxa"/>
            <w:vAlign w:val="center"/>
            <w:hideMark/>
          </w:tcPr>
          <w:p w14:paraId="26E11B88"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324" w:type="dxa"/>
            <w:vAlign w:val="center"/>
            <w:hideMark/>
          </w:tcPr>
          <w:p w14:paraId="24E9F6B1"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43" w:type="dxa"/>
            <w:vAlign w:val="center"/>
            <w:hideMark/>
          </w:tcPr>
          <w:p w14:paraId="3EA9A650"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31" w:type="dxa"/>
            <w:vAlign w:val="center"/>
            <w:hideMark/>
          </w:tcPr>
          <w:p w14:paraId="0D5E25E1"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74" w:type="dxa"/>
            <w:vAlign w:val="center"/>
            <w:hideMark/>
          </w:tcPr>
          <w:p w14:paraId="6FDFE1E8"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327" w:type="dxa"/>
            <w:vAlign w:val="center"/>
            <w:hideMark/>
          </w:tcPr>
          <w:p w14:paraId="7AEA71D2"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43" w:type="dxa"/>
            <w:vAlign w:val="center"/>
            <w:hideMark/>
          </w:tcPr>
          <w:p w14:paraId="0F1D7EE7"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31" w:type="dxa"/>
            <w:vAlign w:val="center"/>
            <w:hideMark/>
          </w:tcPr>
          <w:p w14:paraId="799A0FE6"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74" w:type="dxa"/>
            <w:vAlign w:val="center"/>
            <w:hideMark/>
          </w:tcPr>
          <w:p w14:paraId="2660DC4C"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327" w:type="dxa"/>
            <w:vAlign w:val="center"/>
            <w:hideMark/>
          </w:tcPr>
          <w:p w14:paraId="6CF01F41"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44" w:type="dxa"/>
            <w:vAlign w:val="center"/>
            <w:hideMark/>
          </w:tcPr>
          <w:p w14:paraId="52EC0409" w14:textId="77777777" w:rsidR="002F3D36" w:rsidRPr="002F3D36" w:rsidRDefault="002F3D36" w:rsidP="002F3D36">
            <w:pPr>
              <w:widowControl/>
              <w:jc w:val="left"/>
              <w:rPr>
                <w:rFonts w:ascii="Times New Roman" w:eastAsia="Times New Roman" w:hAnsi="Times New Roman" w:cs="Times New Roman"/>
                <w:kern w:val="0"/>
                <w:sz w:val="20"/>
                <w:szCs w:val="20"/>
              </w:rPr>
            </w:pPr>
          </w:p>
        </w:tc>
      </w:tr>
      <w:tr w:rsidR="002F3D36" w:rsidRPr="002F3D36" w14:paraId="6A288E01" w14:textId="77777777" w:rsidTr="002F3D36">
        <w:trPr>
          <w:trHeight w:val="160"/>
          <w:tblCellSpacing w:w="15" w:type="dxa"/>
        </w:trPr>
        <w:tc>
          <w:tcPr>
            <w:tcW w:w="0" w:type="auto"/>
            <w:vAlign w:val="bottom"/>
            <w:hideMark/>
          </w:tcPr>
          <w:p w14:paraId="64840702"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color w:val="000000"/>
                <w:kern w:val="0"/>
                <w:sz w:val="16"/>
                <w:szCs w:val="16"/>
              </w:rPr>
              <w:t>(Dollars in millions)</w:t>
            </w:r>
          </w:p>
        </w:tc>
        <w:tc>
          <w:tcPr>
            <w:tcW w:w="0" w:type="auto"/>
            <w:vAlign w:val="bottom"/>
            <w:hideMark/>
          </w:tcPr>
          <w:p w14:paraId="380DD42F"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2"/>
            <w:tcBorders>
              <w:bottom w:val="single" w:sz="4" w:space="0" w:color="000000"/>
            </w:tcBorders>
            <w:vAlign w:val="bottom"/>
            <w:hideMark/>
          </w:tcPr>
          <w:p w14:paraId="0591DD9A"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2021</w:t>
            </w:r>
          </w:p>
        </w:tc>
        <w:tc>
          <w:tcPr>
            <w:tcW w:w="0" w:type="auto"/>
            <w:vAlign w:val="bottom"/>
            <w:hideMark/>
          </w:tcPr>
          <w:p w14:paraId="47EF1E35"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vAlign w:val="bottom"/>
            <w:hideMark/>
          </w:tcPr>
          <w:p w14:paraId="3B66B91C"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2"/>
            <w:tcBorders>
              <w:bottom w:val="single" w:sz="4" w:space="0" w:color="000000"/>
            </w:tcBorders>
            <w:vAlign w:val="bottom"/>
            <w:hideMark/>
          </w:tcPr>
          <w:p w14:paraId="6ED8498D"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2020</w:t>
            </w:r>
          </w:p>
        </w:tc>
        <w:tc>
          <w:tcPr>
            <w:tcW w:w="0" w:type="auto"/>
            <w:vAlign w:val="bottom"/>
            <w:hideMark/>
          </w:tcPr>
          <w:p w14:paraId="7A8A9304"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vAlign w:val="bottom"/>
            <w:hideMark/>
          </w:tcPr>
          <w:p w14:paraId="3136F6C4"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2"/>
            <w:tcBorders>
              <w:bottom w:val="single" w:sz="4" w:space="0" w:color="000000"/>
            </w:tcBorders>
            <w:vAlign w:val="bottom"/>
            <w:hideMark/>
          </w:tcPr>
          <w:p w14:paraId="24A58FDA"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2019</w:t>
            </w:r>
          </w:p>
        </w:tc>
        <w:tc>
          <w:tcPr>
            <w:tcW w:w="0" w:type="auto"/>
            <w:vAlign w:val="bottom"/>
            <w:hideMark/>
          </w:tcPr>
          <w:p w14:paraId="7E8C5F14"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r>
      <w:tr w:rsidR="002F3D36" w:rsidRPr="002F3D36" w14:paraId="4DBF09C7" w14:textId="77777777" w:rsidTr="002F3D36">
        <w:trPr>
          <w:trHeight w:val="180"/>
          <w:tblCellSpacing w:w="15" w:type="dxa"/>
        </w:trPr>
        <w:tc>
          <w:tcPr>
            <w:tcW w:w="0" w:type="auto"/>
            <w:shd w:val="clear" w:color="auto" w:fill="CFF0FC"/>
            <w:hideMark/>
          </w:tcPr>
          <w:p w14:paraId="30DCB36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Interest</w:t>
            </w:r>
          </w:p>
        </w:tc>
        <w:tc>
          <w:tcPr>
            <w:tcW w:w="0" w:type="auto"/>
            <w:shd w:val="clear" w:color="auto" w:fill="CFF0FC"/>
            <w:vAlign w:val="bottom"/>
            <w:hideMark/>
          </w:tcPr>
          <w:p w14:paraId="1DDC282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21FC311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62F2F9B1"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60</w:t>
            </w:r>
          </w:p>
        </w:tc>
        <w:tc>
          <w:tcPr>
            <w:tcW w:w="0" w:type="auto"/>
            <w:shd w:val="clear" w:color="auto" w:fill="CFF0FC"/>
            <w:vAlign w:val="bottom"/>
            <w:hideMark/>
          </w:tcPr>
          <w:p w14:paraId="1E61F51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2F0320A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2608AF9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3643FBAF"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73</w:t>
            </w:r>
          </w:p>
        </w:tc>
        <w:tc>
          <w:tcPr>
            <w:tcW w:w="0" w:type="auto"/>
            <w:shd w:val="clear" w:color="auto" w:fill="CFF0FC"/>
            <w:vAlign w:val="bottom"/>
            <w:hideMark/>
          </w:tcPr>
          <w:p w14:paraId="691B304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53180D7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5CC9DA8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46D2869A"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72</w:t>
            </w:r>
          </w:p>
        </w:tc>
        <w:tc>
          <w:tcPr>
            <w:tcW w:w="0" w:type="auto"/>
            <w:shd w:val="clear" w:color="auto" w:fill="CFF0FC"/>
            <w:vAlign w:val="bottom"/>
            <w:hideMark/>
          </w:tcPr>
          <w:p w14:paraId="158295F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74097CF9" w14:textId="77777777" w:rsidTr="002F3D36">
        <w:trPr>
          <w:trHeight w:val="180"/>
          <w:tblCellSpacing w:w="15" w:type="dxa"/>
        </w:trPr>
        <w:tc>
          <w:tcPr>
            <w:tcW w:w="0" w:type="auto"/>
            <w:hideMark/>
          </w:tcPr>
          <w:p w14:paraId="34E6FF3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Income taxes</w:t>
            </w:r>
          </w:p>
        </w:tc>
        <w:tc>
          <w:tcPr>
            <w:tcW w:w="0" w:type="auto"/>
            <w:vAlign w:val="bottom"/>
            <w:hideMark/>
          </w:tcPr>
          <w:p w14:paraId="1CD9DEB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center"/>
            <w:hideMark/>
          </w:tcPr>
          <w:p w14:paraId="6D41BE0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center"/>
            <w:hideMark/>
          </w:tcPr>
          <w:p w14:paraId="0E236763"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207</w:t>
            </w:r>
          </w:p>
        </w:tc>
        <w:tc>
          <w:tcPr>
            <w:tcW w:w="0" w:type="auto"/>
            <w:vAlign w:val="center"/>
            <w:hideMark/>
          </w:tcPr>
          <w:p w14:paraId="7F4202D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22734BE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3C3351C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17D4307C"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104</w:t>
            </w:r>
          </w:p>
        </w:tc>
        <w:tc>
          <w:tcPr>
            <w:tcW w:w="0" w:type="auto"/>
            <w:vAlign w:val="bottom"/>
            <w:hideMark/>
          </w:tcPr>
          <w:p w14:paraId="4254B09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46070C0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176683A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52D650B9"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192</w:t>
            </w:r>
          </w:p>
        </w:tc>
        <w:tc>
          <w:tcPr>
            <w:tcW w:w="0" w:type="auto"/>
            <w:vAlign w:val="bottom"/>
            <w:hideMark/>
          </w:tcPr>
          <w:p w14:paraId="02E3B0F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bl>
    <w:p w14:paraId="2B0C5CF7"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24"/>
          <w:szCs w:val="24"/>
        </w:rPr>
        <w:t> </w:t>
      </w:r>
    </w:p>
    <w:p w14:paraId="1457278E" w14:textId="77777777" w:rsidR="002F3D36" w:rsidRPr="002F3D36" w:rsidRDefault="002F3D36" w:rsidP="002F3D36">
      <w:pPr>
        <w:widowControl/>
        <w:jc w:val="left"/>
        <w:rPr>
          <w:rFonts w:ascii="Times New Roman" w:eastAsia="宋体" w:hAnsi="Times New Roman" w:cs="Times New Roman"/>
          <w:color w:val="000000"/>
          <w:kern w:val="0"/>
          <w:sz w:val="20"/>
          <w:szCs w:val="20"/>
        </w:rPr>
      </w:pPr>
      <w:r w:rsidRPr="002F3D36">
        <w:rPr>
          <w:rFonts w:ascii="Times New Roman" w:eastAsia="宋体" w:hAnsi="Times New Roman" w:cs="Times New Roman"/>
          <w:color w:val="000000"/>
          <w:kern w:val="0"/>
          <w:sz w:val="20"/>
          <w:szCs w:val="20"/>
        </w:rPr>
        <w:t> </w:t>
      </w:r>
    </w:p>
    <w:p w14:paraId="6E95326C" w14:textId="77777777" w:rsidR="002F3D36" w:rsidRPr="002F3D36" w:rsidRDefault="002F3D36" w:rsidP="002F3D36">
      <w:pPr>
        <w:widowControl/>
        <w:spacing w:before="240"/>
        <w:jc w:val="center"/>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77</w:t>
      </w:r>
    </w:p>
    <w:p w14:paraId="6CBC5025" w14:textId="77777777" w:rsidR="002F3D36" w:rsidRPr="002F3D36" w:rsidRDefault="002F3D36" w:rsidP="002F3D36">
      <w:pPr>
        <w:widowControl/>
        <w:jc w:val="left"/>
        <w:rPr>
          <w:rFonts w:ascii="宋体" w:eastAsia="宋体" w:hAnsi="宋体" w:cs="宋体"/>
          <w:kern w:val="0"/>
          <w:sz w:val="24"/>
          <w:szCs w:val="24"/>
        </w:rPr>
      </w:pPr>
      <w:r w:rsidRPr="002F3D36">
        <w:rPr>
          <w:rFonts w:ascii="宋体" w:eastAsia="宋体" w:hAnsi="宋体" w:cs="宋体"/>
          <w:kern w:val="0"/>
          <w:sz w:val="24"/>
          <w:szCs w:val="24"/>
        </w:rPr>
        <w:pict w14:anchorId="5F1C9870">
          <v:rect id="_x0000_i1104" style="width:0;height:1.5pt" o:hralign="center" o:hrstd="t" o:hrnoshade="t" o:hr="t" fillcolor="black" stroked="f"/>
        </w:pict>
      </w:r>
    </w:p>
    <w:p w14:paraId="0F5B7F79" w14:textId="77777777" w:rsidR="002F3D36" w:rsidRPr="002F3D36" w:rsidRDefault="002F3D36" w:rsidP="002F3D36">
      <w:pPr>
        <w:widowControl/>
        <w:spacing w:line="20" w:lineRule="atLeast"/>
        <w:jc w:val="left"/>
        <w:rPr>
          <w:rFonts w:ascii="Times New Roman" w:eastAsia="宋体" w:hAnsi="Times New Roman" w:cs="Times New Roman"/>
          <w:color w:val="000000"/>
          <w:kern w:val="0"/>
          <w:sz w:val="20"/>
          <w:szCs w:val="20"/>
        </w:rPr>
      </w:pPr>
      <w:r w:rsidRPr="002F3D36">
        <w:rPr>
          <w:rFonts w:ascii="Arial" w:eastAsia="宋体" w:hAnsi="Arial" w:cs="Arial"/>
          <w:color w:val="000000"/>
          <w:kern w:val="0"/>
          <w:sz w:val="2"/>
          <w:szCs w:val="2"/>
        </w:rPr>
        <w:t> </w:t>
      </w:r>
    </w:p>
    <w:p w14:paraId="44360B51" w14:textId="77777777" w:rsidR="002F3D36" w:rsidRPr="002F3D36" w:rsidRDefault="002F3D36" w:rsidP="002F3D36">
      <w:pPr>
        <w:widowControl/>
        <w:spacing w:before="10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22"/>
        </w:rPr>
        <w:t>16. Stock Incentive Plan</w:t>
      </w:r>
    </w:p>
    <w:p w14:paraId="685CEB67"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xml:space="preserve">Eligible employees and non-employee directors of Autoliv participate in the Autoliv, Inc. 1997 Stock Incentive Plan, as amended and received Autoliv stock-based awards which include stock options (SOs), restricted stock units (RSUs) and performance shares (PSUs). </w:t>
      </w:r>
    </w:p>
    <w:p w14:paraId="4FBFCB79"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The fair value of the RSUs and PSUs is calculated as the grant date fair value of the shares expected to be issued. The RSUs and PSUs granted in 2021, 2020 and 2019 entitle the grantee to receive dividend equivalents in the form of additional RSUs subject to the same vesting conditions as the underlying RSUs and PSUs. For the grants made during 2021, 2020 and 2019, the fair value of a RSU and a PSU was calculated by using the closing stock price on the grant date. The grant date fair value during 2021 was approximately $6 million for the RSUs and approximately $6 million for the PSUs.</w:t>
      </w:r>
    </w:p>
    <w:p w14:paraId="0BEDC0DE"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Under the compensation policy approved in 2020, the Company’s non-employee directors receive RSUs equivalent to approximately 54% of their annual base retainer except for the Chairman of the Board of Directors who also receives 50% of his Non-Executive Chairman supplemental retainer in RSUs. All RSUs vest in one installment on the earlier of the next AGM or the first anniversary of the grant date, in each case subject to the grantee’s continued service as a non-employee director on the vesting date with limited exceptions. The RSUs granted to the Company’s non-employee directors entitle the grantee to receive dividend equivalents in the form of additional RSUs subject to the same vesting conditions as the underlying RSUs. The grant date fair value for the RSUs granted in 2021 to the Company’s non-employee directors was approximately $1 million.</w:t>
      </w:r>
    </w:p>
    <w:p w14:paraId="3B0CCB4E"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The source of the shares issued upon vesting of awards is generally from treasury shares. The Stock Incentive Plan provides for the issuance of up to 9,585,055 common shares for awards. At December 31, 2021, 6,812,805 of these shares have been issued for awards which includes 93,455 shares of common stock issued to non-employee directors in satisfaction of all or a portion of his or her annual base retainer for service on the Board. Included within the RSUs granted in 2021 are 15,530 RSUs issued to non-</w:t>
      </w:r>
      <w:r w:rsidRPr="002F3D36">
        <w:rPr>
          <w:rFonts w:ascii="Arial" w:eastAsia="宋体" w:hAnsi="Arial" w:cs="Arial"/>
          <w:color w:val="000000"/>
          <w:kern w:val="0"/>
          <w:sz w:val="18"/>
          <w:szCs w:val="18"/>
        </w:rPr>
        <w:lastRenderedPageBreak/>
        <w:t>employee directors in satisfaction of all or a portion of his or her annual base retainer for service on the Board.</w:t>
      </w:r>
    </w:p>
    <w:p w14:paraId="74E05430"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xml:space="preserve">In 2015 and earlier, stock awards were granted in the form of SOs and RSUs. All SOs were granted for 10-year terms, had an exercise price equal to the fair value of the share at the date of grant, and became exercisable after one year of continued employment following the grant date. The average grant date fair values of SOs were calculated using the Black-Scholes valuation model. The Company used historical exercise data for determining the expected life assumption. Expected volatility was based on historical and implied volatility. </w:t>
      </w:r>
    </w:p>
    <w:p w14:paraId="5D0AA202"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The Company recorded approximately $10 million, $12 million and $8 million stock-based compensation expense related to RSUs and PSUs for 2021, 2020 and 2019, respectively. The total compensation cost related to non-vested awards not yet recognized is $13 million for RSUs and PSs and the weighted average period over which this cost is expected to be recognized is approximately 1.7 years. There are no remaining unrecognized compensation costs associated with SOs.</w:t>
      </w:r>
    </w:p>
    <w:p w14:paraId="7BF60834"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Information on the number of RSUs, PSUs and SOs related to the Stock Incentive Plan during the period of 2019 to 2021 is as follows.</w:t>
      </w:r>
    </w:p>
    <w:p w14:paraId="28A5BF28"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w:t>
      </w:r>
    </w:p>
    <w:tbl>
      <w:tblPr>
        <w:tblW w:w="16491" w:type="dxa"/>
        <w:tblCellSpacing w:w="15" w:type="dxa"/>
        <w:tblCellMar>
          <w:top w:w="15" w:type="dxa"/>
          <w:left w:w="15" w:type="dxa"/>
          <w:bottom w:w="15" w:type="dxa"/>
          <w:right w:w="15" w:type="dxa"/>
        </w:tblCellMar>
        <w:tblLook w:val="04A0" w:firstRow="1" w:lastRow="0" w:firstColumn="1" w:lastColumn="0" w:noHBand="0" w:noVBand="1"/>
      </w:tblPr>
      <w:tblGrid>
        <w:gridCol w:w="8816"/>
        <w:gridCol w:w="215"/>
        <w:gridCol w:w="288"/>
        <w:gridCol w:w="1863"/>
        <w:gridCol w:w="184"/>
        <w:gridCol w:w="216"/>
        <w:gridCol w:w="289"/>
        <w:gridCol w:w="1887"/>
        <w:gridCol w:w="184"/>
        <w:gridCol w:w="216"/>
        <w:gridCol w:w="289"/>
        <w:gridCol w:w="1844"/>
        <w:gridCol w:w="200"/>
      </w:tblGrid>
      <w:tr w:rsidR="002F3D36" w:rsidRPr="002F3D36" w14:paraId="3BB98475" w14:textId="77777777" w:rsidTr="002F3D36">
        <w:trPr>
          <w:tblCellSpacing w:w="15" w:type="dxa"/>
        </w:trPr>
        <w:tc>
          <w:tcPr>
            <w:tcW w:w="8789" w:type="dxa"/>
            <w:vAlign w:val="center"/>
            <w:hideMark/>
          </w:tcPr>
          <w:p w14:paraId="79A33C91" w14:textId="77777777" w:rsidR="002F3D36" w:rsidRPr="002F3D36" w:rsidRDefault="002F3D36" w:rsidP="002F3D36">
            <w:pPr>
              <w:widowControl/>
              <w:jc w:val="left"/>
              <w:rPr>
                <w:rFonts w:ascii="Times New Roman" w:eastAsia="宋体" w:hAnsi="Times New Roman" w:cs="Times New Roman"/>
                <w:color w:val="000000"/>
                <w:kern w:val="0"/>
                <w:sz w:val="20"/>
                <w:szCs w:val="20"/>
              </w:rPr>
            </w:pPr>
          </w:p>
        </w:tc>
        <w:tc>
          <w:tcPr>
            <w:tcW w:w="186" w:type="dxa"/>
            <w:vAlign w:val="center"/>
            <w:hideMark/>
          </w:tcPr>
          <w:p w14:paraId="06577B1E"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59" w:type="dxa"/>
            <w:vAlign w:val="center"/>
            <w:hideMark/>
          </w:tcPr>
          <w:p w14:paraId="651AEBDD"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836" w:type="dxa"/>
            <w:vAlign w:val="center"/>
            <w:hideMark/>
          </w:tcPr>
          <w:p w14:paraId="54D75F71"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54" w:type="dxa"/>
            <w:vAlign w:val="center"/>
            <w:hideMark/>
          </w:tcPr>
          <w:p w14:paraId="657549F1"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86" w:type="dxa"/>
            <w:vAlign w:val="center"/>
            <w:hideMark/>
          </w:tcPr>
          <w:p w14:paraId="5FA27EDC"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59" w:type="dxa"/>
            <w:vAlign w:val="center"/>
            <w:hideMark/>
          </w:tcPr>
          <w:p w14:paraId="77E9B5BB"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860" w:type="dxa"/>
            <w:vAlign w:val="center"/>
            <w:hideMark/>
          </w:tcPr>
          <w:p w14:paraId="5BEDB1C8"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54" w:type="dxa"/>
            <w:vAlign w:val="center"/>
            <w:hideMark/>
          </w:tcPr>
          <w:p w14:paraId="48CA2065"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86" w:type="dxa"/>
            <w:vAlign w:val="center"/>
            <w:hideMark/>
          </w:tcPr>
          <w:p w14:paraId="0D499B43"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59" w:type="dxa"/>
            <w:vAlign w:val="center"/>
            <w:hideMark/>
          </w:tcPr>
          <w:p w14:paraId="5BD60146"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817" w:type="dxa"/>
            <w:vAlign w:val="center"/>
            <w:hideMark/>
          </w:tcPr>
          <w:p w14:paraId="3BFBD384"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55" w:type="dxa"/>
            <w:vAlign w:val="center"/>
            <w:hideMark/>
          </w:tcPr>
          <w:p w14:paraId="46EE36CF" w14:textId="77777777" w:rsidR="002F3D36" w:rsidRPr="002F3D36" w:rsidRDefault="002F3D36" w:rsidP="002F3D36">
            <w:pPr>
              <w:widowControl/>
              <w:jc w:val="left"/>
              <w:rPr>
                <w:rFonts w:ascii="Times New Roman" w:eastAsia="Times New Roman" w:hAnsi="Times New Roman" w:cs="Times New Roman"/>
                <w:kern w:val="0"/>
                <w:sz w:val="20"/>
                <w:szCs w:val="20"/>
              </w:rPr>
            </w:pPr>
          </w:p>
        </w:tc>
      </w:tr>
      <w:tr w:rsidR="002F3D36" w:rsidRPr="002F3D36" w14:paraId="24643635" w14:textId="77777777" w:rsidTr="002F3D36">
        <w:trPr>
          <w:trHeight w:val="160"/>
          <w:tblCellSpacing w:w="15" w:type="dxa"/>
        </w:trPr>
        <w:tc>
          <w:tcPr>
            <w:tcW w:w="0" w:type="auto"/>
            <w:hideMark/>
          </w:tcPr>
          <w:p w14:paraId="571B4D80"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u w:val="single"/>
              </w:rPr>
              <w:t>RSUs</w:t>
            </w:r>
          </w:p>
        </w:tc>
        <w:tc>
          <w:tcPr>
            <w:tcW w:w="0" w:type="auto"/>
            <w:vAlign w:val="bottom"/>
            <w:hideMark/>
          </w:tcPr>
          <w:p w14:paraId="4D790EE7"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2"/>
            <w:tcBorders>
              <w:bottom w:val="single" w:sz="4" w:space="0" w:color="000000"/>
            </w:tcBorders>
            <w:vAlign w:val="bottom"/>
            <w:hideMark/>
          </w:tcPr>
          <w:p w14:paraId="383D80DF"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2021</w:t>
            </w:r>
          </w:p>
        </w:tc>
        <w:tc>
          <w:tcPr>
            <w:tcW w:w="0" w:type="auto"/>
            <w:vAlign w:val="bottom"/>
            <w:hideMark/>
          </w:tcPr>
          <w:p w14:paraId="2A85B365"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vAlign w:val="bottom"/>
            <w:hideMark/>
          </w:tcPr>
          <w:p w14:paraId="663FEF00"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2"/>
            <w:tcBorders>
              <w:bottom w:val="single" w:sz="4" w:space="0" w:color="000000"/>
            </w:tcBorders>
            <w:vAlign w:val="bottom"/>
            <w:hideMark/>
          </w:tcPr>
          <w:p w14:paraId="3DC0AD84"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2020</w:t>
            </w:r>
          </w:p>
        </w:tc>
        <w:tc>
          <w:tcPr>
            <w:tcW w:w="0" w:type="auto"/>
            <w:vAlign w:val="bottom"/>
            <w:hideMark/>
          </w:tcPr>
          <w:p w14:paraId="23CD649E"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vAlign w:val="bottom"/>
            <w:hideMark/>
          </w:tcPr>
          <w:p w14:paraId="1999B5B3"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2"/>
            <w:tcBorders>
              <w:bottom w:val="single" w:sz="4" w:space="0" w:color="000000"/>
            </w:tcBorders>
            <w:vAlign w:val="bottom"/>
            <w:hideMark/>
          </w:tcPr>
          <w:p w14:paraId="38DC65A0"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2019</w:t>
            </w:r>
          </w:p>
        </w:tc>
        <w:tc>
          <w:tcPr>
            <w:tcW w:w="0" w:type="auto"/>
            <w:vAlign w:val="bottom"/>
            <w:hideMark/>
          </w:tcPr>
          <w:p w14:paraId="7A337D8B"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r>
      <w:tr w:rsidR="002F3D36" w:rsidRPr="002F3D36" w14:paraId="78FAEB8B" w14:textId="77777777" w:rsidTr="002F3D36">
        <w:trPr>
          <w:trHeight w:val="180"/>
          <w:tblCellSpacing w:w="15" w:type="dxa"/>
        </w:trPr>
        <w:tc>
          <w:tcPr>
            <w:tcW w:w="0" w:type="auto"/>
            <w:shd w:val="clear" w:color="auto" w:fill="CFF0FC"/>
            <w:hideMark/>
          </w:tcPr>
          <w:p w14:paraId="33805AB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Weighted average fair value at grant date</w:t>
            </w:r>
          </w:p>
        </w:tc>
        <w:tc>
          <w:tcPr>
            <w:tcW w:w="0" w:type="auto"/>
            <w:shd w:val="clear" w:color="auto" w:fill="CFF0FC"/>
            <w:vAlign w:val="bottom"/>
            <w:hideMark/>
          </w:tcPr>
          <w:p w14:paraId="5E24A83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3F565DB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shd w:val="clear" w:color="auto" w:fill="CFF0FC"/>
            <w:vAlign w:val="bottom"/>
            <w:hideMark/>
          </w:tcPr>
          <w:p w14:paraId="6F55E223"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94.01</w:t>
            </w:r>
          </w:p>
        </w:tc>
        <w:tc>
          <w:tcPr>
            <w:tcW w:w="0" w:type="auto"/>
            <w:shd w:val="clear" w:color="auto" w:fill="CFF0FC"/>
            <w:vAlign w:val="bottom"/>
            <w:hideMark/>
          </w:tcPr>
          <w:p w14:paraId="4CD13C7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1208B24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72AB8DC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shd w:val="clear" w:color="auto" w:fill="CFF0FC"/>
            <w:vAlign w:val="bottom"/>
            <w:hideMark/>
          </w:tcPr>
          <w:p w14:paraId="3A6BED08"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69.58</w:t>
            </w:r>
          </w:p>
        </w:tc>
        <w:tc>
          <w:tcPr>
            <w:tcW w:w="0" w:type="auto"/>
            <w:shd w:val="clear" w:color="auto" w:fill="CFF0FC"/>
            <w:vAlign w:val="bottom"/>
            <w:hideMark/>
          </w:tcPr>
          <w:p w14:paraId="5971139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620A415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3E7A194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shd w:val="clear" w:color="auto" w:fill="CFF0FC"/>
            <w:vAlign w:val="bottom"/>
            <w:hideMark/>
          </w:tcPr>
          <w:p w14:paraId="6D295F42"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76.85</w:t>
            </w:r>
          </w:p>
        </w:tc>
        <w:tc>
          <w:tcPr>
            <w:tcW w:w="0" w:type="auto"/>
            <w:shd w:val="clear" w:color="auto" w:fill="CFF0FC"/>
            <w:vAlign w:val="bottom"/>
            <w:hideMark/>
          </w:tcPr>
          <w:p w14:paraId="6738615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4D6117D6" w14:textId="77777777" w:rsidTr="002F3D36">
        <w:trPr>
          <w:tblCellSpacing w:w="15" w:type="dxa"/>
        </w:trPr>
        <w:tc>
          <w:tcPr>
            <w:tcW w:w="0" w:type="auto"/>
            <w:hideMark/>
          </w:tcPr>
          <w:p w14:paraId="4D2B226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0AD3299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gridSpan w:val="2"/>
            <w:vAlign w:val="bottom"/>
            <w:hideMark/>
          </w:tcPr>
          <w:p w14:paraId="61EEBEAC"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1F15B742"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1F24329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gridSpan w:val="2"/>
            <w:vAlign w:val="bottom"/>
            <w:hideMark/>
          </w:tcPr>
          <w:p w14:paraId="4AB5E655"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3F52210C"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4CCA9ED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gridSpan w:val="2"/>
            <w:vAlign w:val="bottom"/>
            <w:hideMark/>
          </w:tcPr>
          <w:p w14:paraId="143CF4B4"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01845943"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76EC8DD9" w14:textId="77777777" w:rsidTr="002F3D36">
        <w:trPr>
          <w:trHeight w:val="180"/>
          <w:tblCellSpacing w:w="15" w:type="dxa"/>
        </w:trPr>
        <w:tc>
          <w:tcPr>
            <w:tcW w:w="0" w:type="auto"/>
            <w:shd w:val="clear" w:color="auto" w:fill="CFF0FC"/>
            <w:hideMark/>
          </w:tcPr>
          <w:p w14:paraId="20DC44F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Outstanding at beginning of year</w:t>
            </w:r>
          </w:p>
        </w:tc>
        <w:tc>
          <w:tcPr>
            <w:tcW w:w="0" w:type="auto"/>
            <w:shd w:val="clear" w:color="auto" w:fill="CFF0FC"/>
            <w:vAlign w:val="bottom"/>
            <w:hideMark/>
          </w:tcPr>
          <w:p w14:paraId="3D4D621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5CB9AB7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59F46952"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244,901</w:t>
            </w:r>
          </w:p>
        </w:tc>
        <w:tc>
          <w:tcPr>
            <w:tcW w:w="0" w:type="auto"/>
            <w:shd w:val="clear" w:color="auto" w:fill="CFF0FC"/>
            <w:vAlign w:val="bottom"/>
            <w:hideMark/>
          </w:tcPr>
          <w:p w14:paraId="10794E4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18BBB07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736D761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4957EDF4"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255,195</w:t>
            </w:r>
          </w:p>
        </w:tc>
        <w:tc>
          <w:tcPr>
            <w:tcW w:w="0" w:type="auto"/>
            <w:shd w:val="clear" w:color="auto" w:fill="CFF0FC"/>
            <w:vAlign w:val="bottom"/>
            <w:hideMark/>
          </w:tcPr>
          <w:p w14:paraId="4D5079E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2360E7E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57ADA57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3BB0CB0D"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262,074</w:t>
            </w:r>
          </w:p>
        </w:tc>
        <w:tc>
          <w:tcPr>
            <w:tcW w:w="0" w:type="auto"/>
            <w:shd w:val="clear" w:color="auto" w:fill="CFF0FC"/>
            <w:vAlign w:val="bottom"/>
            <w:hideMark/>
          </w:tcPr>
          <w:p w14:paraId="086A73E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1D6E0E9D" w14:textId="77777777" w:rsidTr="002F3D36">
        <w:trPr>
          <w:trHeight w:val="180"/>
          <w:tblCellSpacing w:w="15" w:type="dxa"/>
        </w:trPr>
        <w:tc>
          <w:tcPr>
            <w:tcW w:w="0" w:type="auto"/>
            <w:hideMark/>
          </w:tcPr>
          <w:p w14:paraId="6C0ABB7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Granted</w:t>
            </w:r>
          </w:p>
        </w:tc>
        <w:tc>
          <w:tcPr>
            <w:tcW w:w="0" w:type="auto"/>
            <w:vAlign w:val="bottom"/>
            <w:hideMark/>
          </w:tcPr>
          <w:p w14:paraId="72C7756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68F0369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626B9CB7"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81,866</w:t>
            </w:r>
          </w:p>
        </w:tc>
        <w:tc>
          <w:tcPr>
            <w:tcW w:w="0" w:type="auto"/>
            <w:vAlign w:val="bottom"/>
            <w:hideMark/>
          </w:tcPr>
          <w:p w14:paraId="5568127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14992DF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5385CC5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4EFD6E30"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115,500</w:t>
            </w:r>
          </w:p>
        </w:tc>
        <w:tc>
          <w:tcPr>
            <w:tcW w:w="0" w:type="auto"/>
            <w:vAlign w:val="bottom"/>
            <w:hideMark/>
          </w:tcPr>
          <w:p w14:paraId="6B790AF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1DA5A1C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763C549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03860405"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109,653</w:t>
            </w:r>
          </w:p>
        </w:tc>
        <w:tc>
          <w:tcPr>
            <w:tcW w:w="0" w:type="auto"/>
            <w:vAlign w:val="bottom"/>
            <w:hideMark/>
          </w:tcPr>
          <w:p w14:paraId="4754DB4E"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5F2AB0AA" w14:textId="77777777" w:rsidTr="002F3D36">
        <w:trPr>
          <w:trHeight w:val="180"/>
          <w:tblCellSpacing w:w="15" w:type="dxa"/>
        </w:trPr>
        <w:tc>
          <w:tcPr>
            <w:tcW w:w="0" w:type="auto"/>
            <w:shd w:val="clear" w:color="auto" w:fill="CFF0FC"/>
            <w:hideMark/>
          </w:tcPr>
          <w:p w14:paraId="2233574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Shares issued</w:t>
            </w:r>
          </w:p>
        </w:tc>
        <w:tc>
          <w:tcPr>
            <w:tcW w:w="0" w:type="auto"/>
            <w:shd w:val="clear" w:color="auto" w:fill="CFF0FC"/>
            <w:vAlign w:val="bottom"/>
            <w:hideMark/>
          </w:tcPr>
          <w:p w14:paraId="26A737A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780DB4E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40E15868"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(99,399</w:t>
            </w:r>
          </w:p>
        </w:tc>
        <w:tc>
          <w:tcPr>
            <w:tcW w:w="0" w:type="auto"/>
            <w:shd w:val="clear" w:color="auto" w:fill="CFF0FC"/>
            <w:vAlign w:val="bottom"/>
            <w:hideMark/>
          </w:tcPr>
          <w:p w14:paraId="2009760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2600F79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0E27B6B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2499A0A4"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(105,750</w:t>
            </w:r>
          </w:p>
        </w:tc>
        <w:tc>
          <w:tcPr>
            <w:tcW w:w="0" w:type="auto"/>
            <w:shd w:val="clear" w:color="auto" w:fill="CFF0FC"/>
            <w:vAlign w:val="bottom"/>
            <w:hideMark/>
          </w:tcPr>
          <w:p w14:paraId="34B4675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07EDD53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4A1A746E"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73F16FAF"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(86,086</w:t>
            </w:r>
          </w:p>
        </w:tc>
        <w:tc>
          <w:tcPr>
            <w:tcW w:w="0" w:type="auto"/>
            <w:shd w:val="clear" w:color="auto" w:fill="CFF0FC"/>
            <w:vAlign w:val="bottom"/>
            <w:hideMark/>
          </w:tcPr>
          <w:p w14:paraId="1056709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r>
      <w:tr w:rsidR="002F3D36" w:rsidRPr="002F3D36" w14:paraId="625B512B" w14:textId="77777777" w:rsidTr="002F3D36">
        <w:trPr>
          <w:trHeight w:val="180"/>
          <w:tblCellSpacing w:w="15" w:type="dxa"/>
        </w:trPr>
        <w:tc>
          <w:tcPr>
            <w:tcW w:w="0" w:type="auto"/>
            <w:hideMark/>
          </w:tcPr>
          <w:p w14:paraId="03C8591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Cancelled/Forfeited/Expired</w:t>
            </w:r>
          </w:p>
        </w:tc>
        <w:tc>
          <w:tcPr>
            <w:tcW w:w="0" w:type="auto"/>
            <w:vAlign w:val="bottom"/>
            <w:hideMark/>
          </w:tcPr>
          <w:p w14:paraId="380F112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35114BA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738EFFC8"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(9,100</w:t>
            </w:r>
          </w:p>
        </w:tc>
        <w:tc>
          <w:tcPr>
            <w:tcW w:w="0" w:type="auto"/>
            <w:vAlign w:val="bottom"/>
            <w:hideMark/>
          </w:tcPr>
          <w:p w14:paraId="4FF7808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vAlign w:val="bottom"/>
            <w:hideMark/>
          </w:tcPr>
          <w:p w14:paraId="6509E7F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48141E4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46D9A0AB"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(20,044</w:t>
            </w:r>
          </w:p>
        </w:tc>
        <w:tc>
          <w:tcPr>
            <w:tcW w:w="0" w:type="auto"/>
            <w:vAlign w:val="bottom"/>
            <w:hideMark/>
          </w:tcPr>
          <w:p w14:paraId="25F5A00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vAlign w:val="bottom"/>
            <w:hideMark/>
          </w:tcPr>
          <w:p w14:paraId="5B09199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07268E2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6D28CDD4"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(30,446</w:t>
            </w:r>
          </w:p>
        </w:tc>
        <w:tc>
          <w:tcPr>
            <w:tcW w:w="0" w:type="auto"/>
            <w:vAlign w:val="bottom"/>
            <w:hideMark/>
          </w:tcPr>
          <w:p w14:paraId="516D1F6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r>
      <w:tr w:rsidR="002F3D36" w:rsidRPr="002F3D36" w14:paraId="3638E57E" w14:textId="77777777" w:rsidTr="002F3D36">
        <w:trPr>
          <w:trHeight w:val="180"/>
          <w:tblCellSpacing w:w="15" w:type="dxa"/>
        </w:trPr>
        <w:tc>
          <w:tcPr>
            <w:tcW w:w="0" w:type="auto"/>
            <w:shd w:val="clear" w:color="auto" w:fill="CFF0FC"/>
            <w:hideMark/>
          </w:tcPr>
          <w:p w14:paraId="6445BDC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Outstanding at end of year</w:t>
            </w:r>
          </w:p>
        </w:tc>
        <w:tc>
          <w:tcPr>
            <w:tcW w:w="0" w:type="auto"/>
            <w:shd w:val="clear" w:color="auto" w:fill="CFF0FC"/>
            <w:vAlign w:val="bottom"/>
            <w:hideMark/>
          </w:tcPr>
          <w:p w14:paraId="628E6F5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0D52DDC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3F12444D"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218,268</w:t>
            </w:r>
          </w:p>
        </w:tc>
        <w:tc>
          <w:tcPr>
            <w:tcW w:w="0" w:type="auto"/>
            <w:shd w:val="clear" w:color="auto" w:fill="CFF0FC"/>
            <w:vAlign w:val="bottom"/>
            <w:hideMark/>
          </w:tcPr>
          <w:p w14:paraId="3AD31C3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4FEEF09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1C9136B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09EDAEA1"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244,901</w:t>
            </w:r>
          </w:p>
        </w:tc>
        <w:tc>
          <w:tcPr>
            <w:tcW w:w="0" w:type="auto"/>
            <w:shd w:val="clear" w:color="auto" w:fill="CFF0FC"/>
            <w:vAlign w:val="bottom"/>
            <w:hideMark/>
          </w:tcPr>
          <w:p w14:paraId="7E51124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07372C0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6AA1A4BE"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563A0BCD"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255,195</w:t>
            </w:r>
          </w:p>
        </w:tc>
        <w:tc>
          <w:tcPr>
            <w:tcW w:w="0" w:type="auto"/>
            <w:shd w:val="clear" w:color="auto" w:fill="CFF0FC"/>
            <w:vAlign w:val="bottom"/>
            <w:hideMark/>
          </w:tcPr>
          <w:p w14:paraId="0BE39E3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bl>
    <w:p w14:paraId="3FC8D9E1" w14:textId="77777777" w:rsidR="002F3D36" w:rsidRPr="002F3D36" w:rsidRDefault="002F3D36" w:rsidP="002F3D36">
      <w:pPr>
        <w:widowControl/>
        <w:spacing w:before="6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w:t>
      </w:r>
    </w:p>
    <w:p w14:paraId="175B750B" w14:textId="77777777" w:rsidR="002F3D36" w:rsidRPr="002F3D36" w:rsidRDefault="002F3D36" w:rsidP="002F3D36">
      <w:pPr>
        <w:widowControl/>
        <w:spacing w:before="6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The aggregate intrinsic value for RSUs outstanding at December 31, 2021 was approximately $16 million.</w:t>
      </w:r>
    </w:p>
    <w:p w14:paraId="2AA5D47B"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w:t>
      </w:r>
    </w:p>
    <w:tbl>
      <w:tblPr>
        <w:tblW w:w="16491" w:type="dxa"/>
        <w:tblCellSpacing w:w="15" w:type="dxa"/>
        <w:tblCellMar>
          <w:top w:w="15" w:type="dxa"/>
          <w:left w:w="15" w:type="dxa"/>
          <w:bottom w:w="15" w:type="dxa"/>
          <w:right w:w="15" w:type="dxa"/>
        </w:tblCellMar>
        <w:tblLook w:val="04A0" w:firstRow="1" w:lastRow="0" w:firstColumn="1" w:lastColumn="0" w:noHBand="0" w:noVBand="1"/>
      </w:tblPr>
      <w:tblGrid>
        <w:gridCol w:w="8890"/>
        <w:gridCol w:w="217"/>
        <w:gridCol w:w="288"/>
        <w:gridCol w:w="1873"/>
        <w:gridCol w:w="184"/>
        <w:gridCol w:w="218"/>
        <w:gridCol w:w="289"/>
        <w:gridCol w:w="1854"/>
        <w:gridCol w:w="184"/>
        <w:gridCol w:w="218"/>
        <w:gridCol w:w="289"/>
        <w:gridCol w:w="1787"/>
        <w:gridCol w:w="200"/>
      </w:tblGrid>
      <w:tr w:rsidR="002F3D36" w:rsidRPr="002F3D36" w14:paraId="43C357A0" w14:textId="77777777" w:rsidTr="002F3D36">
        <w:trPr>
          <w:tblCellSpacing w:w="15" w:type="dxa"/>
        </w:trPr>
        <w:tc>
          <w:tcPr>
            <w:tcW w:w="8863" w:type="dxa"/>
            <w:vAlign w:val="center"/>
            <w:hideMark/>
          </w:tcPr>
          <w:p w14:paraId="36D52FFA" w14:textId="77777777" w:rsidR="002F3D36" w:rsidRPr="002F3D36" w:rsidRDefault="002F3D36" w:rsidP="002F3D36">
            <w:pPr>
              <w:widowControl/>
              <w:jc w:val="left"/>
              <w:rPr>
                <w:rFonts w:ascii="Times New Roman" w:eastAsia="宋体" w:hAnsi="Times New Roman" w:cs="Times New Roman"/>
                <w:color w:val="000000"/>
                <w:kern w:val="0"/>
                <w:sz w:val="20"/>
                <w:szCs w:val="20"/>
              </w:rPr>
            </w:pPr>
          </w:p>
        </w:tc>
        <w:tc>
          <w:tcPr>
            <w:tcW w:w="188" w:type="dxa"/>
            <w:vAlign w:val="center"/>
            <w:hideMark/>
          </w:tcPr>
          <w:p w14:paraId="2B9E53A0"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59" w:type="dxa"/>
            <w:vAlign w:val="center"/>
            <w:hideMark/>
          </w:tcPr>
          <w:p w14:paraId="73FAF7BD"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846" w:type="dxa"/>
            <w:vAlign w:val="center"/>
            <w:hideMark/>
          </w:tcPr>
          <w:p w14:paraId="7DFF0CF6"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54" w:type="dxa"/>
            <w:vAlign w:val="center"/>
            <w:hideMark/>
          </w:tcPr>
          <w:p w14:paraId="3CA12A96"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88" w:type="dxa"/>
            <w:vAlign w:val="center"/>
            <w:hideMark/>
          </w:tcPr>
          <w:p w14:paraId="0DEB81A8"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59" w:type="dxa"/>
            <w:vAlign w:val="center"/>
            <w:hideMark/>
          </w:tcPr>
          <w:p w14:paraId="1ED9B03F"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827" w:type="dxa"/>
            <w:vAlign w:val="center"/>
            <w:hideMark/>
          </w:tcPr>
          <w:p w14:paraId="204B2CCB"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54" w:type="dxa"/>
            <w:vAlign w:val="center"/>
            <w:hideMark/>
          </w:tcPr>
          <w:p w14:paraId="7F021B4B"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88" w:type="dxa"/>
            <w:vAlign w:val="center"/>
            <w:hideMark/>
          </w:tcPr>
          <w:p w14:paraId="0EDE0B41"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59" w:type="dxa"/>
            <w:vAlign w:val="center"/>
            <w:hideMark/>
          </w:tcPr>
          <w:p w14:paraId="77626B97"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760" w:type="dxa"/>
            <w:vAlign w:val="center"/>
            <w:hideMark/>
          </w:tcPr>
          <w:p w14:paraId="15C67BCA"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55" w:type="dxa"/>
            <w:vAlign w:val="center"/>
            <w:hideMark/>
          </w:tcPr>
          <w:p w14:paraId="7A87B8A4" w14:textId="77777777" w:rsidR="002F3D36" w:rsidRPr="002F3D36" w:rsidRDefault="002F3D36" w:rsidP="002F3D36">
            <w:pPr>
              <w:widowControl/>
              <w:jc w:val="left"/>
              <w:rPr>
                <w:rFonts w:ascii="Times New Roman" w:eastAsia="Times New Roman" w:hAnsi="Times New Roman" w:cs="Times New Roman"/>
                <w:kern w:val="0"/>
                <w:sz w:val="20"/>
                <w:szCs w:val="20"/>
              </w:rPr>
            </w:pPr>
          </w:p>
        </w:tc>
      </w:tr>
      <w:tr w:rsidR="002F3D36" w:rsidRPr="002F3D36" w14:paraId="6FA1BEEC" w14:textId="77777777" w:rsidTr="002F3D36">
        <w:trPr>
          <w:trHeight w:val="160"/>
          <w:tblCellSpacing w:w="15" w:type="dxa"/>
        </w:trPr>
        <w:tc>
          <w:tcPr>
            <w:tcW w:w="0" w:type="auto"/>
            <w:vAlign w:val="bottom"/>
            <w:hideMark/>
          </w:tcPr>
          <w:p w14:paraId="38056C44"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u w:val="single"/>
              </w:rPr>
              <w:t>PSUs</w:t>
            </w:r>
          </w:p>
        </w:tc>
        <w:tc>
          <w:tcPr>
            <w:tcW w:w="0" w:type="auto"/>
            <w:vAlign w:val="bottom"/>
            <w:hideMark/>
          </w:tcPr>
          <w:p w14:paraId="4317500F"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2"/>
            <w:tcBorders>
              <w:bottom w:val="single" w:sz="4" w:space="0" w:color="000000"/>
            </w:tcBorders>
            <w:vAlign w:val="bottom"/>
            <w:hideMark/>
          </w:tcPr>
          <w:p w14:paraId="706723BE"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2021</w:t>
            </w:r>
          </w:p>
        </w:tc>
        <w:tc>
          <w:tcPr>
            <w:tcW w:w="0" w:type="auto"/>
            <w:vAlign w:val="bottom"/>
            <w:hideMark/>
          </w:tcPr>
          <w:p w14:paraId="3FD31720"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vAlign w:val="bottom"/>
            <w:hideMark/>
          </w:tcPr>
          <w:p w14:paraId="202AFE12"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2"/>
            <w:tcBorders>
              <w:bottom w:val="single" w:sz="4" w:space="0" w:color="000000"/>
            </w:tcBorders>
            <w:vAlign w:val="bottom"/>
            <w:hideMark/>
          </w:tcPr>
          <w:p w14:paraId="2C61AB0B"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2020</w:t>
            </w:r>
          </w:p>
        </w:tc>
        <w:tc>
          <w:tcPr>
            <w:tcW w:w="0" w:type="auto"/>
            <w:vAlign w:val="bottom"/>
            <w:hideMark/>
          </w:tcPr>
          <w:p w14:paraId="39EB88CF"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vAlign w:val="bottom"/>
            <w:hideMark/>
          </w:tcPr>
          <w:p w14:paraId="1BEC2F70"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2"/>
            <w:tcBorders>
              <w:bottom w:val="single" w:sz="4" w:space="0" w:color="000000"/>
            </w:tcBorders>
            <w:vAlign w:val="bottom"/>
            <w:hideMark/>
          </w:tcPr>
          <w:p w14:paraId="4EE4A50B"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2019</w:t>
            </w:r>
          </w:p>
        </w:tc>
        <w:tc>
          <w:tcPr>
            <w:tcW w:w="0" w:type="auto"/>
            <w:vAlign w:val="bottom"/>
            <w:hideMark/>
          </w:tcPr>
          <w:p w14:paraId="349C6A2B"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r>
      <w:tr w:rsidR="002F3D36" w:rsidRPr="002F3D36" w14:paraId="7278981D" w14:textId="77777777" w:rsidTr="002F3D36">
        <w:trPr>
          <w:trHeight w:val="180"/>
          <w:tblCellSpacing w:w="15" w:type="dxa"/>
        </w:trPr>
        <w:tc>
          <w:tcPr>
            <w:tcW w:w="0" w:type="auto"/>
            <w:shd w:val="clear" w:color="auto" w:fill="CFF0FC"/>
            <w:hideMark/>
          </w:tcPr>
          <w:p w14:paraId="2B2652A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Weighted average fair value at grant date</w:t>
            </w:r>
          </w:p>
        </w:tc>
        <w:tc>
          <w:tcPr>
            <w:tcW w:w="0" w:type="auto"/>
            <w:shd w:val="clear" w:color="auto" w:fill="CFF0FC"/>
            <w:vAlign w:val="bottom"/>
            <w:hideMark/>
          </w:tcPr>
          <w:p w14:paraId="783CBDB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4D47A79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shd w:val="clear" w:color="auto" w:fill="CFF0FC"/>
            <w:vAlign w:val="bottom"/>
            <w:hideMark/>
          </w:tcPr>
          <w:p w14:paraId="50F45099"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93.90</w:t>
            </w:r>
          </w:p>
        </w:tc>
        <w:tc>
          <w:tcPr>
            <w:tcW w:w="0" w:type="auto"/>
            <w:shd w:val="clear" w:color="auto" w:fill="CFF0FC"/>
            <w:vAlign w:val="bottom"/>
            <w:hideMark/>
          </w:tcPr>
          <w:p w14:paraId="47C4DF2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66B12E9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3655076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shd w:val="clear" w:color="auto" w:fill="CFF0FC"/>
            <w:vAlign w:val="bottom"/>
            <w:hideMark/>
          </w:tcPr>
          <w:p w14:paraId="770A1597"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69.86</w:t>
            </w:r>
          </w:p>
        </w:tc>
        <w:tc>
          <w:tcPr>
            <w:tcW w:w="0" w:type="auto"/>
            <w:shd w:val="clear" w:color="auto" w:fill="CFF0FC"/>
            <w:vAlign w:val="bottom"/>
            <w:hideMark/>
          </w:tcPr>
          <w:p w14:paraId="58EB48E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55579F8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1D8EE17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shd w:val="clear" w:color="auto" w:fill="CFF0FC"/>
            <w:vAlign w:val="bottom"/>
            <w:hideMark/>
          </w:tcPr>
          <w:p w14:paraId="0D6B9421"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77.00</w:t>
            </w:r>
          </w:p>
        </w:tc>
        <w:tc>
          <w:tcPr>
            <w:tcW w:w="0" w:type="auto"/>
            <w:shd w:val="clear" w:color="auto" w:fill="CFF0FC"/>
            <w:vAlign w:val="bottom"/>
            <w:hideMark/>
          </w:tcPr>
          <w:p w14:paraId="731E74E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188A9682" w14:textId="77777777" w:rsidTr="002F3D36">
        <w:trPr>
          <w:tblCellSpacing w:w="15" w:type="dxa"/>
        </w:trPr>
        <w:tc>
          <w:tcPr>
            <w:tcW w:w="0" w:type="auto"/>
            <w:hideMark/>
          </w:tcPr>
          <w:p w14:paraId="17707FA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51DE11E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gridSpan w:val="2"/>
            <w:vAlign w:val="bottom"/>
            <w:hideMark/>
          </w:tcPr>
          <w:p w14:paraId="4F614B11"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6289B2F3"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57A3041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gridSpan w:val="2"/>
            <w:vAlign w:val="bottom"/>
            <w:hideMark/>
          </w:tcPr>
          <w:p w14:paraId="23E000AE"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6386DA64"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47751D9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gridSpan w:val="2"/>
            <w:vAlign w:val="bottom"/>
            <w:hideMark/>
          </w:tcPr>
          <w:p w14:paraId="72FD464E"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797F025D"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07448616" w14:textId="77777777" w:rsidTr="002F3D36">
        <w:trPr>
          <w:trHeight w:val="180"/>
          <w:tblCellSpacing w:w="15" w:type="dxa"/>
        </w:trPr>
        <w:tc>
          <w:tcPr>
            <w:tcW w:w="0" w:type="auto"/>
            <w:shd w:val="clear" w:color="auto" w:fill="CFF0FC"/>
            <w:hideMark/>
          </w:tcPr>
          <w:p w14:paraId="17BCC24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Outstanding at beginning of year</w:t>
            </w:r>
          </w:p>
        </w:tc>
        <w:tc>
          <w:tcPr>
            <w:tcW w:w="0" w:type="auto"/>
            <w:shd w:val="clear" w:color="auto" w:fill="CFF0FC"/>
            <w:vAlign w:val="bottom"/>
            <w:hideMark/>
          </w:tcPr>
          <w:p w14:paraId="3F7621D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31FC2AB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31FF7584"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158,128</w:t>
            </w:r>
          </w:p>
        </w:tc>
        <w:tc>
          <w:tcPr>
            <w:tcW w:w="0" w:type="auto"/>
            <w:shd w:val="clear" w:color="auto" w:fill="CFF0FC"/>
            <w:vAlign w:val="bottom"/>
            <w:hideMark/>
          </w:tcPr>
          <w:p w14:paraId="304C03E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6F3F4CB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6A6E524E"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25586E1A"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76,321</w:t>
            </w:r>
          </w:p>
        </w:tc>
        <w:tc>
          <w:tcPr>
            <w:tcW w:w="0" w:type="auto"/>
            <w:shd w:val="clear" w:color="auto" w:fill="CFF0FC"/>
            <w:vAlign w:val="bottom"/>
            <w:hideMark/>
          </w:tcPr>
          <w:p w14:paraId="4C84A74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1811FB6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04E56EA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70D2381B"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w:t>
            </w:r>
          </w:p>
        </w:tc>
        <w:tc>
          <w:tcPr>
            <w:tcW w:w="0" w:type="auto"/>
            <w:shd w:val="clear" w:color="auto" w:fill="CFF0FC"/>
            <w:vAlign w:val="bottom"/>
            <w:hideMark/>
          </w:tcPr>
          <w:p w14:paraId="4BBF5C4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69327692" w14:textId="77777777" w:rsidTr="002F3D36">
        <w:trPr>
          <w:trHeight w:val="180"/>
          <w:tblCellSpacing w:w="15" w:type="dxa"/>
        </w:trPr>
        <w:tc>
          <w:tcPr>
            <w:tcW w:w="0" w:type="auto"/>
            <w:hideMark/>
          </w:tcPr>
          <w:p w14:paraId="6AD8AF7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Change in performance conditions</w:t>
            </w:r>
          </w:p>
        </w:tc>
        <w:tc>
          <w:tcPr>
            <w:tcW w:w="0" w:type="auto"/>
            <w:vAlign w:val="bottom"/>
            <w:hideMark/>
          </w:tcPr>
          <w:p w14:paraId="15D142C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17FB833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26E5B44B"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(44,385</w:t>
            </w:r>
          </w:p>
        </w:tc>
        <w:tc>
          <w:tcPr>
            <w:tcW w:w="0" w:type="auto"/>
            <w:vAlign w:val="bottom"/>
            <w:hideMark/>
          </w:tcPr>
          <w:p w14:paraId="5542568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vAlign w:val="bottom"/>
            <w:hideMark/>
          </w:tcPr>
          <w:p w14:paraId="6CFE0BC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6916948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224BF028"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23,998</w:t>
            </w:r>
          </w:p>
        </w:tc>
        <w:tc>
          <w:tcPr>
            <w:tcW w:w="0" w:type="auto"/>
            <w:vAlign w:val="bottom"/>
            <w:hideMark/>
          </w:tcPr>
          <w:p w14:paraId="5648F97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4896EFE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617EF23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5E1F451B"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12,530</w:t>
            </w:r>
          </w:p>
        </w:tc>
        <w:tc>
          <w:tcPr>
            <w:tcW w:w="0" w:type="auto"/>
            <w:vAlign w:val="bottom"/>
            <w:hideMark/>
          </w:tcPr>
          <w:p w14:paraId="70AAF2D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291E398F" w14:textId="77777777" w:rsidTr="002F3D36">
        <w:trPr>
          <w:trHeight w:val="180"/>
          <w:tblCellSpacing w:w="15" w:type="dxa"/>
        </w:trPr>
        <w:tc>
          <w:tcPr>
            <w:tcW w:w="0" w:type="auto"/>
            <w:shd w:val="clear" w:color="auto" w:fill="CFF0FC"/>
            <w:hideMark/>
          </w:tcPr>
          <w:p w14:paraId="4FFBAAD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Granted</w:t>
            </w:r>
          </w:p>
        </w:tc>
        <w:tc>
          <w:tcPr>
            <w:tcW w:w="0" w:type="auto"/>
            <w:shd w:val="clear" w:color="auto" w:fill="CFF0FC"/>
            <w:vAlign w:val="bottom"/>
            <w:hideMark/>
          </w:tcPr>
          <w:p w14:paraId="04D6A26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391FF84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1A8530A9"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74,427</w:t>
            </w:r>
          </w:p>
        </w:tc>
        <w:tc>
          <w:tcPr>
            <w:tcW w:w="0" w:type="auto"/>
            <w:shd w:val="clear" w:color="auto" w:fill="CFF0FC"/>
            <w:vAlign w:val="bottom"/>
            <w:hideMark/>
          </w:tcPr>
          <w:p w14:paraId="02A88DF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175A72D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03F4EB4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65F35B69"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75,940</w:t>
            </w:r>
          </w:p>
        </w:tc>
        <w:tc>
          <w:tcPr>
            <w:tcW w:w="0" w:type="auto"/>
            <w:shd w:val="clear" w:color="auto" w:fill="CFF0FC"/>
            <w:vAlign w:val="bottom"/>
            <w:hideMark/>
          </w:tcPr>
          <w:p w14:paraId="4406A9B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4EA9411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4E3231D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76AF114B"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66,542</w:t>
            </w:r>
          </w:p>
        </w:tc>
        <w:tc>
          <w:tcPr>
            <w:tcW w:w="0" w:type="auto"/>
            <w:shd w:val="clear" w:color="auto" w:fill="CFF0FC"/>
            <w:vAlign w:val="bottom"/>
            <w:hideMark/>
          </w:tcPr>
          <w:p w14:paraId="353764AE"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2C82DC6E" w14:textId="77777777" w:rsidTr="002F3D36">
        <w:trPr>
          <w:trHeight w:val="180"/>
          <w:tblCellSpacing w:w="15" w:type="dxa"/>
        </w:trPr>
        <w:tc>
          <w:tcPr>
            <w:tcW w:w="0" w:type="auto"/>
            <w:hideMark/>
          </w:tcPr>
          <w:p w14:paraId="0792EE5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Cancelled/Forfeited/Expired</w:t>
            </w:r>
          </w:p>
        </w:tc>
        <w:tc>
          <w:tcPr>
            <w:tcW w:w="0" w:type="auto"/>
            <w:vAlign w:val="bottom"/>
            <w:hideMark/>
          </w:tcPr>
          <w:p w14:paraId="2ACDDC0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367E549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277F846A"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(8,859</w:t>
            </w:r>
          </w:p>
        </w:tc>
        <w:tc>
          <w:tcPr>
            <w:tcW w:w="0" w:type="auto"/>
            <w:vAlign w:val="bottom"/>
            <w:hideMark/>
          </w:tcPr>
          <w:p w14:paraId="6207976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vAlign w:val="bottom"/>
            <w:hideMark/>
          </w:tcPr>
          <w:p w14:paraId="5847E31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58DEFA2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7D2FE1D0"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(18,131</w:t>
            </w:r>
          </w:p>
        </w:tc>
        <w:tc>
          <w:tcPr>
            <w:tcW w:w="0" w:type="auto"/>
            <w:vAlign w:val="bottom"/>
            <w:hideMark/>
          </w:tcPr>
          <w:p w14:paraId="30F6F07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vAlign w:val="bottom"/>
            <w:hideMark/>
          </w:tcPr>
          <w:p w14:paraId="0C748BB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6E205D3E"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6AA60018"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(2,751</w:t>
            </w:r>
          </w:p>
        </w:tc>
        <w:tc>
          <w:tcPr>
            <w:tcW w:w="0" w:type="auto"/>
            <w:vAlign w:val="bottom"/>
            <w:hideMark/>
          </w:tcPr>
          <w:p w14:paraId="7D5E7A3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r>
      <w:tr w:rsidR="002F3D36" w:rsidRPr="002F3D36" w14:paraId="349EC38C" w14:textId="77777777" w:rsidTr="002F3D36">
        <w:trPr>
          <w:trHeight w:val="180"/>
          <w:tblCellSpacing w:w="15" w:type="dxa"/>
        </w:trPr>
        <w:tc>
          <w:tcPr>
            <w:tcW w:w="0" w:type="auto"/>
            <w:shd w:val="clear" w:color="auto" w:fill="CFF0FC"/>
            <w:hideMark/>
          </w:tcPr>
          <w:p w14:paraId="334F430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Outstanding at end of year</w:t>
            </w:r>
          </w:p>
        </w:tc>
        <w:tc>
          <w:tcPr>
            <w:tcW w:w="0" w:type="auto"/>
            <w:shd w:val="clear" w:color="auto" w:fill="CFF0FC"/>
            <w:vAlign w:val="bottom"/>
            <w:hideMark/>
          </w:tcPr>
          <w:p w14:paraId="02CA251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1FFD2E1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4EDDAFDA"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179,311</w:t>
            </w:r>
          </w:p>
        </w:tc>
        <w:tc>
          <w:tcPr>
            <w:tcW w:w="0" w:type="auto"/>
            <w:shd w:val="clear" w:color="auto" w:fill="CFF0FC"/>
            <w:vAlign w:val="bottom"/>
            <w:hideMark/>
          </w:tcPr>
          <w:p w14:paraId="29B00EF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623B129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0F45042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65BDD33D"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158,128</w:t>
            </w:r>
          </w:p>
        </w:tc>
        <w:tc>
          <w:tcPr>
            <w:tcW w:w="0" w:type="auto"/>
            <w:shd w:val="clear" w:color="auto" w:fill="CFF0FC"/>
            <w:vAlign w:val="bottom"/>
            <w:hideMark/>
          </w:tcPr>
          <w:p w14:paraId="3E5DC16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2DD131A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4D6ADE6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17E43174"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76,321</w:t>
            </w:r>
          </w:p>
        </w:tc>
        <w:tc>
          <w:tcPr>
            <w:tcW w:w="0" w:type="auto"/>
            <w:shd w:val="clear" w:color="auto" w:fill="CFF0FC"/>
            <w:vAlign w:val="bottom"/>
            <w:hideMark/>
          </w:tcPr>
          <w:p w14:paraId="2849DC8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bl>
    <w:p w14:paraId="49C09FC9" w14:textId="77777777" w:rsidR="002F3D36" w:rsidRPr="002F3D36" w:rsidRDefault="002F3D36" w:rsidP="002F3D36">
      <w:pPr>
        <w:widowControl/>
        <w:ind w:hanging="581"/>
        <w:rPr>
          <w:rFonts w:ascii="Times New Roman" w:eastAsia="宋体" w:hAnsi="Times New Roman" w:cs="Times New Roman"/>
          <w:color w:val="000000"/>
          <w:kern w:val="0"/>
          <w:sz w:val="20"/>
          <w:szCs w:val="20"/>
        </w:rPr>
      </w:pPr>
      <w:r w:rsidRPr="002F3D36">
        <w:rPr>
          <w:rFonts w:ascii="Arial" w:eastAsia="宋体" w:hAnsi="Arial" w:cs="Arial"/>
          <w:color w:val="000000"/>
          <w:kern w:val="0"/>
          <w:sz w:val="16"/>
          <w:szCs w:val="16"/>
        </w:rPr>
        <w:t> </w:t>
      </w:r>
    </w:p>
    <w:p w14:paraId="7DBEB842" w14:textId="77777777" w:rsidR="002F3D36" w:rsidRPr="002F3D36" w:rsidRDefault="002F3D36" w:rsidP="002F3D36">
      <w:pPr>
        <w:widowControl/>
        <w:spacing w:before="8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xml:space="preserve">The PSUs granted include assumptions regarding the ultimate number of shares that will be issued based on the probability of achievement of the performance conditions. Changes in those assumptions result in </w:t>
      </w:r>
      <w:r w:rsidRPr="002F3D36">
        <w:rPr>
          <w:rFonts w:ascii="Arial" w:eastAsia="宋体" w:hAnsi="Arial" w:cs="Arial"/>
          <w:color w:val="000000"/>
          <w:kern w:val="0"/>
          <w:sz w:val="18"/>
          <w:szCs w:val="18"/>
        </w:rPr>
        <w:lastRenderedPageBreak/>
        <w:t xml:space="preserve">changes in the estimated shares to be issued which is reflected in the “Change in performance conditions” line above. </w:t>
      </w:r>
    </w:p>
    <w:p w14:paraId="18AFBECE"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w:t>
      </w:r>
    </w:p>
    <w:p w14:paraId="29379E02" w14:textId="77777777" w:rsidR="002F3D36" w:rsidRPr="002F3D36" w:rsidRDefault="002F3D36" w:rsidP="002F3D36">
      <w:pPr>
        <w:widowControl/>
        <w:jc w:val="left"/>
        <w:rPr>
          <w:rFonts w:ascii="Times New Roman" w:eastAsia="宋体" w:hAnsi="Times New Roman" w:cs="Times New Roman"/>
          <w:color w:val="000000"/>
          <w:kern w:val="0"/>
          <w:sz w:val="20"/>
          <w:szCs w:val="20"/>
        </w:rPr>
      </w:pPr>
      <w:r w:rsidRPr="002F3D36">
        <w:rPr>
          <w:rFonts w:ascii="Times New Roman" w:eastAsia="宋体" w:hAnsi="Times New Roman" w:cs="Times New Roman"/>
          <w:color w:val="000000"/>
          <w:kern w:val="0"/>
          <w:sz w:val="20"/>
          <w:szCs w:val="20"/>
        </w:rPr>
        <w:t> </w:t>
      </w:r>
    </w:p>
    <w:p w14:paraId="55B57CE8" w14:textId="77777777" w:rsidR="002F3D36" w:rsidRPr="002F3D36" w:rsidRDefault="002F3D36" w:rsidP="002F3D36">
      <w:pPr>
        <w:widowControl/>
        <w:spacing w:before="240"/>
        <w:jc w:val="center"/>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78</w:t>
      </w:r>
    </w:p>
    <w:p w14:paraId="2E85A361" w14:textId="77777777" w:rsidR="002F3D36" w:rsidRPr="002F3D36" w:rsidRDefault="002F3D36" w:rsidP="002F3D36">
      <w:pPr>
        <w:widowControl/>
        <w:jc w:val="left"/>
        <w:rPr>
          <w:rFonts w:ascii="Arial" w:eastAsia="宋体" w:hAnsi="Arial" w:cs="Arial"/>
          <w:color w:val="000000"/>
          <w:kern w:val="0"/>
          <w:sz w:val="24"/>
          <w:szCs w:val="24"/>
        </w:rPr>
      </w:pPr>
      <w:r w:rsidRPr="002F3D36">
        <w:rPr>
          <w:rFonts w:ascii="Arial" w:eastAsia="宋体" w:hAnsi="Arial" w:cs="Arial"/>
          <w:color w:val="000000"/>
          <w:kern w:val="0"/>
          <w:sz w:val="24"/>
          <w:szCs w:val="24"/>
        </w:rPr>
        <w:pict w14:anchorId="6710F460">
          <v:rect id="_x0000_i1105" style="width:0;height:1.5pt" o:hralign="center" o:hrstd="t" o:hr="t" fillcolor="#a0a0a0" stroked="f"/>
        </w:pict>
      </w:r>
    </w:p>
    <w:p w14:paraId="57D98492" w14:textId="77777777" w:rsidR="002F3D36" w:rsidRPr="002F3D36" w:rsidRDefault="002F3D36" w:rsidP="002F3D36">
      <w:pPr>
        <w:widowControl/>
        <w:spacing w:line="20" w:lineRule="atLeast"/>
        <w:jc w:val="left"/>
        <w:rPr>
          <w:rFonts w:ascii="Times New Roman" w:eastAsia="宋体" w:hAnsi="Times New Roman" w:cs="Times New Roman"/>
          <w:color w:val="000000"/>
          <w:kern w:val="0"/>
          <w:sz w:val="20"/>
          <w:szCs w:val="20"/>
        </w:rPr>
      </w:pPr>
      <w:r w:rsidRPr="002F3D36">
        <w:rPr>
          <w:rFonts w:ascii="Arial" w:eastAsia="宋体" w:hAnsi="Arial" w:cs="Arial"/>
          <w:color w:val="000000"/>
          <w:kern w:val="0"/>
          <w:sz w:val="2"/>
          <w:szCs w:val="2"/>
        </w:rPr>
        <w:t> </w:t>
      </w:r>
    </w:p>
    <w:tbl>
      <w:tblPr>
        <w:tblW w:w="14430" w:type="dxa"/>
        <w:tblCellSpacing w:w="15" w:type="dxa"/>
        <w:tblCellMar>
          <w:top w:w="15" w:type="dxa"/>
          <w:left w:w="15" w:type="dxa"/>
          <w:bottom w:w="15" w:type="dxa"/>
          <w:right w:w="15" w:type="dxa"/>
        </w:tblCellMar>
        <w:tblLook w:val="04A0" w:firstRow="1" w:lastRow="0" w:firstColumn="1" w:lastColumn="0" w:noHBand="0" w:noVBand="1"/>
      </w:tblPr>
      <w:tblGrid>
        <w:gridCol w:w="9253"/>
        <w:gridCol w:w="211"/>
        <w:gridCol w:w="146"/>
        <w:gridCol w:w="1991"/>
        <w:gridCol w:w="195"/>
        <w:gridCol w:w="208"/>
        <w:gridCol w:w="303"/>
        <w:gridCol w:w="1962"/>
        <w:gridCol w:w="161"/>
      </w:tblGrid>
      <w:tr w:rsidR="002F3D36" w:rsidRPr="002F3D36" w14:paraId="4773B05A" w14:textId="77777777" w:rsidTr="002F3D36">
        <w:trPr>
          <w:tblCellSpacing w:w="15" w:type="dxa"/>
        </w:trPr>
        <w:tc>
          <w:tcPr>
            <w:tcW w:w="9230" w:type="dxa"/>
            <w:vAlign w:val="center"/>
            <w:hideMark/>
          </w:tcPr>
          <w:p w14:paraId="4EBFC80E" w14:textId="77777777" w:rsidR="002F3D36" w:rsidRPr="002F3D36" w:rsidRDefault="002F3D36" w:rsidP="002F3D36">
            <w:pPr>
              <w:widowControl/>
              <w:jc w:val="left"/>
              <w:rPr>
                <w:rFonts w:ascii="Times New Roman" w:eastAsia="宋体" w:hAnsi="Times New Roman" w:cs="Times New Roman"/>
                <w:color w:val="000000"/>
                <w:kern w:val="0"/>
                <w:sz w:val="20"/>
                <w:szCs w:val="20"/>
              </w:rPr>
            </w:pPr>
          </w:p>
        </w:tc>
        <w:tc>
          <w:tcPr>
            <w:tcW w:w="181" w:type="dxa"/>
            <w:vAlign w:val="center"/>
            <w:hideMark/>
          </w:tcPr>
          <w:p w14:paraId="2E6A93F5"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16" w:type="dxa"/>
            <w:vAlign w:val="center"/>
            <w:hideMark/>
          </w:tcPr>
          <w:p w14:paraId="49BAF3CC"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965" w:type="dxa"/>
            <w:vAlign w:val="center"/>
            <w:hideMark/>
          </w:tcPr>
          <w:p w14:paraId="2427B220"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65" w:type="dxa"/>
            <w:vAlign w:val="center"/>
            <w:hideMark/>
          </w:tcPr>
          <w:p w14:paraId="21E94760"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78" w:type="dxa"/>
            <w:vAlign w:val="center"/>
            <w:hideMark/>
          </w:tcPr>
          <w:p w14:paraId="0D63E7DF"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73" w:type="dxa"/>
            <w:vAlign w:val="center"/>
            <w:hideMark/>
          </w:tcPr>
          <w:p w14:paraId="4CC3201E"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936" w:type="dxa"/>
            <w:vAlign w:val="center"/>
            <w:hideMark/>
          </w:tcPr>
          <w:p w14:paraId="74B3EB06"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16" w:type="dxa"/>
            <w:vAlign w:val="center"/>
            <w:hideMark/>
          </w:tcPr>
          <w:p w14:paraId="354C3400" w14:textId="77777777" w:rsidR="002F3D36" w:rsidRPr="002F3D36" w:rsidRDefault="002F3D36" w:rsidP="002F3D36">
            <w:pPr>
              <w:widowControl/>
              <w:jc w:val="left"/>
              <w:rPr>
                <w:rFonts w:ascii="Times New Roman" w:eastAsia="Times New Roman" w:hAnsi="Times New Roman" w:cs="Times New Roman"/>
                <w:kern w:val="0"/>
                <w:sz w:val="20"/>
                <w:szCs w:val="20"/>
              </w:rPr>
            </w:pPr>
          </w:p>
        </w:tc>
      </w:tr>
      <w:tr w:rsidR="002F3D36" w:rsidRPr="002F3D36" w14:paraId="6D6FFD07" w14:textId="77777777" w:rsidTr="002F3D36">
        <w:trPr>
          <w:trHeight w:val="160"/>
          <w:tblCellSpacing w:w="15" w:type="dxa"/>
        </w:trPr>
        <w:tc>
          <w:tcPr>
            <w:tcW w:w="0" w:type="auto"/>
            <w:vAlign w:val="bottom"/>
            <w:hideMark/>
          </w:tcPr>
          <w:p w14:paraId="3C414A0E"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u w:val="single"/>
              </w:rPr>
              <w:t>SOs</w:t>
            </w:r>
          </w:p>
        </w:tc>
        <w:tc>
          <w:tcPr>
            <w:tcW w:w="0" w:type="auto"/>
            <w:vAlign w:val="bottom"/>
            <w:hideMark/>
          </w:tcPr>
          <w:p w14:paraId="2FC2E15D"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2"/>
            <w:tcBorders>
              <w:bottom w:val="single" w:sz="4" w:space="0" w:color="000000"/>
            </w:tcBorders>
            <w:vAlign w:val="bottom"/>
            <w:hideMark/>
          </w:tcPr>
          <w:p w14:paraId="624C844D"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Number</w:t>
            </w:r>
            <w:r w:rsidRPr="002F3D36">
              <w:rPr>
                <w:rFonts w:ascii="Arial" w:eastAsia="宋体" w:hAnsi="Arial" w:cs="Arial"/>
                <w:b/>
                <w:bCs/>
                <w:color w:val="000000"/>
                <w:kern w:val="0"/>
                <w:sz w:val="16"/>
                <w:szCs w:val="16"/>
              </w:rPr>
              <w:br/>
              <w:t>of options</w:t>
            </w:r>
          </w:p>
        </w:tc>
        <w:tc>
          <w:tcPr>
            <w:tcW w:w="0" w:type="auto"/>
            <w:vAlign w:val="bottom"/>
            <w:hideMark/>
          </w:tcPr>
          <w:p w14:paraId="2C7C5DCF"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vAlign w:val="bottom"/>
            <w:hideMark/>
          </w:tcPr>
          <w:p w14:paraId="3A278DE4"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2"/>
            <w:tcBorders>
              <w:bottom w:val="single" w:sz="4" w:space="0" w:color="000000"/>
            </w:tcBorders>
            <w:vAlign w:val="bottom"/>
            <w:hideMark/>
          </w:tcPr>
          <w:p w14:paraId="1A7B2671"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Weighted</w:t>
            </w:r>
            <w:r w:rsidRPr="002F3D36">
              <w:rPr>
                <w:rFonts w:ascii="Arial" w:eastAsia="宋体" w:hAnsi="Arial" w:cs="Arial"/>
                <w:b/>
                <w:bCs/>
                <w:color w:val="000000"/>
                <w:kern w:val="0"/>
                <w:sz w:val="16"/>
                <w:szCs w:val="16"/>
              </w:rPr>
              <w:br/>
              <w:t>average</w:t>
            </w:r>
            <w:r w:rsidRPr="002F3D36">
              <w:rPr>
                <w:rFonts w:ascii="Arial" w:eastAsia="宋体" w:hAnsi="Arial" w:cs="Arial"/>
                <w:b/>
                <w:bCs/>
                <w:color w:val="000000"/>
                <w:kern w:val="0"/>
                <w:sz w:val="16"/>
                <w:szCs w:val="16"/>
              </w:rPr>
              <w:br/>
              <w:t>exercise</w:t>
            </w:r>
            <w:r w:rsidRPr="002F3D36">
              <w:rPr>
                <w:rFonts w:ascii="Arial" w:eastAsia="宋体" w:hAnsi="Arial" w:cs="Arial"/>
                <w:b/>
                <w:bCs/>
                <w:color w:val="000000"/>
                <w:kern w:val="0"/>
                <w:sz w:val="16"/>
                <w:szCs w:val="16"/>
              </w:rPr>
              <w:br/>
              <w:t>price</w:t>
            </w:r>
          </w:p>
        </w:tc>
        <w:tc>
          <w:tcPr>
            <w:tcW w:w="0" w:type="auto"/>
            <w:vAlign w:val="bottom"/>
            <w:hideMark/>
          </w:tcPr>
          <w:p w14:paraId="017E82E3"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r>
      <w:tr w:rsidR="002F3D36" w:rsidRPr="002F3D36" w14:paraId="138F7FC1" w14:textId="77777777" w:rsidTr="002F3D36">
        <w:trPr>
          <w:trHeight w:val="180"/>
          <w:tblCellSpacing w:w="15" w:type="dxa"/>
        </w:trPr>
        <w:tc>
          <w:tcPr>
            <w:tcW w:w="0" w:type="auto"/>
            <w:shd w:val="clear" w:color="auto" w:fill="CFF0FC"/>
            <w:hideMark/>
          </w:tcPr>
          <w:p w14:paraId="7C4AE91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Outstanding at December 31, 2018</w:t>
            </w:r>
          </w:p>
        </w:tc>
        <w:tc>
          <w:tcPr>
            <w:tcW w:w="0" w:type="auto"/>
            <w:shd w:val="clear" w:color="auto" w:fill="CFF0FC"/>
            <w:vAlign w:val="bottom"/>
            <w:hideMark/>
          </w:tcPr>
          <w:p w14:paraId="60DCB37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0DDD477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7D0BE118"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142,074</w:t>
            </w:r>
          </w:p>
        </w:tc>
        <w:tc>
          <w:tcPr>
            <w:tcW w:w="0" w:type="auto"/>
            <w:shd w:val="clear" w:color="auto" w:fill="CFF0FC"/>
            <w:vAlign w:val="bottom"/>
            <w:hideMark/>
          </w:tcPr>
          <w:p w14:paraId="4BC7446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36976EB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6A8054A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shd w:val="clear" w:color="auto" w:fill="CFF0FC"/>
            <w:vAlign w:val="bottom"/>
            <w:hideMark/>
          </w:tcPr>
          <w:p w14:paraId="583B63A7"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63.43</w:t>
            </w:r>
          </w:p>
        </w:tc>
        <w:tc>
          <w:tcPr>
            <w:tcW w:w="0" w:type="auto"/>
            <w:shd w:val="clear" w:color="auto" w:fill="CFF0FC"/>
            <w:vAlign w:val="bottom"/>
            <w:hideMark/>
          </w:tcPr>
          <w:p w14:paraId="796ADC3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091B7E06" w14:textId="77777777" w:rsidTr="002F3D36">
        <w:trPr>
          <w:trHeight w:val="180"/>
          <w:tblCellSpacing w:w="15" w:type="dxa"/>
        </w:trPr>
        <w:tc>
          <w:tcPr>
            <w:tcW w:w="0" w:type="auto"/>
            <w:hideMark/>
          </w:tcPr>
          <w:p w14:paraId="0324CB2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Exercised</w:t>
            </w:r>
          </w:p>
        </w:tc>
        <w:tc>
          <w:tcPr>
            <w:tcW w:w="0" w:type="auto"/>
            <w:vAlign w:val="bottom"/>
            <w:hideMark/>
          </w:tcPr>
          <w:p w14:paraId="35919DC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2E5EF7F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0C5BCEAC"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(20,928</w:t>
            </w:r>
          </w:p>
        </w:tc>
        <w:tc>
          <w:tcPr>
            <w:tcW w:w="0" w:type="auto"/>
            <w:vAlign w:val="bottom"/>
            <w:hideMark/>
          </w:tcPr>
          <w:p w14:paraId="39144D5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vAlign w:val="bottom"/>
            <w:hideMark/>
          </w:tcPr>
          <w:p w14:paraId="5AE7C69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08B978D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4E5E044F"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42.11</w:t>
            </w:r>
          </w:p>
        </w:tc>
        <w:tc>
          <w:tcPr>
            <w:tcW w:w="0" w:type="auto"/>
            <w:vAlign w:val="bottom"/>
            <w:hideMark/>
          </w:tcPr>
          <w:p w14:paraId="07D81E9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2F2A9E83" w14:textId="77777777" w:rsidTr="002F3D36">
        <w:trPr>
          <w:trHeight w:val="180"/>
          <w:tblCellSpacing w:w="15" w:type="dxa"/>
        </w:trPr>
        <w:tc>
          <w:tcPr>
            <w:tcW w:w="0" w:type="auto"/>
            <w:shd w:val="clear" w:color="auto" w:fill="CFF0FC"/>
            <w:hideMark/>
          </w:tcPr>
          <w:p w14:paraId="7EBE71D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 xml:space="preserve">Spin conversion </w:t>
            </w:r>
            <w:r w:rsidRPr="002F3D36">
              <w:rPr>
                <w:rFonts w:ascii="Arial" w:eastAsia="宋体" w:hAnsi="Arial" w:cs="Arial"/>
                <w:color w:val="000000"/>
                <w:kern w:val="0"/>
                <w:sz w:val="12"/>
                <w:szCs w:val="12"/>
              </w:rPr>
              <w:t>1)</w:t>
            </w:r>
          </w:p>
        </w:tc>
        <w:tc>
          <w:tcPr>
            <w:tcW w:w="0" w:type="auto"/>
            <w:shd w:val="clear" w:color="auto" w:fill="CFF0FC"/>
            <w:vAlign w:val="bottom"/>
            <w:hideMark/>
          </w:tcPr>
          <w:p w14:paraId="6B23024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391B334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638B5B19"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(5,271</w:t>
            </w:r>
          </w:p>
        </w:tc>
        <w:tc>
          <w:tcPr>
            <w:tcW w:w="0" w:type="auto"/>
            <w:shd w:val="clear" w:color="auto" w:fill="CFF0FC"/>
            <w:vAlign w:val="bottom"/>
            <w:hideMark/>
          </w:tcPr>
          <w:p w14:paraId="7432B74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58AE1FE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2B0A6CD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49FDFCA6"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80.40</w:t>
            </w:r>
          </w:p>
        </w:tc>
        <w:tc>
          <w:tcPr>
            <w:tcW w:w="0" w:type="auto"/>
            <w:shd w:val="clear" w:color="auto" w:fill="CFF0FC"/>
            <w:vAlign w:val="bottom"/>
            <w:hideMark/>
          </w:tcPr>
          <w:p w14:paraId="2FD23AE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0030E085" w14:textId="77777777" w:rsidTr="002F3D36">
        <w:trPr>
          <w:trHeight w:val="180"/>
          <w:tblCellSpacing w:w="15" w:type="dxa"/>
        </w:trPr>
        <w:tc>
          <w:tcPr>
            <w:tcW w:w="0" w:type="auto"/>
            <w:hideMark/>
          </w:tcPr>
          <w:p w14:paraId="110FE55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Outstanding at December 31, 2019</w:t>
            </w:r>
          </w:p>
        </w:tc>
        <w:tc>
          <w:tcPr>
            <w:tcW w:w="0" w:type="auto"/>
            <w:vAlign w:val="bottom"/>
            <w:hideMark/>
          </w:tcPr>
          <w:p w14:paraId="29DD83E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321A448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34C4DD4B"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115,875</w:t>
            </w:r>
          </w:p>
        </w:tc>
        <w:tc>
          <w:tcPr>
            <w:tcW w:w="0" w:type="auto"/>
            <w:vAlign w:val="bottom"/>
            <w:hideMark/>
          </w:tcPr>
          <w:p w14:paraId="7F6A5AB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2E2606F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03E6742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3B037D2C"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66.70</w:t>
            </w:r>
          </w:p>
        </w:tc>
        <w:tc>
          <w:tcPr>
            <w:tcW w:w="0" w:type="auto"/>
            <w:vAlign w:val="bottom"/>
            <w:hideMark/>
          </w:tcPr>
          <w:p w14:paraId="0FE5DBE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15D99087" w14:textId="77777777" w:rsidTr="002F3D36">
        <w:trPr>
          <w:trHeight w:val="180"/>
          <w:tblCellSpacing w:w="15" w:type="dxa"/>
        </w:trPr>
        <w:tc>
          <w:tcPr>
            <w:tcW w:w="0" w:type="auto"/>
            <w:shd w:val="clear" w:color="auto" w:fill="CFF0FC"/>
            <w:hideMark/>
          </w:tcPr>
          <w:p w14:paraId="6E21EE0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Exercised</w:t>
            </w:r>
          </w:p>
        </w:tc>
        <w:tc>
          <w:tcPr>
            <w:tcW w:w="0" w:type="auto"/>
            <w:shd w:val="clear" w:color="auto" w:fill="CFF0FC"/>
            <w:vAlign w:val="bottom"/>
            <w:hideMark/>
          </w:tcPr>
          <w:p w14:paraId="26B4BC9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7EB2AF8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28040E35"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(14,238</w:t>
            </w:r>
          </w:p>
        </w:tc>
        <w:tc>
          <w:tcPr>
            <w:tcW w:w="0" w:type="auto"/>
            <w:shd w:val="clear" w:color="auto" w:fill="CFF0FC"/>
            <w:vAlign w:val="bottom"/>
            <w:hideMark/>
          </w:tcPr>
          <w:p w14:paraId="3EA1C40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5EE9D99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4C4C832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2E4FD266"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55.55</w:t>
            </w:r>
          </w:p>
        </w:tc>
        <w:tc>
          <w:tcPr>
            <w:tcW w:w="0" w:type="auto"/>
            <w:shd w:val="clear" w:color="auto" w:fill="CFF0FC"/>
            <w:vAlign w:val="bottom"/>
            <w:hideMark/>
          </w:tcPr>
          <w:p w14:paraId="4747501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4BF445B1" w14:textId="77777777" w:rsidTr="002F3D36">
        <w:trPr>
          <w:trHeight w:val="180"/>
          <w:tblCellSpacing w:w="15" w:type="dxa"/>
        </w:trPr>
        <w:tc>
          <w:tcPr>
            <w:tcW w:w="0" w:type="auto"/>
            <w:hideMark/>
          </w:tcPr>
          <w:p w14:paraId="568A47A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Cancelled/Forfeited/Expired</w:t>
            </w:r>
          </w:p>
        </w:tc>
        <w:tc>
          <w:tcPr>
            <w:tcW w:w="0" w:type="auto"/>
            <w:vAlign w:val="bottom"/>
            <w:hideMark/>
          </w:tcPr>
          <w:p w14:paraId="11EBF63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24514AF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5DB594EF"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(11,462</w:t>
            </w:r>
          </w:p>
        </w:tc>
        <w:tc>
          <w:tcPr>
            <w:tcW w:w="0" w:type="auto"/>
            <w:vAlign w:val="bottom"/>
            <w:hideMark/>
          </w:tcPr>
          <w:p w14:paraId="1A1F7F4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vAlign w:val="bottom"/>
            <w:hideMark/>
          </w:tcPr>
          <w:p w14:paraId="456364B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111BC61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718AC1EF"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69.25</w:t>
            </w:r>
          </w:p>
        </w:tc>
        <w:tc>
          <w:tcPr>
            <w:tcW w:w="0" w:type="auto"/>
            <w:vAlign w:val="bottom"/>
            <w:hideMark/>
          </w:tcPr>
          <w:p w14:paraId="733ED16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5DDA3421" w14:textId="77777777" w:rsidTr="002F3D36">
        <w:trPr>
          <w:trHeight w:val="180"/>
          <w:tblCellSpacing w:w="15" w:type="dxa"/>
        </w:trPr>
        <w:tc>
          <w:tcPr>
            <w:tcW w:w="0" w:type="auto"/>
            <w:shd w:val="clear" w:color="auto" w:fill="CFF0FC"/>
            <w:hideMark/>
          </w:tcPr>
          <w:p w14:paraId="7522791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Outstanding at December 31, 2020</w:t>
            </w:r>
          </w:p>
        </w:tc>
        <w:tc>
          <w:tcPr>
            <w:tcW w:w="0" w:type="auto"/>
            <w:shd w:val="clear" w:color="auto" w:fill="CFF0FC"/>
            <w:vAlign w:val="bottom"/>
            <w:hideMark/>
          </w:tcPr>
          <w:p w14:paraId="468BF60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026ACE8E"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5682C6CC"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90,175</w:t>
            </w:r>
          </w:p>
        </w:tc>
        <w:tc>
          <w:tcPr>
            <w:tcW w:w="0" w:type="auto"/>
            <w:shd w:val="clear" w:color="auto" w:fill="CFF0FC"/>
            <w:vAlign w:val="bottom"/>
            <w:hideMark/>
          </w:tcPr>
          <w:p w14:paraId="7211563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1E24EE6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09DB5D8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3F9F0783"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68.13</w:t>
            </w:r>
          </w:p>
        </w:tc>
        <w:tc>
          <w:tcPr>
            <w:tcW w:w="0" w:type="auto"/>
            <w:shd w:val="clear" w:color="auto" w:fill="CFF0FC"/>
            <w:vAlign w:val="bottom"/>
            <w:hideMark/>
          </w:tcPr>
          <w:p w14:paraId="52F00AC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22EDF7A7" w14:textId="77777777" w:rsidTr="002F3D36">
        <w:trPr>
          <w:trHeight w:val="180"/>
          <w:tblCellSpacing w:w="15" w:type="dxa"/>
        </w:trPr>
        <w:tc>
          <w:tcPr>
            <w:tcW w:w="0" w:type="auto"/>
            <w:hideMark/>
          </w:tcPr>
          <w:p w14:paraId="170ECCE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Exercised</w:t>
            </w:r>
          </w:p>
        </w:tc>
        <w:tc>
          <w:tcPr>
            <w:tcW w:w="0" w:type="auto"/>
            <w:vAlign w:val="bottom"/>
            <w:hideMark/>
          </w:tcPr>
          <w:p w14:paraId="2DD7778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3E109BE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1E39D96B"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(40,112</w:t>
            </w:r>
          </w:p>
        </w:tc>
        <w:tc>
          <w:tcPr>
            <w:tcW w:w="0" w:type="auto"/>
            <w:vAlign w:val="bottom"/>
            <w:hideMark/>
          </w:tcPr>
          <w:p w14:paraId="2C5691F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vAlign w:val="bottom"/>
            <w:hideMark/>
          </w:tcPr>
          <w:p w14:paraId="1029D3F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2FB5AFE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68291BF5"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67.49</w:t>
            </w:r>
          </w:p>
        </w:tc>
        <w:tc>
          <w:tcPr>
            <w:tcW w:w="0" w:type="auto"/>
            <w:vAlign w:val="bottom"/>
            <w:hideMark/>
          </w:tcPr>
          <w:p w14:paraId="0C22825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03FF2DF3" w14:textId="77777777" w:rsidTr="002F3D36">
        <w:trPr>
          <w:trHeight w:val="180"/>
          <w:tblCellSpacing w:w="15" w:type="dxa"/>
        </w:trPr>
        <w:tc>
          <w:tcPr>
            <w:tcW w:w="0" w:type="auto"/>
            <w:shd w:val="clear" w:color="auto" w:fill="CFF0FC"/>
            <w:hideMark/>
          </w:tcPr>
          <w:p w14:paraId="1E428B2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Cancelled/Forfeited/Expired</w:t>
            </w:r>
          </w:p>
        </w:tc>
        <w:tc>
          <w:tcPr>
            <w:tcW w:w="0" w:type="auto"/>
            <w:shd w:val="clear" w:color="auto" w:fill="CFF0FC"/>
            <w:vAlign w:val="bottom"/>
            <w:hideMark/>
          </w:tcPr>
          <w:p w14:paraId="79E1F81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6CF773C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6C218902"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(188</w:t>
            </w:r>
          </w:p>
        </w:tc>
        <w:tc>
          <w:tcPr>
            <w:tcW w:w="0" w:type="auto"/>
            <w:shd w:val="clear" w:color="auto" w:fill="CFF0FC"/>
            <w:vAlign w:val="bottom"/>
            <w:hideMark/>
          </w:tcPr>
          <w:p w14:paraId="5D920B5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46C9B49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4321D03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033E5D4D"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51.74</w:t>
            </w:r>
          </w:p>
        </w:tc>
        <w:tc>
          <w:tcPr>
            <w:tcW w:w="0" w:type="auto"/>
            <w:shd w:val="clear" w:color="auto" w:fill="CFF0FC"/>
            <w:vAlign w:val="bottom"/>
            <w:hideMark/>
          </w:tcPr>
          <w:p w14:paraId="0A8DFBB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6ED34D88" w14:textId="77777777" w:rsidTr="002F3D36">
        <w:trPr>
          <w:trHeight w:val="180"/>
          <w:tblCellSpacing w:w="15" w:type="dxa"/>
        </w:trPr>
        <w:tc>
          <w:tcPr>
            <w:tcW w:w="0" w:type="auto"/>
            <w:hideMark/>
          </w:tcPr>
          <w:p w14:paraId="6F9274C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Outstanding at December 31, 2021</w:t>
            </w:r>
          </w:p>
        </w:tc>
        <w:tc>
          <w:tcPr>
            <w:tcW w:w="0" w:type="auto"/>
            <w:vAlign w:val="bottom"/>
            <w:hideMark/>
          </w:tcPr>
          <w:p w14:paraId="6097832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2F8FB91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37BCE1EE"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49,875</w:t>
            </w:r>
          </w:p>
        </w:tc>
        <w:tc>
          <w:tcPr>
            <w:tcW w:w="0" w:type="auto"/>
            <w:vAlign w:val="bottom"/>
            <w:hideMark/>
          </w:tcPr>
          <w:p w14:paraId="643425E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3F9DE7F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27D9475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5592FFE4"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68.71</w:t>
            </w:r>
          </w:p>
        </w:tc>
        <w:tc>
          <w:tcPr>
            <w:tcW w:w="0" w:type="auto"/>
            <w:vAlign w:val="bottom"/>
            <w:hideMark/>
          </w:tcPr>
          <w:p w14:paraId="036FB08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312EBB93" w14:textId="77777777" w:rsidTr="002F3D36">
        <w:trPr>
          <w:tblCellSpacing w:w="15" w:type="dxa"/>
        </w:trPr>
        <w:tc>
          <w:tcPr>
            <w:tcW w:w="0" w:type="auto"/>
            <w:shd w:val="clear" w:color="auto" w:fill="CFF0FC"/>
            <w:hideMark/>
          </w:tcPr>
          <w:p w14:paraId="3B52403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5D7711F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gridSpan w:val="2"/>
            <w:shd w:val="clear" w:color="auto" w:fill="CFF0FC"/>
            <w:vAlign w:val="bottom"/>
            <w:hideMark/>
          </w:tcPr>
          <w:p w14:paraId="3BF823B7"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397F032A"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58A93A5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gridSpan w:val="2"/>
            <w:shd w:val="clear" w:color="auto" w:fill="CFF0FC"/>
            <w:vAlign w:val="bottom"/>
            <w:hideMark/>
          </w:tcPr>
          <w:p w14:paraId="6F313FBA"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4F66AE04"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6724DB77" w14:textId="77777777" w:rsidTr="002F3D36">
        <w:trPr>
          <w:trHeight w:val="180"/>
          <w:tblCellSpacing w:w="15" w:type="dxa"/>
        </w:trPr>
        <w:tc>
          <w:tcPr>
            <w:tcW w:w="0" w:type="auto"/>
            <w:hideMark/>
          </w:tcPr>
          <w:p w14:paraId="68DED45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u w:val="single"/>
              </w:rPr>
              <w:t>OPTIONS EXERCISABLE</w:t>
            </w:r>
          </w:p>
        </w:tc>
        <w:tc>
          <w:tcPr>
            <w:tcW w:w="0" w:type="auto"/>
            <w:vAlign w:val="bottom"/>
            <w:hideMark/>
          </w:tcPr>
          <w:p w14:paraId="4785C51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gridSpan w:val="2"/>
            <w:vAlign w:val="bottom"/>
            <w:hideMark/>
          </w:tcPr>
          <w:p w14:paraId="71E6938A"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35B6F7F7"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475388A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gridSpan w:val="2"/>
            <w:vAlign w:val="bottom"/>
            <w:hideMark/>
          </w:tcPr>
          <w:p w14:paraId="6AAF8620"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6AB970AF"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790EB867" w14:textId="77777777" w:rsidTr="002F3D36">
        <w:trPr>
          <w:trHeight w:val="180"/>
          <w:tblCellSpacing w:w="15" w:type="dxa"/>
        </w:trPr>
        <w:tc>
          <w:tcPr>
            <w:tcW w:w="0" w:type="auto"/>
            <w:shd w:val="clear" w:color="auto" w:fill="CFF0FC"/>
            <w:hideMark/>
          </w:tcPr>
          <w:p w14:paraId="0C0441A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At December 31, 2019</w:t>
            </w:r>
          </w:p>
        </w:tc>
        <w:tc>
          <w:tcPr>
            <w:tcW w:w="0" w:type="auto"/>
            <w:shd w:val="clear" w:color="auto" w:fill="CFF0FC"/>
            <w:vAlign w:val="bottom"/>
            <w:hideMark/>
          </w:tcPr>
          <w:p w14:paraId="1A58040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3D9E6DC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01E58BB0"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115,875</w:t>
            </w:r>
          </w:p>
        </w:tc>
        <w:tc>
          <w:tcPr>
            <w:tcW w:w="0" w:type="auto"/>
            <w:shd w:val="clear" w:color="auto" w:fill="CFF0FC"/>
            <w:vAlign w:val="bottom"/>
            <w:hideMark/>
          </w:tcPr>
          <w:p w14:paraId="5E2C9B1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70472F2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75E9D66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26D3B77D"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66.70</w:t>
            </w:r>
          </w:p>
        </w:tc>
        <w:tc>
          <w:tcPr>
            <w:tcW w:w="0" w:type="auto"/>
            <w:shd w:val="clear" w:color="auto" w:fill="CFF0FC"/>
            <w:vAlign w:val="bottom"/>
            <w:hideMark/>
          </w:tcPr>
          <w:p w14:paraId="2333108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0AAC67E0" w14:textId="77777777" w:rsidTr="002F3D36">
        <w:trPr>
          <w:trHeight w:val="180"/>
          <w:tblCellSpacing w:w="15" w:type="dxa"/>
        </w:trPr>
        <w:tc>
          <w:tcPr>
            <w:tcW w:w="0" w:type="auto"/>
            <w:hideMark/>
          </w:tcPr>
          <w:p w14:paraId="44C536B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At December 31, 2020</w:t>
            </w:r>
          </w:p>
        </w:tc>
        <w:tc>
          <w:tcPr>
            <w:tcW w:w="0" w:type="auto"/>
            <w:vAlign w:val="bottom"/>
            <w:hideMark/>
          </w:tcPr>
          <w:p w14:paraId="5CCFCDB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2B14904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4EF075C5"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90,175</w:t>
            </w:r>
          </w:p>
        </w:tc>
        <w:tc>
          <w:tcPr>
            <w:tcW w:w="0" w:type="auto"/>
            <w:vAlign w:val="bottom"/>
            <w:hideMark/>
          </w:tcPr>
          <w:p w14:paraId="79E2EF5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1203CDB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36F7D6D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5CFA15DA"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68.13</w:t>
            </w:r>
          </w:p>
        </w:tc>
        <w:tc>
          <w:tcPr>
            <w:tcW w:w="0" w:type="auto"/>
            <w:vAlign w:val="bottom"/>
            <w:hideMark/>
          </w:tcPr>
          <w:p w14:paraId="01252FEE"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5D0A8593" w14:textId="77777777" w:rsidTr="002F3D36">
        <w:trPr>
          <w:trHeight w:val="180"/>
          <w:tblCellSpacing w:w="15" w:type="dxa"/>
        </w:trPr>
        <w:tc>
          <w:tcPr>
            <w:tcW w:w="0" w:type="auto"/>
            <w:shd w:val="clear" w:color="auto" w:fill="CFF0FC"/>
            <w:hideMark/>
          </w:tcPr>
          <w:p w14:paraId="1319A88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At December 31, 2021</w:t>
            </w:r>
          </w:p>
        </w:tc>
        <w:tc>
          <w:tcPr>
            <w:tcW w:w="0" w:type="auto"/>
            <w:shd w:val="clear" w:color="auto" w:fill="CFF0FC"/>
            <w:vAlign w:val="bottom"/>
            <w:hideMark/>
          </w:tcPr>
          <w:p w14:paraId="5A62680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0C3E43E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4BBFC53E"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49,875</w:t>
            </w:r>
          </w:p>
        </w:tc>
        <w:tc>
          <w:tcPr>
            <w:tcW w:w="0" w:type="auto"/>
            <w:shd w:val="clear" w:color="auto" w:fill="CFF0FC"/>
            <w:vAlign w:val="bottom"/>
            <w:hideMark/>
          </w:tcPr>
          <w:p w14:paraId="16FEAA9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42E2951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097E0BA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43915138"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68.71</w:t>
            </w:r>
          </w:p>
        </w:tc>
        <w:tc>
          <w:tcPr>
            <w:tcW w:w="0" w:type="auto"/>
            <w:shd w:val="clear" w:color="auto" w:fill="CFF0FC"/>
            <w:vAlign w:val="bottom"/>
            <w:hideMark/>
          </w:tcPr>
          <w:p w14:paraId="38E5A57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bl>
    <w:p w14:paraId="77B33815"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24"/>
          <w:szCs w:val="24"/>
        </w:rPr>
        <w:t> </w:t>
      </w:r>
    </w:p>
    <w:p w14:paraId="317B7C1C"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1"/>
          <w:szCs w:val="11"/>
        </w:rPr>
        <w:t xml:space="preserve">1) </w:t>
      </w:r>
      <w:r w:rsidRPr="002F3D36">
        <w:rPr>
          <w:rFonts w:ascii="Arial" w:eastAsia="宋体" w:hAnsi="Arial" w:cs="Arial"/>
          <w:color w:val="000000"/>
          <w:kern w:val="0"/>
          <w:sz w:val="16"/>
          <w:szCs w:val="16"/>
        </w:rPr>
        <w:t>Reflects the cancellation of SOs outstanding as of the Distribution Date, and the conversion to new awards in accordance with the conversion factor 1.41. The weighted average exercise price reflects the exercise price of the shares cancelled due to the Veoneer spin-off.</w:t>
      </w:r>
    </w:p>
    <w:p w14:paraId="69550906"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The following summarizes information about SOs outstanding and exercisable at December 31, 2021:</w:t>
      </w:r>
    </w:p>
    <w:p w14:paraId="7E4816A0"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w:t>
      </w:r>
    </w:p>
    <w:tbl>
      <w:tblPr>
        <w:tblW w:w="16491" w:type="dxa"/>
        <w:tblCellSpacing w:w="15" w:type="dxa"/>
        <w:tblCellMar>
          <w:top w:w="15" w:type="dxa"/>
          <w:left w:w="15" w:type="dxa"/>
          <w:bottom w:w="15" w:type="dxa"/>
          <w:right w:w="15" w:type="dxa"/>
        </w:tblCellMar>
        <w:tblLook w:val="04A0" w:firstRow="1" w:lastRow="0" w:firstColumn="1" w:lastColumn="0" w:noHBand="0" w:noVBand="1"/>
      </w:tblPr>
      <w:tblGrid>
        <w:gridCol w:w="8510"/>
        <w:gridCol w:w="232"/>
        <w:gridCol w:w="167"/>
        <w:gridCol w:w="2135"/>
        <w:gridCol w:w="143"/>
        <w:gridCol w:w="233"/>
        <w:gridCol w:w="164"/>
        <w:gridCol w:w="2080"/>
        <w:gridCol w:w="143"/>
        <w:gridCol w:w="233"/>
        <w:gridCol w:w="296"/>
        <w:gridCol w:w="1996"/>
        <w:gridCol w:w="159"/>
      </w:tblGrid>
      <w:tr w:rsidR="002F3D36" w:rsidRPr="002F3D36" w14:paraId="29F4F39C" w14:textId="77777777" w:rsidTr="002F3D36">
        <w:trPr>
          <w:tblCellSpacing w:w="15" w:type="dxa"/>
        </w:trPr>
        <w:tc>
          <w:tcPr>
            <w:tcW w:w="8485" w:type="dxa"/>
            <w:vAlign w:val="center"/>
            <w:hideMark/>
          </w:tcPr>
          <w:p w14:paraId="2E98E419" w14:textId="77777777" w:rsidR="002F3D36" w:rsidRPr="002F3D36" w:rsidRDefault="002F3D36" w:rsidP="002F3D36">
            <w:pPr>
              <w:widowControl/>
              <w:jc w:val="left"/>
              <w:rPr>
                <w:rFonts w:ascii="Times New Roman" w:eastAsia="宋体" w:hAnsi="Times New Roman" w:cs="Times New Roman"/>
                <w:color w:val="000000"/>
                <w:kern w:val="0"/>
                <w:sz w:val="20"/>
                <w:szCs w:val="20"/>
              </w:rPr>
            </w:pPr>
          </w:p>
        </w:tc>
        <w:tc>
          <w:tcPr>
            <w:tcW w:w="203" w:type="dxa"/>
            <w:vAlign w:val="center"/>
            <w:hideMark/>
          </w:tcPr>
          <w:p w14:paraId="3A73632E"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37" w:type="dxa"/>
            <w:vAlign w:val="center"/>
            <w:hideMark/>
          </w:tcPr>
          <w:p w14:paraId="77B0BC37"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108" w:type="dxa"/>
            <w:vAlign w:val="center"/>
            <w:hideMark/>
          </w:tcPr>
          <w:p w14:paraId="52318862"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13" w:type="dxa"/>
            <w:vAlign w:val="center"/>
            <w:hideMark/>
          </w:tcPr>
          <w:p w14:paraId="514A01ED"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03" w:type="dxa"/>
            <w:vAlign w:val="center"/>
            <w:hideMark/>
          </w:tcPr>
          <w:p w14:paraId="1F38B146"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34" w:type="dxa"/>
            <w:vAlign w:val="center"/>
            <w:hideMark/>
          </w:tcPr>
          <w:p w14:paraId="5CF58B8A"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053" w:type="dxa"/>
            <w:vAlign w:val="center"/>
            <w:hideMark/>
          </w:tcPr>
          <w:p w14:paraId="52F7276A"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13" w:type="dxa"/>
            <w:vAlign w:val="center"/>
            <w:hideMark/>
          </w:tcPr>
          <w:p w14:paraId="6EAFF821"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03" w:type="dxa"/>
            <w:vAlign w:val="center"/>
            <w:hideMark/>
          </w:tcPr>
          <w:p w14:paraId="6FCEF608"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66" w:type="dxa"/>
            <w:vAlign w:val="center"/>
            <w:hideMark/>
          </w:tcPr>
          <w:p w14:paraId="71C18E69"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969" w:type="dxa"/>
            <w:vAlign w:val="center"/>
            <w:hideMark/>
          </w:tcPr>
          <w:p w14:paraId="29813593"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14" w:type="dxa"/>
            <w:vAlign w:val="center"/>
            <w:hideMark/>
          </w:tcPr>
          <w:p w14:paraId="5CF123BD" w14:textId="77777777" w:rsidR="002F3D36" w:rsidRPr="002F3D36" w:rsidRDefault="002F3D36" w:rsidP="002F3D36">
            <w:pPr>
              <w:widowControl/>
              <w:jc w:val="left"/>
              <w:rPr>
                <w:rFonts w:ascii="Times New Roman" w:eastAsia="Times New Roman" w:hAnsi="Times New Roman" w:cs="Times New Roman"/>
                <w:kern w:val="0"/>
                <w:sz w:val="20"/>
                <w:szCs w:val="20"/>
              </w:rPr>
            </w:pPr>
          </w:p>
        </w:tc>
      </w:tr>
      <w:tr w:rsidR="002F3D36" w:rsidRPr="002F3D36" w14:paraId="6D4FC45A" w14:textId="77777777" w:rsidTr="002F3D36">
        <w:trPr>
          <w:trHeight w:val="160"/>
          <w:tblCellSpacing w:w="15" w:type="dxa"/>
        </w:trPr>
        <w:tc>
          <w:tcPr>
            <w:tcW w:w="0" w:type="auto"/>
            <w:vAlign w:val="bottom"/>
            <w:hideMark/>
          </w:tcPr>
          <w:p w14:paraId="35327B5E"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u w:val="single"/>
              </w:rPr>
              <w:t>RANGE OF EXERCISE PRICES</w:t>
            </w:r>
          </w:p>
        </w:tc>
        <w:tc>
          <w:tcPr>
            <w:tcW w:w="0" w:type="auto"/>
            <w:vAlign w:val="bottom"/>
            <w:hideMark/>
          </w:tcPr>
          <w:p w14:paraId="6CB39ADD"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2"/>
            <w:tcBorders>
              <w:bottom w:val="single" w:sz="4" w:space="0" w:color="000000"/>
            </w:tcBorders>
            <w:vAlign w:val="bottom"/>
            <w:hideMark/>
          </w:tcPr>
          <w:p w14:paraId="414908B2"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Number</w:t>
            </w:r>
            <w:r w:rsidRPr="002F3D36">
              <w:rPr>
                <w:rFonts w:ascii="Arial" w:eastAsia="宋体" w:hAnsi="Arial" w:cs="Arial"/>
                <w:b/>
                <w:bCs/>
                <w:color w:val="000000"/>
                <w:kern w:val="0"/>
                <w:sz w:val="16"/>
                <w:szCs w:val="16"/>
              </w:rPr>
              <w:br/>
              <w:t>outstanding &amp;</w:t>
            </w:r>
            <w:r w:rsidRPr="002F3D36">
              <w:rPr>
                <w:rFonts w:ascii="Arial" w:eastAsia="宋体" w:hAnsi="Arial" w:cs="Arial"/>
                <w:b/>
                <w:bCs/>
                <w:color w:val="000000"/>
                <w:kern w:val="0"/>
                <w:sz w:val="16"/>
                <w:szCs w:val="16"/>
              </w:rPr>
              <w:br/>
              <w:t>exercisable</w:t>
            </w:r>
          </w:p>
        </w:tc>
        <w:tc>
          <w:tcPr>
            <w:tcW w:w="0" w:type="auto"/>
            <w:vAlign w:val="bottom"/>
            <w:hideMark/>
          </w:tcPr>
          <w:p w14:paraId="29DF6A9C"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vAlign w:val="bottom"/>
            <w:hideMark/>
          </w:tcPr>
          <w:p w14:paraId="7B09A342"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2"/>
            <w:tcBorders>
              <w:bottom w:val="single" w:sz="4" w:space="0" w:color="000000"/>
            </w:tcBorders>
            <w:vAlign w:val="bottom"/>
            <w:hideMark/>
          </w:tcPr>
          <w:p w14:paraId="3BC90AD8"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Remaining</w:t>
            </w:r>
            <w:r w:rsidRPr="002F3D36">
              <w:rPr>
                <w:rFonts w:ascii="Arial" w:eastAsia="宋体" w:hAnsi="Arial" w:cs="Arial"/>
                <w:b/>
                <w:bCs/>
                <w:color w:val="000000"/>
                <w:kern w:val="0"/>
                <w:sz w:val="16"/>
                <w:szCs w:val="16"/>
              </w:rPr>
              <w:br/>
              <w:t>contract life</w:t>
            </w:r>
            <w:r w:rsidRPr="002F3D36">
              <w:rPr>
                <w:rFonts w:ascii="Arial" w:eastAsia="宋体" w:hAnsi="Arial" w:cs="Arial"/>
                <w:b/>
                <w:bCs/>
                <w:color w:val="000000"/>
                <w:kern w:val="0"/>
                <w:sz w:val="16"/>
                <w:szCs w:val="16"/>
              </w:rPr>
              <w:br/>
              <w:t>(in years)</w:t>
            </w:r>
          </w:p>
        </w:tc>
        <w:tc>
          <w:tcPr>
            <w:tcW w:w="0" w:type="auto"/>
            <w:vAlign w:val="bottom"/>
            <w:hideMark/>
          </w:tcPr>
          <w:p w14:paraId="2AB1E1A7"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vAlign w:val="bottom"/>
            <w:hideMark/>
          </w:tcPr>
          <w:p w14:paraId="052A8DB3"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2"/>
            <w:tcBorders>
              <w:bottom w:val="single" w:sz="4" w:space="0" w:color="000000"/>
            </w:tcBorders>
            <w:vAlign w:val="bottom"/>
            <w:hideMark/>
          </w:tcPr>
          <w:p w14:paraId="4C8AD130"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Weighted</w:t>
            </w:r>
            <w:r w:rsidRPr="002F3D36">
              <w:rPr>
                <w:rFonts w:ascii="Arial" w:eastAsia="宋体" w:hAnsi="Arial" w:cs="Arial"/>
                <w:b/>
                <w:bCs/>
                <w:color w:val="000000"/>
                <w:kern w:val="0"/>
                <w:sz w:val="16"/>
                <w:szCs w:val="16"/>
              </w:rPr>
              <w:br/>
              <w:t>average</w:t>
            </w:r>
            <w:r w:rsidRPr="002F3D36">
              <w:rPr>
                <w:rFonts w:ascii="Arial" w:eastAsia="宋体" w:hAnsi="Arial" w:cs="Arial"/>
                <w:b/>
                <w:bCs/>
                <w:color w:val="000000"/>
                <w:kern w:val="0"/>
                <w:sz w:val="16"/>
                <w:szCs w:val="16"/>
              </w:rPr>
              <w:br/>
              <w:t>exercise</w:t>
            </w:r>
            <w:r w:rsidRPr="002F3D36">
              <w:rPr>
                <w:rFonts w:ascii="Arial" w:eastAsia="宋体" w:hAnsi="Arial" w:cs="Arial"/>
                <w:b/>
                <w:bCs/>
                <w:color w:val="000000"/>
                <w:kern w:val="0"/>
                <w:sz w:val="16"/>
                <w:szCs w:val="16"/>
              </w:rPr>
              <w:br/>
              <w:t>price</w:t>
            </w:r>
          </w:p>
        </w:tc>
        <w:tc>
          <w:tcPr>
            <w:tcW w:w="0" w:type="auto"/>
            <w:vAlign w:val="bottom"/>
            <w:hideMark/>
          </w:tcPr>
          <w:p w14:paraId="0487EB05"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r>
      <w:tr w:rsidR="002F3D36" w:rsidRPr="002F3D36" w14:paraId="340FEDE4" w14:textId="77777777" w:rsidTr="002F3D36">
        <w:trPr>
          <w:trHeight w:val="180"/>
          <w:tblCellSpacing w:w="15" w:type="dxa"/>
        </w:trPr>
        <w:tc>
          <w:tcPr>
            <w:tcW w:w="0" w:type="auto"/>
            <w:shd w:val="clear" w:color="auto" w:fill="CFF0FC"/>
            <w:hideMark/>
          </w:tcPr>
          <w:p w14:paraId="282CB0F9" w14:textId="77777777" w:rsidR="002F3D36" w:rsidRPr="002F3D36" w:rsidRDefault="002F3D36" w:rsidP="002F3D36">
            <w:pPr>
              <w:widowControl/>
              <w:jc w:val="lef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$47.52</w:t>
            </w:r>
          </w:p>
        </w:tc>
        <w:tc>
          <w:tcPr>
            <w:tcW w:w="0" w:type="auto"/>
            <w:shd w:val="clear" w:color="auto" w:fill="CFF0FC"/>
            <w:vAlign w:val="bottom"/>
            <w:hideMark/>
          </w:tcPr>
          <w:p w14:paraId="558E191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4765A95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221EB04C"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4,435</w:t>
            </w:r>
          </w:p>
        </w:tc>
        <w:tc>
          <w:tcPr>
            <w:tcW w:w="0" w:type="auto"/>
            <w:shd w:val="clear" w:color="auto" w:fill="CFF0FC"/>
            <w:vAlign w:val="bottom"/>
            <w:hideMark/>
          </w:tcPr>
          <w:p w14:paraId="0E5E1BD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4B5EE4D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127DEED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04415733"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0.14</w:t>
            </w:r>
          </w:p>
        </w:tc>
        <w:tc>
          <w:tcPr>
            <w:tcW w:w="0" w:type="auto"/>
            <w:shd w:val="clear" w:color="auto" w:fill="CFF0FC"/>
            <w:vAlign w:val="bottom"/>
            <w:hideMark/>
          </w:tcPr>
          <w:p w14:paraId="59BAFAD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7537117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5CA5842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54CCA80F"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47.52</w:t>
            </w:r>
          </w:p>
        </w:tc>
        <w:tc>
          <w:tcPr>
            <w:tcW w:w="0" w:type="auto"/>
            <w:shd w:val="clear" w:color="auto" w:fill="CFF0FC"/>
            <w:vAlign w:val="bottom"/>
            <w:hideMark/>
          </w:tcPr>
          <w:p w14:paraId="4A582F0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07B1ADA8" w14:textId="77777777" w:rsidTr="002F3D36">
        <w:trPr>
          <w:trHeight w:val="180"/>
          <w:tblCellSpacing w:w="15" w:type="dxa"/>
        </w:trPr>
        <w:tc>
          <w:tcPr>
            <w:tcW w:w="0" w:type="auto"/>
            <w:hideMark/>
          </w:tcPr>
          <w:p w14:paraId="622603F7" w14:textId="77777777" w:rsidR="002F3D36" w:rsidRPr="002F3D36" w:rsidRDefault="002F3D36" w:rsidP="002F3D36">
            <w:pPr>
              <w:widowControl/>
              <w:jc w:val="lef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$49.07</w:t>
            </w:r>
          </w:p>
        </w:tc>
        <w:tc>
          <w:tcPr>
            <w:tcW w:w="0" w:type="auto"/>
            <w:vAlign w:val="bottom"/>
            <w:hideMark/>
          </w:tcPr>
          <w:p w14:paraId="6773072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42E636A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14CAF265"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8,113</w:t>
            </w:r>
          </w:p>
        </w:tc>
        <w:tc>
          <w:tcPr>
            <w:tcW w:w="0" w:type="auto"/>
            <w:vAlign w:val="bottom"/>
            <w:hideMark/>
          </w:tcPr>
          <w:p w14:paraId="48C1C4B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4CA55B6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7EB068F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50B7B0CF"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1.14</w:t>
            </w:r>
          </w:p>
        </w:tc>
        <w:tc>
          <w:tcPr>
            <w:tcW w:w="0" w:type="auto"/>
            <w:vAlign w:val="bottom"/>
            <w:hideMark/>
          </w:tcPr>
          <w:p w14:paraId="3206D06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4A7541F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0F70EFC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7AAABA71"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49.07</w:t>
            </w:r>
          </w:p>
        </w:tc>
        <w:tc>
          <w:tcPr>
            <w:tcW w:w="0" w:type="auto"/>
            <w:vAlign w:val="bottom"/>
            <w:hideMark/>
          </w:tcPr>
          <w:p w14:paraId="02BF808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5616CA22" w14:textId="77777777" w:rsidTr="002F3D36">
        <w:trPr>
          <w:trHeight w:val="180"/>
          <w:tblCellSpacing w:w="15" w:type="dxa"/>
        </w:trPr>
        <w:tc>
          <w:tcPr>
            <w:tcW w:w="0" w:type="auto"/>
            <w:shd w:val="clear" w:color="auto" w:fill="CFF0FC"/>
            <w:hideMark/>
          </w:tcPr>
          <w:p w14:paraId="465FC2E0" w14:textId="77777777" w:rsidR="002F3D36" w:rsidRPr="002F3D36" w:rsidRDefault="002F3D36" w:rsidP="002F3D36">
            <w:pPr>
              <w:widowControl/>
              <w:jc w:val="lef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$67.29</w:t>
            </w:r>
          </w:p>
        </w:tc>
        <w:tc>
          <w:tcPr>
            <w:tcW w:w="0" w:type="auto"/>
            <w:shd w:val="clear" w:color="auto" w:fill="CFF0FC"/>
            <w:vAlign w:val="bottom"/>
            <w:hideMark/>
          </w:tcPr>
          <w:p w14:paraId="62C3E8B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10C3FE9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4A09AFBB"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13,961</w:t>
            </w:r>
          </w:p>
        </w:tc>
        <w:tc>
          <w:tcPr>
            <w:tcW w:w="0" w:type="auto"/>
            <w:shd w:val="clear" w:color="auto" w:fill="CFF0FC"/>
            <w:vAlign w:val="bottom"/>
            <w:hideMark/>
          </w:tcPr>
          <w:p w14:paraId="70A7757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635262F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6AAABC8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33103082"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2.14</w:t>
            </w:r>
          </w:p>
        </w:tc>
        <w:tc>
          <w:tcPr>
            <w:tcW w:w="0" w:type="auto"/>
            <w:shd w:val="clear" w:color="auto" w:fill="CFF0FC"/>
            <w:vAlign w:val="bottom"/>
            <w:hideMark/>
          </w:tcPr>
          <w:p w14:paraId="0F21C96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1E38A75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7E78D1E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7C1888B0"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67.29</w:t>
            </w:r>
          </w:p>
        </w:tc>
        <w:tc>
          <w:tcPr>
            <w:tcW w:w="0" w:type="auto"/>
            <w:shd w:val="clear" w:color="auto" w:fill="CFF0FC"/>
            <w:vAlign w:val="bottom"/>
            <w:hideMark/>
          </w:tcPr>
          <w:p w14:paraId="5440D42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11A35054" w14:textId="77777777" w:rsidTr="002F3D36">
        <w:trPr>
          <w:trHeight w:val="180"/>
          <w:tblCellSpacing w:w="15" w:type="dxa"/>
        </w:trPr>
        <w:tc>
          <w:tcPr>
            <w:tcW w:w="0" w:type="auto"/>
            <w:hideMark/>
          </w:tcPr>
          <w:p w14:paraId="43555384" w14:textId="77777777" w:rsidR="002F3D36" w:rsidRPr="002F3D36" w:rsidRDefault="002F3D36" w:rsidP="002F3D36">
            <w:pPr>
              <w:widowControl/>
              <w:jc w:val="lef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lastRenderedPageBreak/>
              <w:t>$80.40</w:t>
            </w:r>
          </w:p>
        </w:tc>
        <w:tc>
          <w:tcPr>
            <w:tcW w:w="0" w:type="auto"/>
            <w:vAlign w:val="bottom"/>
            <w:hideMark/>
          </w:tcPr>
          <w:p w14:paraId="3B71CEA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18111B5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635256BB"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23,366</w:t>
            </w:r>
          </w:p>
        </w:tc>
        <w:tc>
          <w:tcPr>
            <w:tcW w:w="0" w:type="auto"/>
            <w:vAlign w:val="bottom"/>
            <w:hideMark/>
          </w:tcPr>
          <w:p w14:paraId="68D62F6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7BE4883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094A4FA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02DE201F"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3.13</w:t>
            </w:r>
          </w:p>
        </w:tc>
        <w:tc>
          <w:tcPr>
            <w:tcW w:w="0" w:type="auto"/>
            <w:vAlign w:val="bottom"/>
            <w:hideMark/>
          </w:tcPr>
          <w:p w14:paraId="1E82FB1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21E6585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1CD74BE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0A86EDE1"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80.40</w:t>
            </w:r>
          </w:p>
        </w:tc>
        <w:tc>
          <w:tcPr>
            <w:tcW w:w="0" w:type="auto"/>
            <w:vAlign w:val="bottom"/>
            <w:hideMark/>
          </w:tcPr>
          <w:p w14:paraId="75607CDE"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6182E20E" w14:textId="77777777" w:rsidTr="002F3D36">
        <w:trPr>
          <w:trHeight w:val="180"/>
          <w:tblCellSpacing w:w="15" w:type="dxa"/>
        </w:trPr>
        <w:tc>
          <w:tcPr>
            <w:tcW w:w="0" w:type="auto"/>
            <w:shd w:val="clear" w:color="auto" w:fill="CFF0FC"/>
            <w:hideMark/>
          </w:tcPr>
          <w:p w14:paraId="414D6DC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Times New Roman" w:eastAsia="宋体" w:hAnsi="Times New Roman" w:cs="Times New Roman"/>
                <w:kern w:val="0"/>
                <w:sz w:val="18"/>
                <w:szCs w:val="18"/>
              </w:rPr>
              <w:t> </w:t>
            </w:r>
          </w:p>
        </w:tc>
        <w:tc>
          <w:tcPr>
            <w:tcW w:w="0" w:type="auto"/>
            <w:shd w:val="clear" w:color="auto" w:fill="CFF0FC"/>
            <w:vAlign w:val="bottom"/>
            <w:hideMark/>
          </w:tcPr>
          <w:p w14:paraId="527914C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0A1FEE7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060B2318"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49,875</w:t>
            </w:r>
          </w:p>
        </w:tc>
        <w:tc>
          <w:tcPr>
            <w:tcW w:w="0" w:type="auto"/>
            <w:shd w:val="clear" w:color="auto" w:fill="CFF0FC"/>
            <w:vAlign w:val="bottom"/>
            <w:hideMark/>
          </w:tcPr>
          <w:p w14:paraId="744E127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7227CC7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7BDB5AF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293E04C2"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2.26</w:t>
            </w:r>
          </w:p>
        </w:tc>
        <w:tc>
          <w:tcPr>
            <w:tcW w:w="0" w:type="auto"/>
            <w:shd w:val="clear" w:color="auto" w:fill="CFF0FC"/>
            <w:vAlign w:val="bottom"/>
            <w:hideMark/>
          </w:tcPr>
          <w:p w14:paraId="4B495B8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5848DD6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7E61807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7D8A5834"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68.71</w:t>
            </w:r>
          </w:p>
        </w:tc>
        <w:tc>
          <w:tcPr>
            <w:tcW w:w="0" w:type="auto"/>
            <w:shd w:val="clear" w:color="auto" w:fill="CFF0FC"/>
            <w:vAlign w:val="bottom"/>
            <w:hideMark/>
          </w:tcPr>
          <w:p w14:paraId="3F66B03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bl>
    <w:p w14:paraId="75271623"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24"/>
          <w:szCs w:val="24"/>
        </w:rPr>
        <w:t> </w:t>
      </w:r>
    </w:p>
    <w:p w14:paraId="778941DC"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xml:space="preserve">The total aggregate intrinsic value, which is the difference between the exercise price and $103.41 (closing price per share at December 31, 2021), for all “in the money” SOs, both outstanding and exercisable as of December 31, 2021, was approximately $2 million. </w:t>
      </w:r>
    </w:p>
    <w:p w14:paraId="67B08C95" w14:textId="77777777" w:rsidR="002F3D36" w:rsidRPr="002F3D36" w:rsidRDefault="002F3D36" w:rsidP="002F3D36">
      <w:pPr>
        <w:widowControl/>
        <w:jc w:val="left"/>
        <w:rPr>
          <w:rFonts w:ascii="Times New Roman" w:eastAsia="宋体" w:hAnsi="Times New Roman" w:cs="Times New Roman"/>
          <w:color w:val="000000"/>
          <w:kern w:val="0"/>
          <w:sz w:val="20"/>
          <w:szCs w:val="20"/>
        </w:rPr>
      </w:pPr>
      <w:r w:rsidRPr="002F3D36">
        <w:rPr>
          <w:rFonts w:ascii="Times New Roman" w:eastAsia="宋体" w:hAnsi="Times New Roman" w:cs="Times New Roman"/>
          <w:color w:val="000000"/>
          <w:kern w:val="0"/>
          <w:sz w:val="20"/>
          <w:szCs w:val="20"/>
        </w:rPr>
        <w:t> </w:t>
      </w:r>
    </w:p>
    <w:p w14:paraId="7B0E0D1D" w14:textId="77777777" w:rsidR="002F3D36" w:rsidRPr="002F3D36" w:rsidRDefault="002F3D36" w:rsidP="002F3D36">
      <w:pPr>
        <w:widowControl/>
        <w:spacing w:before="240"/>
        <w:jc w:val="center"/>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79</w:t>
      </w:r>
    </w:p>
    <w:p w14:paraId="6519FB55" w14:textId="77777777" w:rsidR="002F3D36" w:rsidRPr="002F3D36" w:rsidRDefault="002F3D36" w:rsidP="002F3D36">
      <w:pPr>
        <w:widowControl/>
        <w:jc w:val="left"/>
        <w:rPr>
          <w:rFonts w:ascii="宋体" w:eastAsia="宋体" w:hAnsi="宋体" w:cs="宋体"/>
          <w:kern w:val="0"/>
          <w:sz w:val="24"/>
          <w:szCs w:val="24"/>
        </w:rPr>
      </w:pPr>
      <w:r w:rsidRPr="002F3D36">
        <w:rPr>
          <w:rFonts w:ascii="宋体" w:eastAsia="宋体" w:hAnsi="宋体" w:cs="宋体"/>
          <w:kern w:val="0"/>
          <w:sz w:val="24"/>
          <w:szCs w:val="24"/>
        </w:rPr>
        <w:pict w14:anchorId="107BF21A">
          <v:rect id="_x0000_i1106" style="width:0;height:1.5pt" o:hralign="center" o:hrstd="t" o:hrnoshade="t" o:hr="t" fillcolor="black" stroked="f"/>
        </w:pict>
      </w:r>
    </w:p>
    <w:p w14:paraId="30CBD800" w14:textId="77777777" w:rsidR="002F3D36" w:rsidRPr="002F3D36" w:rsidRDefault="002F3D36" w:rsidP="002F3D36">
      <w:pPr>
        <w:widowControl/>
        <w:spacing w:line="20" w:lineRule="atLeast"/>
        <w:jc w:val="left"/>
        <w:rPr>
          <w:rFonts w:ascii="Times New Roman" w:eastAsia="宋体" w:hAnsi="Times New Roman" w:cs="Times New Roman"/>
          <w:color w:val="000000"/>
          <w:kern w:val="0"/>
          <w:sz w:val="20"/>
          <w:szCs w:val="20"/>
        </w:rPr>
      </w:pPr>
      <w:r w:rsidRPr="002F3D36">
        <w:rPr>
          <w:rFonts w:ascii="Arial" w:eastAsia="宋体" w:hAnsi="Arial" w:cs="Arial"/>
          <w:color w:val="000000"/>
          <w:kern w:val="0"/>
          <w:sz w:val="2"/>
          <w:szCs w:val="2"/>
        </w:rPr>
        <w:t> </w:t>
      </w:r>
    </w:p>
    <w:p w14:paraId="172A55F7"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22"/>
        </w:rPr>
        <w:t>17. Contingent Liabilities</w:t>
      </w:r>
    </w:p>
    <w:p w14:paraId="4E308FAA"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2"/>
          <w:szCs w:val="12"/>
        </w:rPr>
        <w:t> </w:t>
      </w:r>
    </w:p>
    <w:p w14:paraId="380449AB"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LEGAL PROCEEDINGS</w:t>
      </w:r>
    </w:p>
    <w:p w14:paraId="178B07F4"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Various claims, lawsuits and proceedings are pending or threatened against the Company or its subsidiaries, covering a range of matters that arise in the ordinary course of its business activities with respect to commercial, product liability and other matters. Litigation is subject to many uncertainties, and the outcome of any litigation cannot be assured. After discussions with counsel, and with the exception of losses resulting from the antitrust proceedings described below, it is the opinion of management that the various legal proceedings and investigations to which the Company currently is a party will not have a material adverse impact on the consolidated financial position of Autoliv, but the Company cannot provide assurance that Autoliv will not experience material litigation, product liability or other losses in the future.</w:t>
      </w:r>
    </w:p>
    <w:p w14:paraId="4BBCE585" w14:textId="77777777" w:rsidR="002F3D36" w:rsidRPr="002F3D36" w:rsidRDefault="002F3D36" w:rsidP="002F3D36">
      <w:pPr>
        <w:widowControl/>
        <w:spacing w:before="2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ANTITRUST MATTERS</w:t>
      </w:r>
    </w:p>
    <w:p w14:paraId="28BDFCE7"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xml:space="preserve">Authorities in several jurisdictions have conducted broad, and in some cases, long-running investigations of suspected anti-competitive behavior among parts suppliers in the global automotive vehicle industry. These investigations included, but are not limited to, the products that the Company sells. In addition to concluded matters, authorities of other countries with significant light vehicle manufacturing or sales may initiate similar investigations. </w:t>
      </w:r>
    </w:p>
    <w:p w14:paraId="1B9BFEBD" w14:textId="77777777" w:rsidR="002F3D36" w:rsidRPr="002F3D36" w:rsidRDefault="002F3D36" w:rsidP="002F3D36">
      <w:pPr>
        <w:widowControl/>
        <w:spacing w:before="2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PRODUCT WARRANTY, RECALLS AND INTELLECTUAL PROPERTY</w:t>
      </w:r>
    </w:p>
    <w:p w14:paraId="4A8863D0"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xml:space="preserve">Autoliv is exposed to various claims for damages and compensation if its products fail to perform as expected. Such claims can be made, and result in costs and other losses to the Company, even where the product is eventually found to have functioned properly. Where a product (actually or allegedly) fails to perform as expected or is defective, the Company may face warranty and recall claims. Where such (actual or alleged) failure or defect results, or is alleged to result, in bodily injury and/or property damage, the Company may also face product liability and other claims. There can be no assurance that the Company will not experience material warranty, recall or product (or other) liability claims or losses in the future, or that the Company will not incur significant costs to defend against such claims. The Company may be required to participate in a recall involving its products. Each vehicle manufacturer has its own practices regarding product recalls and other product liability actions relating to its suppliers. As suppliers become more integrally involved in the vehicle design process and assume more of the vehicle assembly </w:t>
      </w:r>
      <w:r w:rsidRPr="002F3D36">
        <w:rPr>
          <w:rFonts w:ascii="Arial" w:eastAsia="宋体" w:hAnsi="Arial" w:cs="Arial"/>
          <w:color w:val="000000"/>
          <w:kern w:val="0"/>
          <w:sz w:val="18"/>
          <w:szCs w:val="18"/>
        </w:rPr>
        <w:lastRenderedPageBreak/>
        <w:t>functions, vehicle manufacturers are increasingly looking to their suppliers for contribution when faced with recalls and product liability claims. Government safety regulators may also play a role in warranty and recall practices. Recall decisions regarding the Company’s products may require a significant amount of judgment by us, our customers and safety regulators and are influenced by a variety of factors. Once a recall has been made, the cost of a recall is also subject to a significant amount of judgment and discussions between the Company and its customers. A warranty, recall or product-liability claim brought against the Company in excess of its insurance may have a material adverse effect on the Company’s business. Vehicle manufacturers are also increasingly requiring their outside suppliers to guarantee or warrant their products and bear the costs of repair and replacement of such products under new vehicle warranties. A vehicle manufacturer may attempt to hold the Company responsible for some, or all, of the repair or replacement costs of products when the product supplied did not perform as represented by us or expected by the customer in either a warranty or a recall situation. Accordingly, the future costs of warranty or recall claims by the customers may be material. However, the Company believes its established reserves are adequate. Autoliv’s warranty reserves are based upon the Company’s best estimates of amounts necessary to settle future and existing claims. The Company regularly evaluates the adequacy of these reserves, and adjusts them when appropriate. However, the final amounts actually due related to these matters could differ materially from the Company’s recorded estimates.</w:t>
      </w:r>
    </w:p>
    <w:p w14:paraId="6D6A0384"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In addition, as vehicle manufacturers increasingly use global platforms and procedures, quality performance evaluations are also conducted on a global basis. Any one or more quality, warranty or other recall issue(s) (including those affecting few units and/or having a small financial impact) may cause a vehicle manufacturer to implement measures such as a temporary or prolonged suspension of new orders, which may have a material impact on the Company’s results of operations.</w:t>
      </w:r>
    </w:p>
    <w:p w14:paraId="1715E0CF"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shd w:val="clear" w:color="auto" w:fill="FFFFFF"/>
        </w:rPr>
        <w:t>The Company maintains a program of insurance, which may include commercial insurance, self-insurance, or a combination of both approaches, for potential recall and product liability claims in amounts and on terms that it believes are reasonable and prudent based on our prior claims experience. The Company’s insurance policies generally include coverage of the costs of a recall, although costs related to replacement parts are generally not covered. In addition, a number of the agreements entered into by the Company, including the Spin-off Agreements, require Autoliv to indemnify the other parties for certain claims. Autoliv cannot assure that the level of coverage will be sufficient to cover every possible claim that can arise in our businesses or with respect to other obligations, now or in the future, or that such coverage always will be available should we, now or in the future, wish to extend, increase or otherwise adjust our insurance.</w:t>
      </w:r>
    </w:p>
    <w:p w14:paraId="3D5E106F"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As noted in Note 12 above, as of December 31, 2021, the Company has accrued $144 million for total product related liabilities. The majority of the total product liability accrual as of December 31, 2021, relates to recalls, which are generally covered by insurance. Insurance receivables for such recall related liabilities total $138 million as of December 31, 2021.</w:t>
      </w:r>
      <w:r w:rsidRPr="002F3D36">
        <w:rPr>
          <w:rFonts w:ascii="Arial" w:eastAsia="宋体" w:hAnsi="Arial" w:cs="Arial"/>
          <w:b/>
          <w:bCs/>
          <w:color w:val="000000"/>
          <w:kern w:val="0"/>
          <w:sz w:val="18"/>
          <w:szCs w:val="18"/>
        </w:rPr>
        <w:t xml:space="preserve"> </w:t>
      </w:r>
    </w:p>
    <w:p w14:paraId="5CA944BE" w14:textId="77777777" w:rsidR="002F3D36" w:rsidRPr="002F3D36" w:rsidRDefault="002F3D36" w:rsidP="002F3D36">
      <w:pPr>
        <w:widowControl/>
        <w:jc w:val="left"/>
        <w:rPr>
          <w:rFonts w:ascii="Times New Roman" w:eastAsia="宋体" w:hAnsi="Times New Roman" w:cs="Times New Roman"/>
          <w:color w:val="000000"/>
          <w:kern w:val="0"/>
          <w:sz w:val="20"/>
          <w:szCs w:val="20"/>
        </w:rPr>
      </w:pPr>
      <w:r w:rsidRPr="002F3D36">
        <w:rPr>
          <w:rFonts w:ascii="Times New Roman" w:eastAsia="宋体" w:hAnsi="Times New Roman" w:cs="Times New Roman"/>
          <w:color w:val="000000"/>
          <w:kern w:val="0"/>
          <w:sz w:val="20"/>
          <w:szCs w:val="20"/>
        </w:rPr>
        <w:t> </w:t>
      </w:r>
    </w:p>
    <w:p w14:paraId="64BF25BB" w14:textId="77777777" w:rsidR="002F3D36" w:rsidRPr="002F3D36" w:rsidRDefault="002F3D36" w:rsidP="002F3D36">
      <w:pPr>
        <w:widowControl/>
        <w:spacing w:before="240"/>
        <w:jc w:val="center"/>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80</w:t>
      </w:r>
    </w:p>
    <w:p w14:paraId="141768AE" w14:textId="77777777" w:rsidR="002F3D36" w:rsidRPr="002F3D36" w:rsidRDefault="002F3D36" w:rsidP="002F3D36">
      <w:pPr>
        <w:widowControl/>
        <w:jc w:val="left"/>
        <w:rPr>
          <w:rFonts w:ascii="Arial" w:eastAsia="宋体" w:hAnsi="Arial" w:cs="Arial"/>
          <w:color w:val="000000"/>
          <w:kern w:val="0"/>
          <w:sz w:val="22"/>
        </w:rPr>
      </w:pPr>
      <w:r w:rsidRPr="002F3D36">
        <w:rPr>
          <w:rFonts w:ascii="Arial" w:eastAsia="宋体" w:hAnsi="Arial" w:cs="Arial"/>
          <w:color w:val="000000"/>
          <w:kern w:val="0"/>
          <w:sz w:val="22"/>
        </w:rPr>
        <w:pict w14:anchorId="7E038025">
          <v:rect id="_x0000_i1107" style="width:0;height:1.5pt" o:hralign="center" o:hrstd="t" o:hr="t" fillcolor="#a0a0a0" stroked="f"/>
        </w:pict>
      </w:r>
    </w:p>
    <w:p w14:paraId="61178458" w14:textId="77777777" w:rsidR="002F3D36" w:rsidRPr="002F3D36" w:rsidRDefault="002F3D36" w:rsidP="002F3D36">
      <w:pPr>
        <w:widowControl/>
        <w:spacing w:line="20" w:lineRule="atLeast"/>
        <w:jc w:val="left"/>
        <w:rPr>
          <w:rFonts w:ascii="Times New Roman" w:eastAsia="宋体" w:hAnsi="Times New Roman" w:cs="Times New Roman"/>
          <w:color w:val="000000"/>
          <w:kern w:val="0"/>
          <w:sz w:val="20"/>
          <w:szCs w:val="20"/>
        </w:rPr>
      </w:pPr>
      <w:r w:rsidRPr="002F3D36">
        <w:rPr>
          <w:rFonts w:ascii="Arial" w:eastAsia="宋体" w:hAnsi="Arial" w:cs="Arial"/>
          <w:color w:val="000000"/>
          <w:kern w:val="0"/>
          <w:sz w:val="2"/>
          <w:szCs w:val="2"/>
        </w:rPr>
        <w:t> </w:t>
      </w:r>
    </w:p>
    <w:p w14:paraId="5E3D1974" w14:textId="77777777" w:rsidR="002F3D36" w:rsidRPr="002F3D36" w:rsidRDefault="002F3D36" w:rsidP="002F3D36">
      <w:pPr>
        <w:widowControl/>
        <w:spacing w:before="24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u w:val="single"/>
        </w:rPr>
        <w:t>Product Liability</w:t>
      </w:r>
      <w:r w:rsidRPr="002F3D36">
        <w:rPr>
          <w:rFonts w:ascii="Arial" w:eastAsia="宋体" w:hAnsi="Arial" w:cs="Arial"/>
          <w:color w:val="000000"/>
          <w:kern w:val="0"/>
          <w:sz w:val="18"/>
          <w:szCs w:val="18"/>
        </w:rPr>
        <w:t>:</w:t>
      </w:r>
    </w:p>
    <w:p w14:paraId="69067026"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lastRenderedPageBreak/>
        <w:t>On September 18, 2014, Jamie Andrews filed a wrongful death products liability suit against several Autoliv entities stemming from a fatal car accident in 2013 where the plaintiff’s husband was fatally injured. The lawsuit alleges that Autoliv should be liable for a defectively-designed driver seatbelt. The case was removed to the United States District Court for the Northern District of Georgia. The suit originally included Bosch and Mazda entities as well, but these entities were dismissed pursuant to confidential settlement agreements with the plaintiff, and all of the Autoliv entities except Autoliv Japan Ltd. were also dismissed. On January 10, 2017, the District Court entered an order granting summary judgment in favor of Autoliv, concluding that Autoliv was not actively involved in the design of Mr. Andrews’s seatbelt and, therefore, should not be liable for plaintiff’s claims as a matter of law. However, on appeal, the Eleventh Circuit Court of Appeals reversed the decision, holding that, under Georgia’s products liability statute, Autoliv could be liable for a design defect associated with the seatbelt, regardless of its level of involvement in the seatbelt’s ultimate design, because Autoliv manufactured it. On October 4, 2021, the case proceeded to a bench trial before the United States District Court for the Northern District of Georgia. On December 31, 2021, the District Court entered a Final Order and Judgment concluding that Mr. Andrews’s seatbelt was defectively designed and Autoliv was strictly liable for the design. In doing so, the District Court concluded that Mr. Andrews had incurred $27,019,343 in compensatory damages, but only ordered Autoliv to pay 50 percent of that amount, $13,509,671 after finding that 50 percent of the fault for Mr. Andrews’s damages should be apportioned to Mazda. The Court declined to apportion any fault for Mr. Andrews’s damages to Mr. Andrews or Bosch. The District Court also entered an award of punitive damages against Autoliv in the amount of $100,000,000. The plaintiff has since filed a post-trial motion asking the District Court to hold Autoliv liable for the entire amount of compensatory damages ($27,019,343), not just $13,509,671. The plaintiff has also requested pre-judgment interest on the damages awards plus attorneys’ fees and costs. Autoliv plans to oppose these requests.</w:t>
      </w:r>
    </w:p>
    <w:p w14:paraId="3709490F"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The Company believes the District Court’s verdict was in error, including the grossly high punitive damages award, and has filed a post-trial motion with the District Court asking for reconsideration of the verdict. To the extent its post-trial motion is denied, the Company also plans to appeal the verdict.</w:t>
      </w:r>
    </w:p>
    <w:p w14:paraId="7A448376"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The Company has determined that a loss with respect to this litigation is probable</w:t>
      </w:r>
      <w:r w:rsidRPr="002F3D36">
        <w:rPr>
          <w:rFonts w:ascii="Arial" w:eastAsia="宋体" w:hAnsi="Arial" w:cs="Arial"/>
          <w:color w:val="000000"/>
          <w:kern w:val="0"/>
          <w:sz w:val="18"/>
          <w:szCs w:val="18"/>
          <w:shd w:val="clear" w:color="auto" w:fill="FFFFFF"/>
        </w:rPr>
        <w:t xml:space="preserve"> and has in the fourth quarter of 2021 accrued $14 million pursuant to ASC 450. The accrual is reflected in the total product liability accrual at December 31, 2021. This amount reflects the low end of the range of a probable loss of $14 million to $114 million. The accrual ref</w:t>
      </w:r>
      <w:r w:rsidRPr="002F3D36">
        <w:rPr>
          <w:rFonts w:ascii="Arial" w:eastAsia="宋体" w:hAnsi="Arial" w:cs="Arial"/>
          <w:color w:val="000000"/>
          <w:kern w:val="0"/>
          <w:sz w:val="18"/>
          <w:szCs w:val="18"/>
        </w:rPr>
        <w:t xml:space="preserve">lects the Company’s best estimate of the probable loss based on currently available information and does not include any amount for the punitive damages. It is reasonably possible that the Company may have to pay the entire damages awarded by the District Court. </w:t>
      </w:r>
      <w:r w:rsidRPr="002F3D36">
        <w:rPr>
          <w:rFonts w:ascii="Arial" w:eastAsia="宋体" w:hAnsi="Arial" w:cs="Arial"/>
          <w:color w:val="000000"/>
          <w:kern w:val="0"/>
          <w:sz w:val="18"/>
          <w:szCs w:val="18"/>
          <w:shd w:val="clear" w:color="auto" w:fill="FFFFFF"/>
        </w:rPr>
        <w:t>The Company believes that its insurance should cover all of the types of damages awarded by the District Court, and has therefore recognized a receivable, included within Other non-current assets on the Consolidated Balance Sheet at December 31, 2021, for the expected insurance proceeds. However, the extent of the Company's insurance coverage for punitive damages in this matter is uncertain and may be less than all of such punitive damages ultimately awarded. In the event all or a portion of the punitive damages award survives the Company's post-judgement actions, the Company will continue to engage with our insurance carriers and aggressively pursue all potential recoveries. The ultimate loss to the Company of the litigation matter could be materially different from the amount the Company has accrued. The Company cannot predict or estimate the duration or ultimate outcome of this matter.</w:t>
      </w:r>
    </w:p>
    <w:p w14:paraId="31743CDB" w14:textId="77777777" w:rsidR="002F3D36" w:rsidRPr="002F3D36" w:rsidRDefault="002F3D36" w:rsidP="002F3D36">
      <w:pPr>
        <w:widowControl/>
        <w:jc w:val="left"/>
        <w:rPr>
          <w:rFonts w:ascii="Times New Roman" w:eastAsia="宋体" w:hAnsi="Times New Roman" w:cs="Times New Roman"/>
          <w:color w:val="000000"/>
          <w:kern w:val="0"/>
          <w:sz w:val="20"/>
          <w:szCs w:val="20"/>
        </w:rPr>
      </w:pPr>
      <w:r w:rsidRPr="002F3D36">
        <w:rPr>
          <w:rFonts w:ascii="Times New Roman" w:eastAsia="宋体" w:hAnsi="Times New Roman" w:cs="Times New Roman"/>
          <w:color w:val="000000"/>
          <w:kern w:val="0"/>
          <w:sz w:val="20"/>
          <w:szCs w:val="20"/>
        </w:rPr>
        <w:t> </w:t>
      </w:r>
    </w:p>
    <w:p w14:paraId="534F621E" w14:textId="77777777" w:rsidR="002F3D36" w:rsidRPr="002F3D36" w:rsidRDefault="002F3D36" w:rsidP="002F3D36">
      <w:pPr>
        <w:widowControl/>
        <w:spacing w:before="240"/>
        <w:jc w:val="center"/>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81</w:t>
      </w:r>
    </w:p>
    <w:p w14:paraId="2773FA75" w14:textId="77777777" w:rsidR="002F3D36" w:rsidRPr="002F3D36" w:rsidRDefault="002F3D36" w:rsidP="002F3D36">
      <w:pPr>
        <w:widowControl/>
        <w:jc w:val="left"/>
        <w:rPr>
          <w:rFonts w:ascii="Arial" w:eastAsia="宋体" w:hAnsi="Arial" w:cs="Arial"/>
          <w:color w:val="000000"/>
          <w:kern w:val="0"/>
          <w:sz w:val="22"/>
        </w:rPr>
      </w:pPr>
      <w:r w:rsidRPr="002F3D36">
        <w:rPr>
          <w:rFonts w:ascii="Arial" w:eastAsia="宋体" w:hAnsi="Arial" w:cs="Arial"/>
          <w:color w:val="000000"/>
          <w:kern w:val="0"/>
          <w:sz w:val="22"/>
        </w:rPr>
        <w:lastRenderedPageBreak/>
        <w:pict w14:anchorId="67580E30">
          <v:rect id="_x0000_i1108" style="width:0;height:1.5pt" o:hralign="center" o:hrstd="t" o:hr="t" fillcolor="#a0a0a0" stroked="f"/>
        </w:pict>
      </w:r>
    </w:p>
    <w:p w14:paraId="275C2103" w14:textId="77777777" w:rsidR="002F3D36" w:rsidRPr="002F3D36" w:rsidRDefault="002F3D36" w:rsidP="002F3D36">
      <w:pPr>
        <w:widowControl/>
        <w:spacing w:line="20" w:lineRule="atLeast"/>
        <w:jc w:val="left"/>
        <w:rPr>
          <w:rFonts w:ascii="Times New Roman" w:eastAsia="宋体" w:hAnsi="Times New Roman" w:cs="Times New Roman"/>
          <w:color w:val="000000"/>
          <w:kern w:val="0"/>
          <w:sz w:val="20"/>
          <w:szCs w:val="20"/>
        </w:rPr>
      </w:pPr>
      <w:r w:rsidRPr="002F3D36">
        <w:rPr>
          <w:rFonts w:ascii="Arial" w:eastAsia="宋体" w:hAnsi="Arial" w:cs="Arial"/>
          <w:color w:val="000000"/>
          <w:kern w:val="0"/>
          <w:sz w:val="2"/>
          <w:szCs w:val="2"/>
        </w:rPr>
        <w:t> </w:t>
      </w:r>
    </w:p>
    <w:p w14:paraId="146B4702"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u w:val="single"/>
          <w:shd w:val="clear" w:color="auto" w:fill="FFFFFF"/>
        </w:rPr>
        <w:t>Specific Recalls:</w:t>
      </w:r>
    </w:p>
    <w:p w14:paraId="728FE62C"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shd w:val="clear" w:color="auto" w:fill="FFFFFF"/>
        </w:rPr>
        <w:t>On June 29, 2016, the Company announced that it was cooperating with Toyota Motor Corp. in its recall of approximately 1.4 million vehicles equipped with a certain model of the Company’s side curtain airbag (the “Toyota Recall”). The Company determined pursuant to ASC 450 that a loss with respect to the Toyota Recall was probable and accrued an amount that was included in the total product liability accrual in the fourth quarter of 2020. The Company settled and resolved the Toyota Recall on April 27, 2021. The final amount by which the product liability accrual exceeded the product liability insurance receivable was $26 million. The matter is now closed.</w:t>
      </w:r>
    </w:p>
    <w:p w14:paraId="157E2D02"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shd w:val="clear" w:color="auto" w:fill="FFFFFF"/>
        </w:rPr>
        <w:t>In the fourth quarter of 2020, the Company was made aware of a potential recall by one of its customers (the “Unannounced Recall”). The Company continues to evaluate this matter with its customer. The Company determined pursuant to ASC 450 that a loss with respect to the Unannounced Recall is probable and accrued an amount that is reflected in the total product liability accrual in the fourth quarter of 2020 and increased the accrual in the fourth quarter of 2021. The amount by which the product liability accrual exceeds the product liability insurance receivable with respect to the Unannounced Recall is $27 million and includes self-insurance retention costs and deductibles. The ultimate loss to the Company of the Unannounced Recall could be materially different from the amount the Company has accrued.</w:t>
      </w:r>
    </w:p>
    <w:p w14:paraId="2491657E"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Volvo Car USA, LLC (together with its affiliates, “Volvo”) has recalled approximately 762,000 vehicles relating to the malfunction of inflators produced by ZF (the “ZF Inflator Recall”). The recalled ZF inflators were included in airbag modules supplied by the Company only to Volvo. The recall commenced in November 2020 and later expanded in September 2021. Because the Company’s airbags were involved with the ZF Inflator Recall, the Company has determined pursuant to ASC 450 that a loss is reasonably possible with respect to the ZF Inflator Recall. The Company continues to evaluate this matter with Volvo and ZF and no accrual has been made. Although the Company currently estimates a range of $0 to $43 million with respect to this potential loss, the Company anticipates that any losses net of insurance claims and claims against ZF will be immaterial.</w:t>
      </w:r>
    </w:p>
    <w:p w14:paraId="78EF5C5A"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u w:val="single"/>
        </w:rPr>
        <w:t>Intellectual property:</w:t>
      </w:r>
    </w:p>
    <w:p w14:paraId="11B6D0C6"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In its products, the Company utilizes technologies which may be subject to intellectual property rights of third parties. While the Company does seek to procure the necessary rights to utilize intellectual property rights associated with its products, it may fail to do so. Where the Company so fails, the Company may be exposed to material claims from the owners of such rights. Where the Company has sold products which infringe upon such rights, its customers may be entitled to be indemnified by the Company for the claims they suffer as a result thereof. Such claims could be material.</w:t>
      </w:r>
    </w:p>
    <w:p w14:paraId="2D73FAF2"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The table in Note 12 Product Related Liabilities above summarizes the change in the balance sheet position of the product related liabilities for the fiscal year ended December 31, 2021.</w:t>
      </w:r>
    </w:p>
    <w:p w14:paraId="556EE689" w14:textId="77777777" w:rsidR="002F3D36" w:rsidRPr="002F3D36" w:rsidRDefault="002F3D36" w:rsidP="002F3D36">
      <w:pPr>
        <w:widowControl/>
        <w:jc w:val="left"/>
        <w:rPr>
          <w:rFonts w:ascii="Times New Roman" w:eastAsia="宋体" w:hAnsi="Times New Roman" w:cs="Times New Roman"/>
          <w:color w:val="000000"/>
          <w:kern w:val="0"/>
          <w:sz w:val="20"/>
          <w:szCs w:val="20"/>
        </w:rPr>
      </w:pPr>
      <w:r w:rsidRPr="002F3D36">
        <w:rPr>
          <w:rFonts w:ascii="Times New Roman" w:eastAsia="宋体" w:hAnsi="Times New Roman" w:cs="Times New Roman"/>
          <w:color w:val="000000"/>
          <w:kern w:val="0"/>
          <w:sz w:val="20"/>
          <w:szCs w:val="20"/>
        </w:rPr>
        <w:t> </w:t>
      </w:r>
    </w:p>
    <w:p w14:paraId="1A8F00B2" w14:textId="77777777" w:rsidR="002F3D36" w:rsidRPr="002F3D36" w:rsidRDefault="002F3D36" w:rsidP="002F3D36">
      <w:pPr>
        <w:widowControl/>
        <w:spacing w:before="240"/>
        <w:jc w:val="center"/>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82</w:t>
      </w:r>
    </w:p>
    <w:p w14:paraId="7B1A67DB" w14:textId="77777777" w:rsidR="002F3D36" w:rsidRPr="002F3D36" w:rsidRDefault="002F3D36" w:rsidP="002F3D36">
      <w:pPr>
        <w:widowControl/>
        <w:jc w:val="left"/>
        <w:rPr>
          <w:rFonts w:ascii="宋体" w:eastAsia="宋体" w:hAnsi="宋体" w:cs="宋体"/>
          <w:kern w:val="0"/>
          <w:sz w:val="24"/>
          <w:szCs w:val="24"/>
        </w:rPr>
      </w:pPr>
      <w:r w:rsidRPr="002F3D36">
        <w:rPr>
          <w:rFonts w:ascii="宋体" w:eastAsia="宋体" w:hAnsi="宋体" w:cs="宋体"/>
          <w:kern w:val="0"/>
          <w:sz w:val="24"/>
          <w:szCs w:val="24"/>
        </w:rPr>
        <w:pict w14:anchorId="3825464B">
          <v:rect id="_x0000_i1109" style="width:0;height:1.5pt" o:hralign="center" o:hrstd="t" o:hrnoshade="t" o:hr="t" fillcolor="black" stroked="f"/>
        </w:pict>
      </w:r>
    </w:p>
    <w:p w14:paraId="3F0F296E" w14:textId="77777777" w:rsidR="002F3D36" w:rsidRPr="002F3D36" w:rsidRDefault="002F3D36" w:rsidP="002F3D36">
      <w:pPr>
        <w:widowControl/>
        <w:spacing w:line="20" w:lineRule="atLeast"/>
        <w:jc w:val="left"/>
        <w:rPr>
          <w:rFonts w:ascii="Times New Roman" w:eastAsia="宋体" w:hAnsi="Times New Roman" w:cs="Times New Roman"/>
          <w:color w:val="000000"/>
          <w:kern w:val="0"/>
          <w:sz w:val="20"/>
          <w:szCs w:val="20"/>
        </w:rPr>
      </w:pPr>
      <w:r w:rsidRPr="002F3D36">
        <w:rPr>
          <w:rFonts w:ascii="Arial" w:eastAsia="宋体" w:hAnsi="Arial" w:cs="Arial"/>
          <w:color w:val="000000"/>
          <w:kern w:val="0"/>
          <w:sz w:val="2"/>
          <w:szCs w:val="2"/>
        </w:rPr>
        <w:t> </w:t>
      </w:r>
    </w:p>
    <w:p w14:paraId="43B537F4"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22"/>
        </w:rPr>
        <w:lastRenderedPageBreak/>
        <w:t>18. Retirement Plans</w:t>
      </w:r>
    </w:p>
    <w:p w14:paraId="1A306110"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DEFINED CONTRIBUTION PLANS</w:t>
      </w:r>
    </w:p>
    <w:p w14:paraId="4D0858FC"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Many of the Company’s employees are covered by government sponsored pension and welfare programs. Under the terms of these programs, the Company makes periodic payments to various government agencies. In addition, in some countries the Company sponsors or participates in certain non-governmental defined contribution plans. Contributions to defined contribution plans for the years ended December 31, 2021, 2020 and 2019 were $18 million, $15 million and $16 million, respectively.</w:t>
      </w:r>
    </w:p>
    <w:p w14:paraId="544AA1E6"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MULTIEMPLOYER PLANS</w:t>
      </w:r>
    </w:p>
    <w:p w14:paraId="4E31D30A"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The Company participates in a multiemployer plan in Sweden. This ITP-2 plan is funded through Alecta and covers employees born before 1979, for whom it provides a final pay pension benefit based on all service with participating employers. The Company must pay for wage increases in excess of inflation on service earned with previous employers. The plan also provides disability and family benefits and is more than 100% funded. The Company´s contributions to this multiemployer plan for the years ended December 31, 2021, 2020 and 2019 were $5 million, $4 million and $4 million, respectively.</w:t>
      </w:r>
    </w:p>
    <w:p w14:paraId="687A0258"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DEFINED BENEFIT PLANS</w:t>
      </w:r>
    </w:p>
    <w:p w14:paraId="2BB8D066"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The Company has a number of defined benefit pension plans, both contributory and non-contributory, in the U.S., France, Germany, India, Japan, Mexico, Philippines, Poland, Sweden, South Korea, Thailand, Turkey and the United Kingdom. There are funded as well as unfunded plan arrangements which provide retirement benefits to both U.S. and non-U.S. participants.</w:t>
      </w:r>
    </w:p>
    <w:p w14:paraId="6C1F9824"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The main plan is the U.S. plan for which the benefits are based on an average of the employee’s earnings in the years preceding retirement and on credited service. In a prior year, the Company closed participation in the Autoliv ASP, Inc. Pension Plan to exclude those employees hired after December 31, 2003. Within the U.S. there is also a non-qualified restoration plan that provides benefits to employees whose benefits in the primary U.S. plan are restricted by limitations on the compensation that can be considered in calculating their benefits. During December 2017 the Company amended the U.S. defined benefit pension plan, communicating a benefits freeze that will begin on December 31, 2021. Settlement accounting has been triggered because the lump-sum payments made during the year exceeded the sum of service cost and interest cost.</w:t>
      </w:r>
    </w:p>
    <w:p w14:paraId="131C9B09"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For the Company’s non-U.S. defined benefit plans the most significant individual plan is in the U.K. The Company has closed participation in the U.K. defined benefit plan to exclude all employees hired after April 30, 2003 with few members currently accruing benefits.</w:t>
      </w:r>
    </w:p>
    <w:p w14:paraId="4B7468C8"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CHANGES IN BENEFIT OBLIGATIONS AND PLAN ASSETS FOR THE YEARS ENDED DECEMBER 31</w:t>
      </w:r>
    </w:p>
    <w:p w14:paraId="4BE4A98E"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w:t>
      </w:r>
    </w:p>
    <w:tbl>
      <w:tblPr>
        <w:tblW w:w="18553" w:type="dxa"/>
        <w:tblCellSpacing w:w="15" w:type="dxa"/>
        <w:tblCellMar>
          <w:top w:w="15" w:type="dxa"/>
          <w:left w:w="15" w:type="dxa"/>
          <w:bottom w:w="15" w:type="dxa"/>
          <w:right w:w="15" w:type="dxa"/>
        </w:tblCellMar>
        <w:tblLook w:val="04A0" w:firstRow="1" w:lastRow="0" w:firstColumn="1" w:lastColumn="0" w:noHBand="0" w:noVBand="1"/>
      </w:tblPr>
      <w:tblGrid>
        <w:gridCol w:w="8846"/>
        <w:gridCol w:w="238"/>
        <w:gridCol w:w="286"/>
        <w:gridCol w:w="1716"/>
        <w:gridCol w:w="182"/>
        <w:gridCol w:w="239"/>
        <w:gridCol w:w="286"/>
        <w:gridCol w:w="1716"/>
        <w:gridCol w:w="182"/>
        <w:gridCol w:w="239"/>
        <w:gridCol w:w="286"/>
        <w:gridCol w:w="1716"/>
        <w:gridCol w:w="182"/>
        <w:gridCol w:w="239"/>
        <w:gridCol w:w="286"/>
        <w:gridCol w:w="1716"/>
        <w:gridCol w:w="198"/>
      </w:tblGrid>
      <w:tr w:rsidR="002F3D36" w:rsidRPr="002F3D36" w14:paraId="13A652EB" w14:textId="77777777" w:rsidTr="002F3D36">
        <w:trPr>
          <w:tblCellSpacing w:w="15" w:type="dxa"/>
        </w:trPr>
        <w:tc>
          <w:tcPr>
            <w:tcW w:w="8817" w:type="dxa"/>
            <w:vAlign w:val="center"/>
            <w:hideMark/>
          </w:tcPr>
          <w:p w14:paraId="1E4991D1" w14:textId="77777777" w:rsidR="002F3D36" w:rsidRPr="002F3D36" w:rsidRDefault="002F3D36" w:rsidP="002F3D36">
            <w:pPr>
              <w:widowControl/>
              <w:jc w:val="left"/>
              <w:rPr>
                <w:rFonts w:ascii="Times New Roman" w:eastAsia="宋体" w:hAnsi="Times New Roman" w:cs="Times New Roman"/>
                <w:color w:val="000000"/>
                <w:kern w:val="0"/>
                <w:sz w:val="20"/>
                <w:szCs w:val="20"/>
              </w:rPr>
            </w:pPr>
          </w:p>
        </w:tc>
        <w:tc>
          <w:tcPr>
            <w:tcW w:w="209" w:type="dxa"/>
            <w:vAlign w:val="center"/>
            <w:hideMark/>
          </w:tcPr>
          <w:p w14:paraId="076BC19E"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56" w:type="dxa"/>
            <w:vAlign w:val="center"/>
            <w:hideMark/>
          </w:tcPr>
          <w:p w14:paraId="4BEF70D6"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689" w:type="dxa"/>
            <w:vAlign w:val="center"/>
            <w:hideMark/>
          </w:tcPr>
          <w:p w14:paraId="3BC8A28D"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52" w:type="dxa"/>
            <w:vAlign w:val="center"/>
            <w:hideMark/>
          </w:tcPr>
          <w:p w14:paraId="1B10C8C7"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09" w:type="dxa"/>
            <w:vAlign w:val="center"/>
            <w:hideMark/>
          </w:tcPr>
          <w:p w14:paraId="6DF32DB1"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56" w:type="dxa"/>
            <w:vAlign w:val="center"/>
            <w:hideMark/>
          </w:tcPr>
          <w:p w14:paraId="252CD05F"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689" w:type="dxa"/>
            <w:vAlign w:val="center"/>
            <w:hideMark/>
          </w:tcPr>
          <w:p w14:paraId="434283BC"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52" w:type="dxa"/>
            <w:vAlign w:val="center"/>
            <w:hideMark/>
          </w:tcPr>
          <w:p w14:paraId="69C4981D"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09" w:type="dxa"/>
            <w:vAlign w:val="center"/>
            <w:hideMark/>
          </w:tcPr>
          <w:p w14:paraId="360C820D"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56" w:type="dxa"/>
            <w:vAlign w:val="center"/>
            <w:hideMark/>
          </w:tcPr>
          <w:p w14:paraId="18E60DAF"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689" w:type="dxa"/>
            <w:vAlign w:val="center"/>
            <w:hideMark/>
          </w:tcPr>
          <w:p w14:paraId="4CA7A7B3"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52" w:type="dxa"/>
            <w:vAlign w:val="center"/>
            <w:hideMark/>
          </w:tcPr>
          <w:p w14:paraId="56D94F8C"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09" w:type="dxa"/>
            <w:vAlign w:val="center"/>
            <w:hideMark/>
          </w:tcPr>
          <w:p w14:paraId="69CD9FAC"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56" w:type="dxa"/>
            <w:vAlign w:val="center"/>
            <w:hideMark/>
          </w:tcPr>
          <w:p w14:paraId="10738651"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689" w:type="dxa"/>
            <w:vAlign w:val="center"/>
            <w:hideMark/>
          </w:tcPr>
          <w:p w14:paraId="3AF49C6E"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53" w:type="dxa"/>
            <w:vAlign w:val="center"/>
            <w:hideMark/>
          </w:tcPr>
          <w:p w14:paraId="5521FAFB" w14:textId="77777777" w:rsidR="002F3D36" w:rsidRPr="002F3D36" w:rsidRDefault="002F3D36" w:rsidP="002F3D36">
            <w:pPr>
              <w:widowControl/>
              <w:jc w:val="left"/>
              <w:rPr>
                <w:rFonts w:ascii="Times New Roman" w:eastAsia="Times New Roman" w:hAnsi="Times New Roman" w:cs="Times New Roman"/>
                <w:kern w:val="0"/>
                <w:sz w:val="20"/>
                <w:szCs w:val="20"/>
              </w:rPr>
            </w:pPr>
          </w:p>
        </w:tc>
      </w:tr>
      <w:tr w:rsidR="002F3D36" w:rsidRPr="002F3D36" w14:paraId="133F58CA" w14:textId="77777777" w:rsidTr="002F3D36">
        <w:trPr>
          <w:trHeight w:val="160"/>
          <w:tblCellSpacing w:w="15" w:type="dxa"/>
        </w:trPr>
        <w:tc>
          <w:tcPr>
            <w:tcW w:w="0" w:type="auto"/>
            <w:vAlign w:val="bottom"/>
            <w:hideMark/>
          </w:tcPr>
          <w:p w14:paraId="6EC7ABC7"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vAlign w:val="bottom"/>
            <w:hideMark/>
          </w:tcPr>
          <w:p w14:paraId="7D15EA26"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6"/>
            <w:tcBorders>
              <w:bottom w:val="single" w:sz="4" w:space="0" w:color="000000"/>
            </w:tcBorders>
            <w:vAlign w:val="bottom"/>
            <w:hideMark/>
          </w:tcPr>
          <w:p w14:paraId="4CC4B38F"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U.S.</w:t>
            </w:r>
          </w:p>
        </w:tc>
        <w:tc>
          <w:tcPr>
            <w:tcW w:w="0" w:type="auto"/>
            <w:vAlign w:val="bottom"/>
            <w:hideMark/>
          </w:tcPr>
          <w:p w14:paraId="31294340"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vAlign w:val="bottom"/>
            <w:hideMark/>
          </w:tcPr>
          <w:p w14:paraId="1705C0F9"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6"/>
            <w:tcBorders>
              <w:bottom w:val="single" w:sz="4" w:space="0" w:color="000000"/>
            </w:tcBorders>
            <w:vAlign w:val="bottom"/>
            <w:hideMark/>
          </w:tcPr>
          <w:p w14:paraId="52C8D850"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Non-U.S.</w:t>
            </w:r>
          </w:p>
        </w:tc>
        <w:tc>
          <w:tcPr>
            <w:tcW w:w="0" w:type="auto"/>
            <w:vAlign w:val="bottom"/>
            <w:hideMark/>
          </w:tcPr>
          <w:p w14:paraId="7E1F5651"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r>
      <w:tr w:rsidR="002F3D36" w:rsidRPr="002F3D36" w14:paraId="53F1FE08" w14:textId="77777777" w:rsidTr="002F3D36">
        <w:trPr>
          <w:trHeight w:val="160"/>
          <w:tblCellSpacing w:w="15" w:type="dxa"/>
        </w:trPr>
        <w:tc>
          <w:tcPr>
            <w:tcW w:w="0" w:type="auto"/>
            <w:vAlign w:val="bottom"/>
            <w:hideMark/>
          </w:tcPr>
          <w:p w14:paraId="003DFE80"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color w:val="000000"/>
                <w:kern w:val="0"/>
                <w:sz w:val="16"/>
                <w:szCs w:val="16"/>
                <w:u w:val="single"/>
              </w:rPr>
              <w:t>(Dollars in millions)</w:t>
            </w:r>
          </w:p>
        </w:tc>
        <w:tc>
          <w:tcPr>
            <w:tcW w:w="0" w:type="auto"/>
            <w:vAlign w:val="bottom"/>
            <w:hideMark/>
          </w:tcPr>
          <w:p w14:paraId="6559220E"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2"/>
            <w:tcBorders>
              <w:bottom w:val="single" w:sz="4" w:space="0" w:color="000000"/>
            </w:tcBorders>
            <w:vAlign w:val="bottom"/>
            <w:hideMark/>
          </w:tcPr>
          <w:p w14:paraId="277C5DB6"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2021</w:t>
            </w:r>
          </w:p>
        </w:tc>
        <w:tc>
          <w:tcPr>
            <w:tcW w:w="0" w:type="auto"/>
            <w:vAlign w:val="bottom"/>
            <w:hideMark/>
          </w:tcPr>
          <w:p w14:paraId="6923E32F"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vAlign w:val="bottom"/>
            <w:hideMark/>
          </w:tcPr>
          <w:p w14:paraId="20CF7AA3"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2"/>
            <w:tcBorders>
              <w:bottom w:val="single" w:sz="4" w:space="0" w:color="000000"/>
            </w:tcBorders>
            <w:vAlign w:val="bottom"/>
            <w:hideMark/>
          </w:tcPr>
          <w:p w14:paraId="52A07CA8"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2020</w:t>
            </w:r>
          </w:p>
        </w:tc>
        <w:tc>
          <w:tcPr>
            <w:tcW w:w="0" w:type="auto"/>
            <w:vAlign w:val="bottom"/>
            <w:hideMark/>
          </w:tcPr>
          <w:p w14:paraId="71DB10C5"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vAlign w:val="bottom"/>
            <w:hideMark/>
          </w:tcPr>
          <w:p w14:paraId="7C1F4A4D"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2"/>
            <w:tcBorders>
              <w:bottom w:val="single" w:sz="4" w:space="0" w:color="000000"/>
            </w:tcBorders>
            <w:vAlign w:val="bottom"/>
            <w:hideMark/>
          </w:tcPr>
          <w:p w14:paraId="57726C2D"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2021</w:t>
            </w:r>
          </w:p>
        </w:tc>
        <w:tc>
          <w:tcPr>
            <w:tcW w:w="0" w:type="auto"/>
            <w:vAlign w:val="bottom"/>
            <w:hideMark/>
          </w:tcPr>
          <w:p w14:paraId="5BACCC18"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vAlign w:val="bottom"/>
            <w:hideMark/>
          </w:tcPr>
          <w:p w14:paraId="0F1E9514"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2"/>
            <w:tcBorders>
              <w:bottom w:val="single" w:sz="4" w:space="0" w:color="000000"/>
            </w:tcBorders>
            <w:vAlign w:val="bottom"/>
            <w:hideMark/>
          </w:tcPr>
          <w:p w14:paraId="2349EA5F"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2020</w:t>
            </w:r>
          </w:p>
        </w:tc>
        <w:tc>
          <w:tcPr>
            <w:tcW w:w="0" w:type="auto"/>
            <w:vAlign w:val="bottom"/>
            <w:hideMark/>
          </w:tcPr>
          <w:p w14:paraId="65B10AA3"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r>
      <w:tr w:rsidR="002F3D36" w:rsidRPr="002F3D36" w14:paraId="1254B906" w14:textId="77777777" w:rsidTr="002F3D36">
        <w:trPr>
          <w:trHeight w:val="180"/>
          <w:tblCellSpacing w:w="15" w:type="dxa"/>
        </w:trPr>
        <w:tc>
          <w:tcPr>
            <w:tcW w:w="0" w:type="auto"/>
            <w:shd w:val="clear" w:color="auto" w:fill="CFF0FC"/>
            <w:hideMark/>
          </w:tcPr>
          <w:p w14:paraId="05AB6B8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Benefit obligation at beginning of year</w:t>
            </w:r>
          </w:p>
        </w:tc>
        <w:tc>
          <w:tcPr>
            <w:tcW w:w="0" w:type="auto"/>
            <w:shd w:val="clear" w:color="auto" w:fill="CFF0FC"/>
            <w:vAlign w:val="bottom"/>
            <w:hideMark/>
          </w:tcPr>
          <w:p w14:paraId="1C49B04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51FB71A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shd w:val="clear" w:color="auto" w:fill="CFF0FC"/>
            <w:vAlign w:val="bottom"/>
            <w:hideMark/>
          </w:tcPr>
          <w:p w14:paraId="3643C472"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426</w:t>
            </w:r>
          </w:p>
        </w:tc>
        <w:tc>
          <w:tcPr>
            <w:tcW w:w="0" w:type="auto"/>
            <w:shd w:val="clear" w:color="auto" w:fill="CFF0FC"/>
            <w:vAlign w:val="bottom"/>
            <w:hideMark/>
          </w:tcPr>
          <w:p w14:paraId="60D42CC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46C655D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41D8C00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shd w:val="clear" w:color="auto" w:fill="CFF0FC"/>
            <w:vAlign w:val="bottom"/>
            <w:hideMark/>
          </w:tcPr>
          <w:p w14:paraId="334B7D9F"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400</w:t>
            </w:r>
          </w:p>
        </w:tc>
        <w:tc>
          <w:tcPr>
            <w:tcW w:w="0" w:type="auto"/>
            <w:shd w:val="clear" w:color="auto" w:fill="CFF0FC"/>
            <w:vAlign w:val="bottom"/>
            <w:hideMark/>
          </w:tcPr>
          <w:p w14:paraId="721F15A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2D8D854D"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293F9D4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shd w:val="clear" w:color="auto" w:fill="CFF0FC"/>
            <w:vAlign w:val="bottom"/>
            <w:hideMark/>
          </w:tcPr>
          <w:p w14:paraId="0881C9D9"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279</w:t>
            </w:r>
          </w:p>
        </w:tc>
        <w:tc>
          <w:tcPr>
            <w:tcW w:w="0" w:type="auto"/>
            <w:shd w:val="clear" w:color="auto" w:fill="CFF0FC"/>
            <w:vAlign w:val="bottom"/>
            <w:hideMark/>
          </w:tcPr>
          <w:p w14:paraId="7629328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2583E3F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4FCE72C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shd w:val="clear" w:color="auto" w:fill="CFF0FC"/>
            <w:vAlign w:val="bottom"/>
            <w:hideMark/>
          </w:tcPr>
          <w:p w14:paraId="3E16C8B0"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253</w:t>
            </w:r>
          </w:p>
        </w:tc>
        <w:tc>
          <w:tcPr>
            <w:tcW w:w="0" w:type="auto"/>
            <w:shd w:val="clear" w:color="auto" w:fill="CFF0FC"/>
            <w:vAlign w:val="bottom"/>
            <w:hideMark/>
          </w:tcPr>
          <w:p w14:paraId="0B1DD3D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55E8FC99" w14:textId="77777777" w:rsidTr="002F3D36">
        <w:trPr>
          <w:trHeight w:val="180"/>
          <w:tblCellSpacing w:w="15" w:type="dxa"/>
        </w:trPr>
        <w:tc>
          <w:tcPr>
            <w:tcW w:w="0" w:type="auto"/>
            <w:hideMark/>
          </w:tcPr>
          <w:p w14:paraId="574ACD7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Service cost</w:t>
            </w:r>
          </w:p>
        </w:tc>
        <w:tc>
          <w:tcPr>
            <w:tcW w:w="0" w:type="auto"/>
            <w:vAlign w:val="bottom"/>
            <w:hideMark/>
          </w:tcPr>
          <w:p w14:paraId="6BB8D6C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2D14388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7BC981B5"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8</w:t>
            </w:r>
          </w:p>
        </w:tc>
        <w:tc>
          <w:tcPr>
            <w:tcW w:w="0" w:type="auto"/>
            <w:vAlign w:val="bottom"/>
            <w:hideMark/>
          </w:tcPr>
          <w:p w14:paraId="7C8207D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2372E1E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0952047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2A81E1A9"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8</w:t>
            </w:r>
          </w:p>
        </w:tc>
        <w:tc>
          <w:tcPr>
            <w:tcW w:w="0" w:type="auto"/>
            <w:vAlign w:val="bottom"/>
            <w:hideMark/>
          </w:tcPr>
          <w:p w14:paraId="53BACC1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40354575"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56B679F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3170BD43"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12</w:t>
            </w:r>
          </w:p>
        </w:tc>
        <w:tc>
          <w:tcPr>
            <w:tcW w:w="0" w:type="auto"/>
            <w:vAlign w:val="bottom"/>
            <w:hideMark/>
          </w:tcPr>
          <w:p w14:paraId="4D197B5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659DCE2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71FAEA0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41F05D3E"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12</w:t>
            </w:r>
          </w:p>
        </w:tc>
        <w:tc>
          <w:tcPr>
            <w:tcW w:w="0" w:type="auto"/>
            <w:vAlign w:val="bottom"/>
            <w:hideMark/>
          </w:tcPr>
          <w:p w14:paraId="3D35D99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3E4ED9FF" w14:textId="77777777" w:rsidTr="002F3D36">
        <w:trPr>
          <w:trHeight w:val="180"/>
          <w:tblCellSpacing w:w="15" w:type="dxa"/>
        </w:trPr>
        <w:tc>
          <w:tcPr>
            <w:tcW w:w="0" w:type="auto"/>
            <w:shd w:val="clear" w:color="auto" w:fill="CFF0FC"/>
            <w:hideMark/>
          </w:tcPr>
          <w:p w14:paraId="662F60C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lastRenderedPageBreak/>
              <w:t>Interest cost</w:t>
            </w:r>
          </w:p>
        </w:tc>
        <w:tc>
          <w:tcPr>
            <w:tcW w:w="0" w:type="auto"/>
            <w:shd w:val="clear" w:color="auto" w:fill="CFF0FC"/>
            <w:vAlign w:val="bottom"/>
            <w:hideMark/>
          </w:tcPr>
          <w:p w14:paraId="429FD0E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081D693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6B5A00CD"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10</w:t>
            </w:r>
          </w:p>
        </w:tc>
        <w:tc>
          <w:tcPr>
            <w:tcW w:w="0" w:type="auto"/>
            <w:shd w:val="clear" w:color="auto" w:fill="CFF0FC"/>
            <w:vAlign w:val="bottom"/>
            <w:hideMark/>
          </w:tcPr>
          <w:p w14:paraId="76DD9D8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2EF2056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15C6693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77BFDF56"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12</w:t>
            </w:r>
          </w:p>
        </w:tc>
        <w:tc>
          <w:tcPr>
            <w:tcW w:w="0" w:type="auto"/>
            <w:shd w:val="clear" w:color="auto" w:fill="CFF0FC"/>
            <w:vAlign w:val="bottom"/>
            <w:hideMark/>
          </w:tcPr>
          <w:p w14:paraId="16E7DD7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582784AE"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7F19E35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1F349D63"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5</w:t>
            </w:r>
          </w:p>
        </w:tc>
        <w:tc>
          <w:tcPr>
            <w:tcW w:w="0" w:type="auto"/>
            <w:shd w:val="clear" w:color="auto" w:fill="CFF0FC"/>
            <w:vAlign w:val="bottom"/>
            <w:hideMark/>
          </w:tcPr>
          <w:p w14:paraId="4086ABC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09785F0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69E1C3A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151B4458"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6</w:t>
            </w:r>
          </w:p>
        </w:tc>
        <w:tc>
          <w:tcPr>
            <w:tcW w:w="0" w:type="auto"/>
            <w:shd w:val="clear" w:color="auto" w:fill="CFF0FC"/>
            <w:vAlign w:val="bottom"/>
            <w:hideMark/>
          </w:tcPr>
          <w:p w14:paraId="5219AEA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78A7BF2C" w14:textId="77777777" w:rsidTr="002F3D36">
        <w:trPr>
          <w:trHeight w:val="180"/>
          <w:tblCellSpacing w:w="15" w:type="dxa"/>
        </w:trPr>
        <w:tc>
          <w:tcPr>
            <w:tcW w:w="0" w:type="auto"/>
            <w:hideMark/>
          </w:tcPr>
          <w:p w14:paraId="720DD97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Actuarial (gain) loss due to:</w:t>
            </w:r>
          </w:p>
        </w:tc>
        <w:tc>
          <w:tcPr>
            <w:tcW w:w="0" w:type="auto"/>
            <w:vAlign w:val="bottom"/>
            <w:hideMark/>
          </w:tcPr>
          <w:p w14:paraId="185D5FB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gridSpan w:val="2"/>
            <w:vAlign w:val="bottom"/>
            <w:hideMark/>
          </w:tcPr>
          <w:p w14:paraId="512C9D4E"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379BA648"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6946F60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gridSpan w:val="2"/>
            <w:vAlign w:val="bottom"/>
            <w:hideMark/>
          </w:tcPr>
          <w:p w14:paraId="6259CE53"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2A4D2730"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6CE51887"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gridSpan w:val="2"/>
            <w:vAlign w:val="bottom"/>
            <w:hideMark/>
          </w:tcPr>
          <w:p w14:paraId="2BEAE6CF"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6DA55F19"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7C3E425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gridSpan w:val="2"/>
            <w:vAlign w:val="bottom"/>
            <w:hideMark/>
          </w:tcPr>
          <w:p w14:paraId="7B849C0F"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2963E728"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282CA1F8" w14:textId="77777777" w:rsidTr="002F3D36">
        <w:trPr>
          <w:trHeight w:val="180"/>
          <w:tblCellSpacing w:w="15" w:type="dxa"/>
        </w:trPr>
        <w:tc>
          <w:tcPr>
            <w:tcW w:w="0" w:type="auto"/>
            <w:shd w:val="clear" w:color="auto" w:fill="CFF0FC"/>
            <w:hideMark/>
          </w:tcPr>
          <w:p w14:paraId="565DEC6D" w14:textId="77777777" w:rsidR="002F3D36" w:rsidRPr="002F3D36" w:rsidRDefault="002F3D36" w:rsidP="002F3D36">
            <w:pPr>
              <w:widowControl/>
              <w:ind w:left="200"/>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Change in discount rate</w:t>
            </w:r>
          </w:p>
        </w:tc>
        <w:tc>
          <w:tcPr>
            <w:tcW w:w="0" w:type="auto"/>
            <w:shd w:val="clear" w:color="auto" w:fill="CFF0FC"/>
            <w:vAlign w:val="bottom"/>
            <w:hideMark/>
          </w:tcPr>
          <w:p w14:paraId="6C43EBB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04B778D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0DA3BF87"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(17</w:t>
            </w:r>
          </w:p>
        </w:tc>
        <w:tc>
          <w:tcPr>
            <w:tcW w:w="0" w:type="auto"/>
            <w:shd w:val="clear" w:color="auto" w:fill="CFF0FC"/>
            <w:vAlign w:val="bottom"/>
            <w:hideMark/>
          </w:tcPr>
          <w:p w14:paraId="5DF7555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7491C66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1774D7B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7884B589"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46</w:t>
            </w:r>
          </w:p>
        </w:tc>
        <w:tc>
          <w:tcPr>
            <w:tcW w:w="0" w:type="auto"/>
            <w:shd w:val="clear" w:color="auto" w:fill="CFF0FC"/>
            <w:vAlign w:val="bottom"/>
            <w:hideMark/>
          </w:tcPr>
          <w:p w14:paraId="1635471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14F56D84"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267715D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418E2F2D"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(22</w:t>
            </w:r>
          </w:p>
        </w:tc>
        <w:tc>
          <w:tcPr>
            <w:tcW w:w="0" w:type="auto"/>
            <w:shd w:val="clear" w:color="auto" w:fill="CFF0FC"/>
            <w:vAlign w:val="bottom"/>
            <w:hideMark/>
          </w:tcPr>
          <w:p w14:paraId="06B4A92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5BCA859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03743A8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1CF59E11"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13</w:t>
            </w:r>
          </w:p>
        </w:tc>
        <w:tc>
          <w:tcPr>
            <w:tcW w:w="0" w:type="auto"/>
            <w:shd w:val="clear" w:color="auto" w:fill="CFF0FC"/>
            <w:vAlign w:val="bottom"/>
            <w:hideMark/>
          </w:tcPr>
          <w:p w14:paraId="15BDA9E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17B5F52E" w14:textId="77777777" w:rsidTr="002F3D36">
        <w:trPr>
          <w:trHeight w:val="180"/>
          <w:tblCellSpacing w:w="15" w:type="dxa"/>
        </w:trPr>
        <w:tc>
          <w:tcPr>
            <w:tcW w:w="0" w:type="auto"/>
            <w:hideMark/>
          </w:tcPr>
          <w:p w14:paraId="534E7BC3" w14:textId="77777777" w:rsidR="002F3D36" w:rsidRPr="002F3D36" w:rsidRDefault="002F3D36" w:rsidP="002F3D36">
            <w:pPr>
              <w:widowControl/>
              <w:ind w:left="200"/>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Experience</w:t>
            </w:r>
          </w:p>
        </w:tc>
        <w:tc>
          <w:tcPr>
            <w:tcW w:w="0" w:type="auto"/>
            <w:vAlign w:val="bottom"/>
            <w:hideMark/>
          </w:tcPr>
          <w:p w14:paraId="04EECB6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57FEB11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60DBDA47"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3</w:t>
            </w:r>
          </w:p>
        </w:tc>
        <w:tc>
          <w:tcPr>
            <w:tcW w:w="0" w:type="auto"/>
            <w:vAlign w:val="bottom"/>
            <w:hideMark/>
          </w:tcPr>
          <w:p w14:paraId="6D51AE5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719ACDB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5AD3050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6C73C643"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(5</w:t>
            </w:r>
          </w:p>
        </w:tc>
        <w:tc>
          <w:tcPr>
            <w:tcW w:w="0" w:type="auto"/>
            <w:vAlign w:val="bottom"/>
            <w:hideMark/>
          </w:tcPr>
          <w:p w14:paraId="3089DC7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vAlign w:val="bottom"/>
            <w:hideMark/>
          </w:tcPr>
          <w:p w14:paraId="33DACEAB"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6C37340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1CD33248"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9</w:t>
            </w:r>
          </w:p>
        </w:tc>
        <w:tc>
          <w:tcPr>
            <w:tcW w:w="0" w:type="auto"/>
            <w:vAlign w:val="bottom"/>
            <w:hideMark/>
          </w:tcPr>
          <w:p w14:paraId="6D3CA9E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4B4DFFA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0A552DC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00CA77DA"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0</w:t>
            </w:r>
          </w:p>
        </w:tc>
        <w:tc>
          <w:tcPr>
            <w:tcW w:w="0" w:type="auto"/>
            <w:vAlign w:val="bottom"/>
            <w:hideMark/>
          </w:tcPr>
          <w:p w14:paraId="7264950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39ED9757" w14:textId="77777777" w:rsidTr="002F3D36">
        <w:trPr>
          <w:trHeight w:val="180"/>
          <w:tblCellSpacing w:w="15" w:type="dxa"/>
        </w:trPr>
        <w:tc>
          <w:tcPr>
            <w:tcW w:w="0" w:type="auto"/>
            <w:shd w:val="clear" w:color="auto" w:fill="CFF0FC"/>
            <w:hideMark/>
          </w:tcPr>
          <w:p w14:paraId="3A8B973D" w14:textId="77777777" w:rsidR="002F3D36" w:rsidRPr="002F3D36" w:rsidRDefault="002F3D36" w:rsidP="002F3D36">
            <w:pPr>
              <w:widowControl/>
              <w:ind w:left="200"/>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Other assumption changes</w:t>
            </w:r>
          </w:p>
        </w:tc>
        <w:tc>
          <w:tcPr>
            <w:tcW w:w="0" w:type="auto"/>
            <w:shd w:val="clear" w:color="auto" w:fill="CFF0FC"/>
            <w:vAlign w:val="bottom"/>
            <w:hideMark/>
          </w:tcPr>
          <w:p w14:paraId="1835DB7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6531826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37649444"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3</w:t>
            </w:r>
          </w:p>
        </w:tc>
        <w:tc>
          <w:tcPr>
            <w:tcW w:w="0" w:type="auto"/>
            <w:shd w:val="clear" w:color="auto" w:fill="CFF0FC"/>
            <w:vAlign w:val="bottom"/>
            <w:hideMark/>
          </w:tcPr>
          <w:p w14:paraId="2898CF4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09553AE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25C079E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6411FE57"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3</w:t>
            </w:r>
          </w:p>
        </w:tc>
        <w:tc>
          <w:tcPr>
            <w:tcW w:w="0" w:type="auto"/>
            <w:shd w:val="clear" w:color="auto" w:fill="CFF0FC"/>
            <w:vAlign w:val="bottom"/>
            <w:hideMark/>
          </w:tcPr>
          <w:p w14:paraId="215744D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2BF9DCC1"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2B96A55E"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4D52C50A"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4</w:t>
            </w:r>
          </w:p>
        </w:tc>
        <w:tc>
          <w:tcPr>
            <w:tcW w:w="0" w:type="auto"/>
            <w:shd w:val="clear" w:color="auto" w:fill="CFF0FC"/>
            <w:vAlign w:val="bottom"/>
            <w:hideMark/>
          </w:tcPr>
          <w:p w14:paraId="7B5DEBD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5D2CB34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16E76CE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4749FB9D"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(11</w:t>
            </w:r>
          </w:p>
        </w:tc>
        <w:tc>
          <w:tcPr>
            <w:tcW w:w="0" w:type="auto"/>
            <w:shd w:val="clear" w:color="auto" w:fill="CFF0FC"/>
            <w:vAlign w:val="bottom"/>
            <w:hideMark/>
          </w:tcPr>
          <w:p w14:paraId="7C468F1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r>
      <w:tr w:rsidR="002F3D36" w:rsidRPr="002F3D36" w14:paraId="60DC5643" w14:textId="77777777" w:rsidTr="002F3D36">
        <w:trPr>
          <w:trHeight w:val="180"/>
          <w:tblCellSpacing w:w="15" w:type="dxa"/>
        </w:trPr>
        <w:tc>
          <w:tcPr>
            <w:tcW w:w="0" w:type="auto"/>
            <w:hideMark/>
          </w:tcPr>
          <w:p w14:paraId="6AD3C0D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Benefits paid</w:t>
            </w:r>
          </w:p>
        </w:tc>
        <w:tc>
          <w:tcPr>
            <w:tcW w:w="0" w:type="auto"/>
            <w:vAlign w:val="bottom"/>
            <w:hideMark/>
          </w:tcPr>
          <w:p w14:paraId="5899E8F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238A7B0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129ECA0F"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(4</w:t>
            </w:r>
          </w:p>
        </w:tc>
        <w:tc>
          <w:tcPr>
            <w:tcW w:w="0" w:type="auto"/>
            <w:vAlign w:val="bottom"/>
            <w:hideMark/>
          </w:tcPr>
          <w:p w14:paraId="70BA675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vAlign w:val="bottom"/>
            <w:hideMark/>
          </w:tcPr>
          <w:p w14:paraId="3A1BF9F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5E50F50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62D61E1C"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(4</w:t>
            </w:r>
          </w:p>
        </w:tc>
        <w:tc>
          <w:tcPr>
            <w:tcW w:w="0" w:type="auto"/>
            <w:vAlign w:val="bottom"/>
            <w:hideMark/>
          </w:tcPr>
          <w:p w14:paraId="4B4DF3F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vAlign w:val="bottom"/>
            <w:hideMark/>
          </w:tcPr>
          <w:p w14:paraId="0894EB67"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5417896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25FE72EF"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(8</w:t>
            </w:r>
          </w:p>
        </w:tc>
        <w:tc>
          <w:tcPr>
            <w:tcW w:w="0" w:type="auto"/>
            <w:vAlign w:val="bottom"/>
            <w:hideMark/>
          </w:tcPr>
          <w:p w14:paraId="2D8BF7BE"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vAlign w:val="bottom"/>
            <w:hideMark/>
          </w:tcPr>
          <w:p w14:paraId="6DAC015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7ABC9E8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311B84BB"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(9</w:t>
            </w:r>
          </w:p>
        </w:tc>
        <w:tc>
          <w:tcPr>
            <w:tcW w:w="0" w:type="auto"/>
            <w:vAlign w:val="bottom"/>
            <w:hideMark/>
          </w:tcPr>
          <w:p w14:paraId="07BFB70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r>
      <w:tr w:rsidR="002F3D36" w:rsidRPr="002F3D36" w14:paraId="2508AF06" w14:textId="77777777" w:rsidTr="002F3D36">
        <w:trPr>
          <w:trHeight w:val="180"/>
          <w:tblCellSpacing w:w="15" w:type="dxa"/>
        </w:trPr>
        <w:tc>
          <w:tcPr>
            <w:tcW w:w="0" w:type="auto"/>
            <w:shd w:val="clear" w:color="auto" w:fill="CFF0FC"/>
            <w:hideMark/>
          </w:tcPr>
          <w:p w14:paraId="7FE62B5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Plan settlements</w:t>
            </w:r>
          </w:p>
        </w:tc>
        <w:tc>
          <w:tcPr>
            <w:tcW w:w="0" w:type="auto"/>
            <w:shd w:val="clear" w:color="auto" w:fill="CFF0FC"/>
            <w:vAlign w:val="bottom"/>
            <w:hideMark/>
          </w:tcPr>
          <w:p w14:paraId="3C18C09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1CA1CFA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06A80F3D"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(48</w:t>
            </w:r>
          </w:p>
        </w:tc>
        <w:tc>
          <w:tcPr>
            <w:tcW w:w="0" w:type="auto"/>
            <w:shd w:val="clear" w:color="auto" w:fill="CFF0FC"/>
            <w:vAlign w:val="bottom"/>
            <w:hideMark/>
          </w:tcPr>
          <w:p w14:paraId="785D5B4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3083442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36DB519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16D595CD"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(34</w:t>
            </w:r>
          </w:p>
        </w:tc>
        <w:tc>
          <w:tcPr>
            <w:tcW w:w="0" w:type="auto"/>
            <w:shd w:val="clear" w:color="auto" w:fill="CFF0FC"/>
            <w:vAlign w:val="bottom"/>
            <w:hideMark/>
          </w:tcPr>
          <w:p w14:paraId="1AE096B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3501C723"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2041647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07B78EB6"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(2</w:t>
            </w:r>
          </w:p>
        </w:tc>
        <w:tc>
          <w:tcPr>
            <w:tcW w:w="0" w:type="auto"/>
            <w:shd w:val="clear" w:color="auto" w:fill="CFF0FC"/>
            <w:vAlign w:val="bottom"/>
            <w:hideMark/>
          </w:tcPr>
          <w:p w14:paraId="27EA840E"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6AD8DFCE"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1D0ED00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5C508A6B"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(0</w:t>
            </w:r>
          </w:p>
        </w:tc>
        <w:tc>
          <w:tcPr>
            <w:tcW w:w="0" w:type="auto"/>
            <w:shd w:val="clear" w:color="auto" w:fill="CFF0FC"/>
            <w:vAlign w:val="bottom"/>
            <w:hideMark/>
          </w:tcPr>
          <w:p w14:paraId="18DB02D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r>
      <w:tr w:rsidR="002F3D36" w:rsidRPr="002F3D36" w14:paraId="226EDD47" w14:textId="77777777" w:rsidTr="002F3D36">
        <w:trPr>
          <w:trHeight w:val="180"/>
          <w:tblCellSpacing w:w="15" w:type="dxa"/>
        </w:trPr>
        <w:tc>
          <w:tcPr>
            <w:tcW w:w="0" w:type="auto"/>
            <w:hideMark/>
          </w:tcPr>
          <w:p w14:paraId="592F468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Other</w:t>
            </w:r>
          </w:p>
        </w:tc>
        <w:tc>
          <w:tcPr>
            <w:tcW w:w="0" w:type="auto"/>
            <w:vAlign w:val="bottom"/>
            <w:hideMark/>
          </w:tcPr>
          <w:p w14:paraId="05B0AE1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6613590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0F4C70D7"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w:t>
            </w:r>
          </w:p>
        </w:tc>
        <w:tc>
          <w:tcPr>
            <w:tcW w:w="0" w:type="auto"/>
            <w:vAlign w:val="bottom"/>
            <w:hideMark/>
          </w:tcPr>
          <w:p w14:paraId="02919A2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26D3D74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27F5D9F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1DB6D0AA"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w:t>
            </w:r>
          </w:p>
        </w:tc>
        <w:tc>
          <w:tcPr>
            <w:tcW w:w="0" w:type="auto"/>
            <w:vAlign w:val="bottom"/>
            <w:hideMark/>
          </w:tcPr>
          <w:p w14:paraId="096FC2A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1F8A6F29"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1CD7351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071D5C60"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(0</w:t>
            </w:r>
          </w:p>
        </w:tc>
        <w:tc>
          <w:tcPr>
            <w:tcW w:w="0" w:type="auto"/>
            <w:vAlign w:val="bottom"/>
            <w:hideMark/>
          </w:tcPr>
          <w:p w14:paraId="0C6D834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vAlign w:val="bottom"/>
            <w:hideMark/>
          </w:tcPr>
          <w:p w14:paraId="605106D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1F7F4E3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71E8D9CA"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2</w:t>
            </w:r>
          </w:p>
        </w:tc>
        <w:tc>
          <w:tcPr>
            <w:tcW w:w="0" w:type="auto"/>
            <w:vAlign w:val="bottom"/>
            <w:hideMark/>
          </w:tcPr>
          <w:p w14:paraId="0CF8089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3A552BDF" w14:textId="77777777" w:rsidTr="002F3D36">
        <w:trPr>
          <w:trHeight w:val="180"/>
          <w:tblCellSpacing w:w="15" w:type="dxa"/>
        </w:trPr>
        <w:tc>
          <w:tcPr>
            <w:tcW w:w="0" w:type="auto"/>
            <w:shd w:val="clear" w:color="auto" w:fill="CFF0FC"/>
            <w:hideMark/>
          </w:tcPr>
          <w:p w14:paraId="122BC4C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Translation difference</w:t>
            </w:r>
          </w:p>
        </w:tc>
        <w:tc>
          <w:tcPr>
            <w:tcW w:w="0" w:type="auto"/>
            <w:shd w:val="clear" w:color="auto" w:fill="CFF0FC"/>
            <w:vAlign w:val="bottom"/>
            <w:hideMark/>
          </w:tcPr>
          <w:p w14:paraId="342829C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03D6C4CE"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6148D7B1"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42879EB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67E1485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48A04A3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484B939E"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166AEF5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1F6D89E5"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484FD82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3A233DD5"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(16</w:t>
            </w:r>
          </w:p>
        </w:tc>
        <w:tc>
          <w:tcPr>
            <w:tcW w:w="0" w:type="auto"/>
            <w:shd w:val="clear" w:color="auto" w:fill="CFF0FC"/>
            <w:vAlign w:val="bottom"/>
            <w:hideMark/>
          </w:tcPr>
          <w:p w14:paraId="7507F80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4DC33B1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55BE1E9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79A88D20"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15</w:t>
            </w:r>
          </w:p>
        </w:tc>
        <w:tc>
          <w:tcPr>
            <w:tcW w:w="0" w:type="auto"/>
            <w:shd w:val="clear" w:color="auto" w:fill="CFF0FC"/>
            <w:vAlign w:val="bottom"/>
            <w:hideMark/>
          </w:tcPr>
          <w:p w14:paraId="523AF1A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7E7D0A2F" w14:textId="77777777" w:rsidTr="002F3D36">
        <w:trPr>
          <w:trHeight w:val="180"/>
          <w:tblCellSpacing w:w="15" w:type="dxa"/>
        </w:trPr>
        <w:tc>
          <w:tcPr>
            <w:tcW w:w="0" w:type="auto"/>
            <w:hideMark/>
          </w:tcPr>
          <w:p w14:paraId="7080D72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Benefit obligation at end of year</w:t>
            </w:r>
          </w:p>
        </w:tc>
        <w:tc>
          <w:tcPr>
            <w:tcW w:w="0" w:type="auto"/>
            <w:vAlign w:val="bottom"/>
            <w:hideMark/>
          </w:tcPr>
          <w:p w14:paraId="19CC29B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48697D9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vAlign w:val="bottom"/>
            <w:hideMark/>
          </w:tcPr>
          <w:p w14:paraId="1203EC77"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381</w:t>
            </w:r>
          </w:p>
        </w:tc>
        <w:tc>
          <w:tcPr>
            <w:tcW w:w="0" w:type="auto"/>
            <w:vAlign w:val="bottom"/>
            <w:hideMark/>
          </w:tcPr>
          <w:p w14:paraId="3B93463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1BF922D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3FBA65C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vAlign w:val="bottom"/>
            <w:hideMark/>
          </w:tcPr>
          <w:p w14:paraId="6CE03F30"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426</w:t>
            </w:r>
          </w:p>
        </w:tc>
        <w:tc>
          <w:tcPr>
            <w:tcW w:w="0" w:type="auto"/>
            <w:vAlign w:val="bottom"/>
            <w:hideMark/>
          </w:tcPr>
          <w:p w14:paraId="71E50CD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7B2AB6C6"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30B2B0F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vAlign w:val="bottom"/>
            <w:hideMark/>
          </w:tcPr>
          <w:p w14:paraId="523B778D"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260</w:t>
            </w:r>
          </w:p>
        </w:tc>
        <w:tc>
          <w:tcPr>
            <w:tcW w:w="0" w:type="auto"/>
            <w:vAlign w:val="bottom"/>
            <w:hideMark/>
          </w:tcPr>
          <w:p w14:paraId="4E66402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43B8E40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2710A6A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vAlign w:val="bottom"/>
            <w:hideMark/>
          </w:tcPr>
          <w:p w14:paraId="44D71549"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279</w:t>
            </w:r>
          </w:p>
        </w:tc>
        <w:tc>
          <w:tcPr>
            <w:tcW w:w="0" w:type="auto"/>
            <w:vAlign w:val="bottom"/>
            <w:hideMark/>
          </w:tcPr>
          <w:p w14:paraId="0A58749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4B75600D" w14:textId="77777777" w:rsidTr="002F3D36">
        <w:trPr>
          <w:trHeight w:val="180"/>
          <w:tblCellSpacing w:w="15" w:type="dxa"/>
        </w:trPr>
        <w:tc>
          <w:tcPr>
            <w:tcW w:w="0" w:type="auto"/>
            <w:shd w:val="clear" w:color="auto" w:fill="CFF0FC"/>
            <w:hideMark/>
          </w:tcPr>
          <w:p w14:paraId="1DFCA4A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Times New Roman" w:eastAsia="宋体" w:hAnsi="Times New Roman" w:cs="Times New Roman"/>
                <w:kern w:val="0"/>
                <w:sz w:val="18"/>
                <w:szCs w:val="18"/>
              </w:rPr>
              <w:t> </w:t>
            </w:r>
          </w:p>
        </w:tc>
        <w:tc>
          <w:tcPr>
            <w:tcW w:w="0" w:type="auto"/>
            <w:shd w:val="clear" w:color="auto" w:fill="CFF0FC"/>
            <w:vAlign w:val="bottom"/>
            <w:hideMark/>
          </w:tcPr>
          <w:p w14:paraId="0045BD5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gridSpan w:val="2"/>
            <w:shd w:val="clear" w:color="auto" w:fill="CFF0FC"/>
            <w:vAlign w:val="bottom"/>
            <w:hideMark/>
          </w:tcPr>
          <w:p w14:paraId="0E7D7332"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7DB90EAB"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3F74A59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gridSpan w:val="2"/>
            <w:shd w:val="clear" w:color="auto" w:fill="CFF0FC"/>
            <w:vAlign w:val="bottom"/>
            <w:hideMark/>
          </w:tcPr>
          <w:p w14:paraId="7901A4C9"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4F1BBACA"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75D9B650"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gridSpan w:val="2"/>
            <w:shd w:val="clear" w:color="auto" w:fill="CFF0FC"/>
            <w:vAlign w:val="bottom"/>
            <w:hideMark/>
          </w:tcPr>
          <w:p w14:paraId="3C342096"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36D2E858"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5428473E"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gridSpan w:val="2"/>
            <w:shd w:val="clear" w:color="auto" w:fill="CFF0FC"/>
            <w:vAlign w:val="bottom"/>
            <w:hideMark/>
          </w:tcPr>
          <w:p w14:paraId="2841F61C"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058B48D2"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0858E8C0" w14:textId="77777777" w:rsidTr="002F3D36">
        <w:trPr>
          <w:trHeight w:val="180"/>
          <w:tblCellSpacing w:w="15" w:type="dxa"/>
        </w:trPr>
        <w:tc>
          <w:tcPr>
            <w:tcW w:w="0" w:type="auto"/>
            <w:hideMark/>
          </w:tcPr>
          <w:p w14:paraId="70F2C2A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Fair value of plan assets at beginning of year</w:t>
            </w:r>
          </w:p>
        </w:tc>
        <w:tc>
          <w:tcPr>
            <w:tcW w:w="0" w:type="auto"/>
            <w:vAlign w:val="bottom"/>
            <w:hideMark/>
          </w:tcPr>
          <w:p w14:paraId="2C22DBD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50585FC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vAlign w:val="bottom"/>
            <w:hideMark/>
          </w:tcPr>
          <w:p w14:paraId="695E6619"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355</w:t>
            </w:r>
          </w:p>
        </w:tc>
        <w:tc>
          <w:tcPr>
            <w:tcW w:w="0" w:type="auto"/>
            <w:vAlign w:val="bottom"/>
            <w:hideMark/>
          </w:tcPr>
          <w:p w14:paraId="657FB80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6FC2DFE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2215273E"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vAlign w:val="bottom"/>
            <w:hideMark/>
          </w:tcPr>
          <w:p w14:paraId="208F4C84"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324</w:t>
            </w:r>
          </w:p>
        </w:tc>
        <w:tc>
          <w:tcPr>
            <w:tcW w:w="0" w:type="auto"/>
            <w:vAlign w:val="bottom"/>
            <w:hideMark/>
          </w:tcPr>
          <w:p w14:paraId="3477395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5CE0CE0C"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374D88B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vAlign w:val="bottom"/>
            <w:hideMark/>
          </w:tcPr>
          <w:p w14:paraId="34828C9A"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103</w:t>
            </w:r>
          </w:p>
        </w:tc>
        <w:tc>
          <w:tcPr>
            <w:tcW w:w="0" w:type="auto"/>
            <w:vAlign w:val="bottom"/>
            <w:hideMark/>
          </w:tcPr>
          <w:p w14:paraId="0F58CBA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5C89D27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2E5BB7F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vAlign w:val="bottom"/>
            <w:hideMark/>
          </w:tcPr>
          <w:p w14:paraId="0FAD0999"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89</w:t>
            </w:r>
          </w:p>
        </w:tc>
        <w:tc>
          <w:tcPr>
            <w:tcW w:w="0" w:type="auto"/>
            <w:vAlign w:val="bottom"/>
            <w:hideMark/>
          </w:tcPr>
          <w:p w14:paraId="7C55F30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2C7824F2" w14:textId="77777777" w:rsidTr="002F3D36">
        <w:trPr>
          <w:trHeight w:val="180"/>
          <w:tblCellSpacing w:w="15" w:type="dxa"/>
        </w:trPr>
        <w:tc>
          <w:tcPr>
            <w:tcW w:w="0" w:type="auto"/>
            <w:shd w:val="clear" w:color="auto" w:fill="CFF0FC"/>
            <w:hideMark/>
          </w:tcPr>
          <w:p w14:paraId="55E5D0C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Actual return on plan assets</w:t>
            </w:r>
          </w:p>
        </w:tc>
        <w:tc>
          <w:tcPr>
            <w:tcW w:w="0" w:type="auto"/>
            <w:shd w:val="clear" w:color="auto" w:fill="CFF0FC"/>
            <w:vAlign w:val="bottom"/>
            <w:hideMark/>
          </w:tcPr>
          <w:p w14:paraId="6C8884D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4C5D1EA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2B6E7BFC"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25</w:t>
            </w:r>
          </w:p>
        </w:tc>
        <w:tc>
          <w:tcPr>
            <w:tcW w:w="0" w:type="auto"/>
            <w:shd w:val="clear" w:color="auto" w:fill="CFF0FC"/>
            <w:vAlign w:val="bottom"/>
            <w:hideMark/>
          </w:tcPr>
          <w:p w14:paraId="489741A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6DBF362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5B8C773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36C744B0"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53</w:t>
            </w:r>
          </w:p>
        </w:tc>
        <w:tc>
          <w:tcPr>
            <w:tcW w:w="0" w:type="auto"/>
            <w:shd w:val="clear" w:color="auto" w:fill="CFF0FC"/>
            <w:vAlign w:val="bottom"/>
            <w:hideMark/>
          </w:tcPr>
          <w:p w14:paraId="15A2F28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273DD4D2"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0A1A383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2AEC1543"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w:t>
            </w:r>
          </w:p>
        </w:tc>
        <w:tc>
          <w:tcPr>
            <w:tcW w:w="0" w:type="auto"/>
            <w:shd w:val="clear" w:color="auto" w:fill="CFF0FC"/>
            <w:vAlign w:val="bottom"/>
            <w:hideMark/>
          </w:tcPr>
          <w:p w14:paraId="3DF87F6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013CB15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106C3A6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2309A5E4"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9</w:t>
            </w:r>
          </w:p>
        </w:tc>
        <w:tc>
          <w:tcPr>
            <w:tcW w:w="0" w:type="auto"/>
            <w:shd w:val="clear" w:color="auto" w:fill="CFF0FC"/>
            <w:vAlign w:val="bottom"/>
            <w:hideMark/>
          </w:tcPr>
          <w:p w14:paraId="442DCF5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00279E97" w14:textId="77777777" w:rsidTr="002F3D36">
        <w:trPr>
          <w:trHeight w:val="180"/>
          <w:tblCellSpacing w:w="15" w:type="dxa"/>
        </w:trPr>
        <w:tc>
          <w:tcPr>
            <w:tcW w:w="0" w:type="auto"/>
            <w:hideMark/>
          </w:tcPr>
          <w:p w14:paraId="182E1C1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Company contributions</w:t>
            </w:r>
          </w:p>
        </w:tc>
        <w:tc>
          <w:tcPr>
            <w:tcW w:w="0" w:type="auto"/>
            <w:vAlign w:val="bottom"/>
            <w:hideMark/>
          </w:tcPr>
          <w:p w14:paraId="3BF8D02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5356900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3ADF71C5"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15</w:t>
            </w:r>
          </w:p>
        </w:tc>
        <w:tc>
          <w:tcPr>
            <w:tcW w:w="0" w:type="auto"/>
            <w:vAlign w:val="bottom"/>
            <w:hideMark/>
          </w:tcPr>
          <w:p w14:paraId="291C72A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436638B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439AC77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23E29A77"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17</w:t>
            </w:r>
          </w:p>
        </w:tc>
        <w:tc>
          <w:tcPr>
            <w:tcW w:w="0" w:type="auto"/>
            <w:vAlign w:val="bottom"/>
            <w:hideMark/>
          </w:tcPr>
          <w:p w14:paraId="474C7B3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5C206285"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61706B3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30CE3A8E"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11</w:t>
            </w:r>
          </w:p>
        </w:tc>
        <w:tc>
          <w:tcPr>
            <w:tcW w:w="0" w:type="auto"/>
            <w:vAlign w:val="bottom"/>
            <w:hideMark/>
          </w:tcPr>
          <w:p w14:paraId="72A9330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60184EE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1F98551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3204B396"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10</w:t>
            </w:r>
          </w:p>
        </w:tc>
        <w:tc>
          <w:tcPr>
            <w:tcW w:w="0" w:type="auto"/>
            <w:vAlign w:val="bottom"/>
            <w:hideMark/>
          </w:tcPr>
          <w:p w14:paraId="796A5AB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6F9ABEF8" w14:textId="77777777" w:rsidTr="002F3D36">
        <w:trPr>
          <w:trHeight w:val="180"/>
          <w:tblCellSpacing w:w="15" w:type="dxa"/>
        </w:trPr>
        <w:tc>
          <w:tcPr>
            <w:tcW w:w="0" w:type="auto"/>
            <w:shd w:val="clear" w:color="auto" w:fill="CFF0FC"/>
            <w:hideMark/>
          </w:tcPr>
          <w:p w14:paraId="0AFBB4A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Benefits paid</w:t>
            </w:r>
          </w:p>
        </w:tc>
        <w:tc>
          <w:tcPr>
            <w:tcW w:w="0" w:type="auto"/>
            <w:shd w:val="clear" w:color="auto" w:fill="CFF0FC"/>
            <w:vAlign w:val="bottom"/>
            <w:hideMark/>
          </w:tcPr>
          <w:p w14:paraId="754DAA6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3F8E394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4E390315"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(4</w:t>
            </w:r>
          </w:p>
        </w:tc>
        <w:tc>
          <w:tcPr>
            <w:tcW w:w="0" w:type="auto"/>
            <w:shd w:val="clear" w:color="auto" w:fill="CFF0FC"/>
            <w:vAlign w:val="bottom"/>
            <w:hideMark/>
          </w:tcPr>
          <w:p w14:paraId="7C381AB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0F66A3E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6FAA5CE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75BC275F"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(4</w:t>
            </w:r>
          </w:p>
        </w:tc>
        <w:tc>
          <w:tcPr>
            <w:tcW w:w="0" w:type="auto"/>
            <w:shd w:val="clear" w:color="auto" w:fill="CFF0FC"/>
            <w:vAlign w:val="bottom"/>
            <w:hideMark/>
          </w:tcPr>
          <w:p w14:paraId="4E3F4CB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6D6FD7C8"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76B60DC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413BDB38"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(8</w:t>
            </w:r>
          </w:p>
        </w:tc>
        <w:tc>
          <w:tcPr>
            <w:tcW w:w="0" w:type="auto"/>
            <w:shd w:val="clear" w:color="auto" w:fill="CFF0FC"/>
            <w:vAlign w:val="bottom"/>
            <w:hideMark/>
          </w:tcPr>
          <w:p w14:paraId="3055CF4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66FDD21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3272EEB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7E3CBB31"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(9</w:t>
            </w:r>
          </w:p>
        </w:tc>
        <w:tc>
          <w:tcPr>
            <w:tcW w:w="0" w:type="auto"/>
            <w:shd w:val="clear" w:color="auto" w:fill="CFF0FC"/>
            <w:vAlign w:val="bottom"/>
            <w:hideMark/>
          </w:tcPr>
          <w:p w14:paraId="7AE6496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r>
      <w:tr w:rsidR="002F3D36" w:rsidRPr="002F3D36" w14:paraId="7A4B9111" w14:textId="77777777" w:rsidTr="002F3D36">
        <w:trPr>
          <w:trHeight w:val="180"/>
          <w:tblCellSpacing w:w="15" w:type="dxa"/>
        </w:trPr>
        <w:tc>
          <w:tcPr>
            <w:tcW w:w="0" w:type="auto"/>
            <w:hideMark/>
          </w:tcPr>
          <w:p w14:paraId="1E9D261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Plan settlements</w:t>
            </w:r>
          </w:p>
        </w:tc>
        <w:tc>
          <w:tcPr>
            <w:tcW w:w="0" w:type="auto"/>
            <w:vAlign w:val="bottom"/>
            <w:hideMark/>
          </w:tcPr>
          <w:p w14:paraId="0DCBB6F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5B36334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495A5B66"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(48</w:t>
            </w:r>
          </w:p>
        </w:tc>
        <w:tc>
          <w:tcPr>
            <w:tcW w:w="0" w:type="auto"/>
            <w:vAlign w:val="bottom"/>
            <w:hideMark/>
          </w:tcPr>
          <w:p w14:paraId="2A7136C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vAlign w:val="bottom"/>
            <w:hideMark/>
          </w:tcPr>
          <w:p w14:paraId="544EC77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6D46AD9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4B7D7A41"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(34</w:t>
            </w:r>
          </w:p>
        </w:tc>
        <w:tc>
          <w:tcPr>
            <w:tcW w:w="0" w:type="auto"/>
            <w:vAlign w:val="bottom"/>
            <w:hideMark/>
          </w:tcPr>
          <w:p w14:paraId="27C7DCB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vAlign w:val="bottom"/>
            <w:hideMark/>
          </w:tcPr>
          <w:p w14:paraId="396B2ECC"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5FEF2B8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75662864"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(2</w:t>
            </w:r>
          </w:p>
        </w:tc>
        <w:tc>
          <w:tcPr>
            <w:tcW w:w="0" w:type="auto"/>
            <w:vAlign w:val="bottom"/>
            <w:hideMark/>
          </w:tcPr>
          <w:p w14:paraId="6B288DA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vAlign w:val="bottom"/>
            <w:hideMark/>
          </w:tcPr>
          <w:p w14:paraId="0DCFD76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79865A4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324194C2"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(0</w:t>
            </w:r>
          </w:p>
        </w:tc>
        <w:tc>
          <w:tcPr>
            <w:tcW w:w="0" w:type="auto"/>
            <w:vAlign w:val="bottom"/>
            <w:hideMark/>
          </w:tcPr>
          <w:p w14:paraId="18F496D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r>
      <w:tr w:rsidR="002F3D36" w:rsidRPr="002F3D36" w14:paraId="2BA3735C" w14:textId="77777777" w:rsidTr="002F3D36">
        <w:trPr>
          <w:trHeight w:val="180"/>
          <w:tblCellSpacing w:w="15" w:type="dxa"/>
        </w:trPr>
        <w:tc>
          <w:tcPr>
            <w:tcW w:w="0" w:type="auto"/>
            <w:shd w:val="clear" w:color="auto" w:fill="CFF0FC"/>
            <w:hideMark/>
          </w:tcPr>
          <w:p w14:paraId="400926A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Translation difference</w:t>
            </w:r>
          </w:p>
        </w:tc>
        <w:tc>
          <w:tcPr>
            <w:tcW w:w="0" w:type="auto"/>
            <w:shd w:val="clear" w:color="auto" w:fill="CFF0FC"/>
            <w:vAlign w:val="bottom"/>
            <w:hideMark/>
          </w:tcPr>
          <w:p w14:paraId="3A1C705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700DAE3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57E239B1"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1CCC2BE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5FBDB06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0B2678E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5DF902F1"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34F2CD4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61B96AE4"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214687B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29D15DFC"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(2</w:t>
            </w:r>
          </w:p>
        </w:tc>
        <w:tc>
          <w:tcPr>
            <w:tcW w:w="0" w:type="auto"/>
            <w:shd w:val="clear" w:color="auto" w:fill="CFF0FC"/>
            <w:vAlign w:val="bottom"/>
            <w:hideMark/>
          </w:tcPr>
          <w:p w14:paraId="600F529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46E0D7C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3AC2D47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5F5DDE00"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5</w:t>
            </w:r>
          </w:p>
        </w:tc>
        <w:tc>
          <w:tcPr>
            <w:tcW w:w="0" w:type="auto"/>
            <w:shd w:val="clear" w:color="auto" w:fill="CFF0FC"/>
            <w:vAlign w:val="bottom"/>
            <w:hideMark/>
          </w:tcPr>
          <w:p w14:paraId="2F1AA11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03360E55" w14:textId="77777777" w:rsidTr="002F3D36">
        <w:trPr>
          <w:trHeight w:val="180"/>
          <w:tblCellSpacing w:w="15" w:type="dxa"/>
        </w:trPr>
        <w:tc>
          <w:tcPr>
            <w:tcW w:w="0" w:type="auto"/>
            <w:hideMark/>
          </w:tcPr>
          <w:p w14:paraId="388D4F2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Fair value of plan assets at end of year</w:t>
            </w:r>
          </w:p>
        </w:tc>
        <w:tc>
          <w:tcPr>
            <w:tcW w:w="0" w:type="auto"/>
            <w:vAlign w:val="bottom"/>
            <w:hideMark/>
          </w:tcPr>
          <w:p w14:paraId="2021CCD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4BBBB60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tcBorders>
              <w:bottom w:val="single" w:sz="4" w:space="0" w:color="000000"/>
            </w:tcBorders>
            <w:vAlign w:val="bottom"/>
            <w:hideMark/>
          </w:tcPr>
          <w:p w14:paraId="7B443D81"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343</w:t>
            </w:r>
          </w:p>
        </w:tc>
        <w:tc>
          <w:tcPr>
            <w:tcW w:w="0" w:type="auto"/>
            <w:vAlign w:val="bottom"/>
            <w:hideMark/>
          </w:tcPr>
          <w:p w14:paraId="03F878D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6E3FECF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257300B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tcBorders>
              <w:bottom w:val="single" w:sz="4" w:space="0" w:color="000000"/>
            </w:tcBorders>
            <w:vAlign w:val="bottom"/>
            <w:hideMark/>
          </w:tcPr>
          <w:p w14:paraId="47F075A1"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355</w:t>
            </w:r>
          </w:p>
        </w:tc>
        <w:tc>
          <w:tcPr>
            <w:tcW w:w="0" w:type="auto"/>
            <w:vAlign w:val="bottom"/>
            <w:hideMark/>
          </w:tcPr>
          <w:p w14:paraId="6EDD7DF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4235B2A9"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2113E01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tcBorders>
              <w:bottom w:val="single" w:sz="4" w:space="0" w:color="000000"/>
            </w:tcBorders>
            <w:vAlign w:val="bottom"/>
            <w:hideMark/>
          </w:tcPr>
          <w:p w14:paraId="12881B36"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101</w:t>
            </w:r>
          </w:p>
        </w:tc>
        <w:tc>
          <w:tcPr>
            <w:tcW w:w="0" w:type="auto"/>
            <w:vAlign w:val="bottom"/>
            <w:hideMark/>
          </w:tcPr>
          <w:p w14:paraId="0A88A61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375847B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50C3703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tcBorders>
              <w:bottom w:val="single" w:sz="4" w:space="0" w:color="000000"/>
            </w:tcBorders>
            <w:vAlign w:val="bottom"/>
            <w:hideMark/>
          </w:tcPr>
          <w:p w14:paraId="74B51E82"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103</w:t>
            </w:r>
          </w:p>
        </w:tc>
        <w:tc>
          <w:tcPr>
            <w:tcW w:w="0" w:type="auto"/>
            <w:vAlign w:val="bottom"/>
            <w:hideMark/>
          </w:tcPr>
          <w:p w14:paraId="63605F5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7F6A91E3" w14:textId="77777777" w:rsidTr="002F3D36">
        <w:trPr>
          <w:trHeight w:val="180"/>
          <w:tblCellSpacing w:w="15" w:type="dxa"/>
        </w:trPr>
        <w:tc>
          <w:tcPr>
            <w:tcW w:w="0" w:type="auto"/>
            <w:shd w:val="clear" w:color="auto" w:fill="CFF0FC"/>
            <w:hideMark/>
          </w:tcPr>
          <w:p w14:paraId="4BD08D2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Pension liability recognized in the balance sheet</w:t>
            </w:r>
          </w:p>
        </w:tc>
        <w:tc>
          <w:tcPr>
            <w:tcW w:w="0" w:type="auto"/>
            <w:shd w:val="clear" w:color="auto" w:fill="CFF0FC"/>
            <w:vAlign w:val="bottom"/>
            <w:hideMark/>
          </w:tcPr>
          <w:p w14:paraId="1AC4B6F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07ABF46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shd w:val="clear" w:color="auto" w:fill="CFF0FC"/>
            <w:vAlign w:val="bottom"/>
            <w:hideMark/>
          </w:tcPr>
          <w:p w14:paraId="6ACAEE20"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38</w:t>
            </w:r>
          </w:p>
        </w:tc>
        <w:tc>
          <w:tcPr>
            <w:tcW w:w="0" w:type="auto"/>
            <w:shd w:val="clear" w:color="auto" w:fill="CFF0FC"/>
            <w:vAlign w:val="bottom"/>
            <w:hideMark/>
          </w:tcPr>
          <w:p w14:paraId="061E270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4DCB220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04E68B5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shd w:val="clear" w:color="auto" w:fill="CFF0FC"/>
            <w:vAlign w:val="bottom"/>
            <w:hideMark/>
          </w:tcPr>
          <w:p w14:paraId="1B7C660B"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72</w:t>
            </w:r>
          </w:p>
        </w:tc>
        <w:tc>
          <w:tcPr>
            <w:tcW w:w="0" w:type="auto"/>
            <w:shd w:val="clear" w:color="auto" w:fill="CFF0FC"/>
            <w:vAlign w:val="bottom"/>
            <w:hideMark/>
          </w:tcPr>
          <w:p w14:paraId="0E637AE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196DDD23"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26C9419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shd w:val="clear" w:color="auto" w:fill="CFF0FC"/>
            <w:vAlign w:val="bottom"/>
            <w:hideMark/>
          </w:tcPr>
          <w:p w14:paraId="11E4ED7C"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159</w:t>
            </w:r>
          </w:p>
        </w:tc>
        <w:tc>
          <w:tcPr>
            <w:tcW w:w="0" w:type="auto"/>
            <w:shd w:val="clear" w:color="auto" w:fill="CFF0FC"/>
            <w:vAlign w:val="bottom"/>
            <w:hideMark/>
          </w:tcPr>
          <w:p w14:paraId="16775C0E"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7C134CC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0B75DB1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shd w:val="clear" w:color="auto" w:fill="CFF0FC"/>
            <w:vAlign w:val="bottom"/>
            <w:hideMark/>
          </w:tcPr>
          <w:p w14:paraId="4361F46A"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176</w:t>
            </w:r>
          </w:p>
        </w:tc>
        <w:tc>
          <w:tcPr>
            <w:tcW w:w="0" w:type="auto"/>
            <w:shd w:val="clear" w:color="auto" w:fill="CFF0FC"/>
            <w:vAlign w:val="bottom"/>
            <w:hideMark/>
          </w:tcPr>
          <w:p w14:paraId="1FEA6D2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bl>
    <w:p w14:paraId="366BA30F"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24"/>
          <w:szCs w:val="24"/>
        </w:rPr>
        <w:t> </w:t>
      </w:r>
    </w:p>
    <w:p w14:paraId="5A5B3803"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The U.S. plan provides that benefits may be paid in the form of a lump sum if so elected by the participant. In order to more accurately reflect a market-derived pension obligation, Autoliv adjusts the assumed lump sum interest rate to reflect market conditions as of each December 31. This methodology is consistent with the approach required under the Pension Protection Act of 2006, which provides the rules for determining minimum funding requirements in the U.S.</w:t>
      </w:r>
    </w:p>
    <w:p w14:paraId="7880A274" w14:textId="77777777" w:rsidR="002F3D36" w:rsidRPr="002F3D36" w:rsidRDefault="002F3D36" w:rsidP="002F3D36">
      <w:pPr>
        <w:widowControl/>
        <w:spacing w:before="240"/>
        <w:jc w:val="center"/>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83</w:t>
      </w:r>
    </w:p>
    <w:p w14:paraId="79E53466" w14:textId="77777777" w:rsidR="002F3D36" w:rsidRPr="002F3D36" w:rsidRDefault="002F3D36" w:rsidP="002F3D36">
      <w:pPr>
        <w:widowControl/>
        <w:jc w:val="left"/>
        <w:rPr>
          <w:rFonts w:ascii="Arial" w:eastAsia="宋体" w:hAnsi="Arial" w:cs="Arial"/>
          <w:color w:val="000000"/>
          <w:kern w:val="0"/>
          <w:sz w:val="24"/>
          <w:szCs w:val="24"/>
        </w:rPr>
      </w:pPr>
      <w:r w:rsidRPr="002F3D36">
        <w:rPr>
          <w:rFonts w:ascii="Arial" w:eastAsia="宋体" w:hAnsi="Arial" w:cs="Arial"/>
          <w:color w:val="000000"/>
          <w:kern w:val="0"/>
          <w:sz w:val="24"/>
          <w:szCs w:val="24"/>
        </w:rPr>
        <w:pict w14:anchorId="09067295">
          <v:rect id="_x0000_i1110" style="width:0;height:1.5pt" o:hralign="center" o:hrstd="t" o:hr="t" fillcolor="#a0a0a0" stroked="f"/>
        </w:pict>
      </w:r>
    </w:p>
    <w:p w14:paraId="69181B6C" w14:textId="77777777" w:rsidR="002F3D36" w:rsidRPr="002F3D36" w:rsidRDefault="002F3D36" w:rsidP="002F3D36">
      <w:pPr>
        <w:widowControl/>
        <w:spacing w:line="20" w:lineRule="atLeast"/>
        <w:jc w:val="left"/>
        <w:rPr>
          <w:rFonts w:ascii="Times New Roman" w:eastAsia="宋体" w:hAnsi="Times New Roman" w:cs="Times New Roman"/>
          <w:color w:val="000000"/>
          <w:kern w:val="0"/>
          <w:sz w:val="20"/>
          <w:szCs w:val="20"/>
        </w:rPr>
      </w:pPr>
      <w:r w:rsidRPr="002F3D36">
        <w:rPr>
          <w:rFonts w:ascii="Arial" w:eastAsia="宋体" w:hAnsi="Arial" w:cs="Arial"/>
          <w:color w:val="000000"/>
          <w:kern w:val="0"/>
          <w:sz w:val="2"/>
          <w:szCs w:val="2"/>
        </w:rPr>
        <w:t> </w:t>
      </w:r>
    </w:p>
    <w:p w14:paraId="5CE0ED80"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COMPONENTS OF NET PERIODIC BENEFIT COST ASSOCIATED WITH THE DEFINED BENEFIT RETIREMENT PLANS FOR THE YEARS ENDED DECEMBER 31</w:t>
      </w:r>
    </w:p>
    <w:p w14:paraId="3C043D96"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w:t>
      </w:r>
    </w:p>
    <w:tbl>
      <w:tblPr>
        <w:tblW w:w="16491" w:type="dxa"/>
        <w:tblCellSpacing w:w="15" w:type="dxa"/>
        <w:tblCellMar>
          <w:top w:w="15" w:type="dxa"/>
          <w:left w:w="15" w:type="dxa"/>
          <w:bottom w:w="15" w:type="dxa"/>
          <w:right w:w="15" w:type="dxa"/>
        </w:tblCellMar>
        <w:tblLook w:val="04A0" w:firstRow="1" w:lastRow="0" w:firstColumn="1" w:lastColumn="0" w:noHBand="0" w:noVBand="1"/>
      </w:tblPr>
      <w:tblGrid>
        <w:gridCol w:w="8935"/>
        <w:gridCol w:w="239"/>
        <w:gridCol w:w="300"/>
        <w:gridCol w:w="1792"/>
        <w:gridCol w:w="192"/>
        <w:gridCol w:w="240"/>
        <w:gridCol w:w="300"/>
        <w:gridCol w:w="1777"/>
        <w:gridCol w:w="192"/>
        <w:gridCol w:w="240"/>
        <w:gridCol w:w="300"/>
        <w:gridCol w:w="1777"/>
        <w:gridCol w:w="207"/>
      </w:tblGrid>
      <w:tr w:rsidR="002F3D36" w:rsidRPr="002F3D36" w14:paraId="54BE7A91" w14:textId="77777777" w:rsidTr="002F3D36">
        <w:trPr>
          <w:tblCellSpacing w:w="15" w:type="dxa"/>
        </w:trPr>
        <w:tc>
          <w:tcPr>
            <w:tcW w:w="8907" w:type="dxa"/>
            <w:vAlign w:val="center"/>
            <w:hideMark/>
          </w:tcPr>
          <w:p w14:paraId="09BB8786" w14:textId="77777777" w:rsidR="002F3D36" w:rsidRPr="002F3D36" w:rsidRDefault="002F3D36" w:rsidP="002F3D36">
            <w:pPr>
              <w:widowControl/>
              <w:jc w:val="left"/>
              <w:rPr>
                <w:rFonts w:ascii="Times New Roman" w:eastAsia="宋体" w:hAnsi="Times New Roman" w:cs="Times New Roman"/>
                <w:color w:val="000000"/>
                <w:kern w:val="0"/>
                <w:sz w:val="20"/>
                <w:szCs w:val="20"/>
              </w:rPr>
            </w:pPr>
          </w:p>
        </w:tc>
        <w:tc>
          <w:tcPr>
            <w:tcW w:w="210" w:type="dxa"/>
            <w:vAlign w:val="center"/>
            <w:hideMark/>
          </w:tcPr>
          <w:p w14:paraId="7A4AE5F6"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70" w:type="dxa"/>
            <w:vAlign w:val="center"/>
            <w:hideMark/>
          </w:tcPr>
          <w:p w14:paraId="2664F6BF"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765" w:type="dxa"/>
            <w:vAlign w:val="center"/>
            <w:hideMark/>
          </w:tcPr>
          <w:p w14:paraId="0A5AB1EA"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62" w:type="dxa"/>
            <w:vAlign w:val="center"/>
            <w:hideMark/>
          </w:tcPr>
          <w:p w14:paraId="54681E25"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10" w:type="dxa"/>
            <w:vAlign w:val="center"/>
            <w:hideMark/>
          </w:tcPr>
          <w:p w14:paraId="39595DDD"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70" w:type="dxa"/>
            <w:vAlign w:val="center"/>
            <w:hideMark/>
          </w:tcPr>
          <w:p w14:paraId="3472BAC2"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750" w:type="dxa"/>
            <w:vAlign w:val="center"/>
            <w:hideMark/>
          </w:tcPr>
          <w:p w14:paraId="3073654A"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62" w:type="dxa"/>
            <w:vAlign w:val="center"/>
            <w:hideMark/>
          </w:tcPr>
          <w:p w14:paraId="5601A64B"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10" w:type="dxa"/>
            <w:vAlign w:val="center"/>
            <w:hideMark/>
          </w:tcPr>
          <w:p w14:paraId="18555FFE"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70" w:type="dxa"/>
            <w:vAlign w:val="center"/>
            <w:hideMark/>
          </w:tcPr>
          <w:p w14:paraId="1E505776"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750" w:type="dxa"/>
            <w:vAlign w:val="center"/>
            <w:hideMark/>
          </w:tcPr>
          <w:p w14:paraId="0B380896"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62" w:type="dxa"/>
            <w:vAlign w:val="center"/>
            <w:hideMark/>
          </w:tcPr>
          <w:p w14:paraId="7FAE173D" w14:textId="77777777" w:rsidR="002F3D36" w:rsidRPr="002F3D36" w:rsidRDefault="002F3D36" w:rsidP="002F3D36">
            <w:pPr>
              <w:widowControl/>
              <w:jc w:val="left"/>
              <w:rPr>
                <w:rFonts w:ascii="Times New Roman" w:eastAsia="Times New Roman" w:hAnsi="Times New Roman" w:cs="Times New Roman"/>
                <w:kern w:val="0"/>
                <w:sz w:val="20"/>
                <w:szCs w:val="20"/>
              </w:rPr>
            </w:pPr>
          </w:p>
        </w:tc>
      </w:tr>
      <w:tr w:rsidR="002F3D36" w:rsidRPr="002F3D36" w14:paraId="52864775" w14:textId="77777777" w:rsidTr="002F3D36">
        <w:trPr>
          <w:trHeight w:val="160"/>
          <w:tblCellSpacing w:w="15" w:type="dxa"/>
        </w:trPr>
        <w:tc>
          <w:tcPr>
            <w:tcW w:w="0" w:type="auto"/>
            <w:vAlign w:val="bottom"/>
            <w:hideMark/>
          </w:tcPr>
          <w:p w14:paraId="2A70ECCF"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vAlign w:val="bottom"/>
            <w:hideMark/>
          </w:tcPr>
          <w:p w14:paraId="49399CC3"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10"/>
            <w:tcBorders>
              <w:bottom w:val="single" w:sz="4" w:space="0" w:color="000000"/>
            </w:tcBorders>
            <w:vAlign w:val="bottom"/>
            <w:hideMark/>
          </w:tcPr>
          <w:p w14:paraId="423FBD55"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U.S.</w:t>
            </w:r>
          </w:p>
        </w:tc>
        <w:tc>
          <w:tcPr>
            <w:tcW w:w="0" w:type="auto"/>
            <w:vAlign w:val="bottom"/>
            <w:hideMark/>
          </w:tcPr>
          <w:p w14:paraId="224F2D36"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r>
      <w:tr w:rsidR="002F3D36" w:rsidRPr="002F3D36" w14:paraId="714AC661" w14:textId="77777777" w:rsidTr="002F3D36">
        <w:trPr>
          <w:trHeight w:val="160"/>
          <w:tblCellSpacing w:w="15" w:type="dxa"/>
        </w:trPr>
        <w:tc>
          <w:tcPr>
            <w:tcW w:w="0" w:type="auto"/>
            <w:vAlign w:val="bottom"/>
            <w:hideMark/>
          </w:tcPr>
          <w:p w14:paraId="0470415A"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color w:val="000000"/>
                <w:kern w:val="0"/>
                <w:sz w:val="16"/>
                <w:szCs w:val="16"/>
                <w:u w:val="single"/>
              </w:rPr>
              <w:t>(Dollars in millions)</w:t>
            </w:r>
          </w:p>
        </w:tc>
        <w:tc>
          <w:tcPr>
            <w:tcW w:w="0" w:type="auto"/>
            <w:vAlign w:val="bottom"/>
            <w:hideMark/>
          </w:tcPr>
          <w:p w14:paraId="6187D81C"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2"/>
            <w:tcBorders>
              <w:bottom w:val="single" w:sz="4" w:space="0" w:color="000000"/>
            </w:tcBorders>
            <w:vAlign w:val="bottom"/>
            <w:hideMark/>
          </w:tcPr>
          <w:p w14:paraId="337A8FC7"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2021</w:t>
            </w:r>
          </w:p>
        </w:tc>
        <w:tc>
          <w:tcPr>
            <w:tcW w:w="0" w:type="auto"/>
            <w:vAlign w:val="bottom"/>
            <w:hideMark/>
          </w:tcPr>
          <w:p w14:paraId="7FEA8474"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vAlign w:val="bottom"/>
            <w:hideMark/>
          </w:tcPr>
          <w:p w14:paraId="62E85B10"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2"/>
            <w:tcBorders>
              <w:bottom w:val="single" w:sz="4" w:space="0" w:color="000000"/>
            </w:tcBorders>
            <w:vAlign w:val="bottom"/>
            <w:hideMark/>
          </w:tcPr>
          <w:p w14:paraId="06FA57A6"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2020</w:t>
            </w:r>
          </w:p>
        </w:tc>
        <w:tc>
          <w:tcPr>
            <w:tcW w:w="0" w:type="auto"/>
            <w:vAlign w:val="bottom"/>
            <w:hideMark/>
          </w:tcPr>
          <w:p w14:paraId="4D011ED2"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vAlign w:val="bottom"/>
            <w:hideMark/>
          </w:tcPr>
          <w:p w14:paraId="3F083BE0"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2"/>
            <w:tcBorders>
              <w:bottom w:val="single" w:sz="4" w:space="0" w:color="000000"/>
            </w:tcBorders>
            <w:vAlign w:val="bottom"/>
            <w:hideMark/>
          </w:tcPr>
          <w:p w14:paraId="39EDD532"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2019</w:t>
            </w:r>
          </w:p>
        </w:tc>
        <w:tc>
          <w:tcPr>
            <w:tcW w:w="0" w:type="auto"/>
            <w:vAlign w:val="bottom"/>
            <w:hideMark/>
          </w:tcPr>
          <w:p w14:paraId="7418AA50"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r>
      <w:tr w:rsidR="002F3D36" w:rsidRPr="002F3D36" w14:paraId="02334DDA" w14:textId="77777777" w:rsidTr="002F3D36">
        <w:trPr>
          <w:trHeight w:val="180"/>
          <w:tblCellSpacing w:w="15" w:type="dxa"/>
        </w:trPr>
        <w:tc>
          <w:tcPr>
            <w:tcW w:w="0" w:type="auto"/>
            <w:shd w:val="clear" w:color="auto" w:fill="CFF0FC"/>
            <w:hideMark/>
          </w:tcPr>
          <w:p w14:paraId="5CA9793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Service cost</w:t>
            </w:r>
          </w:p>
        </w:tc>
        <w:tc>
          <w:tcPr>
            <w:tcW w:w="0" w:type="auto"/>
            <w:shd w:val="clear" w:color="auto" w:fill="CFF0FC"/>
            <w:vAlign w:val="bottom"/>
            <w:hideMark/>
          </w:tcPr>
          <w:p w14:paraId="6C9CF8B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5CFD8ED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065DC7B8"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8</w:t>
            </w:r>
          </w:p>
        </w:tc>
        <w:tc>
          <w:tcPr>
            <w:tcW w:w="0" w:type="auto"/>
            <w:shd w:val="clear" w:color="auto" w:fill="CFF0FC"/>
            <w:vAlign w:val="bottom"/>
            <w:hideMark/>
          </w:tcPr>
          <w:p w14:paraId="56C389C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2688758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5C11694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23017DB9"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8</w:t>
            </w:r>
          </w:p>
        </w:tc>
        <w:tc>
          <w:tcPr>
            <w:tcW w:w="0" w:type="auto"/>
            <w:shd w:val="clear" w:color="auto" w:fill="CFF0FC"/>
            <w:vAlign w:val="bottom"/>
            <w:hideMark/>
          </w:tcPr>
          <w:p w14:paraId="0B40F86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5685505E"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536909A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7FA42DE5"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7</w:t>
            </w:r>
          </w:p>
        </w:tc>
        <w:tc>
          <w:tcPr>
            <w:tcW w:w="0" w:type="auto"/>
            <w:shd w:val="clear" w:color="auto" w:fill="CFF0FC"/>
            <w:vAlign w:val="bottom"/>
            <w:hideMark/>
          </w:tcPr>
          <w:p w14:paraId="5881AF6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21914FC3" w14:textId="77777777" w:rsidTr="002F3D36">
        <w:trPr>
          <w:trHeight w:val="180"/>
          <w:tblCellSpacing w:w="15" w:type="dxa"/>
        </w:trPr>
        <w:tc>
          <w:tcPr>
            <w:tcW w:w="0" w:type="auto"/>
            <w:hideMark/>
          </w:tcPr>
          <w:p w14:paraId="053E5D9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Interest cost</w:t>
            </w:r>
          </w:p>
        </w:tc>
        <w:tc>
          <w:tcPr>
            <w:tcW w:w="0" w:type="auto"/>
            <w:vAlign w:val="bottom"/>
            <w:hideMark/>
          </w:tcPr>
          <w:p w14:paraId="449948F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4790234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7FA62E42"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10</w:t>
            </w:r>
          </w:p>
        </w:tc>
        <w:tc>
          <w:tcPr>
            <w:tcW w:w="0" w:type="auto"/>
            <w:vAlign w:val="bottom"/>
            <w:hideMark/>
          </w:tcPr>
          <w:p w14:paraId="2549A78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15AC517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0EBD116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06515C7C"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12</w:t>
            </w:r>
          </w:p>
        </w:tc>
        <w:tc>
          <w:tcPr>
            <w:tcW w:w="0" w:type="auto"/>
            <w:vAlign w:val="bottom"/>
            <w:hideMark/>
          </w:tcPr>
          <w:p w14:paraId="7A55C02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46B8D64E"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3C02553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408BE184"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14</w:t>
            </w:r>
          </w:p>
        </w:tc>
        <w:tc>
          <w:tcPr>
            <w:tcW w:w="0" w:type="auto"/>
            <w:vAlign w:val="bottom"/>
            <w:hideMark/>
          </w:tcPr>
          <w:p w14:paraId="51576A2E"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1C6688FD" w14:textId="77777777" w:rsidTr="002F3D36">
        <w:trPr>
          <w:trHeight w:val="180"/>
          <w:tblCellSpacing w:w="15" w:type="dxa"/>
        </w:trPr>
        <w:tc>
          <w:tcPr>
            <w:tcW w:w="0" w:type="auto"/>
            <w:shd w:val="clear" w:color="auto" w:fill="CFF0FC"/>
            <w:hideMark/>
          </w:tcPr>
          <w:p w14:paraId="5EADB8A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Expected return on plan assets</w:t>
            </w:r>
          </w:p>
        </w:tc>
        <w:tc>
          <w:tcPr>
            <w:tcW w:w="0" w:type="auto"/>
            <w:shd w:val="clear" w:color="auto" w:fill="CFF0FC"/>
            <w:vAlign w:val="bottom"/>
            <w:hideMark/>
          </w:tcPr>
          <w:p w14:paraId="49914C6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662C3F8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4A8D84B8"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(18</w:t>
            </w:r>
          </w:p>
        </w:tc>
        <w:tc>
          <w:tcPr>
            <w:tcW w:w="0" w:type="auto"/>
            <w:shd w:val="clear" w:color="auto" w:fill="CFF0FC"/>
            <w:vAlign w:val="bottom"/>
            <w:hideMark/>
          </w:tcPr>
          <w:p w14:paraId="3229518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762A455E"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4EB41B5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6E8A8E22"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(16</w:t>
            </w:r>
          </w:p>
        </w:tc>
        <w:tc>
          <w:tcPr>
            <w:tcW w:w="0" w:type="auto"/>
            <w:shd w:val="clear" w:color="auto" w:fill="CFF0FC"/>
            <w:vAlign w:val="bottom"/>
            <w:hideMark/>
          </w:tcPr>
          <w:p w14:paraId="547B95E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243299F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44491A1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437A5572"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(14</w:t>
            </w:r>
          </w:p>
        </w:tc>
        <w:tc>
          <w:tcPr>
            <w:tcW w:w="0" w:type="auto"/>
            <w:shd w:val="clear" w:color="auto" w:fill="CFF0FC"/>
            <w:vAlign w:val="bottom"/>
            <w:hideMark/>
          </w:tcPr>
          <w:p w14:paraId="472CCAA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r>
      <w:tr w:rsidR="002F3D36" w:rsidRPr="002F3D36" w14:paraId="58F9A27D" w14:textId="77777777" w:rsidTr="002F3D36">
        <w:trPr>
          <w:trHeight w:val="180"/>
          <w:tblCellSpacing w:w="15" w:type="dxa"/>
        </w:trPr>
        <w:tc>
          <w:tcPr>
            <w:tcW w:w="0" w:type="auto"/>
            <w:hideMark/>
          </w:tcPr>
          <w:p w14:paraId="24A2071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Amortization of actuarial loss</w:t>
            </w:r>
          </w:p>
        </w:tc>
        <w:tc>
          <w:tcPr>
            <w:tcW w:w="0" w:type="auto"/>
            <w:vAlign w:val="bottom"/>
            <w:hideMark/>
          </w:tcPr>
          <w:p w14:paraId="76F795A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1335621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0200E334"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2</w:t>
            </w:r>
          </w:p>
        </w:tc>
        <w:tc>
          <w:tcPr>
            <w:tcW w:w="0" w:type="auto"/>
            <w:vAlign w:val="bottom"/>
            <w:hideMark/>
          </w:tcPr>
          <w:p w14:paraId="7718E30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10C9A88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2352597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293F2D0F"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3</w:t>
            </w:r>
          </w:p>
        </w:tc>
        <w:tc>
          <w:tcPr>
            <w:tcW w:w="0" w:type="auto"/>
            <w:vAlign w:val="bottom"/>
            <w:hideMark/>
          </w:tcPr>
          <w:p w14:paraId="77B0517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42324B3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1E7BBEDE"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0C560E3D"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2</w:t>
            </w:r>
          </w:p>
        </w:tc>
        <w:tc>
          <w:tcPr>
            <w:tcW w:w="0" w:type="auto"/>
            <w:vAlign w:val="bottom"/>
            <w:hideMark/>
          </w:tcPr>
          <w:p w14:paraId="5C6CE77E"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6E5C1BC1" w14:textId="77777777" w:rsidTr="002F3D36">
        <w:trPr>
          <w:trHeight w:val="180"/>
          <w:tblCellSpacing w:w="15" w:type="dxa"/>
        </w:trPr>
        <w:tc>
          <w:tcPr>
            <w:tcW w:w="0" w:type="auto"/>
            <w:shd w:val="clear" w:color="auto" w:fill="CFF0FC"/>
            <w:hideMark/>
          </w:tcPr>
          <w:p w14:paraId="7BDB8DD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lastRenderedPageBreak/>
              <w:t>Settlement loss</w:t>
            </w:r>
          </w:p>
        </w:tc>
        <w:tc>
          <w:tcPr>
            <w:tcW w:w="0" w:type="auto"/>
            <w:shd w:val="clear" w:color="auto" w:fill="CFF0FC"/>
            <w:vAlign w:val="bottom"/>
            <w:hideMark/>
          </w:tcPr>
          <w:p w14:paraId="30DC872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1739E9A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23C5FA52"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5</w:t>
            </w:r>
          </w:p>
        </w:tc>
        <w:tc>
          <w:tcPr>
            <w:tcW w:w="0" w:type="auto"/>
            <w:shd w:val="clear" w:color="auto" w:fill="CFF0FC"/>
            <w:vAlign w:val="bottom"/>
            <w:hideMark/>
          </w:tcPr>
          <w:p w14:paraId="7D20F44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7448357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1138D34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4C0D2C2B"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7</w:t>
            </w:r>
          </w:p>
        </w:tc>
        <w:tc>
          <w:tcPr>
            <w:tcW w:w="0" w:type="auto"/>
            <w:shd w:val="clear" w:color="auto" w:fill="CFF0FC"/>
            <w:vAlign w:val="bottom"/>
            <w:hideMark/>
          </w:tcPr>
          <w:p w14:paraId="3064595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14C54CA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7019A26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2277B15E"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0</w:t>
            </w:r>
          </w:p>
        </w:tc>
        <w:tc>
          <w:tcPr>
            <w:tcW w:w="0" w:type="auto"/>
            <w:shd w:val="clear" w:color="auto" w:fill="CFF0FC"/>
            <w:vAlign w:val="bottom"/>
            <w:hideMark/>
          </w:tcPr>
          <w:p w14:paraId="64DC314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375D52F2" w14:textId="77777777" w:rsidTr="002F3D36">
        <w:trPr>
          <w:trHeight w:val="180"/>
          <w:tblCellSpacing w:w="15" w:type="dxa"/>
        </w:trPr>
        <w:tc>
          <w:tcPr>
            <w:tcW w:w="0" w:type="auto"/>
            <w:hideMark/>
          </w:tcPr>
          <w:p w14:paraId="5EA1B19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Net periodic benefit cost</w:t>
            </w:r>
          </w:p>
        </w:tc>
        <w:tc>
          <w:tcPr>
            <w:tcW w:w="0" w:type="auto"/>
            <w:vAlign w:val="bottom"/>
            <w:hideMark/>
          </w:tcPr>
          <w:p w14:paraId="7C2634F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60CB868E"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vAlign w:val="bottom"/>
            <w:hideMark/>
          </w:tcPr>
          <w:p w14:paraId="7AF5DBB6"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7</w:t>
            </w:r>
          </w:p>
        </w:tc>
        <w:tc>
          <w:tcPr>
            <w:tcW w:w="0" w:type="auto"/>
            <w:vAlign w:val="bottom"/>
            <w:hideMark/>
          </w:tcPr>
          <w:p w14:paraId="44FAC50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6366B8A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76C791B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vAlign w:val="bottom"/>
            <w:hideMark/>
          </w:tcPr>
          <w:p w14:paraId="612E4DFB"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13</w:t>
            </w:r>
          </w:p>
        </w:tc>
        <w:tc>
          <w:tcPr>
            <w:tcW w:w="0" w:type="auto"/>
            <w:vAlign w:val="bottom"/>
            <w:hideMark/>
          </w:tcPr>
          <w:p w14:paraId="4872860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6C8D81D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0BBA8B7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vAlign w:val="bottom"/>
            <w:hideMark/>
          </w:tcPr>
          <w:p w14:paraId="0E843769"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10</w:t>
            </w:r>
          </w:p>
        </w:tc>
        <w:tc>
          <w:tcPr>
            <w:tcW w:w="0" w:type="auto"/>
            <w:vAlign w:val="bottom"/>
            <w:hideMark/>
          </w:tcPr>
          <w:p w14:paraId="014E63F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bl>
    <w:p w14:paraId="1243D673"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w:t>
      </w:r>
    </w:p>
    <w:tbl>
      <w:tblPr>
        <w:tblW w:w="16491" w:type="dxa"/>
        <w:tblCellSpacing w:w="15" w:type="dxa"/>
        <w:tblCellMar>
          <w:top w:w="15" w:type="dxa"/>
          <w:left w:w="15" w:type="dxa"/>
          <w:bottom w:w="15" w:type="dxa"/>
          <w:right w:w="15" w:type="dxa"/>
        </w:tblCellMar>
        <w:tblLook w:val="04A0" w:firstRow="1" w:lastRow="0" w:firstColumn="1" w:lastColumn="0" w:noHBand="0" w:noVBand="1"/>
      </w:tblPr>
      <w:tblGrid>
        <w:gridCol w:w="9081"/>
        <w:gridCol w:w="226"/>
        <w:gridCol w:w="301"/>
        <w:gridCol w:w="1740"/>
        <w:gridCol w:w="192"/>
        <w:gridCol w:w="227"/>
        <w:gridCol w:w="302"/>
        <w:gridCol w:w="1740"/>
        <w:gridCol w:w="192"/>
        <w:gridCol w:w="227"/>
        <w:gridCol w:w="302"/>
        <w:gridCol w:w="1753"/>
        <w:gridCol w:w="208"/>
      </w:tblGrid>
      <w:tr w:rsidR="002F3D36" w:rsidRPr="002F3D36" w14:paraId="1876B205" w14:textId="77777777" w:rsidTr="002F3D36">
        <w:trPr>
          <w:tblCellSpacing w:w="15" w:type="dxa"/>
        </w:trPr>
        <w:tc>
          <w:tcPr>
            <w:tcW w:w="9054" w:type="dxa"/>
            <w:vAlign w:val="center"/>
            <w:hideMark/>
          </w:tcPr>
          <w:p w14:paraId="4F86B21F" w14:textId="77777777" w:rsidR="002F3D36" w:rsidRPr="002F3D36" w:rsidRDefault="002F3D36" w:rsidP="002F3D36">
            <w:pPr>
              <w:widowControl/>
              <w:jc w:val="left"/>
              <w:rPr>
                <w:rFonts w:ascii="Times New Roman" w:eastAsia="宋体" w:hAnsi="Times New Roman" w:cs="Times New Roman"/>
                <w:color w:val="000000"/>
                <w:kern w:val="0"/>
                <w:sz w:val="20"/>
                <w:szCs w:val="20"/>
              </w:rPr>
            </w:pPr>
          </w:p>
        </w:tc>
        <w:tc>
          <w:tcPr>
            <w:tcW w:w="197" w:type="dxa"/>
            <w:vAlign w:val="center"/>
            <w:hideMark/>
          </w:tcPr>
          <w:p w14:paraId="7D6C3FE0"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72" w:type="dxa"/>
            <w:vAlign w:val="center"/>
            <w:hideMark/>
          </w:tcPr>
          <w:p w14:paraId="3CDB74CD"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713" w:type="dxa"/>
            <w:vAlign w:val="center"/>
            <w:hideMark/>
          </w:tcPr>
          <w:p w14:paraId="4A1CC333"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62" w:type="dxa"/>
            <w:vAlign w:val="center"/>
            <w:hideMark/>
          </w:tcPr>
          <w:p w14:paraId="4C79567D"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97" w:type="dxa"/>
            <w:vAlign w:val="center"/>
            <w:hideMark/>
          </w:tcPr>
          <w:p w14:paraId="65F7E6E1"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72" w:type="dxa"/>
            <w:vAlign w:val="center"/>
            <w:hideMark/>
          </w:tcPr>
          <w:p w14:paraId="72612E09"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713" w:type="dxa"/>
            <w:vAlign w:val="center"/>
            <w:hideMark/>
          </w:tcPr>
          <w:p w14:paraId="1530097B"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62" w:type="dxa"/>
            <w:vAlign w:val="center"/>
            <w:hideMark/>
          </w:tcPr>
          <w:p w14:paraId="6EE8710C"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97" w:type="dxa"/>
            <w:vAlign w:val="center"/>
            <w:hideMark/>
          </w:tcPr>
          <w:p w14:paraId="6645D07E"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72" w:type="dxa"/>
            <w:vAlign w:val="center"/>
            <w:hideMark/>
          </w:tcPr>
          <w:p w14:paraId="1F5C6AC9"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726" w:type="dxa"/>
            <w:vAlign w:val="center"/>
            <w:hideMark/>
          </w:tcPr>
          <w:p w14:paraId="377961E9"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63" w:type="dxa"/>
            <w:vAlign w:val="center"/>
            <w:hideMark/>
          </w:tcPr>
          <w:p w14:paraId="46ADE6A9" w14:textId="77777777" w:rsidR="002F3D36" w:rsidRPr="002F3D36" w:rsidRDefault="002F3D36" w:rsidP="002F3D36">
            <w:pPr>
              <w:widowControl/>
              <w:jc w:val="left"/>
              <w:rPr>
                <w:rFonts w:ascii="Times New Roman" w:eastAsia="Times New Roman" w:hAnsi="Times New Roman" w:cs="Times New Roman"/>
                <w:kern w:val="0"/>
                <w:sz w:val="20"/>
                <w:szCs w:val="20"/>
              </w:rPr>
            </w:pPr>
          </w:p>
        </w:tc>
      </w:tr>
      <w:tr w:rsidR="002F3D36" w:rsidRPr="002F3D36" w14:paraId="6A6D360F" w14:textId="77777777" w:rsidTr="002F3D36">
        <w:trPr>
          <w:trHeight w:val="160"/>
          <w:tblCellSpacing w:w="15" w:type="dxa"/>
        </w:trPr>
        <w:tc>
          <w:tcPr>
            <w:tcW w:w="0" w:type="auto"/>
            <w:vAlign w:val="bottom"/>
            <w:hideMark/>
          </w:tcPr>
          <w:p w14:paraId="1C982E61"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vAlign w:val="bottom"/>
            <w:hideMark/>
          </w:tcPr>
          <w:p w14:paraId="1537FA6F"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10"/>
            <w:tcBorders>
              <w:bottom w:val="single" w:sz="4" w:space="0" w:color="000000"/>
            </w:tcBorders>
            <w:vAlign w:val="bottom"/>
            <w:hideMark/>
          </w:tcPr>
          <w:p w14:paraId="1F8F3AD6"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Non-U.S.</w:t>
            </w:r>
          </w:p>
        </w:tc>
        <w:tc>
          <w:tcPr>
            <w:tcW w:w="0" w:type="auto"/>
            <w:vAlign w:val="bottom"/>
            <w:hideMark/>
          </w:tcPr>
          <w:p w14:paraId="54D0D44B"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r>
      <w:tr w:rsidR="002F3D36" w:rsidRPr="002F3D36" w14:paraId="71CE3F8B" w14:textId="77777777" w:rsidTr="002F3D36">
        <w:trPr>
          <w:trHeight w:val="160"/>
          <w:tblCellSpacing w:w="15" w:type="dxa"/>
        </w:trPr>
        <w:tc>
          <w:tcPr>
            <w:tcW w:w="0" w:type="auto"/>
            <w:vAlign w:val="bottom"/>
            <w:hideMark/>
          </w:tcPr>
          <w:p w14:paraId="7ABFBE1A"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color w:val="000000"/>
                <w:kern w:val="0"/>
                <w:sz w:val="16"/>
                <w:szCs w:val="16"/>
                <w:u w:val="single"/>
              </w:rPr>
              <w:t>(Dollars in millions)</w:t>
            </w:r>
          </w:p>
        </w:tc>
        <w:tc>
          <w:tcPr>
            <w:tcW w:w="0" w:type="auto"/>
            <w:vAlign w:val="bottom"/>
            <w:hideMark/>
          </w:tcPr>
          <w:p w14:paraId="28ECF7CA"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2"/>
            <w:tcBorders>
              <w:bottom w:val="single" w:sz="4" w:space="0" w:color="000000"/>
            </w:tcBorders>
            <w:vAlign w:val="bottom"/>
            <w:hideMark/>
          </w:tcPr>
          <w:p w14:paraId="25EABC1A"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2021</w:t>
            </w:r>
          </w:p>
        </w:tc>
        <w:tc>
          <w:tcPr>
            <w:tcW w:w="0" w:type="auto"/>
            <w:vAlign w:val="bottom"/>
            <w:hideMark/>
          </w:tcPr>
          <w:p w14:paraId="393F025E"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vAlign w:val="bottom"/>
            <w:hideMark/>
          </w:tcPr>
          <w:p w14:paraId="414AB095"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2"/>
            <w:tcBorders>
              <w:bottom w:val="single" w:sz="4" w:space="0" w:color="000000"/>
            </w:tcBorders>
            <w:vAlign w:val="bottom"/>
            <w:hideMark/>
          </w:tcPr>
          <w:p w14:paraId="69651533"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2020</w:t>
            </w:r>
          </w:p>
        </w:tc>
        <w:tc>
          <w:tcPr>
            <w:tcW w:w="0" w:type="auto"/>
            <w:vAlign w:val="bottom"/>
            <w:hideMark/>
          </w:tcPr>
          <w:p w14:paraId="65EB33E5"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vAlign w:val="bottom"/>
            <w:hideMark/>
          </w:tcPr>
          <w:p w14:paraId="0B32C763"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2"/>
            <w:tcBorders>
              <w:bottom w:val="single" w:sz="4" w:space="0" w:color="000000"/>
            </w:tcBorders>
            <w:vAlign w:val="bottom"/>
            <w:hideMark/>
          </w:tcPr>
          <w:p w14:paraId="3617E9B9"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2019</w:t>
            </w:r>
          </w:p>
        </w:tc>
        <w:tc>
          <w:tcPr>
            <w:tcW w:w="0" w:type="auto"/>
            <w:vAlign w:val="bottom"/>
            <w:hideMark/>
          </w:tcPr>
          <w:p w14:paraId="4E6E1FFE"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r>
      <w:tr w:rsidR="002F3D36" w:rsidRPr="002F3D36" w14:paraId="343DCFB2" w14:textId="77777777" w:rsidTr="002F3D36">
        <w:trPr>
          <w:trHeight w:val="180"/>
          <w:tblCellSpacing w:w="15" w:type="dxa"/>
        </w:trPr>
        <w:tc>
          <w:tcPr>
            <w:tcW w:w="0" w:type="auto"/>
            <w:shd w:val="clear" w:color="auto" w:fill="CFF0FC"/>
            <w:hideMark/>
          </w:tcPr>
          <w:p w14:paraId="1068A36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Service cost</w:t>
            </w:r>
          </w:p>
        </w:tc>
        <w:tc>
          <w:tcPr>
            <w:tcW w:w="0" w:type="auto"/>
            <w:shd w:val="clear" w:color="auto" w:fill="CFF0FC"/>
            <w:vAlign w:val="bottom"/>
            <w:hideMark/>
          </w:tcPr>
          <w:p w14:paraId="195122C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58AED70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467CC325"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12</w:t>
            </w:r>
          </w:p>
        </w:tc>
        <w:tc>
          <w:tcPr>
            <w:tcW w:w="0" w:type="auto"/>
            <w:shd w:val="clear" w:color="auto" w:fill="CFF0FC"/>
            <w:vAlign w:val="bottom"/>
            <w:hideMark/>
          </w:tcPr>
          <w:p w14:paraId="3B574FD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1F9EA61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2455FED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121F6DEE"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12</w:t>
            </w:r>
          </w:p>
        </w:tc>
        <w:tc>
          <w:tcPr>
            <w:tcW w:w="0" w:type="auto"/>
            <w:shd w:val="clear" w:color="auto" w:fill="CFF0FC"/>
            <w:vAlign w:val="bottom"/>
            <w:hideMark/>
          </w:tcPr>
          <w:p w14:paraId="5AC910C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6E95DA3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05E2539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56ADA464"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11</w:t>
            </w:r>
          </w:p>
        </w:tc>
        <w:tc>
          <w:tcPr>
            <w:tcW w:w="0" w:type="auto"/>
            <w:shd w:val="clear" w:color="auto" w:fill="CFF0FC"/>
            <w:vAlign w:val="bottom"/>
            <w:hideMark/>
          </w:tcPr>
          <w:p w14:paraId="5E8876AE"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177C2FDD" w14:textId="77777777" w:rsidTr="002F3D36">
        <w:trPr>
          <w:trHeight w:val="180"/>
          <w:tblCellSpacing w:w="15" w:type="dxa"/>
        </w:trPr>
        <w:tc>
          <w:tcPr>
            <w:tcW w:w="0" w:type="auto"/>
            <w:hideMark/>
          </w:tcPr>
          <w:p w14:paraId="4255BB6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Interest cost</w:t>
            </w:r>
          </w:p>
        </w:tc>
        <w:tc>
          <w:tcPr>
            <w:tcW w:w="0" w:type="auto"/>
            <w:vAlign w:val="bottom"/>
            <w:hideMark/>
          </w:tcPr>
          <w:p w14:paraId="6E02384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6636C76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5E8D7856"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5</w:t>
            </w:r>
          </w:p>
        </w:tc>
        <w:tc>
          <w:tcPr>
            <w:tcW w:w="0" w:type="auto"/>
            <w:vAlign w:val="bottom"/>
            <w:hideMark/>
          </w:tcPr>
          <w:p w14:paraId="744E6FF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002AC9E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048F5A3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0A83A5AE"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6</w:t>
            </w:r>
          </w:p>
        </w:tc>
        <w:tc>
          <w:tcPr>
            <w:tcW w:w="0" w:type="auto"/>
            <w:vAlign w:val="bottom"/>
            <w:hideMark/>
          </w:tcPr>
          <w:p w14:paraId="7777B59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467DA64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5D5FBF6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3D3E2683"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6</w:t>
            </w:r>
          </w:p>
        </w:tc>
        <w:tc>
          <w:tcPr>
            <w:tcW w:w="0" w:type="auto"/>
            <w:vAlign w:val="bottom"/>
            <w:hideMark/>
          </w:tcPr>
          <w:p w14:paraId="1458388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7E48695A" w14:textId="77777777" w:rsidTr="002F3D36">
        <w:trPr>
          <w:trHeight w:val="180"/>
          <w:tblCellSpacing w:w="15" w:type="dxa"/>
        </w:trPr>
        <w:tc>
          <w:tcPr>
            <w:tcW w:w="0" w:type="auto"/>
            <w:shd w:val="clear" w:color="auto" w:fill="CFF0FC"/>
            <w:hideMark/>
          </w:tcPr>
          <w:p w14:paraId="1244EEF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Expected return on plan assets</w:t>
            </w:r>
          </w:p>
        </w:tc>
        <w:tc>
          <w:tcPr>
            <w:tcW w:w="0" w:type="auto"/>
            <w:shd w:val="clear" w:color="auto" w:fill="CFF0FC"/>
            <w:vAlign w:val="bottom"/>
            <w:hideMark/>
          </w:tcPr>
          <w:p w14:paraId="798FCCE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1CB5621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7581A70F"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(2</w:t>
            </w:r>
          </w:p>
        </w:tc>
        <w:tc>
          <w:tcPr>
            <w:tcW w:w="0" w:type="auto"/>
            <w:shd w:val="clear" w:color="auto" w:fill="CFF0FC"/>
            <w:vAlign w:val="bottom"/>
            <w:hideMark/>
          </w:tcPr>
          <w:p w14:paraId="09F2D0F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4346E6B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120D348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1FA3D351"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(2</w:t>
            </w:r>
          </w:p>
        </w:tc>
        <w:tc>
          <w:tcPr>
            <w:tcW w:w="0" w:type="auto"/>
            <w:shd w:val="clear" w:color="auto" w:fill="CFF0FC"/>
            <w:vAlign w:val="bottom"/>
            <w:hideMark/>
          </w:tcPr>
          <w:p w14:paraId="6AEE827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5B1030B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17292DA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21C9255A"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(2</w:t>
            </w:r>
          </w:p>
        </w:tc>
        <w:tc>
          <w:tcPr>
            <w:tcW w:w="0" w:type="auto"/>
            <w:shd w:val="clear" w:color="auto" w:fill="CFF0FC"/>
            <w:vAlign w:val="bottom"/>
            <w:hideMark/>
          </w:tcPr>
          <w:p w14:paraId="3CAAC4B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r>
      <w:tr w:rsidR="002F3D36" w:rsidRPr="002F3D36" w14:paraId="05A8C0A7" w14:textId="77777777" w:rsidTr="002F3D36">
        <w:trPr>
          <w:trHeight w:val="180"/>
          <w:tblCellSpacing w:w="15" w:type="dxa"/>
        </w:trPr>
        <w:tc>
          <w:tcPr>
            <w:tcW w:w="0" w:type="auto"/>
            <w:hideMark/>
          </w:tcPr>
          <w:p w14:paraId="3AFEA49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Amortization of prior service costs</w:t>
            </w:r>
          </w:p>
        </w:tc>
        <w:tc>
          <w:tcPr>
            <w:tcW w:w="0" w:type="auto"/>
            <w:vAlign w:val="bottom"/>
            <w:hideMark/>
          </w:tcPr>
          <w:p w14:paraId="55FD41A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6FCC3C6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0935C649"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0</w:t>
            </w:r>
          </w:p>
        </w:tc>
        <w:tc>
          <w:tcPr>
            <w:tcW w:w="0" w:type="auto"/>
            <w:vAlign w:val="bottom"/>
            <w:hideMark/>
          </w:tcPr>
          <w:p w14:paraId="6F049F0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1F55DEC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3C516A1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1A5ED0DD"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0</w:t>
            </w:r>
          </w:p>
        </w:tc>
        <w:tc>
          <w:tcPr>
            <w:tcW w:w="0" w:type="auto"/>
            <w:vAlign w:val="bottom"/>
            <w:hideMark/>
          </w:tcPr>
          <w:p w14:paraId="427F7B1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2FA1DBC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6F7A150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398560F2"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0</w:t>
            </w:r>
          </w:p>
        </w:tc>
        <w:tc>
          <w:tcPr>
            <w:tcW w:w="0" w:type="auto"/>
            <w:vAlign w:val="bottom"/>
            <w:hideMark/>
          </w:tcPr>
          <w:p w14:paraId="4CE4EEC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572344DC" w14:textId="77777777" w:rsidTr="002F3D36">
        <w:trPr>
          <w:trHeight w:val="180"/>
          <w:tblCellSpacing w:w="15" w:type="dxa"/>
        </w:trPr>
        <w:tc>
          <w:tcPr>
            <w:tcW w:w="0" w:type="auto"/>
            <w:shd w:val="clear" w:color="auto" w:fill="CFF0FC"/>
            <w:hideMark/>
          </w:tcPr>
          <w:p w14:paraId="35F38C4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Amortization of actuarial loss</w:t>
            </w:r>
          </w:p>
        </w:tc>
        <w:tc>
          <w:tcPr>
            <w:tcW w:w="0" w:type="auto"/>
            <w:shd w:val="clear" w:color="auto" w:fill="CFF0FC"/>
            <w:vAlign w:val="bottom"/>
            <w:hideMark/>
          </w:tcPr>
          <w:p w14:paraId="5B594FD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0C57DE7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21FE5765"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w:t>
            </w:r>
          </w:p>
        </w:tc>
        <w:tc>
          <w:tcPr>
            <w:tcW w:w="0" w:type="auto"/>
            <w:shd w:val="clear" w:color="auto" w:fill="CFF0FC"/>
            <w:vAlign w:val="bottom"/>
            <w:hideMark/>
          </w:tcPr>
          <w:p w14:paraId="356B813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7848749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0EAEAB3E"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5DEC14E8"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2</w:t>
            </w:r>
          </w:p>
        </w:tc>
        <w:tc>
          <w:tcPr>
            <w:tcW w:w="0" w:type="auto"/>
            <w:shd w:val="clear" w:color="auto" w:fill="CFF0FC"/>
            <w:vAlign w:val="bottom"/>
            <w:hideMark/>
          </w:tcPr>
          <w:p w14:paraId="44EAE8A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02EBA5B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253FF6B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21E81FDA"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w:t>
            </w:r>
          </w:p>
        </w:tc>
        <w:tc>
          <w:tcPr>
            <w:tcW w:w="0" w:type="auto"/>
            <w:shd w:val="clear" w:color="auto" w:fill="CFF0FC"/>
            <w:vAlign w:val="bottom"/>
            <w:hideMark/>
          </w:tcPr>
          <w:p w14:paraId="611AAB1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59E966A1" w14:textId="77777777" w:rsidTr="002F3D36">
        <w:trPr>
          <w:trHeight w:val="180"/>
          <w:tblCellSpacing w:w="15" w:type="dxa"/>
        </w:trPr>
        <w:tc>
          <w:tcPr>
            <w:tcW w:w="0" w:type="auto"/>
            <w:hideMark/>
          </w:tcPr>
          <w:p w14:paraId="7F15972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Settlement loss</w:t>
            </w:r>
          </w:p>
        </w:tc>
        <w:tc>
          <w:tcPr>
            <w:tcW w:w="0" w:type="auto"/>
            <w:vAlign w:val="bottom"/>
            <w:hideMark/>
          </w:tcPr>
          <w:p w14:paraId="7A543D8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0CC880C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03009F45"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0</w:t>
            </w:r>
          </w:p>
        </w:tc>
        <w:tc>
          <w:tcPr>
            <w:tcW w:w="0" w:type="auto"/>
            <w:vAlign w:val="bottom"/>
            <w:hideMark/>
          </w:tcPr>
          <w:p w14:paraId="49EAD92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5199AB2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0F46C21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288FDF0B"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0</w:t>
            </w:r>
          </w:p>
        </w:tc>
        <w:tc>
          <w:tcPr>
            <w:tcW w:w="0" w:type="auto"/>
            <w:vAlign w:val="bottom"/>
            <w:hideMark/>
          </w:tcPr>
          <w:p w14:paraId="326C6CC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0497037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306BA90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2D40DE2B"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w:t>
            </w:r>
          </w:p>
        </w:tc>
        <w:tc>
          <w:tcPr>
            <w:tcW w:w="0" w:type="auto"/>
            <w:vAlign w:val="bottom"/>
            <w:hideMark/>
          </w:tcPr>
          <w:p w14:paraId="2C97E2E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43C7E71E" w14:textId="77777777" w:rsidTr="002F3D36">
        <w:trPr>
          <w:trHeight w:val="180"/>
          <w:tblCellSpacing w:w="15" w:type="dxa"/>
        </w:trPr>
        <w:tc>
          <w:tcPr>
            <w:tcW w:w="0" w:type="auto"/>
            <w:shd w:val="clear" w:color="auto" w:fill="CFF0FC"/>
            <w:hideMark/>
          </w:tcPr>
          <w:p w14:paraId="6A1301B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Special termination benefits</w:t>
            </w:r>
          </w:p>
        </w:tc>
        <w:tc>
          <w:tcPr>
            <w:tcW w:w="0" w:type="auto"/>
            <w:shd w:val="clear" w:color="auto" w:fill="CFF0FC"/>
            <w:vAlign w:val="bottom"/>
            <w:hideMark/>
          </w:tcPr>
          <w:p w14:paraId="76365B9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1E63B47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720E7378"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2F70BEA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134FC4E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76415B0E"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444F2E6F"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0</w:t>
            </w:r>
          </w:p>
        </w:tc>
        <w:tc>
          <w:tcPr>
            <w:tcW w:w="0" w:type="auto"/>
            <w:shd w:val="clear" w:color="auto" w:fill="CFF0FC"/>
            <w:vAlign w:val="bottom"/>
            <w:hideMark/>
          </w:tcPr>
          <w:p w14:paraId="2CB5260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3C809BE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2CE8EF9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7F3B4592"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w:t>
            </w:r>
          </w:p>
        </w:tc>
        <w:tc>
          <w:tcPr>
            <w:tcW w:w="0" w:type="auto"/>
            <w:shd w:val="clear" w:color="auto" w:fill="CFF0FC"/>
            <w:vAlign w:val="bottom"/>
            <w:hideMark/>
          </w:tcPr>
          <w:p w14:paraId="1FE8DF3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482CF2C0" w14:textId="77777777" w:rsidTr="002F3D36">
        <w:trPr>
          <w:trHeight w:val="180"/>
          <w:tblCellSpacing w:w="15" w:type="dxa"/>
        </w:trPr>
        <w:tc>
          <w:tcPr>
            <w:tcW w:w="0" w:type="auto"/>
            <w:hideMark/>
          </w:tcPr>
          <w:p w14:paraId="66FA553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Net periodic benefit cost</w:t>
            </w:r>
          </w:p>
        </w:tc>
        <w:tc>
          <w:tcPr>
            <w:tcW w:w="0" w:type="auto"/>
            <w:vAlign w:val="bottom"/>
            <w:hideMark/>
          </w:tcPr>
          <w:p w14:paraId="2CA33D3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0D6FA5C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vAlign w:val="bottom"/>
            <w:hideMark/>
          </w:tcPr>
          <w:p w14:paraId="0F38358A"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17</w:t>
            </w:r>
          </w:p>
        </w:tc>
        <w:tc>
          <w:tcPr>
            <w:tcW w:w="0" w:type="auto"/>
            <w:vAlign w:val="bottom"/>
            <w:hideMark/>
          </w:tcPr>
          <w:p w14:paraId="7A6AABF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69545C2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646119C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vAlign w:val="bottom"/>
            <w:hideMark/>
          </w:tcPr>
          <w:p w14:paraId="7C2651DC"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19</w:t>
            </w:r>
          </w:p>
        </w:tc>
        <w:tc>
          <w:tcPr>
            <w:tcW w:w="0" w:type="auto"/>
            <w:vAlign w:val="bottom"/>
            <w:hideMark/>
          </w:tcPr>
          <w:p w14:paraId="651F671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00C20B0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2F2D340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vAlign w:val="bottom"/>
            <w:hideMark/>
          </w:tcPr>
          <w:p w14:paraId="7431C463"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18</w:t>
            </w:r>
          </w:p>
        </w:tc>
        <w:tc>
          <w:tcPr>
            <w:tcW w:w="0" w:type="auto"/>
            <w:vAlign w:val="bottom"/>
            <w:hideMark/>
          </w:tcPr>
          <w:p w14:paraId="3447F91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bl>
    <w:p w14:paraId="7F699D71"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24"/>
          <w:szCs w:val="24"/>
        </w:rPr>
        <w:t> </w:t>
      </w:r>
    </w:p>
    <w:p w14:paraId="11C9F542"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The service cost and amortization of prior service cost components are reported among other employee compensation costs in the Consolidated Statements of Income. The remaining components, interest cost, expected returns on plan assets and amortization of actuarial loss, are reported as Other non-operating items, net in the Consolidated Statements of Income.</w:t>
      </w:r>
    </w:p>
    <w:p w14:paraId="0BD2AC89"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Amortization of the net actuarial loss from accumulated other comprehensive income is made over the estimated average remaining lifetime of the plan participants (28 to 32 years) for the U.S. plans, and the estimated average remaining service lives or lifetimes of the plan participants for the non-U.S. plans, the periods varying over a wide range between the different countries depending on the age of the population concerned.</w:t>
      </w:r>
    </w:p>
    <w:p w14:paraId="2C31C928"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COMPONENTS OF ACCUMULATED OTHER COMPREHENSIVE LOSS BEFORE TAX AS OF DECEMBER 31</w:t>
      </w:r>
    </w:p>
    <w:p w14:paraId="0CFEBEA7"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w:t>
      </w:r>
    </w:p>
    <w:tbl>
      <w:tblPr>
        <w:tblW w:w="18553" w:type="dxa"/>
        <w:tblCellSpacing w:w="15" w:type="dxa"/>
        <w:tblCellMar>
          <w:top w:w="15" w:type="dxa"/>
          <w:left w:w="15" w:type="dxa"/>
          <w:bottom w:w="15" w:type="dxa"/>
          <w:right w:w="15" w:type="dxa"/>
        </w:tblCellMar>
        <w:tblLook w:val="04A0" w:firstRow="1" w:lastRow="0" w:firstColumn="1" w:lastColumn="0" w:noHBand="0" w:noVBand="1"/>
      </w:tblPr>
      <w:tblGrid>
        <w:gridCol w:w="9023"/>
        <w:gridCol w:w="231"/>
        <w:gridCol w:w="285"/>
        <w:gridCol w:w="1661"/>
        <w:gridCol w:w="195"/>
        <w:gridCol w:w="236"/>
        <w:gridCol w:w="286"/>
        <w:gridCol w:w="1665"/>
        <w:gridCol w:w="195"/>
        <w:gridCol w:w="236"/>
        <w:gridCol w:w="286"/>
        <w:gridCol w:w="1661"/>
        <w:gridCol w:w="195"/>
        <w:gridCol w:w="236"/>
        <w:gridCol w:w="286"/>
        <w:gridCol w:w="1665"/>
        <w:gridCol w:w="211"/>
      </w:tblGrid>
      <w:tr w:rsidR="002F3D36" w:rsidRPr="002F3D36" w14:paraId="34F513FF" w14:textId="77777777" w:rsidTr="002F3D36">
        <w:trPr>
          <w:tblCellSpacing w:w="15" w:type="dxa"/>
        </w:trPr>
        <w:tc>
          <w:tcPr>
            <w:tcW w:w="8995" w:type="dxa"/>
            <w:vAlign w:val="center"/>
            <w:hideMark/>
          </w:tcPr>
          <w:p w14:paraId="23E4CC36" w14:textId="77777777" w:rsidR="002F3D36" w:rsidRPr="002F3D36" w:rsidRDefault="002F3D36" w:rsidP="002F3D36">
            <w:pPr>
              <w:widowControl/>
              <w:jc w:val="left"/>
              <w:rPr>
                <w:rFonts w:ascii="Times New Roman" w:eastAsia="宋体" w:hAnsi="Times New Roman" w:cs="Times New Roman"/>
                <w:color w:val="000000"/>
                <w:kern w:val="0"/>
                <w:sz w:val="20"/>
                <w:szCs w:val="20"/>
              </w:rPr>
            </w:pPr>
          </w:p>
        </w:tc>
        <w:tc>
          <w:tcPr>
            <w:tcW w:w="202" w:type="dxa"/>
            <w:vAlign w:val="center"/>
            <w:hideMark/>
          </w:tcPr>
          <w:p w14:paraId="1B7AE84B"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56" w:type="dxa"/>
            <w:vAlign w:val="center"/>
            <w:hideMark/>
          </w:tcPr>
          <w:p w14:paraId="552E5352"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634" w:type="dxa"/>
            <w:vAlign w:val="center"/>
            <w:hideMark/>
          </w:tcPr>
          <w:p w14:paraId="6D3F54F7"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65" w:type="dxa"/>
            <w:vAlign w:val="center"/>
            <w:hideMark/>
          </w:tcPr>
          <w:p w14:paraId="31AB8250"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06" w:type="dxa"/>
            <w:vAlign w:val="center"/>
            <w:hideMark/>
          </w:tcPr>
          <w:p w14:paraId="1BB31733"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56" w:type="dxa"/>
            <w:vAlign w:val="center"/>
            <w:hideMark/>
          </w:tcPr>
          <w:p w14:paraId="408DB4BA"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638" w:type="dxa"/>
            <w:vAlign w:val="center"/>
            <w:hideMark/>
          </w:tcPr>
          <w:p w14:paraId="175B1C10"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65" w:type="dxa"/>
            <w:vAlign w:val="center"/>
            <w:hideMark/>
          </w:tcPr>
          <w:p w14:paraId="1D505926"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06" w:type="dxa"/>
            <w:vAlign w:val="center"/>
            <w:hideMark/>
          </w:tcPr>
          <w:p w14:paraId="2E78B749"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56" w:type="dxa"/>
            <w:vAlign w:val="center"/>
            <w:hideMark/>
          </w:tcPr>
          <w:p w14:paraId="681C3300"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634" w:type="dxa"/>
            <w:vAlign w:val="center"/>
            <w:hideMark/>
          </w:tcPr>
          <w:p w14:paraId="1CDD6BC8"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65" w:type="dxa"/>
            <w:vAlign w:val="center"/>
            <w:hideMark/>
          </w:tcPr>
          <w:p w14:paraId="757C96E5"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06" w:type="dxa"/>
            <w:vAlign w:val="center"/>
            <w:hideMark/>
          </w:tcPr>
          <w:p w14:paraId="47B5B4B8"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56" w:type="dxa"/>
            <w:vAlign w:val="center"/>
            <w:hideMark/>
          </w:tcPr>
          <w:p w14:paraId="20E2D57B"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638" w:type="dxa"/>
            <w:vAlign w:val="center"/>
            <w:hideMark/>
          </w:tcPr>
          <w:p w14:paraId="392492F8"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66" w:type="dxa"/>
            <w:vAlign w:val="center"/>
            <w:hideMark/>
          </w:tcPr>
          <w:p w14:paraId="4B271247" w14:textId="77777777" w:rsidR="002F3D36" w:rsidRPr="002F3D36" w:rsidRDefault="002F3D36" w:rsidP="002F3D36">
            <w:pPr>
              <w:widowControl/>
              <w:jc w:val="left"/>
              <w:rPr>
                <w:rFonts w:ascii="Times New Roman" w:eastAsia="Times New Roman" w:hAnsi="Times New Roman" w:cs="Times New Roman"/>
                <w:kern w:val="0"/>
                <w:sz w:val="20"/>
                <w:szCs w:val="20"/>
              </w:rPr>
            </w:pPr>
          </w:p>
        </w:tc>
      </w:tr>
      <w:tr w:rsidR="002F3D36" w:rsidRPr="002F3D36" w14:paraId="73C75DF2" w14:textId="77777777" w:rsidTr="002F3D36">
        <w:trPr>
          <w:trHeight w:val="160"/>
          <w:tblCellSpacing w:w="15" w:type="dxa"/>
        </w:trPr>
        <w:tc>
          <w:tcPr>
            <w:tcW w:w="0" w:type="auto"/>
            <w:vAlign w:val="bottom"/>
            <w:hideMark/>
          </w:tcPr>
          <w:p w14:paraId="390CEE2F"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vAlign w:val="bottom"/>
            <w:hideMark/>
          </w:tcPr>
          <w:p w14:paraId="401A6507"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6"/>
            <w:tcBorders>
              <w:bottom w:val="single" w:sz="4" w:space="0" w:color="000000"/>
            </w:tcBorders>
            <w:vAlign w:val="bottom"/>
            <w:hideMark/>
          </w:tcPr>
          <w:p w14:paraId="4FA2A338"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U.S.</w:t>
            </w:r>
          </w:p>
        </w:tc>
        <w:tc>
          <w:tcPr>
            <w:tcW w:w="0" w:type="auto"/>
            <w:vAlign w:val="bottom"/>
            <w:hideMark/>
          </w:tcPr>
          <w:p w14:paraId="2D5C87D7"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vAlign w:val="bottom"/>
            <w:hideMark/>
          </w:tcPr>
          <w:p w14:paraId="51D41D8B"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6"/>
            <w:tcBorders>
              <w:bottom w:val="single" w:sz="4" w:space="0" w:color="000000"/>
            </w:tcBorders>
            <w:vAlign w:val="bottom"/>
            <w:hideMark/>
          </w:tcPr>
          <w:p w14:paraId="517E408D"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Non-U.S.</w:t>
            </w:r>
          </w:p>
        </w:tc>
        <w:tc>
          <w:tcPr>
            <w:tcW w:w="0" w:type="auto"/>
            <w:vAlign w:val="bottom"/>
            <w:hideMark/>
          </w:tcPr>
          <w:p w14:paraId="737F4001"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r>
      <w:tr w:rsidR="002F3D36" w:rsidRPr="002F3D36" w14:paraId="53061396" w14:textId="77777777" w:rsidTr="002F3D36">
        <w:trPr>
          <w:trHeight w:val="160"/>
          <w:tblCellSpacing w:w="15" w:type="dxa"/>
        </w:trPr>
        <w:tc>
          <w:tcPr>
            <w:tcW w:w="0" w:type="auto"/>
            <w:vAlign w:val="bottom"/>
            <w:hideMark/>
          </w:tcPr>
          <w:p w14:paraId="426C0938"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color w:val="000000"/>
                <w:kern w:val="0"/>
                <w:sz w:val="16"/>
                <w:szCs w:val="16"/>
                <w:u w:val="single"/>
              </w:rPr>
              <w:t>(Dollars in millions)</w:t>
            </w:r>
          </w:p>
        </w:tc>
        <w:tc>
          <w:tcPr>
            <w:tcW w:w="0" w:type="auto"/>
            <w:vAlign w:val="bottom"/>
            <w:hideMark/>
          </w:tcPr>
          <w:p w14:paraId="45AA905F"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2"/>
            <w:tcBorders>
              <w:bottom w:val="single" w:sz="4" w:space="0" w:color="000000"/>
            </w:tcBorders>
            <w:vAlign w:val="bottom"/>
            <w:hideMark/>
          </w:tcPr>
          <w:p w14:paraId="3B715CFC"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2021</w:t>
            </w:r>
          </w:p>
        </w:tc>
        <w:tc>
          <w:tcPr>
            <w:tcW w:w="0" w:type="auto"/>
            <w:vAlign w:val="bottom"/>
            <w:hideMark/>
          </w:tcPr>
          <w:p w14:paraId="07090C89"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vAlign w:val="bottom"/>
            <w:hideMark/>
          </w:tcPr>
          <w:p w14:paraId="0132A736"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2"/>
            <w:tcBorders>
              <w:bottom w:val="single" w:sz="4" w:space="0" w:color="000000"/>
            </w:tcBorders>
            <w:vAlign w:val="bottom"/>
            <w:hideMark/>
          </w:tcPr>
          <w:p w14:paraId="0F456204"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2020</w:t>
            </w:r>
          </w:p>
        </w:tc>
        <w:tc>
          <w:tcPr>
            <w:tcW w:w="0" w:type="auto"/>
            <w:vAlign w:val="bottom"/>
            <w:hideMark/>
          </w:tcPr>
          <w:p w14:paraId="73CDEB0C"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vAlign w:val="bottom"/>
            <w:hideMark/>
          </w:tcPr>
          <w:p w14:paraId="3DBF2E86"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2"/>
            <w:tcBorders>
              <w:bottom w:val="single" w:sz="4" w:space="0" w:color="000000"/>
            </w:tcBorders>
            <w:vAlign w:val="bottom"/>
            <w:hideMark/>
          </w:tcPr>
          <w:p w14:paraId="6A688FFC"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2021</w:t>
            </w:r>
          </w:p>
        </w:tc>
        <w:tc>
          <w:tcPr>
            <w:tcW w:w="0" w:type="auto"/>
            <w:vAlign w:val="bottom"/>
            <w:hideMark/>
          </w:tcPr>
          <w:p w14:paraId="4868B76C"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vAlign w:val="bottom"/>
            <w:hideMark/>
          </w:tcPr>
          <w:p w14:paraId="74519441"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2"/>
            <w:tcBorders>
              <w:bottom w:val="single" w:sz="4" w:space="0" w:color="000000"/>
            </w:tcBorders>
            <w:vAlign w:val="bottom"/>
            <w:hideMark/>
          </w:tcPr>
          <w:p w14:paraId="78B182A3"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2020</w:t>
            </w:r>
          </w:p>
        </w:tc>
        <w:tc>
          <w:tcPr>
            <w:tcW w:w="0" w:type="auto"/>
            <w:vAlign w:val="bottom"/>
            <w:hideMark/>
          </w:tcPr>
          <w:p w14:paraId="4CED9F53"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r>
      <w:tr w:rsidR="002F3D36" w:rsidRPr="002F3D36" w14:paraId="69318342" w14:textId="77777777" w:rsidTr="002F3D36">
        <w:trPr>
          <w:trHeight w:val="180"/>
          <w:tblCellSpacing w:w="15" w:type="dxa"/>
        </w:trPr>
        <w:tc>
          <w:tcPr>
            <w:tcW w:w="0" w:type="auto"/>
            <w:shd w:val="clear" w:color="auto" w:fill="CFF0FC"/>
            <w:hideMark/>
          </w:tcPr>
          <w:p w14:paraId="2B2A329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Net actuarial loss</w:t>
            </w:r>
          </w:p>
        </w:tc>
        <w:tc>
          <w:tcPr>
            <w:tcW w:w="0" w:type="auto"/>
            <w:shd w:val="clear" w:color="auto" w:fill="CFF0FC"/>
            <w:vAlign w:val="bottom"/>
            <w:hideMark/>
          </w:tcPr>
          <w:p w14:paraId="0CE2ACA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6F077E6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0D89248A"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35</w:t>
            </w:r>
          </w:p>
        </w:tc>
        <w:tc>
          <w:tcPr>
            <w:tcW w:w="0" w:type="auto"/>
            <w:shd w:val="clear" w:color="auto" w:fill="CFF0FC"/>
            <w:vAlign w:val="bottom"/>
            <w:hideMark/>
          </w:tcPr>
          <w:p w14:paraId="614B83FE"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29139A8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701B7B5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69588E93"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62</w:t>
            </w:r>
          </w:p>
        </w:tc>
        <w:tc>
          <w:tcPr>
            <w:tcW w:w="0" w:type="auto"/>
            <w:shd w:val="clear" w:color="auto" w:fill="CFF0FC"/>
            <w:vAlign w:val="bottom"/>
            <w:hideMark/>
          </w:tcPr>
          <w:p w14:paraId="05629DE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3350947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355C622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342DA871"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30</w:t>
            </w:r>
          </w:p>
        </w:tc>
        <w:tc>
          <w:tcPr>
            <w:tcW w:w="0" w:type="auto"/>
            <w:shd w:val="clear" w:color="auto" w:fill="CFF0FC"/>
            <w:vAlign w:val="bottom"/>
            <w:hideMark/>
          </w:tcPr>
          <w:p w14:paraId="56A3B4B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6158BD2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245C5D0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0668A3D1"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42</w:t>
            </w:r>
          </w:p>
        </w:tc>
        <w:tc>
          <w:tcPr>
            <w:tcW w:w="0" w:type="auto"/>
            <w:shd w:val="clear" w:color="auto" w:fill="CFF0FC"/>
            <w:vAlign w:val="bottom"/>
            <w:hideMark/>
          </w:tcPr>
          <w:p w14:paraId="7761421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413B10D2" w14:textId="77777777" w:rsidTr="002F3D36">
        <w:trPr>
          <w:trHeight w:val="180"/>
          <w:tblCellSpacing w:w="15" w:type="dxa"/>
        </w:trPr>
        <w:tc>
          <w:tcPr>
            <w:tcW w:w="0" w:type="auto"/>
            <w:hideMark/>
          </w:tcPr>
          <w:p w14:paraId="2B85749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Prior service cost</w:t>
            </w:r>
          </w:p>
        </w:tc>
        <w:tc>
          <w:tcPr>
            <w:tcW w:w="0" w:type="auto"/>
            <w:vAlign w:val="bottom"/>
            <w:hideMark/>
          </w:tcPr>
          <w:p w14:paraId="39D670C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72B0D39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04B301A9"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vAlign w:val="bottom"/>
            <w:hideMark/>
          </w:tcPr>
          <w:p w14:paraId="625358C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3281C6D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37B5622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448308F2"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0</w:t>
            </w:r>
          </w:p>
        </w:tc>
        <w:tc>
          <w:tcPr>
            <w:tcW w:w="0" w:type="auto"/>
            <w:vAlign w:val="bottom"/>
            <w:hideMark/>
          </w:tcPr>
          <w:p w14:paraId="71FB0E2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475A804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75F8E24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680EF6D2"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3</w:t>
            </w:r>
          </w:p>
        </w:tc>
        <w:tc>
          <w:tcPr>
            <w:tcW w:w="0" w:type="auto"/>
            <w:vAlign w:val="bottom"/>
            <w:hideMark/>
          </w:tcPr>
          <w:p w14:paraId="211FB58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5883AA5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4E2AFBE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620F02D8"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4</w:t>
            </w:r>
          </w:p>
        </w:tc>
        <w:tc>
          <w:tcPr>
            <w:tcW w:w="0" w:type="auto"/>
            <w:vAlign w:val="bottom"/>
            <w:hideMark/>
          </w:tcPr>
          <w:p w14:paraId="74ECF33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78BAA558" w14:textId="77777777" w:rsidTr="002F3D36">
        <w:trPr>
          <w:trHeight w:val="180"/>
          <w:tblCellSpacing w:w="15" w:type="dxa"/>
        </w:trPr>
        <w:tc>
          <w:tcPr>
            <w:tcW w:w="0" w:type="auto"/>
            <w:shd w:val="clear" w:color="auto" w:fill="CFF0FC"/>
            <w:hideMark/>
          </w:tcPr>
          <w:p w14:paraId="120116BE"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Total accumulated other comprehensive loss</w:t>
            </w:r>
            <w:r w:rsidRPr="002F3D36">
              <w:rPr>
                <w:rFonts w:ascii="Arial" w:eastAsia="宋体" w:hAnsi="Arial" w:cs="Arial"/>
                <w:b/>
                <w:bCs/>
                <w:color w:val="000000"/>
                <w:kern w:val="0"/>
                <w:sz w:val="18"/>
                <w:szCs w:val="18"/>
              </w:rPr>
              <w:br/>
              <w:t>   recognized in the balance sheet</w:t>
            </w:r>
          </w:p>
        </w:tc>
        <w:tc>
          <w:tcPr>
            <w:tcW w:w="0" w:type="auto"/>
            <w:shd w:val="clear" w:color="auto" w:fill="CFF0FC"/>
            <w:vAlign w:val="bottom"/>
            <w:hideMark/>
          </w:tcPr>
          <w:p w14:paraId="4ED2315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70BAD66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shd w:val="clear" w:color="auto" w:fill="CFF0FC"/>
            <w:vAlign w:val="bottom"/>
            <w:hideMark/>
          </w:tcPr>
          <w:p w14:paraId="4AC00F6D"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35</w:t>
            </w:r>
          </w:p>
        </w:tc>
        <w:tc>
          <w:tcPr>
            <w:tcW w:w="0" w:type="auto"/>
            <w:shd w:val="clear" w:color="auto" w:fill="CFF0FC"/>
            <w:vAlign w:val="bottom"/>
            <w:hideMark/>
          </w:tcPr>
          <w:p w14:paraId="451C928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742F0FC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4C7D15FE"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shd w:val="clear" w:color="auto" w:fill="CFF0FC"/>
            <w:vAlign w:val="bottom"/>
            <w:hideMark/>
          </w:tcPr>
          <w:p w14:paraId="75C17CE0"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62</w:t>
            </w:r>
          </w:p>
        </w:tc>
        <w:tc>
          <w:tcPr>
            <w:tcW w:w="0" w:type="auto"/>
            <w:shd w:val="clear" w:color="auto" w:fill="CFF0FC"/>
            <w:vAlign w:val="bottom"/>
            <w:hideMark/>
          </w:tcPr>
          <w:p w14:paraId="1AE081C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31DF986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69E714A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shd w:val="clear" w:color="auto" w:fill="CFF0FC"/>
            <w:vAlign w:val="bottom"/>
            <w:hideMark/>
          </w:tcPr>
          <w:p w14:paraId="610FB443"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33</w:t>
            </w:r>
          </w:p>
        </w:tc>
        <w:tc>
          <w:tcPr>
            <w:tcW w:w="0" w:type="auto"/>
            <w:shd w:val="clear" w:color="auto" w:fill="CFF0FC"/>
            <w:vAlign w:val="bottom"/>
            <w:hideMark/>
          </w:tcPr>
          <w:p w14:paraId="328362A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756B90B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3A9C326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shd w:val="clear" w:color="auto" w:fill="CFF0FC"/>
            <w:vAlign w:val="bottom"/>
            <w:hideMark/>
          </w:tcPr>
          <w:p w14:paraId="15462C3A"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45</w:t>
            </w:r>
          </w:p>
        </w:tc>
        <w:tc>
          <w:tcPr>
            <w:tcW w:w="0" w:type="auto"/>
            <w:shd w:val="clear" w:color="auto" w:fill="CFF0FC"/>
            <w:vAlign w:val="bottom"/>
            <w:hideMark/>
          </w:tcPr>
          <w:p w14:paraId="401B774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bl>
    <w:p w14:paraId="2B660BAB"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24"/>
          <w:szCs w:val="24"/>
        </w:rPr>
        <w:t> </w:t>
      </w:r>
    </w:p>
    <w:p w14:paraId="04DA6BC7" w14:textId="77777777" w:rsidR="002F3D36" w:rsidRPr="002F3D36" w:rsidRDefault="002F3D36" w:rsidP="002F3D36">
      <w:pPr>
        <w:widowControl/>
        <w:spacing w:before="10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CHANGES IN ACCUMULATED OTHER COMPREHENSIVE LOSS BEFORE TAX FOR THE YEARS ENDED DECEMBER 31</w:t>
      </w:r>
    </w:p>
    <w:p w14:paraId="4A655DCD"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w:t>
      </w:r>
    </w:p>
    <w:tbl>
      <w:tblPr>
        <w:tblW w:w="18553" w:type="dxa"/>
        <w:tblCellSpacing w:w="15" w:type="dxa"/>
        <w:tblCellMar>
          <w:top w:w="15" w:type="dxa"/>
          <w:left w:w="15" w:type="dxa"/>
          <w:bottom w:w="15" w:type="dxa"/>
          <w:right w:w="15" w:type="dxa"/>
        </w:tblCellMar>
        <w:tblLook w:val="04A0" w:firstRow="1" w:lastRow="0" w:firstColumn="1" w:lastColumn="0" w:noHBand="0" w:noVBand="1"/>
      </w:tblPr>
      <w:tblGrid>
        <w:gridCol w:w="8993"/>
        <w:gridCol w:w="231"/>
        <w:gridCol w:w="286"/>
        <w:gridCol w:w="1658"/>
        <w:gridCol w:w="208"/>
        <w:gridCol w:w="234"/>
        <w:gridCol w:w="286"/>
        <w:gridCol w:w="1660"/>
        <w:gridCol w:w="208"/>
        <w:gridCol w:w="234"/>
        <w:gridCol w:w="286"/>
        <w:gridCol w:w="1657"/>
        <w:gridCol w:w="208"/>
        <w:gridCol w:w="234"/>
        <w:gridCol w:w="286"/>
        <w:gridCol w:w="1660"/>
        <w:gridCol w:w="224"/>
      </w:tblGrid>
      <w:tr w:rsidR="002F3D36" w:rsidRPr="002F3D36" w14:paraId="16692597" w14:textId="77777777" w:rsidTr="002F3D36">
        <w:trPr>
          <w:tblCellSpacing w:w="15" w:type="dxa"/>
        </w:trPr>
        <w:tc>
          <w:tcPr>
            <w:tcW w:w="8965" w:type="dxa"/>
            <w:vAlign w:val="center"/>
            <w:hideMark/>
          </w:tcPr>
          <w:p w14:paraId="2DCC5744" w14:textId="77777777" w:rsidR="002F3D36" w:rsidRPr="002F3D36" w:rsidRDefault="002F3D36" w:rsidP="002F3D36">
            <w:pPr>
              <w:widowControl/>
              <w:jc w:val="left"/>
              <w:rPr>
                <w:rFonts w:ascii="Times New Roman" w:eastAsia="宋体" w:hAnsi="Times New Roman" w:cs="Times New Roman"/>
                <w:color w:val="000000"/>
                <w:kern w:val="0"/>
                <w:sz w:val="20"/>
                <w:szCs w:val="20"/>
              </w:rPr>
            </w:pPr>
          </w:p>
        </w:tc>
        <w:tc>
          <w:tcPr>
            <w:tcW w:w="202" w:type="dxa"/>
            <w:vAlign w:val="center"/>
            <w:hideMark/>
          </w:tcPr>
          <w:p w14:paraId="133CA4B9"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56" w:type="dxa"/>
            <w:vAlign w:val="center"/>
            <w:hideMark/>
          </w:tcPr>
          <w:p w14:paraId="1887F898"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631" w:type="dxa"/>
            <w:vAlign w:val="center"/>
            <w:hideMark/>
          </w:tcPr>
          <w:p w14:paraId="33589937"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78" w:type="dxa"/>
            <w:vAlign w:val="center"/>
            <w:hideMark/>
          </w:tcPr>
          <w:p w14:paraId="68FA9D15"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04" w:type="dxa"/>
            <w:vAlign w:val="center"/>
            <w:hideMark/>
          </w:tcPr>
          <w:p w14:paraId="7169211E"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56" w:type="dxa"/>
            <w:vAlign w:val="center"/>
            <w:hideMark/>
          </w:tcPr>
          <w:p w14:paraId="69286AB7"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633" w:type="dxa"/>
            <w:vAlign w:val="center"/>
            <w:hideMark/>
          </w:tcPr>
          <w:p w14:paraId="4E92E132"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78" w:type="dxa"/>
            <w:vAlign w:val="center"/>
            <w:hideMark/>
          </w:tcPr>
          <w:p w14:paraId="73D61886"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04" w:type="dxa"/>
            <w:vAlign w:val="center"/>
            <w:hideMark/>
          </w:tcPr>
          <w:p w14:paraId="7777B2F4"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56" w:type="dxa"/>
            <w:vAlign w:val="center"/>
            <w:hideMark/>
          </w:tcPr>
          <w:p w14:paraId="46193898"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630" w:type="dxa"/>
            <w:vAlign w:val="center"/>
            <w:hideMark/>
          </w:tcPr>
          <w:p w14:paraId="509D0618"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78" w:type="dxa"/>
            <w:vAlign w:val="center"/>
            <w:hideMark/>
          </w:tcPr>
          <w:p w14:paraId="32FFAF9F"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04" w:type="dxa"/>
            <w:vAlign w:val="center"/>
            <w:hideMark/>
          </w:tcPr>
          <w:p w14:paraId="160125A1"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56" w:type="dxa"/>
            <w:vAlign w:val="center"/>
            <w:hideMark/>
          </w:tcPr>
          <w:p w14:paraId="450D542D"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633" w:type="dxa"/>
            <w:vAlign w:val="center"/>
            <w:hideMark/>
          </w:tcPr>
          <w:p w14:paraId="2B630F27"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79" w:type="dxa"/>
            <w:vAlign w:val="center"/>
            <w:hideMark/>
          </w:tcPr>
          <w:p w14:paraId="1249059D" w14:textId="77777777" w:rsidR="002F3D36" w:rsidRPr="002F3D36" w:rsidRDefault="002F3D36" w:rsidP="002F3D36">
            <w:pPr>
              <w:widowControl/>
              <w:jc w:val="left"/>
              <w:rPr>
                <w:rFonts w:ascii="Times New Roman" w:eastAsia="Times New Roman" w:hAnsi="Times New Roman" w:cs="Times New Roman"/>
                <w:kern w:val="0"/>
                <w:sz w:val="20"/>
                <w:szCs w:val="20"/>
              </w:rPr>
            </w:pPr>
          </w:p>
        </w:tc>
      </w:tr>
      <w:tr w:rsidR="002F3D36" w:rsidRPr="002F3D36" w14:paraId="26F13BA9" w14:textId="77777777" w:rsidTr="002F3D36">
        <w:trPr>
          <w:trHeight w:val="160"/>
          <w:tblCellSpacing w:w="15" w:type="dxa"/>
        </w:trPr>
        <w:tc>
          <w:tcPr>
            <w:tcW w:w="0" w:type="auto"/>
            <w:vAlign w:val="bottom"/>
            <w:hideMark/>
          </w:tcPr>
          <w:p w14:paraId="5AD3C541"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vAlign w:val="bottom"/>
            <w:hideMark/>
          </w:tcPr>
          <w:p w14:paraId="09433FAF"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6"/>
            <w:tcBorders>
              <w:bottom w:val="single" w:sz="4" w:space="0" w:color="000000"/>
            </w:tcBorders>
            <w:vAlign w:val="bottom"/>
            <w:hideMark/>
          </w:tcPr>
          <w:p w14:paraId="73EED3B8"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U.S.</w:t>
            </w:r>
          </w:p>
        </w:tc>
        <w:tc>
          <w:tcPr>
            <w:tcW w:w="0" w:type="auto"/>
            <w:vAlign w:val="bottom"/>
            <w:hideMark/>
          </w:tcPr>
          <w:p w14:paraId="2C3D2E0F"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vAlign w:val="bottom"/>
            <w:hideMark/>
          </w:tcPr>
          <w:p w14:paraId="421CC4CC"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6"/>
            <w:tcBorders>
              <w:bottom w:val="single" w:sz="4" w:space="0" w:color="000000"/>
            </w:tcBorders>
            <w:vAlign w:val="bottom"/>
            <w:hideMark/>
          </w:tcPr>
          <w:p w14:paraId="64B6ADA9"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Non-U.S.</w:t>
            </w:r>
          </w:p>
        </w:tc>
        <w:tc>
          <w:tcPr>
            <w:tcW w:w="0" w:type="auto"/>
            <w:vAlign w:val="bottom"/>
            <w:hideMark/>
          </w:tcPr>
          <w:p w14:paraId="4F310748"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r>
      <w:tr w:rsidR="002F3D36" w:rsidRPr="002F3D36" w14:paraId="023C28C3" w14:textId="77777777" w:rsidTr="002F3D36">
        <w:trPr>
          <w:trHeight w:val="160"/>
          <w:tblCellSpacing w:w="15" w:type="dxa"/>
        </w:trPr>
        <w:tc>
          <w:tcPr>
            <w:tcW w:w="0" w:type="auto"/>
            <w:vAlign w:val="bottom"/>
            <w:hideMark/>
          </w:tcPr>
          <w:p w14:paraId="0F8A8875"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color w:val="000000"/>
                <w:kern w:val="0"/>
                <w:sz w:val="16"/>
                <w:szCs w:val="16"/>
                <w:u w:val="single"/>
              </w:rPr>
              <w:t>(Dollars in millions)</w:t>
            </w:r>
          </w:p>
        </w:tc>
        <w:tc>
          <w:tcPr>
            <w:tcW w:w="0" w:type="auto"/>
            <w:vAlign w:val="bottom"/>
            <w:hideMark/>
          </w:tcPr>
          <w:p w14:paraId="50A19D9C"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2"/>
            <w:tcBorders>
              <w:bottom w:val="single" w:sz="4" w:space="0" w:color="000000"/>
            </w:tcBorders>
            <w:vAlign w:val="bottom"/>
            <w:hideMark/>
          </w:tcPr>
          <w:p w14:paraId="632850D9"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2021</w:t>
            </w:r>
          </w:p>
        </w:tc>
        <w:tc>
          <w:tcPr>
            <w:tcW w:w="0" w:type="auto"/>
            <w:vAlign w:val="bottom"/>
            <w:hideMark/>
          </w:tcPr>
          <w:p w14:paraId="1CB2733F"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vAlign w:val="bottom"/>
            <w:hideMark/>
          </w:tcPr>
          <w:p w14:paraId="04FBE645"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2"/>
            <w:tcBorders>
              <w:bottom w:val="single" w:sz="4" w:space="0" w:color="000000"/>
            </w:tcBorders>
            <w:vAlign w:val="bottom"/>
            <w:hideMark/>
          </w:tcPr>
          <w:p w14:paraId="4EBDA940"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2020</w:t>
            </w:r>
          </w:p>
        </w:tc>
        <w:tc>
          <w:tcPr>
            <w:tcW w:w="0" w:type="auto"/>
            <w:vAlign w:val="bottom"/>
            <w:hideMark/>
          </w:tcPr>
          <w:p w14:paraId="5D12E154"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vAlign w:val="bottom"/>
            <w:hideMark/>
          </w:tcPr>
          <w:p w14:paraId="385B2EA1"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2"/>
            <w:tcBorders>
              <w:bottom w:val="single" w:sz="4" w:space="0" w:color="000000"/>
            </w:tcBorders>
            <w:vAlign w:val="bottom"/>
            <w:hideMark/>
          </w:tcPr>
          <w:p w14:paraId="1D18AB89"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2021</w:t>
            </w:r>
          </w:p>
        </w:tc>
        <w:tc>
          <w:tcPr>
            <w:tcW w:w="0" w:type="auto"/>
            <w:vAlign w:val="bottom"/>
            <w:hideMark/>
          </w:tcPr>
          <w:p w14:paraId="56796077"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vAlign w:val="bottom"/>
            <w:hideMark/>
          </w:tcPr>
          <w:p w14:paraId="097689D4"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2"/>
            <w:tcBorders>
              <w:bottom w:val="single" w:sz="4" w:space="0" w:color="000000"/>
            </w:tcBorders>
            <w:vAlign w:val="bottom"/>
            <w:hideMark/>
          </w:tcPr>
          <w:p w14:paraId="23924044"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2020</w:t>
            </w:r>
          </w:p>
        </w:tc>
        <w:tc>
          <w:tcPr>
            <w:tcW w:w="0" w:type="auto"/>
            <w:vAlign w:val="bottom"/>
            <w:hideMark/>
          </w:tcPr>
          <w:p w14:paraId="3CB837A9"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r>
      <w:tr w:rsidR="002F3D36" w:rsidRPr="002F3D36" w14:paraId="3883FA3C" w14:textId="77777777" w:rsidTr="002F3D36">
        <w:trPr>
          <w:trHeight w:val="180"/>
          <w:tblCellSpacing w:w="15" w:type="dxa"/>
        </w:trPr>
        <w:tc>
          <w:tcPr>
            <w:tcW w:w="0" w:type="auto"/>
            <w:shd w:val="clear" w:color="auto" w:fill="CFF0FC"/>
            <w:hideMark/>
          </w:tcPr>
          <w:p w14:paraId="58F4769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lastRenderedPageBreak/>
              <w:t>Total retirement benefit recognized in accumulated</w:t>
            </w:r>
            <w:r w:rsidRPr="002F3D36">
              <w:rPr>
                <w:rFonts w:ascii="Arial" w:eastAsia="宋体" w:hAnsi="Arial" w:cs="Arial"/>
                <w:b/>
                <w:bCs/>
                <w:color w:val="000000"/>
                <w:kern w:val="0"/>
                <w:sz w:val="18"/>
                <w:szCs w:val="18"/>
              </w:rPr>
              <w:br/>
              <w:t>   other comprehensive loss at beginning of year</w:t>
            </w:r>
          </w:p>
        </w:tc>
        <w:tc>
          <w:tcPr>
            <w:tcW w:w="0" w:type="auto"/>
            <w:shd w:val="clear" w:color="auto" w:fill="CFF0FC"/>
            <w:vAlign w:val="bottom"/>
            <w:hideMark/>
          </w:tcPr>
          <w:p w14:paraId="3575553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71532D3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shd w:val="clear" w:color="auto" w:fill="CFF0FC"/>
            <w:vAlign w:val="bottom"/>
            <w:hideMark/>
          </w:tcPr>
          <w:p w14:paraId="1EF9A791"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62</w:t>
            </w:r>
          </w:p>
        </w:tc>
        <w:tc>
          <w:tcPr>
            <w:tcW w:w="0" w:type="auto"/>
            <w:shd w:val="clear" w:color="auto" w:fill="CFF0FC"/>
            <w:vAlign w:val="bottom"/>
            <w:hideMark/>
          </w:tcPr>
          <w:p w14:paraId="6A9E156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4DA8054E"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41E068F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shd w:val="clear" w:color="auto" w:fill="CFF0FC"/>
            <w:vAlign w:val="bottom"/>
            <w:hideMark/>
          </w:tcPr>
          <w:p w14:paraId="59278739"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63</w:t>
            </w:r>
          </w:p>
        </w:tc>
        <w:tc>
          <w:tcPr>
            <w:tcW w:w="0" w:type="auto"/>
            <w:shd w:val="clear" w:color="auto" w:fill="CFF0FC"/>
            <w:vAlign w:val="bottom"/>
            <w:hideMark/>
          </w:tcPr>
          <w:p w14:paraId="5C7B781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07BAD0C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24E8A55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shd w:val="clear" w:color="auto" w:fill="CFF0FC"/>
            <w:vAlign w:val="bottom"/>
            <w:hideMark/>
          </w:tcPr>
          <w:p w14:paraId="0C1B8074"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45</w:t>
            </w:r>
          </w:p>
        </w:tc>
        <w:tc>
          <w:tcPr>
            <w:tcW w:w="0" w:type="auto"/>
            <w:shd w:val="clear" w:color="auto" w:fill="CFF0FC"/>
            <w:vAlign w:val="bottom"/>
            <w:hideMark/>
          </w:tcPr>
          <w:p w14:paraId="161B9C1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3C3ED4F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517C3E8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shd w:val="clear" w:color="auto" w:fill="CFF0FC"/>
            <w:vAlign w:val="bottom"/>
            <w:hideMark/>
          </w:tcPr>
          <w:p w14:paraId="26778920"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51</w:t>
            </w:r>
          </w:p>
        </w:tc>
        <w:tc>
          <w:tcPr>
            <w:tcW w:w="0" w:type="auto"/>
            <w:shd w:val="clear" w:color="auto" w:fill="CFF0FC"/>
            <w:vAlign w:val="bottom"/>
            <w:hideMark/>
          </w:tcPr>
          <w:p w14:paraId="52D4606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38F7ED2F" w14:textId="77777777" w:rsidTr="002F3D36">
        <w:trPr>
          <w:trHeight w:val="180"/>
          <w:tblCellSpacing w:w="15" w:type="dxa"/>
        </w:trPr>
        <w:tc>
          <w:tcPr>
            <w:tcW w:w="0" w:type="auto"/>
            <w:hideMark/>
          </w:tcPr>
          <w:p w14:paraId="3A2391F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Net actuarial loss (gain)</w:t>
            </w:r>
          </w:p>
        </w:tc>
        <w:tc>
          <w:tcPr>
            <w:tcW w:w="0" w:type="auto"/>
            <w:vAlign w:val="bottom"/>
            <w:hideMark/>
          </w:tcPr>
          <w:p w14:paraId="01A34CC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70C45F6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388CE3B6"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(19</w:t>
            </w:r>
          </w:p>
        </w:tc>
        <w:tc>
          <w:tcPr>
            <w:tcW w:w="0" w:type="auto"/>
            <w:vAlign w:val="bottom"/>
            <w:hideMark/>
          </w:tcPr>
          <w:p w14:paraId="100894B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vAlign w:val="bottom"/>
            <w:hideMark/>
          </w:tcPr>
          <w:p w14:paraId="343DCA8E"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41908B8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6145304D"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8</w:t>
            </w:r>
          </w:p>
        </w:tc>
        <w:tc>
          <w:tcPr>
            <w:tcW w:w="0" w:type="auto"/>
            <w:vAlign w:val="bottom"/>
            <w:hideMark/>
          </w:tcPr>
          <w:p w14:paraId="365AE2A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57B5CAA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742B518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3CE3E6D0"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(8</w:t>
            </w:r>
          </w:p>
        </w:tc>
        <w:tc>
          <w:tcPr>
            <w:tcW w:w="0" w:type="auto"/>
            <w:vAlign w:val="bottom"/>
            <w:hideMark/>
          </w:tcPr>
          <w:p w14:paraId="0E1A7EB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vAlign w:val="bottom"/>
            <w:hideMark/>
          </w:tcPr>
          <w:p w14:paraId="297C4BC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207429E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23791CA7"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(5</w:t>
            </w:r>
          </w:p>
        </w:tc>
        <w:tc>
          <w:tcPr>
            <w:tcW w:w="0" w:type="auto"/>
            <w:vAlign w:val="bottom"/>
            <w:hideMark/>
          </w:tcPr>
          <w:p w14:paraId="784CE4F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r>
      <w:tr w:rsidR="002F3D36" w:rsidRPr="002F3D36" w14:paraId="3ABF260E" w14:textId="77777777" w:rsidTr="002F3D36">
        <w:trPr>
          <w:trHeight w:val="180"/>
          <w:tblCellSpacing w:w="15" w:type="dxa"/>
        </w:trPr>
        <w:tc>
          <w:tcPr>
            <w:tcW w:w="0" w:type="auto"/>
            <w:shd w:val="clear" w:color="auto" w:fill="CFF0FC"/>
            <w:hideMark/>
          </w:tcPr>
          <w:p w14:paraId="1A52F2D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Amortization of prior service credit (cost)</w:t>
            </w:r>
          </w:p>
        </w:tc>
        <w:tc>
          <w:tcPr>
            <w:tcW w:w="0" w:type="auto"/>
            <w:shd w:val="clear" w:color="auto" w:fill="CFF0FC"/>
            <w:vAlign w:val="bottom"/>
            <w:hideMark/>
          </w:tcPr>
          <w:p w14:paraId="7B3A5ED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095473C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07EAA33D"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4F851DF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40DC9A6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6A1B2D7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2FAB165A"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0</w:t>
            </w:r>
          </w:p>
        </w:tc>
        <w:tc>
          <w:tcPr>
            <w:tcW w:w="0" w:type="auto"/>
            <w:shd w:val="clear" w:color="auto" w:fill="CFF0FC"/>
            <w:vAlign w:val="bottom"/>
            <w:hideMark/>
          </w:tcPr>
          <w:p w14:paraId="51854D6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01F7C9B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1A02C5D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776C2703"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(0</w:t>
            </w:r>
          </w:p>
        </w:tc>
        <w:tc>
          <w:tcPr>
            <w:tcW w:w="0" w:type="auto"/>
            <w:shd w:val="clear" w:color="auto" w:fill="CFF0FC"/>
            <w:vAlign w:val="bottom"/>
            <w:hideMark/>
          </w:tcPr>
          <w:p w14:paraId="0B219C7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237D781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1F75274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6C6FD016"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(0</w:t>
            </w:r>
          </w:p>
        </w:tc>
        <w:tc>
          <w:tcPr>
            <w:tcW w:w="0" w:type="auto"/>
            <w:shd w:val="clear" w:color="auto" w:fill="CFF0FC"/>
            <w:vAlign w:val="bottom"/>
            <w:hideMark/>
          </w:tcPr>
          <w:p w14:paraId="188ED64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r>
      <w:tr w:rsidR="002F3D36" w:rsidRPr="002F3D36" w14:paraId="75B9CFB2" w14:textId="77777777" w:rsidTr="002F3D36">
        <w:trPr>
          <w:trHeight w:val="180"/>
          <w:tblCellSpacing w:w="15" w:type="dxa"/>
        </w:trPr>
        <w:tc>
          <w:tcPr>
            <w:tcW w:w="0" w:type="auto"/>
            <w:hideMark/>
          </w:tcPr>
          <w:p w14:paraId="5223ACC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Amortization of actuarial loss</w:t>
            </w:r>
          </w:p>
        </w:tc>
        <w:tc>
          <w:tcPr>
            <w:tcW w:w="0" w:type="auto"/>
            <w:vAlign w:val="bottom"/>
            <w:hideMark/>
          </w:tcPr>
          <w:p w14:paraId="3DA7D88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6B2BBB5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07BFE1B0"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(7</w:t>
            </w:r>
          </w:p>
        </w:tc>
        <w:tc>
          <w:tcPr>
            <w:tcW w:w="0" w:type="auto"/>
            <w:vAlign w:val="bottom"/>
            <w:hideMark/>
          </w:tcPr>
          <w:p w14:paraId="6741DD0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vAlign w:val="bottom"/>
            <w:hideMark/>
          </w:tcPr>
          <w:p w14:paraId="64C82E7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6EAAEFB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2EBBBFBD"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(10</w:t>
            </w:r>
          </w:p>
        </w:tc>
        <w:tc>
          <w:tcPr>
            <w:tcW w:w="0" w:type="auto"/>
            <w:vAlign w:val="bottom"/>
            <w:hideMark/>
          </w:tcPr>
          <w:p w14:paraId="73B7713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vAlign w:val="bottom"/>
            <w:hideMark/>
          </w:tcPr>
          <w:p w14:paraId="5F7FA76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3F469CB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12F636ED"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(2</w:t>
            </w:r>
          </w:p>
        </w:tc>
        <w:tc>
          <w:tcPr>
            <w:tcW w:w="0" w:type="auto"/>
            <w:vAlign w:val="bottom"/>
            <w:hideMark/>
          </w:tcPr>
          <w:p w14:paraId="0AA5E8E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vAlign w:val="bottom"/>
            <w:hideMark/>
          </w:tcPr>
          <w:p w14:paraId="19E4D8B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7B5A7C1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595713C9"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(2</w:t>
            </w:r>
          </w:p>
        </w:tc>
        <w:tc>
          <w:tcPr>
            <w:tcW w:w="0" w:type="auto"/>
            <w:vAlign w:val="bottom"/>
            <w:hideMark/>
          </w:tcPr>
          <w:p w14:paraId="7C9EDE0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r>
      <w:tr w:rsidR="002F3D36" w:rsidRPr="002F3D36" w14:paraId="4A6E8460" w14:textId="77777777" w:rsidTr="002F3D36">
        <w:trPr>
          <w:trHeight w:val="180"/>
          <w:tblCellSpacing w:w="15" w:type="dxa"/>
        </w:trPr>
        <w:tc>
          <w:tcPr>
            <w:tcW w:w="0" w:type="auto"/>
            <w:shd w:val="clear" w:color="auto" w:fill="CFF0FC"/>
            <w:hideMark/>
          </w:tcPr>
          <w:p w14:paraId="7461CF6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Translation difference</w:t>
            </w:r>
          </w:p>
        </w:tc>
        <w:tc>
          <w:tcPr>
            <w:tcW w:w="0" w:type="auto"/>
            <w:shd w:val="clear" w:color="auto" w:fill="CFF0FC"/>
            <w:vAlign w:val="bottom"/>
            <w:hideMark/>
          </w:tcPr>
          <w:p w14:paraId="675DB5D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1116182E"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17AA6817"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7F6809D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554EE5A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4ECE3D3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590F7498"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40F8D09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24674E3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2A300BD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10420C1F"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(2</w:t>
            </w:r>
          </w:p>
        </w:tc>
        <w:tc>
          <w:tcPr>
            <w:tcW w:w="0" w:type="auto"/>
            <w:shd w:val="clear" w:color="auto" w:fill="CFF0FC"/>
            <w:vAlign w:val="bottom"/>
            <w:hideMark/>
          </w:tcPr>
          <w:p w14:paraId="50D7C7C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0117A77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03810E8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0915FECD"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2</w:t>
            </w:r>
          </w:p>
        </w:tc>
        <w:tc>
          <w:tcPr>
            <w:tcW w:w="0" w:type="auto"/>
            <w:shd w:val="clear" w:color="auto" w:fill="CFF0FC"/>
            <w:vAlign w:val="bottom"/>
            <w:hideMark/>
          </w:tcPr>
          <w:p w14:paraId="2BDCA33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588585FE" w14:textId="77777777" w:rsidTr="002F3D36">
        <w:trPr>
          <w:trHeight w:val="180"/>
          <w:tblCellSpacing w:w="15" w:type="dxa"/>
        </w:trPr>
        <w:tc>
          <w:tcPr>
            <w:tcW w:w="0" w:type="auto"/>
            <w:hideMark/>
          </w:tcPr>
          <w:p w14:paraId="0CD92B8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Total retirement benefit recognized in accumulated</w:t>
            </w:r>
            <w:r w:rsidRPr="002F3D36">
              <w:rPr>
                <w:rFonts w:ascii="Arial" w:eastAsia="宋体" w:hAnsi="Arial" w:cs="Arial"/>
                <w:b/>
                <w:bCs/>
                <w:color w:val="000000"/>
                <w:kern w:val="0"/>
                <w:sz w:val="18"/>
                <w:szCs w:val="18"/>
              </w:rPr>
              <w:br/>
              <w:t>   other comprehensive loss at end of year</w:t>
            </w:r>
          </w:p>
        </w:tc>
        <w:tc>
          <w:tcPr>
            <w:tcW w:w="0" w:type="auto"/>
            <w:vAlign w:val="bottom"/>
            <w:hideMark/>
          </w:tcPr>
          <w:p w14:paraId="0268571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77E15D1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tcBorders>
              <w:bottom w:val="single" w:sz="4" w:space="0" w:color="000000"/>
            </w:tcBorders>
            <w:vAlign w:val="bottom"/>
            <w:hideMark/>
          </w:tcPr>
          <w:p w14:paraId="1BBD8930"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35</w:t>
            </w:r>
          </w:p>
        </w:tc>
        <w:tc>
          <w:tcPr>
            <w:tcW w:w="0" w:type="auto"/>
            <w:vAlign w:val="bottom"/>
            <w:hideMark/>
          </w:tcPr>
          <w:p w14:paraId="5144BFA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5578E22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1989ABE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tcBorders>
              <w:bottom w:val="single" w:sz="4" w:space="0" w:color="000000"/>
            </w:tcBorders>
            <w:vAlign w:val="bottom"/>
            <w:hideMark/>
          </w:tcPr>
          <w:p w14:paraId="519437F9"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62</w:t>
            </w:r>
          </w:p>
        </w:tc>
        <w:tc>
          <w:tcPr>
            <w:tcW w:w="0" w:type="auto"/>
            <w:vAlign w:val="bottom"/>
            <w:hideMark/>
          </w:tcPr>
          <w:p w14:paraId="3E3425B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7198E58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11A96CE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tcBorders>
              <w:bottom w:val="single" w:sz="4" w:space="0" w:color="000000"/>
            </w:tcBorders>
            <w:vAlign w:val="bottom"/>
            <w:hideMark/>
          </w:tcPr>
          <w:p w14:paraId="2BC33761"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33</w:t>
            </w:r>
          </w:p>
        </w:tc>
        <w:tc>
          <w:tcPr>
            <w:tcW w:w="0" w:type="auto"/>
            <w:vAlign w:val="bottom"/>
            <w:hideMark/>
          </w:tcPr>
          <w:p w14:paraId="7B3041D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055A47B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737D3DDE"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tcBorders>
              <w:bottom w:val="single" w:sz="4" w:space="0" w:color="000000"/>
            </w:tcBorders>
            <w:vAlign w:val="bottom"/>
            <w:hideMark/>
          </w:tcPr>
          <w:p w14:paraId="26BB756C"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45</w:t>
            </w:r>
          </w:p>
        </w:tc>
        <w:tc>
          <w:tcPr>
            <w:tcW w:w="0" w:type="auto"/>
            <w:vAlign w:val="bottom"/>
            <w:hideMark/>
          </w:tcPr>
          <w:p w14:paraId="009468C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bl>
    <w:p w14:paraId="15725557"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24"/>
          <w:szCs w:val="24"/>
        </w:rPr>
        <w:t> </w:t>
      </w:r>
    </w:p>
    <w:p w14:paraId="5E40B768"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The accumulated benefit obligation for the U.S. non-contributory defined benefit pension plans was $381 million and $419 million at December 31, 2021 and 2020, respectively. The accumulated benefit obligation for the non-U.S. defined benefit pension plans was $223 million and $237 million at December 31, 2021 and 2020, respectively.</w:t>
      </w:r>
    </w:p>
    <w:p w14:paraId="73C8F196"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Pension plans for which the accumulated benefit obligation (ABO) is notably in excess of the plan assets reside in the following countries: U.S., Mexico, France, Germany, Japan, South Korea, Sweden, Thailand and Turkey.</w:t>
      </w:r>
    </w:p>
    <w:p w14:paraId="7EE8FB67" w14:textId="77777777" w:rsidR="002F3D36" w:rsidRPr="002F3D36" w:rsidRDefault="002F3D36" w:rsidP="002F3D36">
      <w:pPr>
        <w:widowControl/>
        <w:spacing w:before="240"/>
        <w:jc w:val="center"/>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84</w:t>
      </w:r>
    </w:p>
    <w:p w14:paraId="4B019E9F" w14:textId="77777777" w:rsidR="002F3D36" w:rsidRPr="002F3D36" w:rsidRDefault="002F3D36" w:rsidP="002F3D36">
      <w:pPr>
        <w:widowControl/>
        <w:jc w:val="left"/>
        <w:rPr>
          <w:rFonts w:ascii="Arial" w:eastAsia="宋体" w:hAnsi="Arial" w:cs="Arial"/>
          <w:color w:val="000000"/>
          <w:kern w:val="0"/>
          <w:sz w:val="24"/>
          <w:szCs w:val="24"/>
        </w:rPr>
      </w:pPr>
      <w:r w:rsidRPr="002F3D36">
        <w:rPr>
          <w:rFonts w:ascii="Arial" w:eastAsia="宋体" w:hAnsi="Arial" w:cs="Arial"/>
          <w:color w:val="000000"/>
          <w:kern w:val="0"/>
          <w:sz w:val="24"/>
          <w:szCs w:val="24"/>
        </w:rPr>
        <w:pict w14:anchorId="57666E9B">
          <v:rect id="_x0000_i1111" style="width:0;height:1.5pt" o:hralign="center" o:hrstd="t" o:hr="t" fillcolor="#a0a0a0" stroked="f"/>
        </w:pict>
      </w:r>
    </w:p>
    <w:p w14:paraId="182F0B83" w14:textId="77777777" w:rsidR="002F3D36" w:rsidRPr="002F3D36" w:rsidRDefault="002F3D36" w:rsidP="002F3D36">
      <w:pPr>
        <w:widowControl/>
        <w:spacing w:line="20" w:lineRule="atLeast"/>
        <w:jc w:val="left"/>
        <w:rPr>
          <w:rFonts w:ascii="Times New Roman" w:eastAsia="宋体" w:hAnsi="Times New Roman" w:cs="Times New Roman"/>
          <w:color w:val="000000"/>
          <w:kern w:val="0"/>
          <w:sz w:val="20"/>
          <w:szCs w:val="20"/>
        </w:rPr>
      </w:pPr>
      <w:r w:rsidRPr="002F3D36">
        <w:rPr>
          <w:rFonts w:ascii="Arial" w:eastAsia="宋体" w:hAnsi="Arial" w:cs="Arial"/>
          <w:color w:val="000000"/>
          <w:kern w:val="0"/>
          <w:sz w:val="2"/>
          <w:szCs w:val="2"/>
        </w:rPr>
        <w:t> </w:t>
      </w:r>
    </w:p>
    <w:p w14:paraId="5FD95A95"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PENSION PLANS FOR WHICH ABO EXCEEDS THE FAIR VALUE OF PLAN ASSETS AS OF DECEMBER 31</w:t>
      </w:r>
    </w:p>
    <w:p w14:paraId="3074F699"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w:t>
      </w:r>
    </w:p>
    <w:tbl>
      <w:tblPr>
        <w:tblW w:w="18553" w:type="dxa"/>
        <w:tblCellSpacing w:w="15" w:type="dxa"/>
        <w:tblCellMar>
          <w:top w:w="15" w:type="dxa"/>
          <w:left w:w="15" w:type="dxa"/>
          <w:bottom w:w="15" w:type="dxa"/>
          <w:right w:w="15" w:type="dxa"/>
        </w:tblCellMar>
        <w:tblLook w:val="04A0" w:firstRow="1" w:lastRow="0" w:firstColumn="1" w:lastColumn="0" w:noHBand="0" w:noVBand="1"/>
      </w:tblPr>
      <w:tblGrid>
        <w:gridCol w:w="9168"/>
        <w:gridCol w:w="247"/>
        <w:gridCol w:w="287"/>
        <w:gridCol w:w="1804"/>
        <w:gridCol w:w="145"/>
        <w:gridCol w:w="287"/>
        <w:gridCol w:w="1804"/>
        <w:gridCol w:w="145"/>
        <w:gridCol w:w="248"/>
        <w:gridCol w:w="287"/>
        <w:gridCol w:w="1734"/>
        <w:gridCol w:w="145"/>
        <w:gridCol w:w="287"/>
        <w:gridCol w:w="1804"/>
        <w:gridCol w:w="161"/>
      </w:tblGrid>
      <w:tr w:rsidR="002F3D36" w:rsidRPr="002F3D36" w14:paraId="6E66C0B8" w14:textId="77777777" w:rsidTr="002F3D36">
        <w:trPr>
          <w:tblCellSpacing w:w="15" w:type="dxa"/>
        </w:trPr>
        <w:tc>
          <w:tcPr>
            <w:tcW w:w="9141" w:type="dxa"/>
            <w:vAlign w:val="center"/>
            <w:hideMark/>
          </w:tcPr>
          <w:p w14:paraId="122517B6" w14:textId="77777777" w:rsidR="002F3D36" w:rsidRPr="002F3D36" w:rsidRDefault="002F3D36" w:rsidP="002F3D36">
            <w:pPr>
              <w:widowControl/>
              <w:jc w:val="left"/>
              <w:rPr>
                <w:rFonts w:ascii="Times New Roman" w:eastAsia="宋体" w:hAnsi="Times New Roman" w:cs="Times New Roman"/>
                <w:color w:val="000000"/>
                <w:kern w:val="0"/>
                <w:sz w:val="20"/>
                <w:szCs w:val="20"/>
              </w:rPr>
            </w:pPr>
          </w:p>
        </w:tc>
        <w:tc>
          <w:tcPr>
            <w:tcW w:w="218" w:type="dxa"/>
            <w:vAlign w:val="center"/>
            <w:hideMark/>
          </w:tcPr>
          <w:p w14:paraId="340B6993"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57" w:type="dxa"/>
            <w:vAlign w:val="center"/>
            <w:hideMark/>
          </w:tcPr>
          <w:p w14:paraId="34DDF8AE"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777" w:type="dxa"/>
            <w:vAlign w:val="center"/>
            <w:hideMark/>
          </w:tcPr>
          <w:p w14:paraId="429A019A"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15" w:type="dxa"/>
            <w:vAlign w:val="center"/>
            <w:hideMark/>
          </w:tcPr>
          <w:p w14:paraId="293C5B58"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57" w:type="dxa"/>
            <w:vAlign w:val="center"/>
            <w:hideMark/>
          </w:tcPr>
          <w:p w14:paraId="0B89161D"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777" w:type="dxa"/>
            <w:vAlign w:val="center"/>
            <w:hideMark/>
          </w:tcPr>
          <w:p w14:paraId="25221387"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15" w:type="dxa"/>
            <w:vAlign w:val="center"/>
            <w:hideMark/>
          </w:tcPr>
          <w:p w14:paraId="2753F657"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18" w:type="dxa"/>
            <w:vAlign w:val="center"/>
            <w:hideMark/>
          </w:tcPr>
          <w:p w14:paraId="5B1E2858"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57" w:type="dxa"/>
            <w:vAlign w:val="center"/>
            <w:hideMark/>
          </w:tcPr>
          <w:p w14:paraId="2EFE8F69"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707" w:type="dxa"/>
            <w:vAlign w:val="center"/>
            <w:hideMark/>
          </w:tcPr>
          <w:p w14:paraId="76D08802"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15" w:type="dxa"/>
            <w:vAlign w:val="center"/>
            <w:hideMark/>
          </w:tcPr>
          <w:p w14:paraId="38FE9EE7"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57" w:type="dxa"/>
            <w:vAlign w:val="center"/>
            <w:hideMark/>
          </w:tcPr>
          <w:p w14:paraId="1B22C63B"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777" w:type="dxa"/>
            <w:vAlign w:val="center"/>
            <w:hideMark/>
          </w:tcPr>
          <w:p w14:paraId="201B95C2"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16" w:type="dxa"/>
            <w:vAlign w:val="center"/>
            <w:hideMark/>
          </w:tcPr>
          <w:p w14:paraId="5D4D0286" w14:textId="77777777" w:rsidR="002F3D36" w:rsidRPr="002F3D36" w:rsidRDefault="002F3D36" w:rsidP="002F3D36">
            <w:pPr>
              <w:widowControl/>
              <w:jc w:val="left"/>
              <w:rPr>
                <w:rFonts w:ascii="Times New Roman" w:eastAsia="Times New Roman" w:hAnsi="Times New Roman" w:cs="Times New Roman"/>
                <w:kern w:val="0"/>
                <w:sz w:val="20"/>
                <w:szCs w:val="20"/>
              </w:rPr>
            </w:pPr>
          </w:p>
        </w:tc>
      </w:tr>
      <w:tr w:rsidR="002F3D36" w:rsidRPr="002F3D36" w14:paraId="2CB8EBD4" w14:textId="77777777" w:rsidTr="002F3D36">
        <w:trPr>
          <w:trHeight w:val="160"/>
          <w:tblCellSpacing w:w="15" w:type="dxa"/>
        </w:trPr>
        <w:tc>
          <w:tcPr>
            <w:tcW w:w="0" w:type="auto"/>
            <w:vAlign w:val="bottom"/>
            <w:hideMark/>
          </w:tcPr>
          <w:p w14:paraId="76FC3E37"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vAlign w:val="bottom"/>
            <w:hideMark/>
          </w:tcPr>
          <w:p w14:paraId="45EBA90F"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5"/>
            <w:tcBorders>
              <w:bottom w:val="single" w:sz="4" w:space="0" w:color="000000"/>
            </w:tcBorders>
            <w:vAlign w:val="bottom"/>
            <w:hideMark/>
          </w:tcPr>
          <w:p w14:paraId="7CC17FA2"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U.S.</w:t>
            </w:r>
          </w:p>
        </w:tc>
        <w:tc>
          <w:tcPr>
            <w:tcW w:w="0" w:type="auto"/>
            <w:vAlign w:val="bottom"/>
            <w:hideMark/>
          </w:tcPr>
          <w:p w14:paraId="264A6C3B"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vAlign w:val="bottom"/>
            <w:hideMark/>
          </w:tcPr>
          <w:p w14:paraId="1026C903"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5"/>
            <w:tcBorders>
              <w:bottom w:val="single" w:sz="4" w:space="0" w:color="000000"/>
            </w:tcBorders>
            <w:vAlign w:val="bottom"/>
            <w:hideMark/>
          </w:tcPr>
          <w:p w14:paraId="3AFA26B2"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Non-U.S.</w:t>
            </w:r>
          </w:p>
        </w:tc>
        <w:tc>
          <w:tcPr>
            <w:tcW w:w="0" w:type="auto"/>
            <w:vAlign w:val="bottom"/>
            <w:hideMark/>
          </w:tcPr>
          <w:p w14:paraId="29AB53C1"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r>
      <w:tr w:rsidR="002F3D36" w:rsidRPr="002F3D36" w14:paraId="3D1DFEE6" w14:textId="77777777" w:rsidTr="002F3D36">
        <w:trPr>
          <w:trHeight w:val="160"/>
          <w:tblCellSpacing w:w="15" w:type="dxa"/>
        </w:trPr>
        <w:tc>
          <w:tcPr>
            <w:tcW w:w="0" w:type="auto"/>
            <w:vAlign w:val="bottom"/>
            <w:hideMark/>
          </w:tcPr>
          <w:p w14:paraId="4D3C0040"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color w:val="000000"/>
                <w:kern w:val="0"/>
                <w:sz w:val="16"/>
                <w:szCs w:val="16"/>
              </w:rPr>
              <w:t>(Dollars in millions)</w:t>
            </w:r>
          </w:p>
        </w:tc>
        <w:tc>
          <w:tcPr>
            <w:tcW w:w="0" w:type="auto"/>
            <w:vAlign w:val="bottom"/>
            <w:hideMark/>
          </w:tcPr>
          <w:p w14:paraId="11E28818"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2"/>
            <w:tcBorders>
              <w:bottom w:val="single" w:sz="4" w:space="0" w:color="000000"/>
            </w:tcBorders>
            <w:vAlign w:val="bottom"/>
            <w:hideMark/>
          </w:tcPr>
          <w:p w14:paraId="3A8BC953"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2021</w:t>
            </w:r>
          </w:p>
        </w:tc>
        <w:tc>
          <w:tcPr>
            <w:tcW w:w="0" w:type="auto"/>
            <w:vAlign w:val="bottom"/>
            <w:hideMark/>
          </w:tcPr>
          <w:p w14:paraId="1FB74F5E"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2"/>
            <w:tcBorders>
              <w:bottom w:val="single" w:sz="4" w:space="0" w:color="000000"/>
            </w:tcBorders>
            <w:vAlign w:val="bottom"/>
            <w:hideMark/>
          </w:tcPr>
          <w:p w14:paraId="566C974C"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2020</w:t>
            </w:r>
          </w:p>
        </w:tc>
        <w:tc>
          <w:tcPr>
            <w:tcW w:w="0" w:type="auto"/>
            <w:vAlign w:val="bottom"/>
            <w:hideMark/>
          </w:tcPr>
          <w:p w14:paraId="1EF529C2"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vAlign w:val="bottom"/>
            <w:hideMark/>
          </w:tcPr>
          <w:p w14:paraId="3E4FC793"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2"/>
            <w:tcBorders>
              <w:bottom w:val="single" w:sz="4" w:space="0" w:color="000000"/>
            </w:tcBorders>
            <w:vAlign w:val="bottom"/>
            <w:hideMark/>
          </w:tcPr>
          <w:p w14:paraId="15A832EA"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2021</w:t>
            </w:r>
          </w:p>
        </w:tc>
        <w:tc>
          <w:tcPr>
            <w:tcW w:w="0" w:type="auto"/>
            <w:vAlign w:val="bottom"/>
            <w:hideMark/>
          </w:tcPr>
          <w:p w14:paraId="70B5ECAF"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2"/>
            <w:tcBorders>
              <w:bottom w:val="single" w:sz="4" w:space="0" w:color="000000"/>
            </w:tcBorders>
            <w:vAlign w:val="bottom"/>
            <w:hideMark/>
          </w:tcPr>
          <w:p w14:paraId="0E45DFD3"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2020</w:t>
            </w:r>
          </w:p>
        </w:tc>
        <w:tc>
          <w:tcPr>
            <w:tcW w:w="0" w:type="auto"/>
            <w:vAlign w:val="bottom"/>
            <w:hideMark/>
          </w:tcPr>
          <w:p w14:paraId="29A86B02"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r>
      <w:tr w:rsidR="002F3D36" w:rsidRPr="002F3D36" w14:paraId="0638F19E" w14:textId="77777777" w:rsidTr="002F3D36">
        <w:trPr>
          <w:trHeight w:val="180"/>
          <w:tblCellSpacing w:w="15" w:type="dxa"/>
        </w:trPr>
        <w:tc>
          <w:tcPr>
            <w:tcW w:w="0" w:type="auto"/>
            <w:shd w:val="clear" w:color="auto" w:fill="CFF0FC"/>
            <w:hideMark/>
          </w:tcPr>
          <w:p w14:paraId="42C888D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Projected Benefit Obligation (PBO)</w:t>
            </w:r>
          </w:p>
        </w:tc>
        <w:tc>
          <w:tcPr>
            <w:tcW w:w="0" w:type="auto"/>
            <w:shd w:val="clear" w:color="auto" w:fill="CFF0FC"/>
            <w:vAlign w:val="bottom"/>
            <w:hideMark/>
          </w:tcPr>
          <w:p w14:paraId="22372874"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3917BD6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5EC9513C"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381</w:t>
            </w:r>
          </w:p>
        </w:tc>
        <w:tc>
          <w:tcPr>
            <w:tcW w:w="0" w:type="auto"/>
            <w:shd w:val="clear" w:color="auto" w:fill="CFF0FC"/>
            <w:vAlign w:val="bottom"/>
            <w:hideMark/>
          </w:tcPr>
          <w:p w14:paraId="6C3E559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2E6595A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0A2B4326"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426</w:t>
            </w:r>
          </w:p>
        </w:tc>
        <w:tc>
          <w:tcPr>
            <w:tcW w:w="0" w:type="auto"/>
            <w:shd w:val="clear" w:color="auto" w:fill="CFF0FC"/>
            <w:vAlign w:val="bottom"/>
            <w:hideMark/>
          </w:tcPr>
          <w:p w14:paraId="38BBB89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14A60E2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417A44C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0AACCF13"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164</w:t>
            </w:r>
          </w:p>
        </w:tc>
        <w:tc>
          <w:tcPr>
            <w:tcW w:w="0" w:type="auto"/>
            <w:shd w:val="clear" w:color="auto" w:fill="CFF0FC"/>
            <w:vAlign w:val="bottom"/>
            <w:hideMark/>
          </w:tcPr>
          <w:p w14:paraId="2290C46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26CB553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619223B5"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179</w:t>
            </w:r>
          </w:p>
        </w:tc>
        <w:tc>
          <w:tcPr>
            <w:tcW w:w="0" w:type="auto"/>
            <w:shd w:val="clear" w:color="auto" w:fill="CFF0FC"/>
            <w:vAlign w:val="bottom"/>
            <w:hideMark/>
          </w:tcPr>
          <w:p w14:paraId="3E70BE1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2404FEC0" w14:textId="77777777" w:rsidTr="002F3D36">
        <w:trPr>
          <w:trHeight w:val="180"/>
          <w:tblCellSpacing w:w="15" w:type="dxa"/>
        </w:trPr>
        <w:tc>
          <w:tcPr>
            <w:tcW w:w="0" w:type="auto"/>
            <w:hideMark/>
          </w:tcPr>
          <w:p w14:paraId="5199E08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Accumulated Benefit Obligation (ABO)</w:t>
            </w:r>
          </w:p>
        </w:tc>
        <w:tc>
          <w:tcPr>
            <w:tcW w:w="0" w:type="auto"/>
            <w:vAlign w:val="bottom"/>
            <w:hideMark/>
          </w:tcPr>
          <w:p w14:paraId="1747D312"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3979113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74961CE1"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381</w:t>
            </w:r>
          </w:p>
        </w:tc>
        <w:tc>
          <w:tcPr>
            <w:tcW w:w="0" w:type="auto"/>
            <w:vAlign w:val="bottom"/>
            <w:hideMark/>
          </w:tcPr>
          <w:p w14:paraId="3DDEE2E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2AB3281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36168780"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419</w:t>
            </w:r>
          </w:p>
        </w:tc>
        <w:tc>
          <w:tcPr>
            <w:tcW w:w="0" w:type="auto"/>
            <w:vAlign w:val="bottom"/>
            <w:hideMark/>
          </w:tcPr>
          <w:p w14:paraId="1958FE5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0622E67E"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03F125C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5543DB86"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132</w:t>
            </w:r>
          </w:p>
        </w:tc>
        <w:tc>
          <w:tcPr>
            <w:tcW w:w="0" w:type="auto"/>
            <w:vAlign w:val="bottom"/>
            <w:hideMark/>
          </w:tcPr>
          <w:p w14:paraId="27498A6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4B4F92BE"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46BD707E"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143</w:t>
            </w:r>
          </w:p>
        </w:tc>
        <w:tc>
          <w:tcPr>
            <w:tcW w:w="0" w:type="auto"/>
            <w:vAlign w:val="bottom"/>
            <w:hideMark/>
          </w:tcPr>
          <w:p w14:paraId="6C917A1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4C5C1C02" w14:textId="77777777" w:rsidTr="002F3D36">
        <w:trPr>
          <w:trHeight w:val="180"/>
          <w:tblCellSpacing w:w="15" w:type="dxa"/>
        </w:trPr>
        <w:tc>
          <w:tcPr>
            <w:tcW w:w="0" w:type="auto"/>
            <w:shd w:val="clear" w:color="auto" w:fill="CFF0FC"/>
            <w:hideMark/>
          </w:tcPr>
          <w:p w14:paraId="6EADC91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Fair value of plan assets</w:t>
            </w:r>
          </w:p>
        </w:tc>
        <w:tc>
          <w:tcPr>
            <w:tcW w:w="0" w:type="auto"/>
            <w:shd w:val="clear" w:color="auto" w:fill="CFF0FC"/>
            <w:vAlign w:val="bottom"/>
            <w:hideMark/>
          </w:tcPr>
          <w:p w14:paraId="1C0954AC"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2D021D2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4524623D"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343</w:t>
            </w:r>
          </w:p>
        </w:tc>
        <w:tc>
          <w:tcPr>
            <w:tcW w:w="0" w:type="auto"/>
            <w:shd w:val="clear" w:color="auto" w:fill="CFF0FC"/>
            <w:vAlign w:val="bottom"/>
            <w:hideMark/>
          </w:tcPr>
          <w:p w14:paraId="1FD9A38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7B63B5C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3B409809"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355</w:t>
            </w:r>
          </w:p>
        </w:tc>
        <w:tc>
          <w:tcPr>
            <w:tcW w:w="0" w:type="auto"/>
            <w:shd w:val="clear" w:color="auto" w:fill="CFF0FC"/>
            <w:vAlign w:val="bottom"/>
            <w:hideMark/>
          </w:tcPr>
          <w:p w14:paraId="381572E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29E5D56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7138567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195AC83D"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4</w:t>
            </w:r>
          </w:p>
        </w:tc>
        <w:tc>
          <w:tcPr>
            <w:tcW w:w="0" w:type="auto"/>
            <w:shd w:val="clear" w:color="auto" w:fill="CFF0FC"/>
            <w:vAlign w:val="bottom"/>
            <w:hideMark/>
          </w:tcPr>
          <w:p w14:paraId="4AC082E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566BDC3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02EB4E0C"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4</w:t>
            </w:r>
          </w:p>
        </w:tc>
        <w:tc>
          <w:tcPr>
            <w:tcW w:w="0" w:type="auto"/>
            <w:shd w:val="clear" w:color="auto" w:fill="CFF0FC"/>
            <w:vAlign w:val="bottom"/>
            <w:hideMark/>
          </w:tcPr>
          <w:p w14:paraId="181DDAB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bl>
    <w:p w14:paraId="04AB69CC"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24"/>
          <w:szCs w:val="24"/>
        </w:rPr>
        <w:t> </w:t>
      </w:r>
    </w:p>
    <w:p w14:paraId="3F066E42"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The Company, in consultation with its actuarial advisors, determines certain key assumptions to be used in calculating the projected benefit obligation and annual net periodic benefit cost.</w:t>
      </w:r>
    </w:p>
    <w:p w14:paraId="74C0A7D3"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ASSUMPTIONS USED TO DETERMINE THE BENEFIT OBLIGATIONS AS OF DECEMBER 31</w:t>
      </w:r>
    </w:p>
    <w:p w14:paraId="1DF33F4B"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w:t>
      </w:r>
    </w:p>
    <w:tbl>
      <w:tblPr>
        <w:tblW w:w="18553" w:type="dxa"/>
        <w:tblCellSpacing w:w="15" w:type="dxa"/>
        <w:tblCellMar>
          <w:top w:w="15" w:type="dxa"/>
          <w:left w:w="15" w:type="dxa"/>
          <w:bottom w:w="15" w:type="dxa"/>
          <w:right w:w="15" w:type="dxa"/>
        </w:tblCellMar>
        <w:tblLook w:val="04A0" w:firstRow="1" w:lastRow="0" w:firstColumn="1" w:lastColumn="0" w:noHBand="0" w:noVBand="1"/>
      </w:tblPr>
      <w:tblGrid>
        <w:gridCol w:w="9125"/>
        <w:gridCol w:w="246"/>
        <w:gridCol w:w="207"/>
        <w:gridCol w:w="1720"/>
        <w:gridCol w:w="207"/>
        <w:gridCol w:w="247"/>
        <w:gridCol w:w="207"/>
        <w:gridCol w:w="1726"/>
        <w:gridCol w:w="207"/>
        <w:gridCol w:w="247"/>
        <w:gridCol w:w="2073"/>
        <w:gridCol w:w="247"/>
        <w:gridCol w:w="2094"/>
      </w:tblGrid>
      <w:tr w:rsidR="002F3D36" w:rsidRPr="002F3D36" w14:paraId="239F9BDD" w14:textId="77777777" w:rsidTr="002F3D36">
        <w:trPr>
          <w:tblCellSpacing w:w="15" w:type="dxa"/>
        </w:trPr>
        <w:tc>
          <w:tcPr>
            <w:tcW w:w="9098" w:type="dxa"/>
            <w:vAlign w:val="center"/>
            <w:hideMark/>
          </w:tcPr>
          <w:p w14:paraId="17CFDA9E" w14:textId="77777777" w:rsidR="002F3D36" w:rsidRPr="002F3D36" w:rsidRDefault="002F3D36" w:rsidP="002F3D36">
            <w:pPr>
              <w:widowControl/>
              <w:jc w:val="left"/>
              <w:rPr>
                <w:rFonts w:ascii="Times New Roman" w:eastAsia="宋体" w:hAnsi="Times New Roman" w:cs="Times New Roman"/>
                <w:color w:val="000000"/>
                <w:kern w:val="0"/>
                <w:sz w:val="20"/>
                <w:szCs w:val="20"/>
              </w:rPr>
            </w:pPr>
          </w:p>
        </w:tc>
        <w:tc>
          <w:tcPr>
            <w:tcW w:w="217" w:type="dxa"/>
            <w:vAlign w:val="center"/>
            <w:hideMark/>
          </w:tcPr>
          <w:p w14:paraId="1C02A5FC"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77" w:type="dxa"/>
            <w:vAlign w:val="center"/>
            <w:hideMark/>
          </w:tcPr>
          <w:p w14:paraId="2CA66C12"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693" w:type="dxa"/>
            <w:vAlign w:val="center"/>
            <w:hideMark/>
          </w:tcPr>
          <w:p w14:paraId="078CB8DF"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77" w:type="dxa"/>
            <w:vAlign w:val="center"/>
            <w:hideMark/>
          </w:tcPr>
          <w:p w14:paraId="3C9CFDAE"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17" w:type="dxa"/>
            <w:vAlign w:val="center"/>
            <w:hideMark/>
          </w:tcPr>
          <w:p w14:paraId="6DBCDEAA"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77" w:type="dxa"/>
            <w:vAlign w:val="center"/>
            <w:hideMark/>
          </w:tcPr>
          <w:p w14:paraId="01B71387"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699" w:type="dxa"/>
            <w:vAlign w:val="center"/>
            <w:hideMark/>
          </w:tcPr>
          <w:p w14:paraId="6774C794"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77" w:type="dxa"/>
            <w:vAlign w:val="center"/>
            <w:hideMark/>
          </w:tcPr>
          <w:p w14:paraId="0619790D"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17" w:type="dxa"/>
            <w:vAlign w:val="center"/>
            <w:hideMark/>
          </w:tcPr>
          <w:p w14:paraId="1A458AA4"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046" w:type="dxa"/>
            <w:vAlign w:val="center"/>
            <w:hideMark/>
          </w:tcPr>
          <w:p w14:paraId="78E481C7"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17" w:type="dxa"/>
            <w:vAlign w:val="center"/>
            <w:hideMark/>
          </w:tcPr>
          <w:p w14:paraId="7153A514"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052" w:type="dxa"/>
            <w:vAlign w:val="center"/>
            <w:hideMark/>
          </w:tcPr>
          <w:p w14:paraId="30F0DEC9" w14:textId="77777777" w:rsidR="002F3D36" w:rsidRPr="002F3D36" w:rsidRDefault="002F3D36" w:rsidP="002F3D36">
            <w:pPr>
              <w:widowControl/>
              <w:jc w:val="left"/>
              <w:rPr>
                <w:rFonts w:ascii="Times New Roman" w:eastAsia="Times New Roman" w:hAnsi="Times New Roman" w:cs="Times New Roman"/>
                <w:kern w:val="0"/>
                <w:sz w:val="20"/>
                <w:szCs w:val="20"/>
              </w:rPr>
            </w:pPr>
          </w:p>
        </w:tc>
      </w:tr>
      <w:tr w:rsidR="002F3D36" w:rsidRPr="002F3D36" w14:paraId="65E17E6B" w14:textId="77777777" w:rsidTr="002F3D36">
        <w:trPr>
          <w:trHeight w:val="160"/>
          <w:tblCellSpacing w:w="15" w:type="dxa"/>
        </w:trPr>
        <w:tc>
          <w:tcPr>
            <w:tcW w:w="0" w:type="auto"/>
            <w:vAlign w:val="bottom"/>
            <w:hideMark/>
          </w:tcPr>
          <w:p w14:paraId="3D2B34C4"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vAlign w:val="bottom"/>
            <w:hideMark/>
          </w:tcPr>
          <w:p w14:paraId="3D9427FB"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6"/>
            <w:tcBorders>
              <w:bottom w:val="single" w:sz="4" w:space="0" w:color="000000"/>
            </w:tcBorders>
            <w:vAlign w:val="bottom"/>
            <w:hideMark/>
          </w:tcPr>
          <w:p w14:paraId="77CEADC9"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U.S.</w:t>
            </w:r>
          </w:p>
        </w:tc>
        <w:tc>
          <w:tcPr>
            <w:tcW w:w="0" w:type="auto"/>
            <w:vAlign w:val="bottom"/>
            <w:hideMark/>
          </w:tcPr>
          <w:p w14:paraId="4EEDDD8C"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vAlign w:val="bottom"/>
            <w:hideMark/>
          </w:tcPr>
          <w:p w14:paraId="1659227F"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3"/>
            <w:tcBorders>
              <w:bottom w:val="single" w:sz="4" w:space="0" w:color="000000"/>
            </w:tcBorders>
            <w:vAlign w:val="bottom"/>
            <w:hideMark/>
          </w:tcPr>
          <w:p w14:paraId="748D256B"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Non-U.S.</w:t>
            </w:r>
            <w:r w:rsidRPr="002F3D36">
              <w:rPr>
                <w:rFonts w:ascii="Arial" w:eastAsia="宋体" w:hAnsi="Arial" w:cs="Arial"/>
                <w:b/>
                <w:bCs/>
                <w:color w:val="000000"/>
                <w:kern w:val="0"/>
                <w:sz w:val="11"/>
                <w:szCs w:val="11"/>
              </w:rPr>
              <w:t>1)</w:t>
            </w:r>
          </w:p>
        </w:tc>
      </w:tr>
      <w:tr w:rsidR="002F3D36" w:rsidRPr="002F3D36" w14:paraId="05CC9253" w14:textId="77777777" w:rsidTr="002F3D36">
        <w:trPr>
          <w:trHeight w:val="160"/>
          <w:tblCellSpacing w:w="15" w:type="dxa"/>
        </w:trPr>
        <w:tc>
          <w:tcPr>
            <w:tcW w:w="0" w:type="auto"/>
            <w:vAlign w:val="bottom"/>
            <w:hideMark/>
          </w:tcPr>
          <w:p w14:paraId="16BBB527"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color w:val="000000"/>
                <w:kern w:val="0"/>
                <w:sz w:val="16"/>
                <w:szCs w:val="16"/>
              </w:rPr>
              <w:t>(% Weighted average)</w:t>
            </w:r>
          </w:p>
        </w:tc>
        <w:tc>
          <w:tcPr>
            <w:tcW w:w="0" w:type="auto"/>
            <w:vAlign w:val="bottom"/>
            <w:hideMark/>
          </w:tcPr>
          <w:p w14:paraId="3A214A52"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2"/>
            <w:tcBorders>
              <w:bottom w:val="single" w:sz="4" w:space="0" w:color="000000"/>
            </w:tcBorders>
            <w:vAlign w:val="bottom"/>
            <w:hideMark/>
          </w:tcPr>
          <w:p w14:paraId="2A2D0BA0"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2021</w:t>
            </w:r>
          </w:p>
        </w:tc>
        <w:tc>
          <w:tcPr>
            <w:tcW w:w="0" w:type="auto"/>
            <w:vAlign w:val="bottom"/>
            <w:hideMark/>
          </w:tcPr>
          <w:p w14:paraId="1D23B8D1"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vAlign w:val="bottom"/>
            <w:hideMark/>
          </w:tcPr>
          <w:p w14:paraId="7E75EC89"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2"/>
            <w:tcBorders>
              <w:bottom w:val="single" w:sz="4" w:space="0" w:color="000000"/>
            </w:tcBorders>
            <w:vAlign w:val="bottom"/>
            <w:hideMark/>
          </w:tcPr>
          <w:p w14:paraId="0D002FF8"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2020</w:t>
            </w:r>
          </w:p>
        </w:tc>
        <w:tc>
          <w:tcPr>
            <w:tcW w:w="0" w:type="auto"/>
            <w:vAlign w:val="bottom"/>
            <w:hideMark/>
          </w:tcPr>
          <w:p w14:paraId="5B3CFBA8"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vAlign w:val="bottom"/>
            <w:hideMark/>
          </w:tcPr>
          <w:p w14:paraId="4D8F4F92"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tcBorders>
              <w:bottom w:val="single" w:sz="4" w:space="0" w:color="000000"/>
            </w:tcBorders>
            <w:vAlign w:val="bottom"/>
            <w:hideMark/>
          </w:tcPr>
          <w:p w14:paraId="0DEC7154"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2021</w:t>
            </w:r>
          </w:p>
        </w:tc>
        <w:tc>
          <w:tcPr>
            <w:tcW w:w="0" w:type="auto"/>
            <w:vAlign w:val="bottom"/>
            <w:hideMark/>
          </w:tcPr>
          <w:p w14:paraId="42C45C76"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tcBorders>
              <w:bottom w:val="single" w:sz="4" w:space="0" w:color="000000"/>
            </w:tcBorders>
            <w:vAlign w:val="bottom"/>
            <w:hideMark/>
          </w:tcPr>
          <w:p w14:paraId="021BF682"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2020</w:t>
            </w:r>
          </w:p>
        </w:tc>
      </w:tr>
      <w:tr w:rsidR="002F3D36" w:rsidRPr="002F3D36" w14:paraId="2FA8BECC" w14:textId="77777777" w:rsidTr="002F3D36">
        <w:trPr>
          <w:trHeight w:val="180"/>
          <w:tblCellSpacing w:w="15" w:type="dxa"/>
        </w:trPr>
        <w:tc>
          <w:tcPr>
            <w:tcW w:w="0" w:type="auto"/>
            <w:shd w:val="clear" w:color="auto" w:fill="CFF0FC"/>
            <w:hideMark/>
          </w:tcPr>
          <w:p w14:paraId="14163D5E"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Discount rate</w:t>
            </w:r>
          </w:p>
        </w:tc>
        <w:tc>
          <w:tcPr>
            <w:tcW w:w="0" w:type="auto"/>
            <w:shd w:val="clear" w:color="auto" w:fill="CFF0FC"/>
            <w:vAlign w:val="bottom"/>
            <w:hideMark/>
          </w:tcPr>
          <w:p w14:paraId="343D06F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244236A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1B373D82"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2.77</w:t>
            </w:r>
          </w:p>
        </w:tc>
        <w:tc>
          <w:tcPr>
            <w:tcW w:w="0" w:type="auto"/>
            <w:shd w:val="clear" w:color="auto" w:fill="CFF0FC"/>
            <w:vAlign w:val="bottom"/>
            <w:hideMark/>
          </w:tcPr>
          <w:p w14:paraId="313F731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6A2F06C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29247C3E"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77BF1443"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2.37</w:t>
            </w:r>
          </w:p>
        </w:tc>
        <w:tc>
          <w:tcPr>
            <w:tcW w:w="0" w:type="auto"/>
            <w:shd w:val="clear" w:color="auto" w:fill="CFF0FC"/>
            <w:vAlign w:val="bottom"/>
            <w:hideMark/>
          </w:tcPr>
          <w:p w14:paraId="787941F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5EE411F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6E923952"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0.25-3.20</w:t>
            </w:r>
          </w:p>
        </w:tc>
        <w:tc>
          <w:tcPr>
            <w:tcW w:w="0" w:type="auto"/>
            <w:shd w:val="clear" w:color="auto" w:fill="CFF0FC"/>
            <w:vAlign w:val="bottom"/>
            <w:hideMark/>
          </w:tcPr>
          <w:p w14:paraId="7AAE040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00DCBF6F"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0.25-2.70</w:t>
            </w:r>
          </w:p>
        </w:tc>
      </w:tr>
      <w:tr w:rsidR="002F3D36" w:rsidRPr="002F3D36" w14:paraId="46866043" w14:textId="77777777" w:rsidTr="002F3D36">
        <w:trPr>
          <w:trHeight w:val="180"/>
          <w:tblCellSpacing w:w="15" w:type="dxa"/>
        </w:trPr>
        <w:tc>
          <w:tcPr>
            <w:tcW w:w="0" w:type="auto"/>
            <w:hideMark/>
          </w:tcPr>
          <w:p w14:paraId="77AC57C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Rate of increases in compensation level</w:t>
            </w:r>
          </w:p>
        </w:tc>
        <w:tc>
          <w:tcPr>
            <w:tcW w:w="0" w:type="auto"/>
            <w:vAlign w:val="bottom"/>
            <w:hideMark/>
          </w:tcPr>
          <w:p w14:paraId="29B1219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0B624C1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550DC49A"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2.65</w:t>
            </w:r>
          </w:p>
        </w:tc>
        <w:tc>
          <w:tcPr>
            <w:tcW w:w="0" w:type="auto"/>
            <w:vAlign w:val="bottom"/>
            <w:hideMark/>
          </w:tcPr>
          <w:p w14:paraId="0C3C354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7CD44C1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7777044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2BEB6152"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2.65</w:t>
            </w:r>
          </w:p>
        </w:tc>
        <w:tc>
          <w:tcPr>
            <w:tcW w:w="0" w:type="auto"/>
            <w:vAlign w:val="bottom"/>
            <w:hideMark/>
          </w:tcPr>
          <w:p w14:paraId="00015EA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4F9A158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65388720"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1.80-4.00</w:t>
            </w:r>
          </w:p>
        </w:tc>
        <w:tc>
          <w:tcPr>
            <w:tcW w:w="0" w:type="auto"/>
            <w:vAlign w:val="bottom"/>
            <w:hideMark/>
          </w:tcPr>
          <w:p w14:paraId="44A4CF5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01B2E1A0"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1.80-4.00</w:t>
            </w:r>
          </w:p>
        </w:tc>
      </w:tr>
    </w:tbl>
    <w:p w14:paraId="2C27B978"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24"/>
          <w:szCs w:val="24"/>
        </w:rPr>
        <w:t> </w:t>
      </w:r>
    </w:p>
    <w:p w14:paraId="0B02F3E2" w14:textId="77777777" w:rsidR="002F3D36" w:rsidRPr="002F3D36" w:rsidRDefault="002F3D36" w:rsidP="002F3D36">
      <w:pPr>
        <w:widowControl/>
        <w:spacing w:before="10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lastRenderedPageBreak/>
        <w:t>ASSUMPTIONS USED TO DETERMINE THE NET PERIODIC BENEFIT COST FOR THE YEARS ENDED DECEMBER 31</w:t>
      </w:r>
    </w:p>
    <w:p w14:paraId="0B52DCED"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w:t>
      </w:r>
    </w:p>
    <w:tbl>
      <w:tblPr>
        <w:tblW w:w="16491" w:type="dxa"/>
        <w:tblCellSpacing w:w="15" w:type="dxa"/>
        <w:tblCellMar>
          <w:top w:w="15" w:type="dxa"/>
          <w:left w:w="15" w:type="dxa"/>
          <w:bottom w:w="15" w:type="dxa"/>
          <w:right w:w="15" w:type="dxa"/>
        </w:tblCellMar>
        <w:tblLook w:val="04A0" w:firstRow="1" w:lastRow="0" w:firstColumn="1" w:lastColumn="0" w:noHBand="0" w:noVBand="1"/>
      </w:tblPr>
      <w:tblGrid>
        <w:gridCol w:w="9304"/>
        <w:gridCol w:w="245"/>
        <w:gridCol w:w="157"/>
        <w:gridCol w:w="1826"/>
        <w:gridCol w:w="158"/>
        <w:gridCol w:w="246"/>
        <w:gridCol w:w="158"/>
        <w:gridCol w:w="1826"/>
        <w:gridCol w:w="158"/>
        <w:gridCol w:w="246"/>
        <w:gridCol w:w="158"/>
        <w:gridCol w:w="1835"/>
        <w:gridCol w:w="174"/>
      </w:tblGrid>
      <w:tr w:rsidR="002F3D36" w:rsidRPr="002F3D36" w14:paraId="058D8D77" w14:textId="77777777" w:rsidTr="002F3D36">
        <w:trPr>
          <w:tblCellSpacing w:w="15" w:type="dxa"/>
        </w:trPr>
        <w:tc>
          <w:tcPr>
            <w:tcW w:w="9279" w:type="dxa"/>
            <w:vAlign w:val="center"/>
            <w:hideMark/>
          </w:tcPr>
          <w:p w14:paraId="04F22FF1" w14:textId="77777777" w:rsidR="002F3D36" w:rsidRPr="002F3D36" w:rsidRDefault="002F3D36" w:rsidP="002F3D36">
            <w:pPr>
              <w:widowControl/>
              <w:jc w:val="left"/>
              <w:rPr>
                <w:rFonts w:ascii="Times New Roman" w:eastAsia="宋体" w:hAnsi="Times New Roman" w:cs="Times New Roman"/>
                <w:color w:val="000000"/>
                <w:kern w:val="0"/>
                <w:sz w:val="20"/>
                <w:szCs w:val="20"/>
              </w:rPr>
            </w:pPr>
          </w:p>
        </w:tc>
        <w:tc>
          <w:tcPr>
            <w:tcW w:w="216" w:type="dxa"/>
            <w:vAlign w:val="center"/>
            <w:hideMark/>
          </w:tcPr>
          <w:p w14:paraId="5A25DABC"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28" w:type="dxa"/>
            <w:vAlign w:val="center"/>
            <w:hideMark/>
          </w:tcPr>
          <w:p w14:paraId="7945423F"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799" w:type="dxa"/>
            <w:vAlign w:val="center"/>
            <w:hideMark/>
          </w:tcPr>
          <w:p w14:paraId="710B76ED"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28" w:type="dxa"/>
            <w:vAlign w:val="center"/>
            <w:hideMark/>
          </w:tcPr>
          <w:p w14:paraId="5FDE4EAB"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16" w:type="dxa"/>
            <w:vAlign w:val="center"/>
            <w:hideMark/>
          </w:tcPr>
          <w:p w14:paraId="6E7CD79A"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28" w:type="dxa"/>
            <w:vAlign w:val="center"/>
            <w:hideMark/>
          </w:tcPr>
          <w:p w14:paraId="466814D9"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799" w:type="dxa"/>
            <w:vAlign w:val="center"/>
            <w:hideMark/>
          </w:tcPr>
          <w:p w14:paraId="21F4A3DF"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28" w:type="dxa"/>
            <w:vAlign w:val="center"/>
            <w:hideMark/>
          </w:tcPr>
          <w:p w14:paraId="413F7016"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16" w:type="dxa"/>
            <w:vAlign w:val="center"/>
            <w:hideMark/>
          </w:tcPr>
          <w:p w14:paraId="39BBE02C"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28" w:type="dxa"/>
            <w:vAlign w:val="center"/>
            <w:hideMark/>
          </w:tcPr>
          <w:p w14:paraId="7793CC33"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808" w:type="dxa"/>
            <w:vAlign w:val="center"/>
            <w:hideMark/>
          </w:tcPr>
          <w:p w14:paraId="7C0DC705"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29" w:type="dxa"/>
            <w:vAlign w:val="center"/>
            <w:hideMark/>
          </w:tcPr>
          <w:p w14:paraId="37990CD1" w14:textId="77777777" w:rsidR="002F3D36" w:rsidRPr="002F3D36" w:rsidRDefault="002F3D36" w:rsidP="002F3D36">
            <w:pPr>
              <w:widowControl/>
              <w:jc w:val="left"/>
              <w:rPr>
                <w:rFonts w:ascii="Times New Roman" w:eastAsia="Times New Roman" w:hAnsi="Times New Roman" w:cs="Times New Roman"/>
                <w:kern w:val="0"/>
                <w:sz w:val="20"/>
                <w:szCs w:val="20"/>
              </w:rPr>
            </w:pPr>
          </w:p>
        </w:tc>
      </w:tr>
      <w:tr w:rsidR="002F3D36" w:rsidRPr="002F3D36" w14:paraId="7AAA7258" w14:textId="77777777" w:rsidTr="002F3D36">
        <w:trPr>
          <w:trHeight w:val="160"/>
          <w:tblCellSpacing w:w="15" w:type="dxa"/>
        </w:trPr>
        <w:tc>
          <w:tcPr>
            <w:tcW w:w="0" w:type="auto"/>
            <w:vAlign w:val="bottom"/>
            <w:hideMark/>
          </w:tcPr>
          <w:p w14:paraId="2278B20C"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vAlign w:val="bottom"/>
            <w:hideMark/>
          </w:tcPr>
          <w:p w14:paraId="0B534975"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10"/>
            <w:tcBorders>
              <w:bottom w:val="single" w:sz="4" w:space="0" w:color="000000"/>
            </w:tcBorders>
            <w:vAlign w:val="bottom"/>
            <w:hideMark/>
          </w:tcPr>
          <w:p w14:paraId="1535D1D7"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U.S.</w:t>
            </w:r>
          </w:p>
        </w:tc>
        <w:tc>
          <w:tcPr>
            <w:tcW w:w="0" w:type="auto"/>
            <w:vAlign w:val="bottom"/>
            <w:hideMark/>
          </w:tcPr>
          <w:p w14:paraId="4CBFF1C2"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r>
      <w:tr w:rsidR="002F3D36" w:rsidRPr="002F3D36" w14:paraId="1EB53383" w14:textId="77777777" w:rsidTr="002F3D36">
        <w:trPr>
          <w:trHeight w:val="160"/>
          <w:tblCellSpacing w:w="15" w:type="dxa"/>
        </w:trPr>
        <w:tc>
          <w:tcPr>
            <w:tcW w:w="0" w:type="auto"/>
            <w:vAlign w:val="bottom"/>
            <w:hideMark/>
          </w:tcPr>
          <w:p w14:paraId="77F1961F"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color w:val="000000"/>
                <w:kern w:val="0"/>
                <w:sz w:val="16"/>
                <w:szCs w:val="16"/>
              </w:rPr>
              <w:t>(% Weighted average)</w:t>
            </w:r>
          </w:p>
        </w:tc>
        <w:tc>
          <w:tcPr>
            <w:tcW w:w="0" w:type="auto"/>
            <w:vAlign w:val="bottom"/>
            <w:hideMark/>
          </w:tcPr>
          <w:p w14:paraId="0A1922B8"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2"/>
            <w:tcBorders>
              <w:bottom w:val="single" w:sz="4" w:space="0" w:color="000000"/>
            </w:tcBorders>
            <w:vAlign w:val="bottom"/>
            <w:hideMark/>
          </w:tcPr>
          <w:p w14:paraId="01559F46"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2021</w:t>
            </w:r>
          </w:p>
        </w:tc>
        <w:tc>
          <w:tcPr>
            <w:tcW w:w="0" w:type="auto"/>
            <w:vAlign w:val="bottom"/>
            <w:hideMark/>
          </w:tcPr>
          <w:p w14:paraId="4CCBFD45"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vAlign w:val="bottom"/>
            <w:hideMark/>
          </w:tcPr>
          <w:p w14:paraId="48C02CCA"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2"/>
            <w:tcBorders>
              <w:bottom w:val="single" w:sz="4" w:space="0" w:color="000000"/>
            </w:tcBorders>
            <w:vAlign w:val="bottom"/>
            <w:hideMark/>
          </w:tcPr>
          <w:p w14:paraId="0F8315D5"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2020</w:t>
            </w:r>
          </w:p>
        </w:tc>
        <w:tc>
          <w:tcPr>
            <w:tcW w:w="0" w:type="auto"/>
            <w:vAlign w:val="bottom"/>
            <w:hideMark/>
          </w:tcPr>
          <w:p w14:paraId="32E934B1"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vAlign w:val="bottom"/>
            <w:hideMark/>
          </w:tcPr>
          <w:p w14:paraId="37973980"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2"/>
            <w:tcBorders>
              <w:bottom w:val="single" w:sz="4" w:space="0" w:color="000000"/>
            </w:tcBorders>
            <w:vAlign w:val="bottom"/>
            <w:hideMark/>
          </w:tcPr>
          <w:p w14:paraId="3F85BD1D"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2019</w:t>
            </w:r>
          </w:p>
        </w:tc>
        <w:tc>
          <w:tcPr>
            <w:tcW w:w="0" w:type="auto"/>
            <w:vAlign w:val="bottom"/>
            <w:hideMark/>
          </w:tcPr>
          <w:p w14:paraId="08B4E4AB"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r>
      <w:tr w:rsidR="002F3D36" w:rsidRPr="002F3D36" w14:paraId="5C4CCBC7" w14:textId="77777777" w:rsidTr="002F3D36">
        <w:trPr>
          <w:trHeight w:val="180"/>
          <w:tblCellSpacing w:w="15" w:type="dxa"/>
        </w:trPr>
        <w:tc>
          <w:tcPr>
            <w:tcW w:w="0" w:type="auto"/>
            <w:shd w:val="clear" w:color="auto" w:fill="CFF0FC"/>
            <w:hideMark/>
          </w:tcPr>
          <w:p w14:paraId="2885F5B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Discount rate</w:t>
            </w:r>
          </w:p>
        </w:tc>
        <w:tc>
          <w:tcPr>
            <w:tcW w:w="0" w:type="auto"/>
            <w:shd w:val="clear" w:color="auto" w:fill="CFF0FC"/>
            <w:vAlign w:val="bottom"/>
            <w:hideMark/>
          </w:tcPr>
          <w:p w14:paraId="362F5D9E"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522759D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4AADF547"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2.37</w:t>
            </w:r>
          </w:p>
        </w:tc>
        <w:tc>
          <w:tcPr>
            <w:tcW w:w="0" w:type="auto"/>
            <w:shd w:val="clear" w:color="auto" w:fill="CFF0FC"/>
            <w:vAlign w:val="bottom"/>
            <w:hideMark/>
          </w:tcPr>
          <w:p w14:paraId="0EA787C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4C108EB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32410AB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04457D81"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3.25</w:t>
            </w:r>
          </w:p>
        </w:tc>
        <w:tc>
          <w:tcPr>
            <w:tcW w:w="0" w:type="auto"/>
            <w:shd w:val="clear" w:color="auto" w:fill="CFF0FC"/>
            <w:vAlign w:val="bottom"/>
            <w:hideMark/>
          </w:tcPr>
          <w:p w14:paraId="78EC81F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24430B9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3B1F98E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4639F750"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4.35</w:t>
            </w:r>
          </w:p>
        </w:tc>
        <w:tc>
          <w:tcPr>
            <w:tcW w:w="0" w:type="auto"/>
            <w:shd w:val="clear" w:color="auto" w:fill="CFF0FC"/>
            <w:vAlign w:val="bottom"/>
            <w:hideMark/>
          </w:tcPr>
          <w:p w14:paraId="38D19BA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722EE0FB" w14:textId="77777777" w:rsidTr="002F3D36">
        <w:trPr>
          <w:trHeight w:val="180"/>
          <w:tblCellSpacing w:w="15" w:type="dxa"/>
        </w:trPr>
        <w:tc>
          <w:tcPr>
            <w:tcW w:w="0" w:type="auto"/>
            <w:hideMark/>
          </w:tcPr>
          <w:p w14:paraId="09326C0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Rate of increases in compensation level</w:t>
            </w:r>
          </w:p>
        </w:tc>
        <w:tc>
          <w:tcPr>
            <w:tcW w:w="0" w:type="auto"/>
            <w:vAlign w:val="bottom"/>
            <w:hideMark/>
          </w:tcPr>
          <w:p w14:paraId="6E67477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0B2DBB4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7475A5C5"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2.65</w:t>
            </w:r>
          </w:p>
        </w:tc>
        <w:tc>
          <w:tcPr>
            <w:tcW w:w="0" w:type="auto"/>
            <w:vAlign w:val="bottom"/>
            <w:hideMark/>
          </w:tcPr>
          <w:p w14:paraId="60656BC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2DE3A84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11BA70A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387F67A4"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2.65</w:t>
            </w:r>
          </w:p>
        </w:tc>
        <w:tc>
          <w:tcPr>
            <w:tcW w:w="0" w:type="auto"/>
            <w:vAlign w:val="bottom"/>
            <w:hideMark/>
          </w:tcPr>
          <w:p w14:paraId="0AB7DD4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4AB12A2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09AA5AC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67696ADE"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2.65</w:t>
            </w:r>
          </w:p>
        </w:tc>
        <w:tc>
          <w:tcPr>
            <w:tcW w:w="0" w:type="auto"/>
            <w:vAlign w:val="bottom"/>
            <w:hideMark/>
          </w:tcPr>
          <w:p w14:paraId="5235BA0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6F9888D3" w14:textId="77777777" w:rsidTr="002F3D36">
        <w:trPr>
          <w:trHeight w:val="180"/>
          <w:tblCellSpacing w:w="15" w:type="dxa"/>
        </w:trPr>
        <w:tc>
          <w:tcPr>
            <w:tcW w:w="0" w:type="auto"/>
            <w:shd w:val="clear" w:color="auto" w:fill="CFF0FC"/>
            <w:hideMark/>
          </w:tcPr>
          <w:p w14:paraId="0B79E4B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Expected long-term rate of return on assets</w:t>
            </w:r>
          </w:p>
        </w:tc>
        <w:tc>
          <w:tcPr>
            <w:tcW w:w="0" w:type="auto"/>
            <w:shd w:val="clear" w:color="auto" w:fill="CFF0FC"/>
            <w:vAlign w:val="bottom"/>
            <w:hideMark/>
          </w:tcPr>
          <w:p w14:paraId="5E48DB5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2C13405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7997479A"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5.05</w:t>
            </w:r>
          </w:p>
        </w:tc>
        <w:tc>
          <w:tcPr>
            <w:tcW w:w="0" w:type="auto"/>
            <w:shd w:val="clear" w:color="auto" w:fill="CFF0FC"/>
            <w:vAlign w:val="bottom"/>
            <w:hideMark/>
          </w:tcPr>
          <w:p w14:paraId="3BA2D98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717FF02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542DC9E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7BA7C848"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5.05</w:t>
            </w:r>
          </w:p>
        </w:tc>
        <w:tc>
          <w:tcPr>
            <w:tcW w:w="0" w:type="auto"/>
            <w:shd w:val="clear" w:color="auto" w:fill="CFF0FC"/>
            <w:vAlign w:val="bottom"/>
            <w:hideMark/>
          </w:tcPr>
          <w:p w14:paraId="6EBB6DC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276FAD2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0251C79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1662EEAF"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5.05</w:t>
            </w:r>
          </w:p>
        </w:tc>
        <w:tc>
          <w:tcPr>
            <w:tcW w:w="0" w:type="auto"/>
            <w:shd w:val="clear" w:color="auto" w:fill="CFF0FC"/>
            <w:vAlign w:val="bottom"/>
            <w:hideMark/>
          </w:tcPr>
          <w:p w14:paraId="6C6B689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bl>
    <w:p w14:paraId="49C5FF5D"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w:t>
      </w:r>
    </w:p>
    <w:tbl>
      <w:tblPr>
        <w:tblW w:w="16491" w:type="dxa"/>
        <w:tblCellSpacing w:w="15" w:type="dxa"/>
        <w:tblCellMar>
          <w:top w:w="15" w:type="dxa"/>
          <w:left w:w="15" w:type="dxa"/>
          <w:bottom w:w="15" w:type="dxa"/>
          <w:right w:w="15" w:type="dxa"/>
        </w:tblCellMar>
        <w:tblLook w:val="04A0" w:firstRow="1" w:lastRow="0" w:firstColumn="1" w:lastColumn="0" w:noHBand="0" w:noVBand="1"/>
      </w:tblPr>
      <w:tblGrid>
        <w:gridCol w:w="9311"/>
        <w:gridCol w:w="247"/>
        <w:gridCol w:w="2138"/>
        <w:gridCol w:w="247"/>
        <w:gridCol w:w="2138"/>
        <w:gridCol w:w="247"/>
        <w:gridCol w:w="2163"/>
      </w:tblGrid>
      <w:tr w:rsidR="002F3D36" w:rsidRPr="002F3D36" w14:paraId="1746C54C" w14:textId="77777777" w:rsidTr="002F3D36">
        <w:trPr>
          <w:tblCellSpacing w:w="15" w:type="dxa"/>
        </w:trPr>
        <w:tc>
          <w:tcPr>
            <w:tcW w:w="9287" w:type="dxa"/>
            <w:vAlign w:val="center"/>
            <w:hideMark/>
          </w:tcPr>
          <w:p w14:paraId="4BE25E3D" w14:textId="77777777" w:rsidR="002F3D36" w:rsidRPr="002F3D36" w:rsidRDefault="002F3D36" w:rsidP="002F3D36">
            <w:pPr>
              <w:widowControl/>
              <w:jc w:val="left"/>
              <w:rPr>
                <w:rFonts w:ascii="Times New Roman" w:eastAsia="宋体" w:hAnsi="Times New Roman" w:cs="Times New Roman"/>
                <w:color w:val="000000"/>
                <w:kern w:val="0"/>
                <w:sz w:val="20"/>
                <w:szCs w:val="20"/>
              </w:rPr>
            </w:pPr>
          </w:p>
        </w:tc>
        <w:tc>
          <w:tcPr>
            <w:tcW w:w="217" w:type="dxa"/>
            <w:vAlign w:val="center"/>
            <w:hideMark/>
          </w:tcPr>
          <w:p w14:paraId="464620A1"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112" w:type="dxa"/>
            <w:vAlign w:val="center"/>
            <w:hideMark/>
          </w:tcPr>
          <w:p w14:paraId="0B5E8B7F"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17" w:type="dxa"/>
            <w:vAlign w:val="center"/>
            <w:hideMark/>
          </w:tcPr>
          <w:p w14:paraId="451A33CB"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112" w:type="dxa"/>
            <w:vAlign w:val="center"/>
            <w:hideMark/>
          </w:tcPr>
          <w:p w14:paraId="1941D67A"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17" w:type="dxa"/>
            <w:vAlign w:val="center"/>
            <w:hideMark/>
          </w:tcPr>
          <w:p w14:paraId="0DCDD719"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122" w:type="dxa"/>
            <w:vAlign w:val="center"/>
            <w:hideMark/>
          </w:tcPr>
          <w:p w14:paraId="2CC18637" w14:textId="77777777" w:rsidR="002F3D36" w:rsidRPr="002F3D36" w:rsidRDefault="002F3D36" w:rsidP="002F3D36">
            <w:pPr>
              <w:widowControl/>
              <w:jc w:val="left"/>
              <w:rPr>
                <w:rFonts w:ascii="Times New Roman" w:eastAsia="Times New Roman" w:hAnsi="Times New Roman" w:cs="Times New Roman"/>
                <w:kern w:val="0"/>
                <w:sz w:val="20"/>
                <w:szCs w:val="20"/>
              </w:rPr>
            </w:pPr>
          </w:p>
        </w:tc>
      </w:tr>
      <w:tr w:rsidR="002F3D36" w:rsidRPr="002F3D36" w14:paraId="3F8D698F" w14:textId="77777777" w:rsidTr="002F3D36">
        <w:trPr>
          <w:trHeight w:val="160"/>
          <w:tblCellSpacing w:w="15" w:type="dxa"/>
        </w:trPr>
        <w:tc>
          <w:tcPr>
            <w:tcW w:w="0" w:type="auto"/>
            <w:vAlign w:val="bottom"/>
            <w:hideMark/>
          </w:tcPr>
          <w:p w14:paraId="110BBBDF"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vAlign w:val="bottom"/>
            <w:hideMark/>
          </w:tcPr>
          <w:p w14:paraId="0A330387"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5"/>
            <w:tcBorders>
              <w:bottom w:val="single" w:sz="4" w:space="0" w:color="000000"/>
            </w:tcBorders>
            <w:vAlign w:val="bottom"/>
            <w:hideMark/>
          </w:tcPr>
          <w:p w14:paraId="621AF748"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Non-U.S.</w:t>
            </w:r>
            <w:r w:rsidRPr="002F3D36">
              <w:rPr>
                <w:rFonts w:ascii="Arial" w:eastAsia="宋体" w:hAnsi="Arial" w:cs="Arial"/>
                <w:b/>
                <w:bCs/>
                <w:color w:val="000000"/>
                <w:kern w:val="0"/>
                <w:sz w:val="11"/>
                <w:szCs w:val="11"/>
              </w:rPr>
              <w:t>1)</w:t>
            </w:r>
          </w:p>
        </w:tc>
      </w:tr>
      <w:tr w:rsidR="002F3D36" w:rsidRPr="002F3D36" w14:paraId="00EC3C4B" w14:textId="77777777" w:rsidTr="002F3D36">
        <w:trPr>
          <w:trHeight w:val="160"/>
          <w:tblCellSpacing w:w="15" w:type="dxa"/>
        </w:trPr>
        <w:tc>
          <w:tcPr>
            <w:tcW w:w="0" w:type="auto"/>
            <w:vAlign w:val="bottom"/>
            <w:hideMark/>
          </w:tcPr>
          <w:p w14:paraId="2F177C13"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color w:val="000000"/>
                <w:kern w:val="0"/>
                <w:sz w:val="16"/>
                <w:szCs w:val="16"/>
              </w:rPr>
              <w:t>(% Weighted average)</w:t>
            </w:r>
          </w:p>
        </w:tc>
        <w:tc>
          <w:tcPr>
            <w:tcW w:w="0" w:type="auto"/>
            <w:vAlign w:val="bottom"/>
            <w:hideMark/>
          </w:tcPr>
          <w:p w14:paraId="32FFB8AC"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tcBorders>
              <w:bottom w:val="single" w:sz="4" w:space="0" w:color="000000"/>
            </w:tcBorders>
            <w:vAlign w:val="bottom"/>
            <w:hideMark/>
          </w:tcPr>
          <w:p w14:paraId="175C7B2C"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2021</w:t>
            </w:r>
          </w:p>
        </w:tc>
        <w:tc>
          <w:tcPr>
            <w:tcW w:w="0" w:type="auto"/>
            <w:vAlign w:val="bottom"/>
            <w:hideMark/>
          </w:tcPr>
          <w:p w14:paraId="51EE14E9"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tcBorders>
              <w:bottom w:val="single" w:sz="4" w:space="0" w:color="000000"/>
            </w:tcBorders>
            <w:vAlign w:val="bottom"/>
            <w:hideMark/>
          </w:tcPr>
          <w:p w14:paraId="35A504E3"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2020</w:t>
            </w:r>
          </w:p>
        </w:tc>
        <w:tc>
          <w:tcPr>
            <w:tcW w:w="0" w:type="auto"/>
            <w:vAlign w:val="bottom"/>
            <w:hideMark/>
          </w:tcPr>
          <w:p w14:paraId="16B954EE"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tcBorders>
              <w:bottom w:val="single" w:sz="4" w:space="0" w:color="000000"/>
            </w:tcBorders>
            <w:vAlign w:val="bottom"/>
            <w:hideMark/>
          </w:tcPr>
          <w:p w14:paraId="5EFBE77B"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2019</w:t>
            </w:r>
          </w:p>
        </w:tc>
      </w:tr>
      <w:tr w:rsidR="002F3D36" w:rsidRPr="002F3D36" w14:paraId="0DDD6576" w14:textId="77777777" w:rsidTr="002F3D36">
        <w:trPr>
          <w:trHeight w:val="180"/>
          <w:tblCellSpacing w:w="15" w:type="dxa"/>
        </w:trPr>
        <w:tc>
          <w:tcPr>
            <w:tcW w:w="0" w:type="auto"/>
            <w:shd w:val="clear" w:color="auto" w:fill="CFF0FC"/>
            <w:hideMark/>
          </w:tcPr>
          <w:p w14:paraId="01D1BE3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Discount rate</w:t>
            </w:r>
          </w:p>
        </w:tc>
        <w:tc>
          <w:tcPr>
            <w:tcW w:w="0" w:type="auto"/>
            <w:shd w:val="clear" w:color="auto" w:fill="CFF0FC"/>
            <w:vAlign w:val="bottom"/>
            <w:hideMark/>
          </w:tcPr>
          <w:p w14:paraId="667B544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245DA071"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0.25-2.70</w:t>
            </w:r>
          </w:p>
        </w:tc>
        <w:tc>
          <w:tcPr>
            <w:tcW w:w="0" w:type="auto"/>
            <w:shd w:val="clear" w:color="auto" w:fill="CFF0FC"/>
            <w:vAlign w:val="bottom"/>
            <w:hideMark/>
          </w:tcPr>
          <w:p w14:paraId="36E0DC7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6B7619F7"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0.25-2.70</w:t>
            </w:r>
          </w:p>
        </w:tc>
        <w:tc>
          <w:tcPr>
            <w:tcW w:w="0" w:type="auto"/>
            <w:shd w:val="clear" w:color="auto" w:fill="CFF0FC"/>
            <w:vAlign w:val="bottom"/>
            <w:hideMark/>
          </w:tcPr>
          <w:p w14:paraId="2CCF120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1EF3E679"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0.50-3.25</w:t>
            </w:r>
          </w:p>
        </w:tc>
      </w:tr>
      <w:tr w:rsidR="002F3D36" w:rsidRPr="002F3D36" w14:paraId="372389DC" w14:textId="77777777" w:rsidTr="002F3D36">
        <w:trPr>
          <w:trHeight w:val="180"/>
          <w:tblCellSpacing w:w="15" w:type="dxa"/>
        </w:trPr>
        <w:tc>
          <w:tcPr>
            <w:tcW w:w="0" w:type="auto"/>
            <w:hideMark/>
          </w:tcPr>
          <w:p w14:paraId="018A078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Rate of increases in compensation level</w:t>
            </w:r>
          </w:p>
        </w:tc>
        <w:tc>
          <w:tcPr>
            <w:tcW w:w="0" w:type="auto"/>
            <w:vAlign w:val="bottom"/>
            <w:hideMark/>
          </w:tcPr>
          <w:p w14:paraId="274EBD1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12B85A3F"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1.80-4.00</w:t>
            </w:r>
          </w:p>
        </w:tc>
        <w:tc>
          <w:tcPr>
            <w:tcW w:w="0" w:type="auto"/>
            <w:vAlign w:val="bottom"/>
            <w:hideMark/>
          </w:tcPr>
          <w:p w14:paraId="456AE7C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314AD164"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2.00-5.00</w:t>
            </w:r>
          </w:p>
        </w:tc>
        <w:tc>
          <w:tcPr>
            <w:tcW w:w="0" w:type="auto"/>
            <w:vAlign w:val="bottom"/>
            <w:hideMark/>
          </w:tcPr>
          <w:p w14:paraId="1E4FB08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72335A7E"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2.00-5.00</w:t>
            </w:r>
          </w:p>
        </w:tc>
      </w:tr>
      <w:tr w:rsidR="002F3D36" w:rsidRPr="002F3D36" w14:paraId="7F3295F1" w14:textId="77777777" w:rsidTr="002F3D36">
        <w:trPr>
          <w:trHeight w:val="180"/>
          <w:tblCellSpacing w:w="15" w:type="dxa"/>
        </w:trPr>
        <w:tc>
          <w:tcPr>
            <w:tcW w:w="0" w:type="auto"/>
            <w:shd w:val="clear" w:color="auto" w:fill="CFF0FC"/>
            <w:hideMark/>
          </w:tcPr>
          <w:p w14:paraId="696CA0F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Expected long-term rate of return on assets</w:t>
            </w:r>
          </w:p>
        </w:tc>
        <w:tc>
          <w:tcPr>
            <w:tcW w:w="0" w:type="auto"/>
            <w:shd w:val="clear" w:color="auto" w:fill="CFF0FC"/>
            <w:vAlign w:val="bottom"/>
            <w:hideMark/>
          </w:tcPr>
          <w:p w14:paraId="076776E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274A241C"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1.40-2.25</w:t>
            </w:r>
          </w:p>
        </w:tc>
        <w:tc>
          <w:tcPr>
            <w:tcW w:w="0" w:type="auto"/>
            <w:shd w:val="clear" w:color="auto" w:fill="CFF0FC"/>
            <w:vAlign w:val="bottom"/>
            <w:hideMark/>
          </w:tcPr>
          <w:p w14:paraId="625820F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69F64314"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1.50-2.25</w:t>
            </w:r>
          </w:p>
        </w:tc>
        <w:tc>
          <w:tcPr>
            <w:tcW w:w="0" w:type="auto"/>
            <w:shd w:val="clear" w:color="auto" w:fill="CFF0FC"/>
            <w:vAlign w:val="bottom"/>
            <w:hideMark/>
          </w:tcPr>
          <w:p w14:paraId="277846C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4C41464B"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2.25-2.50</w:t>
            </w:r>
          </w:p>
        </w:tc>
      </w:tr>
    </w:tbl>
    <w:p w14:paraId="52AF3191"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24"/>
          <w:szCs w:val="24"/>
        </w:rPr>
        <w:t> </w:t>
      </w:r>
    </w:p>
    <w:p w14:paraId="260D5AA0"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6"/>
          <w:szCs w:val="16"/>
        </w:rPr>
        <w:t>1) The Non-U.S. weighted average plan ranges in the tables above represent significant plans only.</w:t>
      </w:r>
    </w:p>
    <w:p w14:paraId="695A6285" w14:textId="77777777" w:rsidR="002F3D36" w:rsidRPr="002F3D36" w:rsidRDefault="002F3D36" w:rsidP="002F3D36">
      <w:pPr>
        <w:widowControl/>
        <w:spacing w:before="24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The discount rate for the U.S. plans has been set based on the rates of return on high-quality fixed-income investments currently available at the measurement date and expected to be available during the period the benefits will be paid. The expected timing of cash flows from the plan has also been considered in selecting the discount rate. In particular, the yields on bonds rated AA or better on the measurement date have been used to set the discount rate. The discount rate for the U.K. plan has been set based on the weighted average yields on long-term high-grade corporate bonds and is determined by reference to financial markets on the measurement date.</w:t>
      </w:r>
    </w:p>
    <w:p w14:paraId="4B828393"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The expected rate of increase in compensation levels and long-term rate of return on plan assets are determined based on a number of factors and must take into account long-term expectations and reflect the financial environment in the respective local market. The expected return on assets for the U.S. and U.K. plans are based on the fair value of the assets as of December 31.</w:t>
      </w:r>
    </w:p>
    <w:p w14:paraId="68FE7086"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The level of equity exposure is currently targeted at approximately 40% for the primary U.S. plan. The investment objective is to provide an attractive risk-adjusted return that will ensure the payment of benefits while protecting against the risk of substantial investment losses. Correlations among the asset classes are used to identify an asset mix that Autoliv believes will provide the most attractive returns. Long-term return forecasts for each asset class using historical data and other qualitative considerations to adjust for projected economic forecasts are used to set the expected rate of return for the entire portfolio. The Company has assumed a long-term rate of return on the U.S. plan assets of 5.05% for calculating the 2021 expense and 5.05% for calculating the 2022 expense.</w:t>
      </w:r>
    </w:p>
    <w:p w14:paraId="042FA185"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The Company has assumed a long-term rate of return on the non-U.S. plan assets in a range of 1.40-2.25 % for 2021. The closed U.K. plan which has a targeted and actual allocation of almost 100% debt instruments accounts for approximately 80% of the total non-U.S. plan assets.</w:t>
      </w:r>
    </w:p>
    <w:p w14:paraId="325420D1"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lastRenderedPageBreak/>
        <w:t>Autoliv made contributions to the U.S. plan during 2021 and 2020 amounting to $15 million and $17 million, respectively. Contributions to the U.K. plan during 2021 and 2020 amounted to $2 million and $2 million, respectively. The Company expects to contribute $12 million to its U.S. pension plan in 2022 and is currently projecting a yearly funding at the same level in the years thereafter. For the UK pension plan, which is the most significant non-U.S. pension plan, the Company expects to contribute $2 million in 2022 and in the years thereafter.</w:t>
      </w:r>
    </w:p>
    <w:p w14:paraId="607BBFED" w14:textId="77777777" w:rsidR="002F3D36" w:rsidRPr="002F3D36" w:rsidRDefault="002F3D36" w:rsidP="002F3D36">
      <w:pPr>
        <w:widowControl/>
        <w:spacing w:before="240"/>
        <w:jc w:val="center"/>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85</w:t>
      </w:r>
    </w:p>
    <w:p w14:paraId="067EC450" w14:textId="77777777" w:rsidR="002F3D36" w:rsidRPr="002F3D36" w:rsidRDefault="002F3D36" w:rsidP="002F3D36">
      <w:pPr>
        <w:widowControl/>
        <w:jc w:val="left"/>
        <w:rPr>
          <w:rFonts w:ascii="Arial" w:eastAsia="宋体" w:hAnsi="Arial" w:cs="Arial"/>
          <w:color w:val="000000"/>
          <w:kern w:val="0"/>
          <w:sz w:val="24"/>
          <w:szCs w:val="24"/>
        </w:rPr>
      </w:pPr>
      <w:r w:rsidRPr="002F3D36">
        <w:rPr>
          <w:rFonts w:ascii="Arial" w:eastAsia="宋体" w:hAnsi="Arial" w:cs="Arial"/>
          <w:color w:val="000000"/>
          <w:kern w:val="0"/>
          <w:sz w:val="24"/>
          <w:szCs w:val="24"/>
        </w:rPr>
        <w:pict w14:anchorId="0FAE1E28">
          <v:rect id="_x0000_i1112" style="width:0;height:1.5pt" o:hralign="center" o:hrstd="t" o:hr="t" fillcolor="#a0a0a0" stroked="f"/>
        </w:pict>
      </w:r>
    </w:p>
    <w:p w14:paraId="483DE30A" w14:textId="77777777" w:rsidR="002F3D36" w:rsidRPr="002F3D36" w:rsidRDefault="002F3D36" w:rsidP="002F3D36">
      <w:pPr>
        <w:widowControl/>
        <w:spacing w:line="20" w:lineRule="atLeast"/>
        <w:jc w:val="left"/>
        <w:rPr>
          <w:rFonts w:ascii="Times New Roman" w:eastAsia="宋体" w:hAnsi="Times New Roman" w:cs="Times New Roman"/>
          <w:color w:val="000000"/>
          <w:kern w:val="0"/>
          <w:sz w:val="20"/>
          <w:szCs w:val="20"/>
        </w:rPr>
      </w:pPr>
      <w:r w:rsidRPr="002F3D36">
        <w:rPr>
          <w:rFonts w:ascii="Arial" w:eastAsia="宋体" w:hAnsi="Arial" w:cs="Arial"/>
          <w:color w:val="000000"/>
          <w:kern w:val="0"/>
          <w:sz w:val="2"/>
          <w:szCs w:val="2"/>
        </w:rPr>
        <w:t> </w:t>
      </w:r>
    </w:p>
    <w:p w14:paraId="093BD665"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FAIR VALUE OF TOTAL PLAN ASSETS FOR THE YEARS ENDED DECEMBER 31</w:t>
      </w:r>
    </w:p>
    <w:p w14:paraId="579C9969"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w:t>
      </w:r>
    </w:p>
    <w:tbl>
      <w:tblPr>
        <w:tblW w:w="20614" w:type="dxa"/>
        <w:tblCellSpacing w:w="15" w:type="dxa"/>
        <w:tblCellMar>
          <w:top w:w="15" w:type="dxa"/>
          <w:left w:w="15" w:type="dxa"/>
          <w:bottom w:w="15" w:type="dxa"/>
          <w:right w:w="15" w:type="dxa"/>
        </w:tblCellMar>
        <w:tblLook w:val="04A0" w:firstRow="1" w:lastRow="0" w:firstColumn="1" w:lastColumn="0" w:noHBand="0" w:noVBand="1"/>
      </w:tblPr>
      <w:tblGrid>
        <w:gridCol w:w="9225"/>
        <w:gridCol w:w="252"/>
        <w:gridCol w:w="150"/>
        <w:gridCol w:w="1870"/>
        <w:gridCol w:w="148"/>
        <w:gridCol w:w="252"/>
        <w:gridCol w:w="148"/>
        <w:gridCol w:w="1771"/>
        <w:gridCol w:w="148"/>
        <w:gridCol w:w="148"/>
        <w:gridCol w:w="1861"/>
        <w:gridCol w:w="148"/>
        <w:gridCol w:w="252"/>
        <w:gridCol w:w="148"/>
        <w:gridCol w:w="1771"/>
        <w:gridCol w:w="148"/>
        <w:gridCol w:w="148"/>
        <w:gridCol w:w="1861"/>
        <w:gridCol w:w="165"/>
      </w:tblGrid>
      <w:tr w:rsidR="002F3D36" w:rsidRPr="002F3D36" w14:paraId="09320446" w14:textId="77777777" w:rsidTr="002F3D36">
        <w:trPr>
          <w:tblCellSpacing w:w="15" w:type="dxa"/>
        </w:trPr>
        <w:tc>
          <w:tcPr>
            <w:tcW w:w="9195" w:type="dxa"/>
            <w:vAlign w:val="center"/>
            <w:hideMark/>
          </w:tcPr>
          <w:p w14:paraId="2DB63E3E" w14:textId="77777777" w:rsidR="002F3D36" w:rsidRPr="002F3D36" w:rsidRDefault="002F3D36" w:rsidP="002F3D36">
            <w:pPr>
              <w:widowControl/>
              <w:jc w:val="left"/>
              <w:rPr>
                <w:rFonts w:ascii="Times New Roman" w:eastAsia="宋体" w:hAnsi="Times New Roman" w:cs="Times New Roman"/>
                <w:color w:val="000000"/>
                <w:kern w:val="0"/>
                <w:sz w:val="20"/>
                <w:szCs w:val="20"/>
              </w:rPr>
            </w:pPr>
          </w:p>
        </w:tc>
        <w:tc>
          <w:tcPr>
            <w:tcW w:w="222" w:type="dxa"/>
            <w:vAlign w:val="center"/>
            <w:hideMark/>
          </w:tcPr>
          <w:p w14:paraId="437E95FB"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20" w:type="dxa"/>
            <w:vAlign w:val="center"/>
            <w:hideMark/>
          </w:tcPr>
          <w:p w14:paraId="6A4CA6A2"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842" w:type="dxa"/>
            <w:vAlign w:val="center"/>
            <w:hideMark/>
          </w:tcPr>
          <w:p w14:paraId="19A176A3"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18" w:type="dxa"/>
            <w:vAlign w:val="center"/>
            <w:hideMark/>
          </w:tcPr>
          <w:p w14:paraId="62510043"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22" w:type="dxa"/>
            <w:vAlign w:val="center"/>
            <w:hideMark/>
          </w:tcPr>
          <w:p w14:paraId="5883FB41"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18" w:type="dxa"/>
            <w:vAlign w:val="center"/>
            <w:hideMark/>
          </w:tcPr>
          <w:p w14:paraId="5A4AE28D"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743" w:type="dxa"/>
            <w:vAlign w:val="center"/>
            <w:hideMark/>
          </w:tcPr>
          <w:p w14:paraId="05E21152"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18" w:type="dxa"/>
            <w:vAlign w:val="center"/>
            <w:hideMark/>
          </w:tcPr>
          <w:p w14:paraId="4CBF1EF3"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18" w:type="dxa"/>
            <w:vAlign w:val="center"/>
            <w:hideMark/>
          </w:tcPr>
          <w:p w14:paraId="5B1337E7"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834" w:type="dxa"/>
            <w:vAlign w:val="center"/>
            <w:hideMark/>
          </w:tcPr>
          <w:p w14:paraId="0B547AC7"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18" w:type="dxa"/>
            <w:vAlign w:val="center"/>
            <w:hideMark/>
          </w:tcPr>
          <w:p w14:paraId="42F6E050"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22" w:type="dxa"/>
            <w:vAlign w:val="center"/>
            <w:hideMark/>
          </w:tcPr>
          <w:p w14:paraId="14082380"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18" w:type="dxa"/>
            <w:vAlign w:val="center"/>
            <w:hideMark/>
          </w:tcPr>
          <w:p w14:paraId="17468F17"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743" w:type="dxa"/>
            <w:vAlign w:val="center"/>
            <w:hideMark/>
          </w:tcPr>
          <w:p w14:paraId="08EC1191"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18" w:type="dxa"/>
            <w:vAlign w:val="center"/>
            <w:hideMark/>
          </w:tcPr>
          <w:p w14:paraId="636AA198"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18" w:type="dxa"/>
            <w:vAlign w:val="center"/>
            <w:hideMark/>
          </w:tcPr>
          <w:p w14:paraId="0CC62DB9"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834" w:type="dxa"/>
            <w:vAlign w:val="center"/>
            <w:hideMark/>
          </w:tcPr>
          <w:p w14:paraId="29D4BC18"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20" w:type="dxa"/>
            <w:vAlign w:val="center"/>
            <w:hideMark/>
          </w:tcPr>
          <w:p w14:paraId="6140ACCC" w14:textId="77777777" w:rsidR="002F3D36" w:rsidRPr="002F3D36" w:rsidRDefault="002F3D36" w:rsidP="002F3D36">
            <w:pPr>
              <w:widowControl/>
              <w:jc w:val="left"/>
              <w:rPr>
                <w:rFonts w:ascii="Times New Roman" w:eastAsia="Times New Roman" w:hAnsi="Times New Roman" w:cs="Times New Roman"/>
                <w:kern w:val="0"/>
                <w:sz w:val="20"/>
                <w:szCs w:val="20"/>
              </w:rPr>
            </w:pPr>
          </w:p>
        </w:tc>
      </w:tr>
      <w:tr w:rsidR="002F3D36" w:rsidRPr="002F3D36" w14:paraId="02ABCCA9" w14:textId="77777777" w:rsidTr="002F3D36">
        <w:trPr>
          <w:trHeight w:val="160"/>
          <w:tblCellSpacing w:w="15" w:type="dxa"/>
        </w:trPr>
        <w:tc>
          <w:tcPr>
            <w:tcW w:w="0" w:type="auto"/>
            <w:vAlign w:val="bottom"/>
            <w:hideMark/>
          </w:tcPr>
          <w:p w14:paraId="5EDAB610"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vAlign w:val="bottom"/>
            <w:hideMark/>
          </w:tcPr>
          <w:p w14:paraId="07876C57"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2"/>
            <w:tcBorders>
              <w:bottom w:val="single" w:sz="4" w:space="0" w:color="000000"/>
            </w:tcBorders>
            <w:vAlign w:val="bottom"/>
            <w:hideMark/>
          </w:tcPr>
          <w:p w14:paraId="715407FD"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U.S.</w:t>
            </w:r>
          </w:p>
        </w:tc>
        <w:tc>
          <w:tcPr>
            <w:tcW w:w="0" w:type="auto"/>
            <w:vAlign w:val="bottom"/>
            <w:hideMark/>
          </w:tcPr>
          <w:p w14:paraId="3FC37291"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vAlign w:val="bottom"/>
            <w:hideMark/>
          </w:tcPr>
          <w:p w14:paraId="480EEFAE"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5"/>
            <w:tcBorders>
              <w:bottom w:val="single" w:sz="4" w:space="0" w:color="000000"/>
            </w:tcBorders>
            <w:vAlign w:val="bottom"/>
            <w:hideMark/>
          </w:tcPr>
          <w:p w14:paraId="000DB93C"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U.S.</w:t>
            </w:r>
          </w:p>
        </w:tc>
        <w:tc>
          <w:tcPr>
            <w:tcW w:w="0" w:type="auto"/>
            <w:vAlign w:val="bottom"/>
            <w:hideMark/>
          </w:tcPr>
          <w:p w14:paraId="2987F02A"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vAlign w:val="bottom"/>
            <w:hideMark/>
          </w:tcPr>
          <w:p w14:paraId="5F154C08"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5"/>
            <w:tcBorders>
              <w:bottom w:val="single" w:sz="4" w:space="0" w:color="000000"/>
            </w:tcBorders>
            <w:vAlign w:val="bottom"/>
            <w:hideMark/>
          </w:tcPr>
          <w:p w14:paraId="4F12AF0A"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Non-U.S.</w:t>
            </w:r>
          </w:p>
        </w:tc>
        <w:tc>
          <w:tcPr>
            <w:tcW w:w="0" w:type="auto"/>
            <w:vAlign w:val="bottom"/>
            <w:hideMark/>
          </w:tcPr>
          <w:p w14:paraId="1AD1EE33"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r>
      <w:tr w:rsidR="002F3D36" w:rsidRPr="002F3D36" w14:paraId="3D3F7E54" w14:textId="77777777" w:rsidTr="002F3D36">
        <w:trPr>
          <w:trHeight w:val="160"/>
          <w:tblCellSpacing w:w="15" w:type="dxa"/>
        </w:trPr>
        <w:tc>
          <w:tcPr>
            <w:tcW w:w="0" w:type="auto"/>
            <w:vAlign w:val="bottom"/>
            <w:hideMark/>
          </w:tcPr>
          <w:p w14:paraId="13D7105E"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u w:val="single"/>
              </w:rPr>
              <w:t xml:space="preserve">ASSETS CATEGORY </w:t>
            </w:r>
            <w:r w:rsidRPr="002F3D36">
              <w:rPr>
                <w:rFonts w:ascii="Arial" w:eastAsia="宋体" w:hAnsi="Arial" w:cs="Arial"/>
                <w:color w:val="000000"/>
                <w:kern w:val="0"/>
                <w:sz w:val="16"/>
                <w:szCs w:val="16"/>
              </w:rPr>
              <w:t>(% Weighted average)</w:t>
            </w:r>
          </w:p>
        </w:tc>
        <w:tc>
          <w:tcPr>
            <w:tcW w:w="0" w:type="auto"/>
            <w:vAlign w:val="bottom"/>
            <w:hideMark/>
          </w:tcPr>
          <w:p w14:paraId="3C9B96A1"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2"/>
            <w:tcBorders>
              <w:bottom w:val="single" w:sz="4" w:space="0" w:color="000000"/>
            </w:tcBorders>
            <w:vAlign w:val="bottom"/>
            <w:hideMark/>
          </w:tcPr>
          <w:p w14:paraId="37EE7CF9"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Target</w:t>
            </w:r>
            <w:r w:rsidRPr="002F3D36">
              <w:rPr>
                <w:rFonts w:ascii="Arial" w:eastAsia="宋体" w:hAnsi="Arial" w:cs="Arial"/>
                <w:b/>
                <w:bCs/>
                <w:color w:val="000000"/>
                <w:kern w:val="0"/>
                <w:sz w:val="16"/>
                <w:szCs w:val="16"/>
              </w:rPr>
              <w:br/>
              <w:t>allocation</w:t>
            </w:r>
          </w:p>
        </w:tc>
        <w:tc>
          <w:tcPr>
            <w:tcW w:w="0" w:type="auto"/>
            <w:vAlign w:val="bottom"/>
            <w:hideMark/>
          </w:tcPr>
          <w:p w14:paraId="533D382B"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vAlign w:val="bottom"/>
            <w:hideMark/>
          </w:tcPr>
          <w:p w14:paraId="6EA0B00C"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2"/>
            <w:tcBorders>
              <w:bottom w:val="single" w:sz="4" w:space="0" w:color="000000"/>
            </w:tcBorders>
            <w:vAlign w:val="bottom"/>
            <w:hideMark/>
          </w:tcPr>
          <w:p w14:paraId="258EA1D0"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2021</w:t>
            </w:r>
          </w:p>
        </w:tc>
        <w:tc>
          <w:tcPr>
            <w:tcW w:w="0" w:type="auto"/>
            <w:vAlign w:val="bottom"/>
            <w:hideMark/>
          </w:tcPr>
          <w:p w14:paraId="6BE2804D"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2"/>
            <w:tcBorders>
              <w:bottom w:val="single" w:sz="4" w:space="0" w:color="000000"/>
            </w:tcBorders>
            <w:vAlign w:val="bottom"/>
            <w:hideMark/>
          </w:tcPr>
          <w:p w14:paraId="6B60FEB5"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2020</w:t>
            </w:r>
          </w:p>
        </w:tc>
        <w:tc>
          <w:tcPr>
            <w:tcW w:w="0" w:type="auto"/>
            <w:vAlign w:val="bottom"/>
            <w:hideMark/>
          </w:tcPr>
          <w:p w14:paraId="031865F6"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vAlign w:val="bottom"/>
            <w:hideMark/>
          </w:tcPr>
          <w:p w14:paraId="5A0C39C0"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2"/>
            <w:tcBorders>
              <w:bottom w:val="single" w:sz="4" w:space="0" w:color="000000"/>
            </w:tcBorders>
            <w:vAlign w:val="bottom"/>
            <w:hideMark/>
          </w:tcPr>
          <w:p w14:paraId="22105B1D"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2021</w:t>
            </w:r>
          </w:p>
        </w:tc>
        <w:tc>
          <w:tcPr>
            <w:tcW w:w="0" w:type="auto"/>
            <w:vAlign w:val="bottom"/>
            <w:hideMark/>
          </w:tcPr>
          <w:p w14:paraId="68842247"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2"/>
            <w:tcBorders>
              <w:bottom w:val="single" w:sz="4" w:space="0" w:color="000000"/>
            </w:tcBorders>
            <w:vAlign w:val="bottom"/>
            <w:hideMark/>
          </w:tcPr>
          <w:p w14:paraId="3023E738"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2020</w:t>
            </w:r>
          </w:p>
        </w:tc>
        <w:tc>
          <w:tcPr>
            <w:tcW w:w="0" w:type="auto"/>
            <w:vAlign w:val="bottom"/>
            <w:hideMark/>
          </w:tcPr>
          <w:p w14:paraId="6C6A189F"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r>
      <w:tr w:rsidR="002F3D36" w:rsidRPr="002F3D36" w14:paraId="14F5A94F" w14:textId="77777777" w:rsidTr="002F3D36">
        <w:trPr>
          <w:trHeight w:val="180"/>
          <w:tblCellSpacing w:w="15" w:type="dxa"/>
        </w:trPr>
        <w:tc>
          <w:tcPr>
            <w:tcW w:w="0" w:type="auto"/>
            <w:shd w:val="clear" w:color="auto" w:fill="CFF0FC"/>
            <w:hideMark/>
          </w:tcPr>
          <w:p w14:paraId="47DE2C0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Equity securities %</w:t>
            </w:r>
          </w:p>
        </w:tc>
        <w:tc>
          <w:tcPr>
            <w:tcW w:w="0" w:type="auto"/>
            <w:shd w:val="clear" w:color="auto" w:fill="CFF0FC"/>
            <w:vAlign w:val="bottom"/>
            <w:hideMark/>
          </w:tcPr>
          <w:p w14:paraId="314B649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345E546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21D92766"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40</w:t>
            </w:r>
          </w:p>
        </w:tc>
        <w:tc>
          <w:tcPr>
            <w:tcW w:w="0" w:type="auto"/>
            <w:shd w:val="clear" w:color="auto" w:fill="CFF0FC"/>
            <w:vAlign w:val="bottom"/>
            <w:hideMark/>
          </w:tcPr>
          <w:p w14:paraId="22C9331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1BB90A2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24C7B1D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1BFD807C"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42</w:t>
            </w:r>
          </w:p>
        </w:tc>
        <w:tc>
          <w:tcPr>
            <w:tcW w:w="0" w:type="auto"/>
            <w:shd w:val="clear" w:color="auto" w:fill="CFF0FC"/>
            <w:vAlign w:val="bottom"/>
            <w:hideMark/>
          </w:tcPr>
          <w:p w14:paraId="6736DB8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3E91AD8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75B9FC4F"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42</w:t>
            </w:r>
          </w:p>
        </w:tc>
        <w:tc>
          <w:tcPr>
            <w:tcW w:w="0" w:type="auto"/>
            <w:shd w:val="clear" w:color="auto" w:fill="CFF0FC"/>
            <w:vAlign w:val="bottom"/>
            <w:hideMark/>
          </w:tcPr>
          <w:p w14:paraId="7B1169B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66119DF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4CE6231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33DDD837"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0</w:t>
            </w:r>
          </w:p>
        </w:tc>
        <w:tc>
          <w:tcPr>
            <w:tcW w:w="0" w:type="auto"/>
            <w:shd w:val="clear" w:color="auto" w:fill="CFF0FC"/>
            <w:vAlign w:val="bottom"/>
            <w:hideMark/>
          </w:tcPr>
          <w:p w14:paraId="60BC972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3DFFF04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1EB20C0B"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0</w:t>
            </w:r>
          </w:p>
        </w:tc>
        <w:tc>
          <w:tcPr>
            <w:tcW w:w="0" w:type="auto"/>
            <w:shd w:val="clear" w:color="auto" w:fill="CFF0FC"/>
            <w:vAlign w:val="bottom"/>
            <w:hideMark/>
          </w:tcPr>
          <w:p w14:paraId="2F84CE9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64DBCF4D" w14:textId="77777777" w:rsidTr="002F3D36">
        <w:trPr>
          <w:trHeight w:val="180"/>
          <w:tblCellSpacing w:w="15" w:type="dxa"/>
        </w:trPr>
        <w:tc>
          <w:tcPr>
            <w:tcW w:w="0" w:type="auto"/>
            <w:hideMark/>
          </w:tcPr>
          <w:p w14:paraId="2F6CEF4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Debt instruments %</w:t>
            </w:r>
          </w:p>
        </w:tc>
        <w:tc>
          <w:tcPr>
            <w:tcW w:w="0" w:type="auto"/>
            <w:vAlign w:val="bottom"/>
            <w:hideMark/>
          </w:tcPr>
          <w:p w14:paraId="012342E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40C9FA1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1F8C5FAF"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60</w:t>
            </w:r>
          </w:p>
        </w:tc>
        <w:tc>
          <w:tcPr>
            <w:tcW w:w="0" w:type="auto"/>
            <w:vAlign w:val="bottom"/>
            <w:hideMark/>
          </w:tcPr>
          <w:p w14:paraId="673F904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0C8E7CC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5155FD1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6ADA4B0B"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57</w:t>
            </w:r>
          </w:p>
        </w:tc>
        <w:tc>
          <w:tcPr>
            <w:tcW w:w="0" w:type="auto"/>
            <w:vAlign w:val="bottom"/>
            <w:hideMark/>
          </w:tcPr>
          <w:p w14:paraId="537DC4F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1AFA9EE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1BAE2BCE"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57</w:t>
            </w:r>
          </w:p>
        </w:tc>
        <w:tc>
          <w:tcPr>
            <w:tcW w:w="0" w:type="auto"/>
            <w:vAlign w:val="bottom"/>
            <w:hideMark/>
          </w:tcPr>
          <w:p w14:paraId="03D3404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5A5681DE"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43C10ED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60625AB7"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76</w:t>
            </w:r>
          </w:p>
        </w:tc>
        <w:tc>
          <w:tcPr>
            <w:tcW w:w="0" w:type="auto"/>
            <w:vAlign w:val="bottom"/>
            <w:hideMark/>
          </w:tcPr>
          <w:p w14:paraId="383F02C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645BA15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2A49F7F3"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77</w:t>
            </w:r>
          </w:p>
        </w:tc>
        <w:tc>
          <w:tcPr>
            <w:tcW w:w="0" w:type="auto"/>
            <w:vAlign w:val="bottom"/>
            <w:hideMark/>
          </w:tcPr>
          <w:p w14:paraId="72BA019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47C74B1A" w14:textId="77777777" w:rsidTr="002F3D36">
        <w:trPr>
          <w:trHeight w:val="180"/>
          <w:tblCellSpacing w:w="15" w:type="dxa"/>
        </w:trPr>
        <w:tc>
          <w:tcPr>
            <w:tcW w:w="0" w:type="auto"/>
            <w:shd w:val="clear" w:color="auto" w:fill="CFF0FC"/>
            <w:hideMark/>
          </w:tcPr>
          <w:p w14:paraId="5FACA7E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Other assets %</w:t>
            </w:r>
          </w:p>
        </w:tc>
        <w:tc>
          <w:tcPr>
            <w:tcW w:w="0" w:type="auto"/>
            <w:shd w:val="clear" w:color="auto" w:fill="CFF0FC"/>
            <w:vAlign w:val="bottom"/>
            <w:hideMark/>
          </w:tcPr>
          <w:p w14:paraId="7DB1DDB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2B94D54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07C61BF9"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562BCE8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699E542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7A0E35F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0E39964F"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w:t>
            </w:r>
          </w:p>
        </w:tc>
        <w:tc>
          <w:tcPr>
            <w:tcW w:w="0" w:type="auto"/>
            <w:shd w:val="clear" w:color="auto" w:fill="CFF0FC"/>
            <w:vAlign w:val="bottom"/>
            <w:hideMark/>
          </w:tcPr>
          <w:p w14:paraId="52480A1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30B934A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4C25F25D"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w:t>
            </w:r>
          </w:p>
        </w:tc>
        <w:tc>
          <w:tcPr>
            <w:tcW w:w="0" w:type="auto"/>
            <w:shd w:val="clear" w:color="auto" w:fill="CFF0FC"/>
            <w:vAlign w:val="bottom"/>
            <w:hideMark/>
          </w:tcPr>
          <w:p w14:paraId="66CFB1C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48E2F60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46055E3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56FCE8A8"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24</w:t>
            </w:r>
          </w:p>
        </w:tc>
        <w:tc>
          <w:tcPr>
            <w:tcW w:w="0" w:type="auto"/>
            <w:shd w:val="clear" w:color="auto" w:fill="CFF0FC"/>
            <w:vAlign w:val="bottom"/>
            <w:hideMark/>
          </w:tcPr>
          <w:p w14:paraId="3F764C1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3852377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4526CF02"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23</w:t>
            </w:r>
          </w:p>
        </w:tc>
        <w:tc>
          <w:tcPr>
            <w:tcW w:w="0" w:type="auto"/>
            <w:shd w:val="clear" w:color="auto" w:fill="CFF0FC"/>
            <w:vAlign w:val="bottom"/>
            <w:hideMark/>
          </w:tcPr>
          <w:p w14:paraId="7CE0667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4C11FA4A" w14:textId="77777777" w:rsidTr="002F3D36">
        <w:trPr>
          <w:trHeight w:val="180"/>
          <w:tblCellSpacing w:w="15" w:type="dxa"/>
        </w:trPr>
        <w:tc>
          <w:tcPr>
            <w:tcW w:w="0" w:type="auto"/>
            <w:hideMark/>
          </w:tcPr>
          <w:p w14:paraId="4399121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Total %</w:t>
            </w:r>
          </w:p>
        </w:tc>
        <w:tc>
          <w:tcPr>
            <w:tcW w:w="0" w:type="auto"/>
            <w:vAlign w:val="bottom"/>
            <w:hideMark/>
          </w:tcPr>
          <w:p w14:paraId="6256E60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3AC44C5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17B0F08F"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100</w:t>
            </w:r>
          </w:p>
        </w:tc>
        <w:tc>
          <w:tcPr>
            <w:tcW w:w="0" w:type="auto"/>
            <w:vAlign w:val="bottom"/>
            <w:hideMark/>
          </w:tcPr>
          <w:p w14:paraId="7A0960B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54CFF9E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49B2564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59A5A3D5"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100</w:t>
            </w:r>
          </w:p>
        </w:tc>
        <w:tc>
          <w:tcPr>
            <w:tcW w:w="0" w:type="auto"/>
            <w:vAlign w:val="bottom"/>
            <w:hideMark/>
          </w:tcPr>
          <w:p w14:paraId="428B16BE"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6CF4543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74505A22"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100</w:t>
            </w:r>
          </w:p>
        </w:tc>
        <w:tc>
          <w:tcPr>
            <w:tcW w:w="0" w:type="auto"/>
            <w:vAlign w:val="bottom"/>
            <w:hideMark/>
          </w:tcPr>
          <w:p w14:paraId="499ED08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6CB370F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3B02637E"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65AF9AA2"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100</w:t>
            </w:r>
          </w:p>
        </w:tc>
        <w:tc>
          <w:tcPr>
            <w:tcW w:w="0" w:type="auto"/>
            <w:vAlign w:val="bottom"/>
            <w:hideMark/>
          </w:tcPr>
          <w:p w14:paraId="1CCC2C1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5FC4562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0A291FC9"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100</w:t>
            </w:r>
          </w:p>
        </w:tc>
        <w:tc>
          <w:tcPr>
            <w:tcW w:w="0" w:type="auto"/>
            <w:vAlign w:val="bottom"/>
            <w:hideMark/>
          </w:tcPr>
          <w:p w14:paraId="66B515C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bl>
    <w:p w14:paraId="68BBD826"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24"/>
          <w:szCs w:val="24"/>
        </w:rPr>
        <w:t> </w:t>
      </w:r>
    </w:p>
    <w:p w14:paraId="09601FE5"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The following table summarizes the fair value of the Company’s U.S. and non-U.S. defined benefit pension plan assets:</w:t>
      </w:r>
    </w:p>
    <w:p w14:paraId="47B451DB"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w:t>
      </w:r>
    </w:p>
    <w:tbl>
      <w:tblPr>
        <w:tblW w:w="14430" w:type="dxa"/>
        <w:tblCellSpacing w:w="15" w:type="dxa"/>
        <w:tblCellMar>
          <w:top w:w="15" w:type="dxa"/>
          <w:left w:w="15" w:type="dxa"/>
          <w:bottom w:w="15" w:type="dxa"/>
          <w:right w:w="15" w:type="dxa"/>
        </w:tblCellMar>
        <w:tblLook w:val="04A0" w:firstRow="1" w:lastRow="0" w:firstColumn="1" w:lastColumn="0" w:noHBand="0" w:noVBand="1"/>
      </w:tblPr>
      <w:tblGrid>
        <w:gridCol w:w="7645"/>
        <w:gridCol w:w="273"/>
        <w:gridCol w:w="315"/>
        <w:gridCol w:w="2661"/>
        <w:gridCol w:w="150"/>
        <w:gridCol w:w="292"/>
        <w:gridCol w:w="315"/>
        <w:gridCol w:w="2616"/>
        <w:gridCol w:w="163"/>
      </w:tblGrid>
      <w:tr w:rsidR="002F3D36" w:rsidRPr="002F3D36" w14:paraId="4E7AF6CE" w14:textId="77777777" w:rsidTr="002F3D36">
        <w:trPr>
          <w:tblCellSpacing w:w="15" w:type="dxa"/>
        </w:trPr>
        <w:tc>
          <w:tcPr>
            <w:tcW w:w="7617" w:type="dxa"/>
            <w:vAlign w:val="center"/>
            <w:hideMark/>
          </w:tcPr>
          <w:p w14:paraId="6BB52B34" w14:textId="77777777" w:rsidR="002F3D36" w:rsidRPr="002F3D36" w:rsidRDefault="002F3D36" w:rsidP="002F3D36">
            <w:pPr>
              <w:widowControl/>
              <w:jc w:val="left"/>
              <w:rPr>
                <w:rFonts w:ascii="Times New Roman" w:eastAsia="宋体" w:hAnsi="Times New Roman" w:cs="Times New Roman"/>
                <w:color w:val="000000"/>
                <w:kern w:val="0"/>
                <w:sz w:val="20"/>
                <w:szCs w:val="20"/>
              </w:rPr>
            </w:pPr>
          </w:p>
        </w:tc>
        <w:tc>
          <w:tcPr>
            <w:tcW w:w="243" w:type="dxa"/>
            <w:vAlign w:val="center"/>
            <w:hideMark/>
          </w:tcPr>
          <w:p w14:paraId="20475245"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85" w:type="dxa"/>
            <w:vAlign w:val="center"/>
            <w:hideMark/>
          </w:tcPr>
          <w:p w14:paraId="6B2BD597"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637" w:type="dxa"/>
            <w:vAlign w:val="center"/>
            <w:hideMark/>
          </w:tcPr>
          <w:p w14:paraId="0BADE85C"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20" w:type="dxa"/>
            <w:vAlign w:val="center"/>
            <w:hideMark/>
          </w:tcPr>
          <w:p w14:paraId="29B7D77B"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62" w:type="dxa"/>
            <w:vAlign w:val="center"/>
            <w:hideMark/>
          </w:tcPr>
          <w:p w14:paraId="0CD25D28"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85" w:type="dxa"/>
            <w:vAlign w:val="center"/>
            <w:hideMark/>
          </w:tcPr>
          <w:p w14:paraId="7D4C8857"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592" w:type="dxa"/>
            <w:vAlign w:val="center"/>
            <w:hideMark/>
          </w:tcPr>
          <w:p w14:paraId="7C177660"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18" w:type="dxa"/>
            <w:vAlign w:val="center"/>
            <w:hideMark/>
          </w:tcPr>
          <w:p w14:paraId="2B253BFC" w14:textId="77777777" w:rsidR="002F3D36" w:rsidRPr="002F3D36" w:rsidRDefault="002F3D36" w:rsidP="002F3D36">
            <w:pPr>
              <w:widowControl/>
              <w:jc w:val="left"/>
              <w:rPr>
                <w:rFonts w:ascii="Times New Roman" w:eastAsia="Times New Roman" w:hAnsi="Times New Roman" w:cs="Times New Roman"/>
                <w:kern w:val="0"/>
                <w:sz w:val="20"/>
                <w:szCs w:val="20"/>
              </w:rPr>
            </w:pPr>
          </w:p>
        </w:tc>
      </w:tr>
      <w:tr w:rsidR="002F3D36" w:rsidRPr="002F3D36" w14:paraId="7D9DDB99" w14:textId="77777777" w:rsidTr="002F3D36">
        <w:trPr>
          <w:trHeight w:val="160"/>
          <w:tblCellSpacing w:w="15" w:type="dxa"/>
        </w:trPr>
        <w:tc>
          <w:tcPr>
            <w:tcW w:w="0" w:type="auto"/>
            <w:vAlign w:val="bottom"/>
            <w:hideMark/>
          </w:tcPr>
          <w:p w14:paraId="5E5B28E2" w14:textId="77777777" w:rsidR="002F3D36" w:rsidRPr="002F3D36" w:rsidRDefault="002F3D36" w:rsidP="002F3D36">
            <w:pPr>
              <w:widowControl/>
              <w:jc w:val="left"/>
              <w:rPr>
                <w:rFonts w:ascii="Times New Roman" w:eastAsia="宋体" w:hAnsi="Times New Roman" w:cs="Times New Roman"/>
                <w:kern w:val="0"/>
                <w:sz w:val="22"/>
              </w:rPr>
            </w:pPr>
            <w:r w:rsidRPr="002F3D36">
              <w:rPr>
                <w:rFonts w:ascii="Arial" w:eastAsia="宋体" w:hAnsi="Arial" w:cs="Arial"/>
                <w:kern w:val="0"/>
                <w:sz w:val="22"/>
              </w:rPr>
              <w:t> </w:t>
            </w:r>
          </w:p>
        </w:tc>
        <w:tc>
          <w:tcPr>
            <w:tcW w:w="0" w:type="auto"/>
            <w:vAlign w:val="bottom"/>
            <w:hideMark/>
          </w:tcPr>
          <w:p w14:paraId="6A3C3D17" w14:textId="77777777" w:rsidR="002F3D36" w:rsidRPr="002F3D36" w:rsidRDefault="002F3D36" w:rsidP="002F3D36">
            <w:pPr>
              <w:widowControl/>
              <w:jc w:val="right"/>
              <w:rPr>
                <w:rFonts w:ascii="Times New Roman" w:eastAsia="宋体" w:hAnsi="Times New Roman" w:cs="Times New Roman"/>
                <w:kern w:val="0"/>
                <w:sz w:val="22"/>
              </w:rPr>
            </w:pPr>
            <w:r w:rsidRPr="002F3D36">
              <w:rPr>
                <w:rFonts w:ascii="Arial" w:eastAsia="宋体" w:hAnsi="Arial" w:cs="Arial"/>
                <w:kern w:val="0"/>
                <w:sz w:val="22"/>
              </w:rPr>
              <w:t> </w:t>
            </w:r>
          </w:p>
        </w:tc>
        <w:tc>
          <w:tcPr>
            <w:tcW w:w="0" w:type="auto"/>
            <w:gridSpan w:val="6"/>
            <w:tcBorders>
              <w:bottom w:val="single" w:sz="4" w:space="0" w:color="000000"/>
            </w:tcBorders>
            <w:vAlign w:val="bottom"/>
            <w:hideMark/>
          </w:tcPr>
          <w:p w14:paraId="24009724"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Fair value measurement at December 31,</w:t>
            </w:r>
          </w:p>
        </w:tc>
        <w:tc>
          <w:tcPr>
            <w:tcW w:w="0" w:type="auto"/>
            <w:vAlign w:val="bottom"/>
            <w:hideMark/>
          </w:tcPr>
          <w:p w14:paraId="45B2F640"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r>
      <w:tr w:rsidR="002F3D36" w:rsidRPr="002F3D36" w14:paraId="3FFF627C" w14:textId="77777777" w:rsidTr="002F3D36">
        <w:trPr>
          <w:trHeight w:val="160"/>
          <w:tblCellSpacing w:w="15" w:type="dxa"/>
        </w:trPr>
        <w:tc>
          <w:tcPr>
            <w:tcW w:w="0" w:type="auto"/>
            <w:vAlign w:val="bottom"/>
            <w:hideMark/>
          </w:tcPr>
          <w:p w14:paraId="2BFE816E"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color w:val="000000"/>
                <w:kern w:val="0"/>
                <w:sz w:val="16"/>
                <w:szCs w:val="16"/>
                <w:u w:val="single"/>
              </w:rPr>
              <w:t>(Dollars in millions)</w:t>
            </w:r>
          </w:p>
        </w:tc>
        <w:tc>
          <w:tcPr>
            <w:tcW w:w="0" w:type="auto"/>
            <w:vAlign w:val="bottom"/>
            <w:hideMark/>
          </w:tcPr>
          <w:p w14:paraId="5DB834BF" w14:textId="77777777" w:rsidR="002F3D36" w:rsidRPr="002F3D36" w:rsidRDefault="002F3D36" w:rsidP="002F3D36">
            <w:pPr>
              <w:widowControl/>
              <w:jc w:val="right"/>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2"/>
            <w:tcBorders>
              <w:bottom w:val="single" w:sz="4" w:space="0" w:color="000000"/>
            </w:tcBorders>
            <w:vAlign w:val="bottom"/>
            <w:hideMark/>
          </w:tcPr>
          <w:p w14:paraId="7ECC70C7"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2021</w:t>
            </w:r>
          </w:p>
        </w:tc>
        <w:tc>
          <w:tcPr>
            <w:tcW w:w="0" w:type="auto"/>
            <w:vAlign w:val="bottom"/>
            <w:hideMark/>
          </w:tcPr>
          <w:p w14:paraId="040F89FE"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vAlign w:val="bottom"/>
            <w:hideMark/>
          </w:tcPr>
          <w:p w14:paraId="632D86F3" w14:textId="77777777" w:rsidR="002F3D36" w:rsidRPr="002F3D36" w:rsidRDefault="002F3D36" w:rsidP="002F3D36">
            <w:pPr>
              <w:widowControl/>
              <w:jc w:val="right"/>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2"/>
            <w:tcBorders>
              <w:bottom w:val="single" w:sz="4" w:space="0" w:color="000000"/>
            </w:tcBorders>
            <w:vAlign w:val="bottom"/>
            <w:hideMark/>
          </w:tcPr>
          <w:p w14:paraId="649F0286"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2020</w:t>
            </w:r>
          </w:p>
        </w:tc>
        <w:tc>
          <w:tcPr>
            <w:tcW w:w="0" w:type="auto"/>
            <w:vAlign w:val="bottom"/>
            <w:hideMark/>
          </w:tcPr>
          <w:p w14:paraId="4330BE3F"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r>
      <w:tr w:rsidR="002F3D36" w:rsidRPr="002F3D36" w14:paraId="3E643790" w14:textId="77777777" w:rsidTr="002F3D36">
        <w:trPr>
          <w:trHeight w:val="180"/>
          <w:tblCellSpacing w:w="15" w:type="dxa"/>
        </w:trPr>
        <w:tc>
          <w:tcPr>
            <w:tcW w:w="0" w:type="auto"/>
            <w:shd w:val="clear" w:color="auto" w:fill="CFF0FC"/>
            <w:hideMark/>
          </w:tcPr>
          <w:p w14:paraId="4372029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Assets</w:t>
            </w:r>
          </w:p>
        </w:tc>
        <w:tc>
          <w:tcPr>
            <w:tcW w:w="0" w:type="auto"/>
            <w:shd w:val="clear" w:color="auto" w:fill="CFF0FC"/>
            <w:vAlign w:val="bottom"/>
            <w:hideMark/>
          </w:tcPr>
          <w:p w14:paraId="07DA4901"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gridSpan w:val="2"/>
            <w:shd w:val="clear" w:color="auto" w:fill="CFF0FC"/>
            <w:vAlign w:val="bottom"/>
            <w:hideMark/>
          </w:tcPr>
          <w:p w14:paraId="5C2F5F4A"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20676F01"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3B1A3A07"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gridSpan w:val="2"/>
            <w:shd w:val="clear" w:color="auto" w:fill="CFF0FC"/>
            <w:vAlign w:val="bottom"/>
            <w:hideMark/>
          </w:tcPr>
          <w:p w14:paraId="7830EF03"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084E4971"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2444F144" w14:textId="77777777" w:rsidTr="002F3D36">
        <w:trPr>
          <w:trHeight w:val="180"/>
          <w:tblCellSpacing w:w="15" w:type="dxa"/>
        </w:trPr>
        <w:tc>
          <w:tcPr>
            <w:tcW w:w="0" w:type="auto"/>
            <w:hideMark/>
          </w:tcPr>
          <w:p w14:paraId="25B45C0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Non-U.S. Bonds</w:t>
            </w:r>
          </w:p>
        </w:tc>
        <w:tc>
          <w:tcPr>
            <w:tcW w:w="0" w:type="auto"/>
            <w:vAlign w:val="bottom"/>
            <w:hideMark/>
          </w:tcPr>
          <w:p w14:paraId="133BC57A"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gridSpan w:val="2"/>
            <w:vAlign w:val="bottom"/>
            <w:hideMark/>
          </w:tcPr>
          <w:p w14:paraId="771384A0"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42D3EDE1"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57599F0A"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gridSpan w:val="2"/>
            <w:vAlign w:val="bottom"/>
            <w:hideMark/>
          </w:tcPr>
          <w:p w14:paraId="2437155B"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703B0BEA"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0F4B347A" w14:textId="77777777" w:rsidTr="002F3D36">
        <w:trPr>
          <w:trHeight w:val="180"/>
          <w:tblCellSpacing w:w="15" w:type="dxa"/>
        </w:trPr>
        <w:tc>
          <w:tcPr>
            <w:tcW w:w="0" w:type="auto"/>
            <w:shd w:val="clear" w:color="auto" w:fill="CFF0FC"/>
            <w:hideMark/>
          </w:tcPr>
          <w:p w14:paraId="03E88EDB" w14:textId="77777777" w:rsidR="002F3D36" w:rsidRPr="002F3D36" w:rsidRDefault="002F3D36" w:rsidP="002F3D36">
            <w:pPr>
              <w:widowControl/>
              <w:ind w:left="200"/>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Corporate</w:t>
            </w:r>
          </w:p>
        </w:tc>
        <w:tc>
          <w:tcPr>
            <w:tcW w:w="0" w:type="auto"/>
            <w:shd w:val="clear" w:color="auto" w:fill="CFF0FC"/>
            <w:vAlign w:val="bottom"/>
            <w:hideMark/>
          </w:tcPr>
          <w:p w14:paraId="0BBD102C"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6F222CB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0D1971CC"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77</w:t>
            </w:r>
          </w:p>
        </w:tc>
        <w:tc>
          <w:tcPr>
            <w:tcW w:w="0" w:type="auto"/>
            <w:shd w:val="clear" w:color="auto" w:fill="CFF0FC"/>
            <w:vAlign w:val="bottom"/>
            <w:hideMark/>
          </w:tcPr>
          <w:p w14:paraId="242F5D6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481E038A"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427AB2E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782E25BA"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80</w:t>
            </w:r>
          </w:p>
        </w:tc>
        <w:tc>
          <w:tcPr>
            <w:tcW w:w="0" w:type="auto"/>
            <w:shd w:val="clear" w:color="auto" w:fill="CFF0FC"/>
            <w:vAlign w:val="bottom"/>
            <w:hideMark/>
          </w:tcPr>
          <w:p w14:paraId="1D6A3A4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6006BFAA" w14:textId="77777777" w:rsidTr="002F3D36">
        <w:trPr>
          <w:trHeight w:val="180"/>
          <w:tblCellSpacing w:w="15" w:type="dxa"/>
        </w:trPr>
        <w:tc>
          <w:tcPr>
            <w:tcW w:w="0" w:type="auto"/>
            <w:hideMark/>
          </w:tcPr>
          <w:p w14:paraId="5328EF01" w14:textId="77777777" w:rsidR="002F3D36" w:rsidRPr="002F3D36" w:rsidRDefault="002F3D36" w:rsidP="002F3D36">
            <w:pPr>
              <w:widowControl/>
              <w:ind w:left="200"/>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Insurance Contracts</w:t>
            </w:r>
          </w:p>
        </w:tc>
        <w:tc>
          <w:tcPr>
            <w:tcW w:w="0" w:type="auto"/>
            <w:vAlign w:val="bottom"/>
            <w:hideMark/>
          </w:tcPr>
          <w:p w14:paraId="6465EC87"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352FD7D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077893C0"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16</w:t>
            </w:r>
          </w:p>
        </w:tc>
        <w:tc>
          <w:tcPr>
            <w:tcW w:w="0" w:type="auto"/>
            <w:vAlign w:val="bottom"/>
            <w:hideMark/>
          </w:tcPr>
          <w:p w14:paraId="37C8E02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304C02DF"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6F17028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60C89C87"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18</w:t>
            </w:r>
          </w:p>
        </w:tc>
        <w:tc>
          <w:tcPr>
            <w:tcW w:w="0" w:type="auto"/>
            <w:vAlign w:val="bottom"/>
            <w:hideMark/>
          </w:tcPr>
          <w:p w14:paraId="0B29DCC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34E18F81" w14:textId="77777777" w:rsidTr="002F3D36">
        <w:trPr>
          <w:trHeight w:val="180"/>
          <w:tblCellSpacing w:w="15" w:type="dxa"/>
        </w:trPr>
        <w:tc>
          <w:tcPr>
            <w:tcW w:w="0" w:type="auto"/>
            <w:shd w:val="clear" w:color="auto" w:fill="CFF0FC"/>
            <w:hideMark/>
          </w:tcPr>
          <w:p w14:paraId="7DF3B7A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Other Investments</w:t>
            </w:r>
          </w:p>
        </w:tc>
        <w:tc>
          <w:tcPr>
            <w:tcW w:w="0" w:type="auto"/>
            <w:shd w:val="clear" w:color="auto" w:fill="CFF0FC"/>
            <w:vAlign w:val="bottom"/>
            <w:hideMark/>
          </w:tcPr>
          <w:p w14:paraId="09D91B72"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68FEAA7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0CDEB76E"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8</w:t>
            </w:r>
          </w:p>
        </w:tc>
        <w:tc>
          <w:tcPr>
            <w:tcW w:w="0" w:type="auto"/>
            <w:shd w:val="clear" w:color="auto" w:fill="CFF0FC"/>
            <w:vAlign w:val="bottom"/>
            <w:hideMark/>
          </w:tcPr>
          <w:p w14:paraId="572FB7C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5CAA0557"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019BAF5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4CA2D3E1"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10</w:t>
            </w:r>
          </w:p>
        </w:tc>
        <w:tc>
          <w:tcPr>
            <w:tcW w:w="0" w:type="auto"/>
            <w:shd w:val="clear" w:color="auto" w:fill="CFF0FC"/>
            <w:vAlign w:val="bottom"/>
            <w:hideMark/>
          </w:tcPr>
          <w:p w14:paraId="1DA743D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5AE77473" w14:textId="77777777" w:rsidTr="002F3D36">
        <w:trPr>
          <w:trHeight w:val="180"/>
          <w:tblCellSpacing w:w="15" w:type="dxa"/>
        </w:trPr>
        <w:tc>
          <w:tcPr>
            <w:tcW w:w="0" w:type="auto"/>
            <w:hideMark/>
          </w:tcPr>
          <w:p w14:paraId="4C4B14E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Assets at fair value Level 2</w:t>
            </w:r>
          </w:p>
        </w:tc>
        <w:tc>
          <w:tcPr>
            <w:tcW w:w="0" w:type="auto"/>
            <w:vAlign w:val="bottom"/>
            <w:hideMark/>
          </w:tcPr>
          <w:p w14:paraId="776D3E2D"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34F72BE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095BF199"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101</w:t>
            </w:r>
          </w:p>
        </w:tc>
        <w:tc>
          <w:tcPr>
            <w:tcW w:w="0" w:type="auto"/>
            <w:vAlign w:val="bottom"/>
            <w:hideMark/>
          </w:tcPr>
          <w:p w14:paraId="2750224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48407B6D"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6CCBD8D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6349AA0F"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107</w:t>
            </w:r>
          </w:p>
        </w:tc>
        <w:tc>
          <w:tcPr>
            <w:tcW w:w="0" w:type="auto"/>
            <w:vAlign w:val="bottom"/>
            <w:hideMark/>
          </w:tcPr>
          <w:p w14:paraId="1C0DDD1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555F834B" w14:textId="77777777" w:rsidTr="002F3D36">
        <w:trPr>
          <w:trHeight w:val="180"/>
          <w:tblCellSpacing w:w="15" w:type="dxa"/>
        </w:trPr>
        <w:tc>
          <w:tcPr>
            <w:tcW w:w="0" w:type="auto"/>
            <w:shd w:val="clear" w:color="auto" w:fill="CFF0FC"/>
            <w:hideMark/>
          </w:tcPr>
          <w:p w14:paraId="7C6B495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Investments measured at net asset value</w:t>
            </w:r>
            <w:r w:rsidRPr="002F3D36">
              <w:rPr>
                <w:rFonts w:ascii="Arial" w:eastAsia="宋体" w:hAnsi="Arial" w:cs="Arial"/>
                <w:b/>
                <w:bCs/>
                <w:color w:val="000000"/>
                <w:kern w:val="0"/>
                <w:sz w:val="18"/>
                <w:szCs w:val="18"/>
              </w:rPr>
              <w:br/>
              <w:t>   (NAV):</w:t>
            </w:r>
          </w:p>
        </w:tc>
        <w:tc>
          <w:tcPr>
            <w:tcW w:w="0" w:type="auto"/>
            <w:shd w:val="clear" w:color="auto" w:fill="CFF0FC"/>
            <w:vAlign w:val="bottom"/>
            <w:hideMark/>
          </w:tcPr>
          <w:p w14:paraId="3AE9D8EA"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gridSpan w:val="2"/>
            <w:shd w:val="clear" w:color="auto" w:fill="CFF0FC"/>
            <w:vAlign w:val="bottom"/>
            <w:hideMark/>
          </w:tcPr>
          <w:p w14:paraId="38334CF8"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231C9645"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1ABD962F"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gridSpan w:val="2"/>
            <w:shd w:val="clear" w:color="auto" w:fill="CFF0FC"/>
            <w:vAlign w:val="bottom"/>
            <w:hideMark/>
          </w:tcPr>
          <w:p w14:paraId="763736A1"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3F37A91D"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405B41C6" w14:textId="77777777" w:rsidTr="002F3D36">
        <w:trPr>
          <w:trHeight w:val="180"/>
          <w:tblCellSpacing w:w="15" w:type="dxa"/>
        </w:trPr>
        <w:tc>
          <w:tcPr>
            <w:tcW w:w="0" w:type="auto"/>
            <w:hideMark/>
          </w:tcPr>
          <w:p w14:paraId="4C3CB235" w14:textId="77777777" w:rsidR="002F3D36" w:rsidRPr="002F3D36" w:rsidRDefault="002F3D36" w:rsidP="002F3D36">
            <w:pPr>
              <w:widowControl/>
              <w:ind w:left="200"/>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Common collective trusts</w:t>
            </w:r>
          </w:p>
        </w:tc>
        <w:tc>
          <w:tcPr>
            <w:tcW w:w="0" w:type="auto"/>
            <w:vAlign w:val="bottom"/>
            <w:hideMark/>
          </w:tcPr>
          <w:p w14:paraId="4F8D6C8D"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7F8A3A2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74E50D2E"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343</w:t>
            </w:r>
          </w:p>
        </w:tc>
        <w:tc>
          <w:tcPr>
            <w:tcW w:w="0" w:type="auto"/>
            <w:vAlign w:val="bottom"/>
            <w:hideMark/>
          </w:tcPr>
          <w:p w14:paraId="12378E0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7850872B"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445E7AA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77942039"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351</w:t>
            </w:r>
          </w:p>
        </w:tc>
        <w:tc>
          <w:tcPr>
            <w:tcW w:w="0" w:type="auto"/>
            <w:vAlign w:val="bottom"/>
            <w:hideMark/>
          </w:tcPr>
          <w:p w14:paraId="08A5167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2447CCA1" w14:textId="77777777" w:rsidTr="002F3D36">
        <w:trPr>
          <w:trHeight w:val="180"/>
          <w:tblCellSpacing w:w="15" w:type="dxa"/>
        </w:trPr>
        <w:tc>
          <w:tcPr>
            <w:tcW w:w="0" w:type="auto"/>
            <w:shd w:val="clear" w:color="auto" w:fill="CFF0FC"/>
            <w:hideMark/>
          </w:tcPr>
          <w:p w14:paraId="07F7166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Total</w:t>
            </w:r>
          </w:p>
        </w:tc>
        <w:tc>
          <w:tcPr>
            <w:tcW w:w="0" w:type="auto"/>
            <w:shd w:val="clear" w:color="auto" w:fill="CFF0FC"/>
            <w:vAlign w:val="bottom"/>
            <w:hideMark/>
          </w:tcPr>
          <w:p w14:paraId="2D236694"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42230A9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tcBorders>
              <w:bottom w:val="single" w:sz="4" w:space="0" w:color="000000"/>
            </w:tcBorders>
            <w:shd w:val="clear" w:color="auto" w:fill="CFF0FC"/>
            <w:vAlign w:val="bottom"/>
            <w:hideMark/>
          </w:tcPr>
          <w:p w14:paraId="555A1FFE"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445</w:t>
            </w:r>
          </w:p>
        </w:tc>
        <w:tc>
          <w:tcPr>
            <w:tcW w:w="0" w:type="auto"/>
            <w:shd w:val="clear" w:color="auto" w:fill="CFF0FC"/>
            <w:vAlign w:val="bottom"/>
            <w:hideMark/>
          </w:tcPr>
          <w:p w14:paraId="7D8A24A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37ACB1D2"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772EA41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tcBorders>
              <w:bottom w:val="single" w:sz="4" w:space="0" w:color="000000"/>
            </w:tcBorders>
            <w:shd w:val="clear" w:color="auto" w:fill="CFF0FC"/>
            <w:vAlign w:val="bottom"/>
            <w:hideMark/>
          </w:tcPr>
          <w:p w14:paraId="53593E20"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457</w:t>
            </w:r>
          </w:p>
        </w:tc>
        <w:tc>
          <w:tcPr>
            <w:tcW w:w="0" w:type="auto"/>
            <w:shd w:val="clear" w:color="auto" w:fill="CFF0FC"/>
            <w:vAlign w:val="bottom"/>
            <w:hideMark/>
          </w:tcPr>
          <w:p w14:paraId="21B1279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bl>
    <w:p w14:paraId="718205FE"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24"/>
          <w:szCs w:val="24"/>
        </w:rPr>
        <w:t> </w:t>
      </w:r>
    </w:p>
    <w:p w14:paraId="242CC262"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xml:space="preserve">The fair value measurement level within the fair value hierarchy is based on the lowest level of any input that is significant to the fair value measurement. Certain assets that are measured at fair value using the NAV per share (or its equivalent) practical expedient have not been classified in the fair value hierarchy. </w:t>
      </w:r>
      <w:r w:rsidRPr="002F3D36">
        <w:rPr>
          <w:rFonts w:ascii="Arial" w:eastAsia="宋体" w:hAnsi="Arial" w:cs="Arial"/>
          <w:color w:val="000000"/>
          <w:kern w:val="0"/>
          <w:sz w:val="18"/>
          <w:szCs w:val="18"/>
        </w:rPr>
        <w:lastRenderedPageBreak/>
        <w:t xml:space="preserve">Plan assets not measured using the NAV are classified as Level 2 in the table above. Plan assets measured using the NAV mainly relate to the U.S. defined benefit pension plans and are separately disclosed as Common collective trusts below the Level 2 assets in the table above. </w:t>
      </w:r>
    </w:p>
    <w:p w14:paraId="6429ECA9"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The estimated future benefit payments for the pension benefits reflect expected future service, as appropriate. The amount of benefit payments in a given year may vary from the projected amount, especially for the U.S. plan since historically this plan pays the majority of benefits as a lump sum, where the lump sum amounts vary with market interest rates.</w:t>
      </w:r>
    </w:p>
    <w:p w14:paraId="3768FF0A"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w:t>
      </w:r>
    </w:p>
    <w:tbl>
      <w:tblPr>
        <w:tblW w:w="14430" w:type="dxa"/>
        <w:tblCellSpacing w:w="15" w:type="dxa"/>
        <w:tblCellMar>
          <w:top w:w="15" w:type="dxa"/>
          <w:left w:w="15" w:type="dxa"/>
          <w:bottom w:w="15" w:type="dxa"/>
          <w:right w:w="15" w:type="dxa"/>
        </w:tblCellMar>
        <w:tblLook w:val="04A0" w:firstRow="1" w:lastRow="0" w:firstColumn="1" w:lastColumn="0" w:noHBand="0" w:noVBand="1"/>
      </w:tblPr>
      <w:tblGrid>
        <w:gridCol w:w="9238"/>
        <w:gridCol w:w="247"/>
        <w:gridCol w:w="319"/>
        <w:gridCol w:w="1885"/>
        <w:gridCol w:w="168"/>
        <w:gridCol w:w="247"/>
        <w:gridCol w:w="319"/>
        <w:gridCol w:w="1823"/>
        <w:gridCol w:w="184"/>
      </w:tblGrid>
      <w:tr w:rsidR="002F3D36" w:rsidRPr="002F3D36" w14:paraId="13A90442" w14:textId="77777777" w:rsidTr="002F3D36">
        <w:trPr>
          <w:tblCellSpacing w:w="15" w:type="dxa"/>
        </w:trPr>
        <w:tc>
          <w:tcPr>
            <w:tcW w:w="9213" w:type="dxa"/>
            <w:vAlign w:val="center"/>
            <w:hideMark/>
          </w:tcPr>
          <w:p w14:paraId="520CEED6" w14:textId="77777777" w:rsidR="002F3D36" w:rsidRPr="002F3D36" w:rsidRDefault="002F3D36" w:rsidP="002F3D36">
            <w:pPr>
              <w:widowControl/>
              <w:jc w:val="left"/>
              <w:rPr>
                <w:rFonts w:ascii="Times New Roman" w:eastAsia="宋体" w:hAnsi="Times New Roman" w:cs="Times New Roman"/>
                <w:color w:val="000000"/>
                <w:kern w:val="0"/>
                <w:sz w:val="20"/>
                <w:szCs w:val="20"/>
              </w:rPr>
            </w:pPr>
          </w:p>
        </w:tc>
        <w:tc>
          <w:tcPr>
            <w:tcW w:w="217" w:type="dxa"/>
            <w:vAlign w:val="center"/>
            <w:hideMark/>
          </w:tcPr>
          <w:p w14:paraId="5533572A"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89" w:type="dxa"/>
            <w:vAlign w:val="center"/>
            <w:hideMark/>
          </w:tcPr>
          <w:p w14:paraId="2DA3D4C7"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859" w:type="dxa"/>
            <w:vAlign w:val="center"/>
            <w:hideMark/>
          </w:tcPr>
          <w:p w14:paraId="0126AD10"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38" w:type="dxa"/>
            <w:vAlign w:val="center"/>
            <w:hideMark/>
          </w:tcPr>
          <w:p w14:paraId="43C9FF53"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17" w:type="dxa"/>
            <w:vAlign w:val="center"/>
            <w:hideMark/>
          </w:tcPr>
          <w:p w14:paraId="3754FC0E"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89" w:type="dxa"/>
            <w:vAlign w:val="center"/>
            <w:hideMark/>
          </w:tcPr>
          <w:p w14:paraId="52566F6A"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797" w:type="dxa"/>
            <w:vAlign w:val="center"/>
            <w:hideMark/>
          </w:tcPr>
          <w:p w14:paraId="58FD168A"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39" w:type="dxa"/>
            <w:vAlign w:val="center"/>
            <w:hideMark/>
          </w:tcPr>
          <w:p w14:paraId="00568E98" w14:textId="77777777" w:rsidR="002F3D36" w:rsidRPr="002F3D36" w:rsidRDefault="002F3D36" w:rsidP="002F3D36">
            <w:pPr>
              <w:widowControl/>
              <w:jc w:val="left"/>
              <w:rPr>
                <w:rFonts w:ascii="Times New Roman" w:eastAsia="Times New Roman" w:hAnsi="Times New Roman" w:cs="Times New Roman"/>
                <w:kern w:val="0"/>
                <w:sz w:val="20"/>
                <w:szCs w:val="20"/>
              </w:rPr>
            </w:pPr>
          </w:p>
        </w:tc>
      </w:tr>
      <w:tr w:rsidR="002F3D36" w:rsidRPr="002F3D36" w14:paraId="03FDF048" w14:textId="77777777" w:rsidTr="002F3D36">
        <w:trPr>
          <w:trHeight w:val="160"/>
          <w:tblCellSpacing w:w="15" w:type="dxa"/>
        </w:trPr>
        <w:tc>
          <w:tcPr>
            <w:tcW w:w="0" w:type="auto"/>
            <w:vAlign w:val="bottom"/>
            <w:hideMark/>
          </w:tcPr>
          <w:p w14:paraId="561523CE"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u w:val="single"/>
              </w:rPr>
              <w:t>PENSION BENEFITS EXPECTED PAYMENTS</w:t>
            </w:r>
            <w:r w:rsidRPr="002F3D36">
              <w:rPr>
                <w:rFonts w:ascii="Arial" w:eastAsia="宋体" w:hAnsi="Arial" w:cs="Arial"/>
                <w:color w:val="000000"/>
                <w:kern w:val="0"/>
                <w:sz w:val="16"/>
                <w:szCs w:val="16"/>
                <w:u w:val="single"/>
              </w:rPr>
              <w:t> (dollars in millions)</w:t>
            </w:r>
          </w:p>
        </w:tc>
        <w:tc>
          <w:tcPr>
            <w:tcW w:w="0" w:type="auto"/>
            <w:vAlign w:val="bottom"/>
            <w:hideMark/>
          </w:tcPr>
          <w:p w14:paraId="040B7727" w14:textId="77777777" w:rsidR="002F3D36" w:rsidRPr="002F3D36" w:rsidRDefault="002F3D36" w:rsidP="002F3D36">
            <w:pPr>
              <w:widowControl/>
              <w:jc w:val="right"/>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2"/>
            <w:tcBorders>
              <w:bottom w:val="single" w:sz="4" w:space="0" w:color="000000"/>
            </w:tcBorders>
            <w:vAlign w:val="bottom"/>
            <w:hideMark/>
          </w:tcPr>
          <w:p w14:paraId="46E6CCA3"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U.S.</w:t>
            </w:r>
          </w:p>
        </w:tc>
        <w:tc>
          <w:tcPr>
            <w:tcW w:w="0" w:type="auto"/>
            <w:vAlign w:val="bottom"/>
            <w:hideMark/>
          </w:tcPr>
          <w:p w14:paraId="1F456F45"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vAlign w:val="bottom"/>
            <w:hideMark/>
          </w:tcPr>
          <w:p w14:paraId="45CA6CAD" w14:textId="77777777" w:rsidR="002F3D36" w:rsidRPr="002F3D36" w:rsidRDefault="002F3D36" w:rsidP="002F3D36">
            <w:pPr>
              <w:widowControl/>
              <w:jc w:val="right"/>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2"/>
            <w:tcBorders>
              <w:bottom w:val="single" w:sz="4" w:space="0" w:color="000000"/>
            </w:tcBorders>
            <w:vAlign w:val="bottom"/>
            <w:hideMark/>
          </w:tcPr>
          <w:p w14:paraId="01B8150C"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Non-U.S.</w:t>
            </w:r>
          </w:p>
        </w:tc>
        <w:tc>
          <w:tcPr>
            <w:tcW w:w="0" w:type="auto"/>
            <w:vAlign w:val="bottom"/>
            <w:hideMark/>
          </w:tcPr>
          <w:p w14:paraId="0E0C2BEE"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r>
      <w:tr w:rsidR="002F3D36" w:rsidRPr="002F3D36" w14:paraId="75184D2F" w14:textId="77777777" w:rsidTr="002F3D36">
        <w:trPr>
          <w:trHeight w:val="180"/>
          <w:tblCellSpacing w:w="15" w:type="dxa"/>
        </w:trPr>
        <w:tc>
          <w:tcPr>
            <w:tcW w:w="0" w:type="auto"/>
            <w:shd w:val="clear" w:color="auto" w:fill="CFF0FC"/>
            <w:hideMark/>
          </w:tcPr>
          <w:p w14:paraId="3FF7A1B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2022</w:t>
            </w:r>
          </w:p>
        </w:tc>
        <w:tc>
          <w:tcPr>
            <w:tcW w:w="0" w:type="auto"/>
            <w:shd w:val="clear" w:color="auto" w:fill="CFF0FC"/>
            <w:vAlign w:val="bottom"/>
            <w:hideMark/>
          </w:tcPr>
          <w:p w14:paraId="1A03E617"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229EB67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3DCA5F86"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20</w:t>
            </w:r>
          </w:p>
        </w:tc>
        <w:tc>
          <w:tcPr>
            <w:tcW w:w="0" w:type="auto"/>
            <w:shd w:val="clear" w:color="auto" w:fill="CFF0FC"/>
            <w:vAlign w:val="bottom"/>
            <w:hideMark/>
          </w:tcPr>
          <w:p w14:paraId="17BF7A4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27C31DDC"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035D448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2C1A02EC"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10</w:t>
            </w:r>
          </w:p>
        </w:tc>
        <w:tc>
          <w:tcPr>
            <w:tcW w:w="0" w:type="auto"/>
            <w:shd w:val="clear" w:color="auto" w:fill="CFF0FC"/>
            <w:vAlign w:val="bottom"/>
            <w:hideMark/>
          </w:tcPr>
          <w:p w14:paraId="7CEEED7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2DAFD04B" w14:textId="77777777" w:rsidTr="002F3D36">
        <w:trPr>
          <w:trHeight w:val="180"/>
          <w:tblCellSpacing w:w="15" w:type="dxa"/>
        </w:trPr>
        <w:tc>
          <w:tcPr>
            <w:tcW w:w="0" w:type="auto"/>
            <w:hideMark/>
          </w:tcPr>
          <w:p w14:paraId="4056006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2023</w:t>
            </w:r>
          </w:p>
        </w:tc>
        <w:tc>
          <w:tcPr>
            <w:tcW w:w="0" w:type="auto"/>
            <w:vAlign w:val="bottom"/>
            <w:hideMark/>
          </w:tcPr>
          <w:p w14:paraId="3E597044"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0834B12E"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687DE855"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21</w:t>
            </w:r>
          </w:p>
        </w:tc>
        <w:tc>
          <w:tcPr>
            <w:tcW w:w="0" w:type="auto"/>
            <w:vAlign w:val="bottom"/>
            <w:hideMark/>
          </w:tcPr>
          <w:p w14:paraId="4146EEAE"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593F4EF8"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6CC55E0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6AB61062"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9</w:t>
            </w:r>
          </w:p>
        </w:tc>
        <w:tc>
          <w:tcPr>
            <w:tcW w:w="0" w:type="auto"/>
            <w:vAlign w:val="bottom"/>
            <w:hideMark/>
          </w:tcPr>
          <w:p w14:paraId="659F5C9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6EC154E5" w14:textId="77777777" w:rsidTr="002F3D36">
        <w:trPr>
          <w:trHeight w:val="180"/>
          <w:tblCellSpacing w:w="15" w:type="dxa"/>
        </w:trPr>
        <w:tc>
          <w:tcPr>
            <w:tcW w:w="0" w:type="auto"/>
            <w:shd w:val="clear" w:color="auto" w:fill="CFF0FC"/>
            <w:hideMark/>
          </w:tcPr>
          <w:p w14:paraId="4CD6930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2024</w:t>
            </w:r>
          </w:p>
        </w:tc>
        <w:tc>
          <w:tcPr>
            <w:tcW w:w="0" w:type="auto"/>
            <w:shd w:val="clear" w:color="auto" w:fill="CFF0FC"/>
            <w:vAlign w:val="bottom"/>
            <w:hideMark/>
          </w:tcPr>
          <w:p w14:paraId="5ED26B52"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496C207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5425B8B0"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23</w:t>
            </w:r>
          </w:p>
        </w:tc>
        <w:tc>
          <w:tcPr>
            <w:tcW w:w="0" w:type="auto"/>
            <w:shd w:val="clear" w:color="auto" w:fill="CFF0FC"/>
            <w:vAlign w:val="bottom"/>
            <w:hideMark/>
          </w:tcPr>
          <w:p w14:paraId="462B1AC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7EAEC171"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1140100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61B2A4E4"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10</w:t>
            </w:r>
          </w:p>
        </w:tc>
        <w:tc>
          <w:tcPr>
            <w:tcW w:w="0" w:type="auto"/>
            <w:shd w:val="clear" w:color="auto" w:fill="CFF0FC"/>
            <w:vAlign w:val="bottom"/>
            <w:hideMark/>
          </w:tcPr>
          <w:p w14:paraId="1D6CB75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3A20AF35" w14:textId="77777777" w:rsidTr="002F3D36">
        <w:trPr>
          <w:trHeight w:val="180"/>
          <w:tblCellSpacing w:w="15" w:type="dxa"/>
        </w:trPr>
        <w:tc>
          <w:tcPr>
            <w:tcW w:w="0" w:type="auto"/>
            <w:hideMark/>
          </w:tcPr>
          <w:p w14:paraId="09E2D76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2025</w:t>
            </w:r>
          </w:p>
        </w:tc>
        <w:tc>
          <w:tcPr>
            <w:tcW w:w="0" w:type="auto"/>
            <w:vAlign w:val="bottom"/>
            <w:hideMark/>
          </w:tcPr>
          <w:p w14:paraId="5E6EF205"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614794F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122A97D5"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24</w:t>
            </w:r>
          </w:p>
        </w:tc>
        <w:tc>
          <w:tcPr>
            <w:tcW w:w="0" w:type="auto"/>
            <w:vAlign w:val="bottom"/>
            <w:hideMark/>
          </w:tcPr>
          <w:p w14:paraId="070F808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78C26CB8"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55D1B91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69B69712"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11</w:t>
            </w:r>
          </w:p>
        </w:tc>
        <w:tc>
          <w:tcPr>
            <w:tcW w:w="0" w:type="auto"/>
            <w:vAlign w:val="bottom"/>
            <w:hideMark/>
          </w:tcPr>
          <w:p w14:paraId="1CCE871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0E130494" w14:textId="77777777" w:rsidTr="002F3D36">
        <w:trPr>
          <w:trHeight w:val="180"/>
          <w:tblCellSpacing w:w="15" w:type="dxa"/>
        </w:trPr>
        <w:tc>
          <w:tcPr>
            <w:tcW w:w="0" w:type="auto"/>
            <w:shd w:val="clear" w:color="auto" w:fill="CFF0FC"/>
            <w:hideMark/>
          </w:tcPr>
          <w:p w14:paraId="12EE4CC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2026</w:t>
            </w:r>
          </w:p>
        </w:tc>
        <w:tc>
          <w:tcPr>
            <w:tcW w:w="0" w:type="auto"/>
            <w:shd w:val="clear" w:color="auto" w:fill="CFF0FC"/>
            <w:vAlign w:val="bottom"/>
            <w:hideMark/>
          </w:tcPr>
          <w:p w14:paraId="5B048E43"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58D298F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2243733B"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27</w:t>
            </w:r>
          </w:p>
        </w:tc>
        <w:tc>
          <w:tcPr>
            <w:tcW w:w="0" w:type="auto"/>
            <w:shd w:val="clear" w:color="auto" w:fill="CFF0FC"/>
            <w:vAlign w:val="bottom"/>
            <w:hideMark/>
          </w:tcPr>
          <w:p w14:paraId="10A8720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292C51D6"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244C54E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1F624424"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11</w:t>
            </w:r>
          </w:p>
        </w:tc>
        <w:tc>
          <w:tcPr>
            <w:tcW w:w="0" w:type="auto"/>
            <w:shd w:val="clear" w:color="auto" w:fill="CFF0FC"/>
            <w:vAlign w:val="bottom"/>
            <w:hideMark/>
          </w:tcPr>
          <w:p w14:paraId="17DCD63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6B928AB5" w14:textId="77777777" w:rsidTr="002F3D36">
        <w:trPr>
          <w:trHeight w:val="180"/>
          <w:tblCellSpacing w:w="15" w:type="dxa"/>
        </w:trPr>
        <w:tc>
          <w:tcPr>
            <w:tcW w:w="0" w:type="auto"/>
            <w:vAlign w:val="bottom"/>
            <w:hideMark/>
          </w:tcPr>
          <w:p w14:paraId="0AA35A4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Years 2027-2031</w:t>
            </w:r>
          </w:p>
        </w:tc>
        <w:tc>
          <w:tcPr>
            <w:tcW w:w="0" w:type="auto"/>
            <w:vAlign w:val="bottom"/>
            <w:hideMark/>
          </w:tcPr>
          <w:p w14:paraId="37CA9488"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71B0F73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2D095366"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127</w:t>
            </w:r>
          </w:p>
        </w:tc>
        <w:tc>
          <w:tcPr>
            <w:tcW w:w="0" w:type="auto"/>
            <w:vAlign w:val="bottom"/>
            <w:hideMark/>
          </w:tcPr>
          <w:p w14:paraId="59D1361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4A15CA01"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40F36F8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560ADF8B"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76</w:t>
            </w:r>
          </w:p>
        </w:tc>
        <w:tc>
          <w:tcPr>
            <w:tcW w:w="0" w:type="auto"/>
            <w:vAlign w:val="bottom"/>
            <w:hideMark/>
          </w:tcPr>
          <w:p w14:paraId="7A2EAC3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bl>
    <w:p w14:paraId="6FE026FB"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24"/>
          <w:szCs w:val="24"/>
        </w:rPr>
        <w:t> </w:t>
      </w:r>
    </w:p>
    <w:p w14:paraId="05445450" w14:textId="77777777" w:rsidR="002F3D36" w:rsidRPr="002F3D36" w:rsidRDefault="002F3D36" w:rsidP="002F3D36">
      <w:pPr>
        <w:widowControl/>
        <w:spacing w:before="10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POSTRETIREMENT BENEFITS OTHER THAN PENSIONS</w:t>
      </w:r>
    </w:p>
    <w:p w14:paraId="29632E8C"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xml:space="preserve">The Company currently provides postretirement health care and life insurance benefits to most of its U.S. retirees. </w:t>
      </w:r>
    </w:p>
    <w:p w14:paraId="5CFD6E26"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In general, the terms of the plans provide that U.S. employees who retire after attaining age 55, with 15 years of service (5 years before December 31, 2006), are reimbursed for qualified medical expenses up to a maximum annual amount. Spouses for certain retirees are also eligible for reimbursement under the plan. Life insurance coverage is available for those who elect coverage under the retiree health plan. During 2014, the plan was amended to move from a self-insured model where employees were charged an estimated premium based on anticipated plan expenses for continued coverage, to a plan where retirees are provided a fixed contribution to a Health Retirement Account (HRA). Retirees can use the HRA funds to purchase insurance through a private exchange. Employees hired on or after January 1, 2004 are not eligible to participate in the plan.</w:t>
      </w:r>
    </w:p>
    <w:p w14:paraId="017797FA" w14:textId="77777777" w:rsidR="002F3D36" w:rsidRPr="002F3D36" w:rsidRDefault="002F3D36" w:rsidP="002F3D36">
      <w:pPr>
        <w:widowControl/>
        <w:jc w:val="left"/>
        <w:rPr>
          <w:rFonts w:ascii="Times New Roman" w:eastAsia="宋体" w:hAnsi="Times New Roman" w:cs="Times New Roman"/>
          <w:color w:val="000000"/>
          <w:kern w:val="0"/>
          <w:sz w:val="20"/>
          <w:szCs w:val="20"/>
        </w:rPr>
      </w:pPr>
      <w:r w:rsidRPr="002F3D36">
        <w:rPr>
          <w:rFonts w:ascii="Times New Roman" w:eastAsia="宋体" w:hAnsi="Times New Roman" w:cs="Times New Roman"/>
          <w:color w:val="000000"/>
          <w:kern w:val="0"/>
          <w:sz w:val="20"/>
          <w:szCs w:val="20"/>
        </w:rPr>
        <w:t> </w:t>
      </w:r>
    </w:p>
    <w:p w14:paraId="640E0212" w14:textId="77777777" w:rsidR="002F3D36" w:rsidRPr="002F3D36" w:rsidRDefault="002F3D36" w:rsidP="002F3D36">
      <w:pPr>
        <w:widowControl/>
        <w:spacing w:before="240"/>
        <w:jc w:val="center"/>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86</w:t>
      </w:r>
    </w:p>
    <w:p w14:paraId="08726BD9" w14:textId="77777777" w:rsidR="002F3D36" w:rsidRPr="002F3D36" w:rsidRDefault="002F3D36" w:rsidP="002F3D36">
      <w:pPr>
        <w:widowControl/>
        <w:jc w:val="left"/>
        <w:rPr>
          <w:rFonts w:ascii="Arial" w:eastAsia="宋体" w:hAnsi="Arial" w:cs="Arial"/>
          <w:color w:val="000000"/>
          <w:kern w:val="0"/>
          <w:sz w:val="24"/>
          <w:szCs w:val="24"/>
        </w:rPr>
      </w:pPr>
      <w:r w:rsidRPr="002F3D36">
        <w:rPr>
          <w:rFonts w:ascii="Arial" w:eastAsia="宋体" w:hAnsi="Arial" w:cs="Arial"/>
          <w:color w:val="000000"/>
          <w:kern w:val="0"/>
          <w:sz w:val="24"/>
          <w:szCs w:val="24"/>
        </w:rPr>
        <w:pict w14:anchorId="25C7A2F3">
          <v:rect id="_x0000_i1113" style="width:0;height:1.5pt" o:hralign="center" o:hrstd="t" o:hr="t" fillcolor="#a0a0a0" stroked="f"/>
        </w:pict>
      </w:r>
    </w:p>
    <w:p w14:paraId="28A013B7" w14:textId="77777777" w:rsidR="002F3D36" w:rsidRPr="002F3D36" w:rsidRDefault="002F3D36" w:rsidP="002F3D36">
      <w:pPr>
        <w:widowControl/>
        <w:spacing w:line="20" w:lineRule="atLeast"/>
        <w:jc w:val="left"/>
        <w:rPr>
          <w:rFonts w:ascii="Times New Roman" w:eastAsia="宋体" w:hAnsi="Times New Roman" w:cs="Times New Roman"/>
          <w:color w:val="000000"/>
          <w:kern w:val="0"/>
          <w:sz w:val="20"/>
          <w:szCs w:val="20"/>
        </w:rPr>
      </w:pPr>
      <w:r w:rsidRPr="002F3D36">
        <w:rPr>
          <w:rFonts w:ascii="Arial" w:eastAsia="宋体" w:hAnsi="Arial" w:cs="Arial"/>
          <w:color w:val="000000"/>
          <w:kern w:val="0"/>
          <w:sz w:val="2"/>
          <w:szCs w:val="2"/>
        </w:rPr>
        <w:t> </w:t>
      </w:r>
    </w:p>
    <w:p w14:paraId="20210995"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CHANGES IN BENEFIT OBLIGATION FOR POSTRETIREMENT BENEFIT PLANS OTHER THAN PENSIONS AS OF DECEMBER 31</w:t>
      </w:r>
    </w:p>
    <w:p w14:paraId="2E795227"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w:t>
      </w:r>
    </w:p>
    <w:tbl>
      <w:tblPr>
        <w:tblW w:w="14430" w:type="dxa"/>
        <w:tblCellSpacing w:w="15" w:type="dxa"/>
        <w:tblCellMar>
          <w:top w:w="15" w:type="dxa"/>
          <w:left w:w="15" w:type="dxa"/>
          <w:bottom w:w="15" w:type="dxa"/>
          <w:right w:w="15" w:type="dxa"/>
        </w:tblCellMar>
        <w:tblLook w:val="04A0" w:firstRow="1" w:lastRow="0" w:firstColumn="1" w:lastColumn="0" w:noHBand="0" w:noVBand="1"/>
      </w:tblPr>
      <w:tblGrid>
        <w:gridCol w:w="9242"/>
        <w:gridCol w:w="228"/>
        <w:gridCol w:w="320"/>
        <w:gridCol w:w="1840"/>
        <w:gridCol w:w="204"/>
        <w:gridCol w:w="213"/>
        <w:gridCol w:w="320"/>
        <w:gridCol w:w="1844"/>
        <w:gridCol w:w="219"/>
      </w:tblGrid>
      <w:tr w:rsidR="002F3D36" w:rsidRPr="002F3D36" w14:paraId="7421DED0" w14:textId="77777777" w:rsidTr="002F3D36">
        <w:trPr>
          <w:tblCellSpacing w:w="15" w:type="dxa"/>
        </w:trPr>
        <w:tc>
          <w:tcPr>
            <w:tcW w:w="9217" w:type="dxa"/>
            <w:vAlign w:val="center"/>
            <w:hideMark/>
          </w:tcPr>
          <w:p w14:paraId="7F515E68" w14:textId="77777777" w:rsidR="002F3D36" w:rsidRPr="002F3D36" w:rsidRDefault="002F3D36" w:rsidP="002F3D36">
            <w:pPr>
              <w:widowControl/>
              <w:jc w:val="left"/>
              <w:rPr>
                <w:rFonts w:ascii="Times New Roman" w:eastAsia="宋体" w:hAnsi="Times New Roman" w:cs="Times New Roman"/>
                <w:color w:val="000000"/>
                <w:kern w:val="0"/>
                <w:sz w:val="20"/>
                <w:szCs w:val="20"/>
              </w:rPr>
            </w:pPr>
          </w:p>
        </w:tc>
        <w:tc>
          <w:tcPr>
            <w:tcW w:w="198" w:type="dxa"/>
            <w:vAlign w:val="center"/>
            <w:hideMark/>
          </w:tcPr>
          <w:p w14:paraId="6F9FBD7B"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90" w:type="dxa"/>
            <w:vAlign w:val="center"/>
            <w:hideMark/>
          </w:tcPr>
          <w:p w14:paraId="5E3501B5"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814" w:type="dxa"/>
            <w:vAlign w:val="center"/>
            <w:hideMark/>
          </w:tcPr>
          <w:p w14:paraId="328F577E"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74" w:type="dxa"/>
            <w:vAlign w:val="center"/>
            <w:hideMark/>
          </w:tcPr>
          <w:p w14:paraId="401C5557"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83" w:type="dxa"/>
            <w:vAlign w:val="center"/>
            <w:hideMark/>
          </w:tcPr>
          <w:p w14:paraId="1A02B8E8"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90" w:type="dxa"/>
            <w:vAlign w:val="center"/>
            <w:hideMark/>
          </w:tcPr>
          <w:p w14:paraId="757C6F00"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818" w:type="dxa"/>
            <w:vAlign w:val="center"/>
            <w:hideMark/>
          </w:tcPr>
          <w:p w14:paraId="41BB4138"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74" w:type="dxa"/>
            <w:vAlign w:val="center"/>
            <w:hideMark/>
          </w:tcPr>
          <w:p w14:paraId="47C1E2AD" w14:textId="77777777" w:rsidR="002F3D36" w:rsidRPr="002F3D36" w:rsidRDefault="002F3D36" w:rsidP="002F3D36">
            <w:pPr>
              <w:widowControl/>
              <w:jc w:val="left"/>
              <w:rPr>
                <w:rFonts w:ascii="Times New Roman" w:eastAsia="Times New Roman" w:hAnsi="Times New Roman" w:cs="Times New Roman"/>
                <w:kern w:val="0"/>
                <w:sz w:val="20"/>
                <w:szCs w:val="20"/>
              </w:rPr>
            </w:pPr>
          </w:p>
        </w:tc>
      </w:tr>
      <w:tr w:rsidR="002F3D36" w:rsidRPr="002F3D36" w14:paraId="141FE253" w14:textId="77777777" w:rsidTr="002F3D36">
        <w:trPr>
          <w:trHeight w:val="160"/>
          <w:tblCellSpacing w:w="15" w:type="dxa"/>
        </w:trPr>
        <w:tc>
          <w:tcPr>
            <w:tcW w:w="0" w:type="auto"/>
            <w:vAlign w:val="bottom"/>
            <w:hideMark/>
          </w:tcPr>
          <w:p w14:paraId="526DB4D7"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color w:val="000000"/>
                <w:kern w:val="0"/>
                <w:sz w:val="16"/>
                <w:szCs w:val="16"/>
              </w:rPr>
              <w:t>(Dollars in millions)</w:t>
            </w:r>
          </w:p>
        </w:tc>
        <w:tc>
          <w:tcPr>
            <w:tcW w:w="0" w:type="auto"/>
            <w:vAlign w:val="bottom"/>
            <w:hideMark/>
          </w:tcPr>
          <w:p w14:paraId="55BF8FDE"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2"/>
            <w:tcBorders>
              <w:bottom w:val="single" w:sz="4" w:space="0" w:color="000000"/>
            </w:tcBorders>
            <w:vAlign w:val="bottom"/>
            <w:hideMark/>
          </w:tcPr>
          <w:p w14:paraId="30FF29D7"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2021</w:t>
            </w:r>
          </w:p>
        </w:tc>
        <w:tc>
          <w:tcPr>
            <w:tcW w:w="0" w:type="auto"/>
            <w:vAlign w:val="bottom"/>
            <w:hideMark/>
          </w:tcPr>
          <w:p w14:paraId="47F4F00D"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vAlign w:val="bottom"/>
            <w:hideMark/>
          </w:tcPr>
          <w:p w14:paraId="1AA9FF7D"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2"/>
            <w:tcBorders>
              <w:bottom w:val="single" w:sz="4" w:space="0" w:color="000000"/>
            </w:tcBorders>
            <w:vAlign w:val="bottom"/>
            <w:hideMark/>
          </w:tcPr>
          <w:p w14:paraId="06BB0CF2"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2020</w:t>
            </w:r>
          </w:p>
        </w:tc>
        <w:tc>
          <w:tcPr>
            <w:tcW w:w="0" w:type="auto"/>
            <w:vAlign w:val="bottom"/>
            <w:hideMark/>
          </w:tcPr>
          <w:p w14:paraId="50EC4BAC"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r>
      <w:tr w:rsidR="002F3D36" w:rsidRPr="002F3D36" w14:paraId="6CFF9546" w14:textId="77777777" w:rsidTr="002F3D36">
        <w:trPr>
          <w:trHeight w:val="180"/>
          <w:tblCellSpacing w:w="15" w:type="dxa"/>
        </w:trPr>
        <w:tc>
          <w:tcPr>
            <w:tcW w:w="0" w:type="auto"/>
            <w:shd w:val="clear" w:color="auto" w:fill="CFF0FC"/>
            <w:hideMark/>
          </w:tcPr>
          <w:p w14:paraId="263A3FA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Benefit obligation at beginning of year</w:t>
            </w:r>
          </w:p>
        </w:tc>
        <w:tc>
          <w:tcPr>
            <w:tcW w:w="0" w:type="auto"/>
            <w:shd w:val="clear" w:color="auto" w:fill="CFF0FC"/>
            <w:vAlign w:val="bottom"/>
            <w:hideMark/>
          </w:tcPr>
          <w:p w14:paraId="23A8B7A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1A9AF85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shd w:val="clear" w:color="auto" w:fill="CFF0FC"/>
            <w:vAlign w:val="bottom"/>
            <w:hideMark/>
          </w:tcPr>
          <w:p w14:paraId="4635AD38"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21</w:t>
            </w:r>
          </w:p>
        </w:tc>
        <w:tc>
          <w:tcPr>
            <w:tcW w:w="0" w:type="auto"/>
            <w:shd w:val="clear" w:color="auto" w:fill="CFF0FC"/>
            <w:vAlign w:val="bottom"/>
            <w:hideMark/>
          </w:tcPr>
          <w:p w14:paraId="14431D1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6DC04D8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056B212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shd w:val="clear" w:color="auto" w:fill="CFF0FC"/>
            <w:vAlign w:val="bottom"/>
            <w:hideMark/>
          </w:tcPr>
          <w:p w14:paraId="79E32789"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18</w:t>
            </w:r>
          </w:p>
        </w:tc>
        <w:tc>
          <w:tcPr>
            <w:tcW w:w="0" w:type="auto"/>
            <w:shd w:val="clear" w:color="auto" w:fill="CFF0FC"/>
            <w:vAlign w:val="bottom"/>
            <w:hideMark/>
          </w:tcPr>
          <w:p w14:paraId="1A709B3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4BC333E0" w14:textId="77777777" w:rsidTr="002F3D36">
        <w:trPr>
          <w:trHeight w:val="180"/>
          <w:tblCellSpacing w:w="15" w:type="dxa"/>
        </w:trPr>
        <w:tc>
          <w:tcPr>
            <w:tcW w:w="0" w:type="auto"/>
            <w:hideMark/>
          </w:tcPr>
          <w:p w14:paraId="240E87C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Service cost</w:t>
            </w:r>
          </w:p>
        </w:tc>
        <w:tc>
          <w:tcPr>
            <w:tcW w:w="0" w:type="auto"/>
            <w:vAlign w:val="bottom"/>
            <w:hideMark/>
          </w:tcPr>
          <w:p w14:paraId="5C7BC61E"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136C4B2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3C8C2AB4"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0</w:t>
            </w:r>
          </w:p>
        </w:tc>
        <w:tc>
          <w:tcPr>
            <w:tcW w:w="0" w:type="auto"/>
            <w:vAlign w:val="bottom"/>
            <w:hideMark/>
          </w:tcPr>
          <w:p w14:paraId="684F07D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3AEBC14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0161BCC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1D93A976"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0</w:t>
            </w:r>
          </w:p>
        </w:tc>
        <w:tc>
          <w:tcPr>
            <w:tcW w:w="0" w:type="auto"/>
            <w:vAlign w:val="bottom"/>
            <w:hideMark/>
          </w:tcPr>
          <w:p w14:paraId="44D8C9D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328E27A8" w14:textId="77777777" w:rsidTr="002F3D36">
        <w:trPr>
          <w:trHeight w:val="180"/>
          <w:tblCellSpacing w:w="15" w:type="dxa"/>
        </w:trPr>
        <w:tc>
          <w:tcPr>
            <w:tcW w:w="0" w:type="auto"/>
            <w:shd w:val="clear" w:color="auto" w:fill="CFF0FC"/>
            <w:hideMark/>
          </w:tcPr>
          <w:p w14:paraId="1AA9EB8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lastRenderedPageBreak/>
              <w:t>Interest cost</w:t>
            </w:r>
          </w:p>
        </w:tc>
        <w:tc>
          <w:tcPr>
            <w:tcW w:w="0" w:type="auto"/>
            <w:shd w:val="clear" w:color="auto" w:fill="CFF0FC"/>
            <w:vAlign w:val="bottom"/>
            <w:hideMark/>
          </w:tcPr>
          <w:p w14:paraId="03BE252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30A484C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32870CA1"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w:t>
            </w:r>
          </w:p>
        </w:tc>
        <w:tc>
          <w:tcPr>
            <w:tcW w:w="0" w:type="auto"/>
            <w:shd w:val="clear" w:color="auto" w:fill="CFF0FC"/>
            <w:vAlign w:val="bottom"/>
            <w:hideMark/>
          </w:tcPr>
          <w:p w14:paraId="01FC4EC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4766534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3B9491D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4DACFDC4"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w:t>
            </w:r>
          </w:p>
        </w:tc>
        <w:tc>
          <w:tcPr>
            <w:tcW w:w="0" w:type="auto"/>
            <w:shd w:val="clear" w:color="auto" w:fill="CFF0FC"/>
            <w:vAlign w:val="bottom"/>
            <w:hideMark/>
          </w:tcPr>
          <w:p w14:paraId="0090154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12FBDC14" w14:textId="77777777" w:rsidTr="002F3D36">
        <w:trPr>
          <w:trHeight w:val="180"/>
          <w:tblCellSpacing w:w="15" w:type="dxa"/>
        </w:trPr>
        <w:tc>
          <w:tcPr>
            <w:tcW w:w="0" w:type="auto"/>
            <w:hideMark/>
          </w:tcPr>
          <w:p w14:paraId="1294151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Actuarial loss</w:t>
            </w:r>
          </w:p>
        </w:tc>
        <w:tc>
          <w:tcPr>
            <w:tcW w:w="0" w:type="auto"/>
            <w:vAlign w:val="bottom"/>
            <w:hideMark/>
          </w:tcPr>
          <w:p w14:paraId="55FA46D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7D7CBE1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35959D59"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w:t>
            </w:r>
          </w:p>
        </w:tc>
        <w:tc>
          <w:tcPr>
            <w:tcW w:w="0" w:type="auto"/>
            <w:vAlign w:val="bottom"/>
            <w:hideMark/>
          </w:tcPr>
          <w:p w14:paraId="47C2384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vAlign w:val="bottom"/>
            <w:hideMark/>
          </w:tcPr>
          <w:p w14:paraId="00F5A03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6A0FF5B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0152F708"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2</w:t>
            </w:r>
          </w:p>
        </w:tc>
        <w:tc>
          <w:tcPr>
            <w:tcW w:w="0" w:type="auto"/>
            <w:vAlign w:val="bottom"/>
            <w:hideMark/>
          </w:tcPr>
          <w:p w14:paraId="66DBA2A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4B5527A5" w14:textId="77777777" w:rsidTr="002F3D36">
        <w:trPr>
          <w:trHeight w:val="180"/>
          <w:tblCellSpacing w:w="15" w:type="dxa"/>
        </w:trPr>
        <w:tc>
          <w:tcPr>
            <w:tcW w:w="0" w:type="auto"/>
            <w:shd w:val="clear" w:color="auto" w:fill="CFF0FC"/>
            <w:hideMark/>
          </w:tcPr>
          <w:p w14:paraId="6336B06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Benefits paid</w:t>
            </w:r>
          </w:p>
        </w:tc>
        <w:tc>
          <w:tcPr>
            <w:tcW w:w="0" w:type="auto"/>
            <w:shd w:val="clear" w:color="auto" w:fill="CFF0FC"/>
            <w:vAlign w:val="bottom"/>
            <w:hideMark/>
          </w:tcPr>
          <w:p w14:paraId="441B122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5D95144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3B36B52A"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(0</w:t>
            </w:r>
          </w:p>
        </w:tc>
        <w:tc>
          <w:tcPr>
            <w:tcW w:w="0" w:type="auto"/>
            <w:shd w:val="clear" w:color="auto" w:fill="CFF0FC"/>
            <w:vAlign w:val="bottom"/>
            <w:hideMark/>
          </w:tcPr>
          <w:p w14:paraId="3CD0E4E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34EA20D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14FA0D4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57DB3ED8"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(0</w:t>
            </w:r>
          </w:p>
        </w:tc>
        <w:tc>
          <w:tcPr>
            <w:tcW w:w="0" w:type="auto"/>
            <w:shd w:val="clear" w:color="auto" w:fill="CFF0FC"/>
            <w:vAlign w:val="bottom"/>
            <w:hideMark/>
          </w:tcPr>
          <w:p w14:paraId="1106C23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r>
      <w:tr w:rsidR="002F3D36" w:rsidRPr="002F3D36" w14:paraId="446B4C14" w14:textId="77777777" w:rsidTr="002F3D36">
        <w:trPr>
          <w:trHeight w:val="180"/>
          <w:tblCellSpacing w:w="15" w:type="dxa"/>
        </w:trPr>
        <w:tc>
          <w:tcPr>
            <w:tcW w:w="0" w:type="auto"/>
            <w:hideMark/>
          </w:tcPr>
          <w:p w14:paraId="1CDECE3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Other</w:t>
            </w:r>
          </w:p>
        </w:tc>
        <w:tc>
          <w:tcPr>
            <w:tcW w:w="0" w:type="auto"/>
            <w:vAlign w:val="bottom"/>
            <w:hideMark/>
          </w:tcPr>
          <w:p w14:paraId="2A99F5B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6F73356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31D3BF47"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0</w:t>
            </w:r>
          </w:p>
        </w:tc>
        <w:tc>
          <w:tcPr>
            <w:tcW w:w="0" w:type="auto"/>
            <w:vAlign w:val="bottom"/>
            <w:hideMark/>
          </w:tcPr>
          <w:p w14:paraId="235DD62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61ED0AA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5DBD9D6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4E4B5260"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0</w:t>
            </w:r>
          </w:p>
        </w:tc>
        <w:tc>
          <w:tcPr>
            <w:tcW w:w="0" w:type="auto"/>
            <w:vAlign w:val="bottom"/>
            <w:hideMark/>
          </w:tcPr>
          <w:p w14:paraId="3AA4194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6C3B77A2" w14:textId="77777777" w:rsidTr="002F3D36">
        <w:trPr>
          <w:trHeight w:val="180"/>
          <w:tblCellSpacing w:w="15" w:type="dxa"/>
        </w:trPr>
        <w:tc>
          <w:tcPr>
            <w:tcW w:w="0" w:type="auto"/>
            <w:shd w:val="clear" w:color="auto" w:fill="CFF0FC"/>
            <w:hideMark/>
          </w:tcPr>
          <w:p w14:paraId="6352827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Benefit obligation at end of year</w:t>
            </w:r>
          </w:p>
        </w:tc>
        <w:tc>
          <w:tcPr>
            <w:tcW w:w="0" w:type="auto"/>
            <w:shd w:val="clear" w:color="auto" w:fill="CFF0FC"/>
            <w:vAlign w:val="bottom"/>
            <w:hideMark/>
          </w:tcPr>
          <w:p w14:paraId="6F63077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45220E9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shd w:val="clear" w:color="auto" w:fill="CFF0FC"/>
            <w:vAlign w:val="bottom"/>
            <w:hideMark/>
          </w:tcPr>
          <w:p w14:paraId="4697614B"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21</w:t>
            </w:r>
          </w:p>
        </w:tc>
        <w:tc>
          <w:tcPr>
            <w:tcW w:w="0" w:type="auto"/>
            <w:shd w:val="clear" w:color="auto" w:fill="CFF0FC"/>
            <w:vAlign w:val="bottom"/>
            <w:hideMark/>
          </w:tcPr>
          <w:p w14:paraId="387C664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176D223E"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50C7539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shd w:val="clear" w:color="auto" w:fill="CFF0FC"/>
            <w:vAlign w:val="bottom"/>
            <w:hideMark/>
          </w:tcPr>
          <w:p w14:paraId="09DE314E"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21</w:t>
            </w:r>
          </w:p>
        </w:tc>
        <w:tc>
          <w:tcPr>
            <w:tcW w:w="0" w:type="auto"/>
            <w:shd w:val="clear" w:color="auto" w:fill="CFF0FC"/>
            <w:vAlign w:val="bottom"/>
            <w:hideMark/>
          </w:tcPr>
          <w:p w14:paraId="2C163D5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bl>
    <w:p w14:paraId="406983ED"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24"/>
          <w:szCs w:val="24"/>
        </w:rPr>
        <w:t> </w:t>
      </w:r>
    </w:p>
    <w:p w14:paraId="2AF70187"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The liability for postretirement benefits other than pensions is classified as other non-current liabilities in the balance sheet.</w:t>
      </w:r>
    </w:p>
    <w:p w14:paraId="61025722"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COMPONENTS OF NET PERIODIC BENEFIT COST ASSOCIATED WITH THE POST RETIREMENT BENEFIT PLANS OTHER THAN PENSIONS FOR THE YEARS ENDED DECEMBER 31</w:t>
      </w:r>
    </w:p>
    <w:p w14:paraId="31D58AF2"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w:t>
      </w:r>
    </w:p>
    <w:tbl>
      <w:tblPr>
        <w:tblW w:w="16491" w:type="dxa"/>
        <w:tblCellSpacing w:w="15" w:type="dxa"/>
        <w:tblCellMar>
          <w:top w:w="15" w:type="dxa"/>
          <w:left w:w="15" w:type="dxa"/>
          <w:bottom w:w="15" w:type="dxa"/>
          <w:right w:w="15" w:type="dxa"/>
        </w:tblCellMar>
        <w:tblLook w:val="04A0" w:firstRow="1" w:lastRow="0" w:firstColumn="1" w:lastColumn="0" w:noHBand="0" w:noVBand="1"/>
      </w:tblPr>
      <w:tblGrid>
        <w:gridCol w:w="9083"/>
        <w:gridCol w:w="226"/>
        <w:gridCol w:w="301"/>
        <w:gridCol w:w="1743"/>
        <w:gridCol w:w="192"/>
        <w:gridCol w:w="227"/>
        <w:gridCol w:w="302"/>
        <w:gridCol w:w="1744"/>
        <w:gridCol w:w="192"/>
        <w:gridCol w:w="227"/>
        <w:gridCol w:w="302"/>
        <w:gridCol w:w="1744"/>
        <w:gridCol w:w="208"/>
      </w:tblGrid>
      <w:tr w:rsidR="002F3D36" w:rsidRPr="002F3D36" w14:paraId="772A29F6" w14:textId="77777777" w:rsidTr="002F3D36">
        <w:trPr>
          <w:tblCellSpacing w:w="15" w:type="dxa"/>
        </w:trPr>
        <w:tc>
          <w:tcPr>
            <w:tcW w:w="9057" w:type="dxa"/>
            <w:vAlign w:val="center"/>
            <w:hideMark/>
          </w:tcPr>
          <w:p w14:paraId="6840265A" w14:textId="77777777" w:rsidR="002F3D36" w:rsidRPr="002F3D36" w:rsidRDefault="002F3D36" w:rsidP="002F3D36">
            <w:pPr>
              <w:widowControl/>
              <w:jc w:val="left"/>
              <w:rPr>
                <w:rFonts w:ascii="Times New Roman" w:eastAsia="宋体" w:hAnsi="Times New Roman" w:cs="Times New Roman"/>
                <w:color w:val="000000"/>
                <w:kern w:val="0"/>
                <w:sz w:val="20"/>
                <w:szCs w:val="20"/>
              </w:rPr>
            </w:pPr>
          </w:p>
        </w:tc>
        <w:tc>
          <w:tcPr>
            <w:tcW w:w="197" w:type="dxa"/>
            <w:vAlign w:val="center"/>
            <w:hideMark/>
          </w:tcPr>
          <w:p w14:paraId="000C2CA1"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72" w:type="dxa"/>
            <w:vAlign w:val="center"/>
            <w:hideMark/>
          </w:tcPr>
          <w:p w14:paraId="6E18DF79"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717" w:type="dxa"/>
            <w:vAlign w:val="center"/>
            <w:hideMark/>
          </w:tcPr>
          <w:p w14:paraId="4B420DA2"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62" w:type="dxa"/>
            <w:vAlign w:val="center"/>
            <w:hideMark/>
          </w:tcPr>
          <w:p w14:paraId="4011DDE3"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97" w:type="dxa"/>
            <w:vAlign w:val="center"/>
            <w:hideMark/>
          </w:tcPr>
          <w:p w14:paraId="087A25BC"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72" w:type="dxa"/>
            <w:vAlign w:val="center"/>
            <w:hideMark/>
          </w:tcPr>
          <w:p w14:paraId="51064FB9"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717" w:type="dxa"/>
            <w:vAlign w:val="center"/>
            <w:hideMark/>
          </w:tcPr>
          <w:p w14:paraId="7A2D4F69"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62" w:type="dxa"/>
            <w:vAlign w:val="center"/>
            <w:hideMark/>
          </w:tcPr>
          <w:p w14:paraId="374C5BDE"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97" w:type="dxa"/>
            <w:vAlign w:val="center"/>
            <w:hideMark/>
          </w:tcPr>
          <w:p w14:paraId="076D1CB5"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72" w:type="dxa"/>
            <w:vAlign w:val="center"/>
            <w:hideMark/>
          </w:tcPr>
          <w:p w14:paraId="7FF3030C"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717" w:type="dxa"/>
            <w:vAlign w:val="center"/>
            <w:hideMark/>
          </w:tcPr>
          <w:p w14:paraId="28C8E583"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63" w:type="dxa"/>
            <w:vAlign w:val="center"/>
            <w:hideMark/>
          </w:tcPr>
          <w:p w14:paraId="3E1999B2" w14:textId="77777777" w:rsidR="002F3D36" w:rsidRPr="002F3D36" w:rsidRDefault="002F3D36" w:rsidP="002F3D36">
            <w:pPr>
              <w:widowControl/>
              <w:jc w:val="left"/>
              <w:rPr>
                <w:rFonts w:ascii="Times New Roman" w:eastAsia="Times New Roman" w:hAnsi="Times New Roman" w:cs="Times New Roman"/>
                <w:kern w:val="0"/>
                <w:sz w:val="20"/>
                <w:szCs w:val="20"/>
              </w:rPr>
            </w:pPr>
          </w:p>
        </w:tc>
      </w:tr>
      <w:tr w:rsidR="002F3D36" w:rsidRPr="002F3D36" w14:paraId="6A1A0AD9" w14:textId="77777777" w:rsidTr="002F3D36">
        <w:trPr>
          <w:trHeight w:val="160"/>
          <w:tblCellSpacing w:w="15" w:type="dxa"/>
        </w:trPr>
        <w:tc>
          <w:tcPr>
            <w:tcW w:w="0" w:type="auto"/>
            <w:vAlign w:val="bottom"/>
            <w:hideMark/>
          </w:tcPr>
          <w:p w14:paraId="2798BC94"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color w:val="000000"/>
                <w:kern w:val="0"/>
                <w:sz w:val="16"/>
                <w:szCs w:val="16"/>
                <w:u w:val="single"/>
              </w:rPr>
              <w:t>(Dollars in millions)</w:t>
            </w:r>
          </w:p>
        </w:tc>
        <w:tc>
          <w:tcPr>
            <w:tcW w:w="0" w:type="auto"/>
            <w:vAlign w:val="bottom"/>
            <w:hideMark/>
          </w:tcPr>
          <w:p w14:paraId="29873722"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2"/>
            <w:tcBorders>
              <w:bottom w:val="single" w:sz="4" w:space="0" w:color="000000"/>
            </w:tcBorders>
            <w:vAlign w:val="bottom"/>
            <w:hideMark/>
          </w:tcPr>
          <w:p w14:paraId="435AE420"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2021</w:t>
            </w:r>
          </w:p>
        </w:tc>
        <w:tc>
          <w:tcPr>
            <w:tcW w:w="0" w:type="auto"/>
            <w:vAlign w:val="bottom"/>
            <w:hideMark/>
          </w:tcPr>
          <w:p w14:paraId="10EE7220"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vAlign w:val="bottom"/>
            <w:hideMark/>
          </w:tcPr>
          <w:p w14:paraId="269CE894"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2"/>
            <w:tcBorders>
              <w:bottom w:val="single" w:sz="4" w:space="0" w:color="000000"/>
            </w:tcBorders>
            <w:vAlign w:val="bottom"/>
            <w:hideMark/>
          </w:tcPr>
          <w:p w14:paraId="6C933D05"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2020</w:t>
            </w:r>
          </w:p>
        </w:tc>
        <w:tc>
          <w:tcPr>
            <w:tcW w:w="0" w:type="auto"/>
            <w:vAlign w:val="bottom"/>
            <w:hideMark/>
          </w:tcPr>
          <w:p w14:paraId="6798DF0D"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vAlign w:val="bottom"/>
            <w:hideMark/>
          </w:tcPr>
          <w:p w14:paraId="6EB1E7D6"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2"/>
            <w:tcBorders>
              <w:bottom w:val="single" w:sz="4" w:space="0" w:color="000000"/>
            </w:tcBorders>
            <w:vAlign w:val="bottom"/>
            <w:hideMark/>
          </w:tcPr>
          <w:p w14:paraId="3A17EF15"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2019</w:t>
            </w:r>
          </w:p>
        </w:tc>
        <w:tc>
          <w:tcPr>
            <w:tcW w:w="0" w:type="auto"/>
            <w:vAlign w:val="bottom"/>
            <w:hideMark/>
          </w:tcPr>
          <w:p w14:paraId="433BD9A9"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r>
      <w:tr w:rsidR="002F3D36" w:rsidRPr="002F3D36" w14:paraId="4FDFF6E3" w14:textId="77777777" w:rsidTr="002F3D36">
        <w:trPr>
          <w:trHeight w:val="180"/>
          <w:tblCellSpacing w:w="15" w:type="dxa"/>
        </w:trPr>
        <w:tc>
          <w:tcPr>
            <w:tcW w:w="0" w:type="auto"/>
            <w:shd w:val="clear" w:color="auto" w:fill="CFF0FC"/>
            <w:hideMark/>
          </w:tcPr>
          <w:p w14:paraId="041F1A9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Service cost</w:t>
            </w:r>
          </w:p>
        </w:tc>
        <w:tc>
          <w:tcPr>
            <w:tcW w:w="0" w:type="auto"/>
            <w:shd w:val="clear" w:color="auto" w:fill="CFF0FC"/>
            <w:vAlign w:val="bottom"/>
            <w:hideMark/>
          </w:tcPr>
          <w:p w14:paraId="384C2B6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5D2A2E1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3637051E"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0</w:t>
            </w:r>
          </w:p>
        </w:tc>
        <w:tc>
          <w:tcPr>
            <w:tcW w:w="0" w:type="auto"/>
            <w:shd w:val="clear" w:color="auto" w:fill="CFF0FC"/>
            <w:vAlign w:val="bottom"/>
            <w:hideMark/>
          </w:tcPr>
          <w:p w14:paraId="77CC24C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6DAC51D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06CD8E7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16E006FD"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0</w:t>
            </w:r>
          </w:p>
        </w:tc>
        <w:tc>
          <w:tcPr>
            <w:tcW w:w="0" w:type="auto"/>
            <w:shd w:val="clear" w:color="auto" w:fill="CFF0FC"/>
            <w:vAlign w:val="bottom"/>
            <w:hideMark/>
          </w:tcPr>
          <w:p w14:paraId="2B78C68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53648F0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53D071B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7EA72F5A"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0</w:t>
            </w:r>
          </w:p>
        </w:tc>
        <w:tc>
          <w:tcPr>
            <w:tcW w:w="0" w:type="auto"/>
            <w:shd w:val="clear" w:color="auto" w:fill="CFF0FC"/>
            <w:vAlign w:val="bottom"/>
            <w:hideMark/>
          </w:tcPr>
          <w:p w14:paraId="6ED0808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65365C60" w14:textId="77777777" w:rsidTr="002F3D36">
        <w:trPr>
          <w:trHeight w:val="180"/>
          <w:tblCellSpacing w:w="15" w:type="dxa"/>
        </w:trPr>
        <w:tc>
          <w:tcPr>
            <w:tcW w:w="0" w:type="auto"/>
            <w:hideMark/>
          </w:tcPr>
          <w:p w14:paraId="5E0F4AB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Interest cost</w:t>
            </w:r>
          </w:p>
        </w:tc>
        <w:tc>
          <w:tcPr>
            <w:tcW w:w="0" w:type="auto"/>
            <w:vAlign w:val="bottom"/>
            <w:hideMark/>
          </w:tcPr>
          <w:p w14:paraId="0BB1352E"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2851E72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691C800D"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w:t>
            </w:r>
          </w:p>
        </w:tc>
        <w:tc>
          <w:tcPr>
            <w:tcW w:w="0" w:type="auto"/>
            <w:vAlign w:val="bottom"/>
            <w:hideMark/>
          </w:tcPr>
          <w:p w14:paraId="0569733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39763F4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0865698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358DE30B"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w:t>
            </w:r>
          </w:p>
        </w:tc>
        <w:tc>
          <w:tcPr>
            <w:tcW w:w="0" w:type="auto"/>
            <w:vAlign w:val="bottom"/>
            <w:hideMark/>
          </w:tcPr>
          <w:p w14:paraId="1F4BDAA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3C10720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5DF3D20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6DCC718A"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w:t>
            </w:r>
          </w:p>
        </w:tc>
        <w:tc>
          <w:tcPr>
            <w:tcW w:w="0" w:type="auto"/>
            <w:vAlign w:val="bottom"/>
            <w:hideMark/>
          </w:tcPr>
          <w:p w14:paraId="572C9AA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6E7B3EE7" w14:textId="77777777" w:rsidTr="002F3D36">
        <w:trPr>
          <w:trHeight w:val="180"/>
          <w:tblCellSpacing w:w="15" w:type="dxa"/>
        </w:trPr>
        <w:tc>
          <w:tcPr>
            <w:tcW w:w="0" w:type="auto"/>
            <w:shd w:val="clear" w:color="auto" w:fill="CFF0FC"/>
            <w:hideMark/>
          </w:tcPr>
          <w:p w14:paraId="7182A8F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Amortization of prior service cost</w:t>
            </w:r>
          </w:p>
        </w:tc>
        <w:tc>
          <w:tcPr>
            <w:tcW w:w="0" w:type="auto"/>
            <w:shd w:val="clear" w:color="auto" w:fill="CFF0FC"/>
            <w:vAlign w:val="bottom"/>
            <w:hideMark/>
          </w:tcPr>
          <w:p w14:paraId="3C97E5C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2A565D4E"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4E464FA7"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(2</w:t>
            </w:r>
          </w:p>
        </w:tc>
        <w:tc>
          <w:tcPr>
            <w:tcW w:w="0" w:type="auto"/>
            <w:shd w:val="clear" w:color="auto" w:fill="CFF0FC"/>
            <w:vAlign w:val="bottom"/>
            <w:hideMark/>
          </w:tcPr>
          <w:p w14:paraId="7A6A9D1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6719A35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5D9C4A1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4FD386D6"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(2</w:t>
            </w:r>
          </w:p>
        </w:tc>
        <w:tc>
          <w:tcPr>
            <w:tcW w:w="0" w:type="auto"/>
            <w:shd w:val="clear" w:color="auto" w:fill="CFF0FC"/>
            <w:vAlign w:val="bottom"/>
            <w:hideMark/>
          </w:tcPr>
          <w:p w14:paraId="00E88CD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747010C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0A40D27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73D66CA7"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(2</w:t>
            </w:r>
          </w:p>
        </w:tc>
        <w:tc>
          <w:tcPr>
            <w:tcW w:w="0" w:type="auto"/>
            <w:shd w:val="clear" w:color="auto" w:fill="CFF0FC"/>
            <w:vAlign w:val="bottom"/>
            <w:hideMark/>
          </w:tcPr>
          <w:p w14:paraId="04132B9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r>
      <w:tr w:rsidR="002F3D36" w:rsidRPr="002F3D36" w14:paraId="239C14C8" w14:textId="77777777" w:rsidTr="002F3D36">
        <w:trPr>
          <w:trHeight w:val="180"/>
          <w:tblCellSpacing w:w="15" w:type="dxa"/>
        </w:trPr>
        <w:tc>
          <w:tcPr>
            <w:tcW w:w="0" w:type="auto"/>
            <w:hideMark/>
          </w:tcPr>
          <w:p w14:paraId="09290CF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Amortization of actuarial loss</w:t>
            </w:r>
          </w:p>
        </w:tc>
        <w:tc>
          <w:tcPr>
            <w:tcW w:w="0" w:type="auto"/>
            <w:vAlign w:val="bottom"/>
            <w:hideMark/>
          </w:tcPr>
          <w:p w14:paraId="06E3530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59F5BBB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43302D55"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w:t>
            </w:r>
          </w:p>
        </w:tc>
        <w:tc>
          <w:tcPr>
            <w:tcW w:w="0" w:type="auto"/>
            <w:vAlign w:val="bottom"/>
            <w:hideMark/>
          </w:tcPr>
          <w:p w14:paraId="2A47F06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24DE165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770C555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2F337C05"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w:t>
            </w:r>
          </w:p>
        </w:tc>
        <w:tc>
          <w:tcPr>
            <w:tcW w:w="0" w:type="auto"/>
            <w:vAlign w:val="bottom"/>
            <w:hideMark/>
          </w:tcPr>
          <w:p w14:paraId="65299E4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08AB3C6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2C381C7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7FAA0402"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(0</w:t>
            </w:r>
          </w:p>
        </w:tc>
        <w:tc>
          <w:tcPr>
            <w:tcW w:w="0" w:type="auto"/>
            <w:vAlign w:val="bottom"/>
            <w:hideMark/>
          </w:tcPr>
          <w:p w14:paraId="3868B2B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r>
      <w:tr w:rsidR="002F3D36" w:rsidRPr="002F3D36" w14:paraId="7776CBA7" w14:textId="77777777" w:rsidTr="002F3D36">
        <w:trPr>
          <w:trHeight w:val="180"/>
          <w:tblCellSpacing w:w="15" w:type="dxa"/>
        </w:trPr>
        <w:tc>
          <w:tcPr>
            <w:tcW w:w="0" w:type="auto"/>
            <w:shd w:val="clear" w:color="auto" w:fill="CFF0FC"/>
            <w:hideMark/>
          </w:tcPr>
          <w:p w14:paraId="35D6066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Net periodic benefit (credit)</w:t>
            </w:r>
          </w:p>
        </w:tc>
        <w:tc>
          <w:tcPr>
            <w:tcW w:w="0" w:type="auto"/>
            <w:shd w:val="clear" w:color="auto" w:fill="CFF0FC"/>
            <w:vAlign w:val="bottom"/>
            <w:hideMark/>
          </w:tcPr>
          <w:p w14:paraId="6EBFD39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50260B1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shd w:val="clear" w:color="auto" w:fill="CFF0FC"/>
            <w:vAlign w:val="bottom"/>
            <w:hideMark/>
          </w:tcPr>
          <w:p w14:paraId="5E8488A2"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(1</w:t>
            </w:r>
          </w:p>
        </w:tc>
        <w:tc>
          <w:tcPr>
            <w:tcW w:w="0" w:type="auto"/>
            <w:shd w:val="clear" w:color="auto" w:fill="CFF0FC"/>
            <w:vAlign w:val="bottom"/>
            <w:hideMark/>
          </w:tcPr>
          <w:p w14:paraId="1D7AA4C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shd w:val="clear" w:color="auto" w:fill="CFF0FC"/>
            <w:vAlign w:val="bottom"/>
            <w:hideMark/>
          </w:tcPr>
          <w:p w14:paraId="0510AF7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6C28A9D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shd w:val="clear" w:color="auto" w:fill="CFF0FC"/>
            <w:vAlign w:val="bottom"/>
            <w:hideMark/>
          </w:tcPr>
          <w:p w14:paraId="6F08AB18"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(1</w:t>
            </w:r>
          </w:p>
        </w:tc>
        <w:tc>
          <w:tcPr>
            <w:tcW w:w="0" w:type="auto"/>
            <w:shd w:val="clear" w:color="auto" w:fill="CFF0FC"/>
            <w:vAlign w:val="bottom"/>
            <w:hideMark/>
          </w:tcPr>
          <w:p w14:paraId="3A9899A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shd w:val="clear" w:color="auto" w:fill="CFF0FC"/>
            <w:vAlign w:val="bottom"/>
            <w:hideMark/>
          </w:tcPr>
          <w:p w14:paraId="0B4B5EB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657DF53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shd w:val="clear" w:color="auto" w:fill="CFF0FC"/>
            <w:vAlign w:val="bottom"/>
            <w:hideMark/>
          </w:tcPr>
          <w:p w14:paraId="2C350B2F"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(2</w:t>
            </w:r>
          </w:p>
        </w:tc>
        <w:tc>
          <w:tcPr>
            <w:tcW w:w="0" w:type="auto"/>
            <w:shd w:val="clear" w:color="auto" w:fill="CFF0FC"/>
            <w:vAlign w:val="bottom"/>
            <w:hideMark/>
          </w:tcPr>
          <w:p w14:paraId="09FAD98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r>
    </w:tbl>
    <w:p w14:paraId="236FC2CD"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24"/>
          <w:szCs w:val="24"/>
        </w:rPr>
        <w:t> </w:t>
      </w:r>
    </w:p>
    <w:p w14:paraId="1190F324" w14:textId="77777777" w:rsidR="002F3D36" w:rsidRPr="002F3D36" w:rsidRDefault="002F3D36" w:rsidP="002F3D36">
      <w:pPr>
        <w:widowControl/>
        <w:spacing w:before="10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COMPONENTS OF ACCUMULATED OTHER COMPREHENSIVE INCOME BEFORE TAX ASSOCIATED WITH POSTRETIREMENT BENEFIT PLANS OTHER THAN PENSIONS AS OF DECEMBER 31</w:t>
      </w:r>
    </w:p>
    <w:p w14:paraId="00CC5631"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w:t>
      </w:r>
    </w:p>
    <w:tbl>
      <w:tblPr>
        <w:tblW w:w="14430" w:type="dxa"/>
        <w:tblCellSpacing w:w="15" w:type="dxa"/>
        <w:tblCellMar>
          <w:top w:w="15" w:type="dxa"/>
          <w:left w:w="15" w:type="dxa"/>
          <w:bottom w:w="15" w:type="dxa"/>
          <w:right w:w="15" w:type="dxa"/>
        </w:tblCellMar>
        <w:tblLook w:val="04A0" w:firstRow="1" w:lastRow="0" w:firstColumn="1" w:lastColumn="0" w:noHBand="0" w:noVBand="1"/>
      </w:tblPr>
      <w:tblGrid>
        <w:gridCol w:w="9336"/>
        <w:gridCol w:w="224"/>
        <w:gridCol w:w="317"/>
        <w:gridCol w:w="1803"/>
        <w:gridCol w:w="202"/>
        <w:gridCol w:w="210"/>
        <w:gridCol w:w="317"/>
        <w:gridCol w:w="1803"/>
        <w:gridCol w:w="218"/>
      </w:tblGrid>
      <w:tr w:rsidR="002F3D36" w:rsidRPr="002F3D36" w14:paraId="25C6298C" w14:textId="77777777" w:rsidTr="002F3D36">
        <w:trPr>
          <w:tblCellSpacing w:w="15" w:type="dxa"/>
        </w:trPr>
        <w:tc>
          <w:tcPr>
            <w:tcW w:w="9313" w:type="dxa"/>
            <w:vAlign w:val="center"/>
            <w:hideMark/>
          </w:tcPr>
          <w:p w14:paraId="3A134C6D" w14:textId="77777777" w:rsidR="002F3D36" w:rsidRPr="002F3D36" w:rsidRDefault="002F3D36" w:rsidP="002F3D36">
            <w:pPr>
              <w:widowControl/>
              <w:jc w:val="left"/>
              <w:rPr>
                <w:rFonts w:ascii="Times New Roman" w:eastAsia="宋体" w:hAnsi="Times New Roman" w:cs="Times New Roman"/>
                <w:color w:val="000000"/>
                <w:kern w:val="0"/>
                <w:sz w:val="20"/>
                <w:szCs w:val="20"/>
              </w:rPr>
            </w:pPr>
          </w:p>
        </w:tc>
        <w:tc>
          <w:tcPr>
            <w:tcW w:w="195" w:type="dxa"/>
            <w:vAlign w:val="center"/>
            <w:hideMark/>
          </w:tcPr>
          <w:p w14:paraId="1167B50A"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87" w:type="dxa"/>
            <w:vAlign w:val="center"/>
            <w:hideMark/>
          </w:tcPr>
          <w:p w14:paraId="5298EB7E"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777" w:type="dxa"/>
            <w:vAlign w:val="center"/>
            <w:hideMark/>
          </w:tcPr>
          <w:p w14:paraId="4F8F16B7"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72" w:type="dxa"/>
            <w:vAlign w:val="center"/>
            <w:hideMark/>
          </w:tcPr>
          <w:p w14:paraId="3F67516F"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80" w:type="dxa"/>
            <w:vAlign w:val="center"/>
            <w:hideMark/>
          </w:tcPr>
          <w:p w14:paraId="79ABD8D3"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87" w:type="dxa"/>
            <w:vAlign w:val="center"/>
            <w:hideMark/>
          </w:tcPr>
          <w:p w14:paraId="50AA1E1F"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777" w:type="dxa"/>
            <w:vAlign w:val="center"/>
            <w:hideMark/>
          </w:tcPr>
          <w:p w14:paraId="295274B0"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73" w:type="dxa"/>
            <w:vAlign w:val="center"/>
            <w:hideMark/>
          </w:tcPr>
          <w:p w14:paraId="5B534D37" w14:textId="77777777" w:rsidR="002F3D36" w:rsidRPr="002F3D36" w:rsidRDefault="002F3D36" w:rsidP="002F3D36">
            <w:pPr>
              <w:widowControl/>
              <w:jc w:val="left"/>
              <w:rPr>
                <w:rFonts w:ascii="Times New Roman" w:eastAsia="Times New Roman" w:hAnsi="Times New Roman" w:cs="Times New Roman"/>
                <w:kern w:val="0"/>
                <w:sz w:val="20"/>
                <w:szCs w:val="20"/>
              </w:rPr>
            </w:pPr>
          </w:p>
        </w:tc>
      </w:tr>
      <w:tr w:rsidR="002F3D36" w:rsidRPr="002F3D36" w14:paraId="5EA1FE8B" w14:textId="77777777" w:rsidTr="002F3D36">
        <w:trPr>
          <w:trHeight w:val="160"/>
          <w:tblCellSpacing w:w="15" w:type="dxa"/>
        </w:trPr>
        <w:tc>
          <w:tcPr>
            <w:tcW w:w="0" w:type="auto"/>
            <w:vAlign w:val="bottom"/>
            <w:hideMark/>
          </w:tcPr>
          <w:p w14:paraId="3E34AF49"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vAlign w:val="bottom"/>
            <w:hideMark/>
          </w:tcPr>
          <w:p w14:paraId="06354BAE"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6"/>
            <w:tcBorders>
              <w:bottom w:val="single" w:sz="4" w:space="0" w:color="000000"/>
            </w:tcBorders>
            <w:vAlign w:val="bottom"/>
            <w:hideMark/>
          </w:tcPr>
          <w:p w14:paraId="45A5029D"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U.S.</w:t>
            </w:r>
          </w:p>
        </w:tc>
        <w:tc>
          <w:tcPr>
            <w:tcW w:w="0" w:type="auto"/>
            <w:vAlign w:val="bottom"/>
            <w:hideMark/>
          </w:tcPr>
          <w:p w14:paraId="666227E9"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r>
      <w:tr w:rsidR="002F3D36" w:rsidRPr="002F3D36" w14:paraId="7B052E83" w14:textId="77777777" w:rsidTr="002F3D36">
        <w:trPr>
          <w:trHeight w:val="160"/>
          <w:tblCellSpacing w:w="15" w:type="dxa"/>
        </w:trPr>
        <w:tc>
          <w:tcPr>
            <w:tcW w:w="0" w:type="auto"/>
            <w:vAlign w:val="bottom"/>
            <w:hideMark/>
          </w:tcPr>
          <w:p w14:paraId="07AEFFBA"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color w:val="000000"/>
                <w:kern w:val="0"/>
                <w:sz w:val="16"/>
                <w:szCs w:val="16"/>
              </w:rPr>
              <w:t>(Dollars in millions)</w:t>
            </w:r>
          </w:p>
        </w:tc>
        <w:tc>
          <w:tcPr>
            <w:tcW w:w="0" w:type="auto"/>
            <w:vAlign w:val="bottom"/>
            <w:hideMark/>
          </w:tcPr>
          <w:p w14:paraId="5F954541"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2"/>
            <w:tcBorders>
              <w:bottom w:val="single" w:sz="4" w:space="0" w:color="000000"/>
            </w:tcBorders>
            <w:vAlign w:val="bottom"/>
            <w:hideMark/>
          </w:tcPr>
          <w:p w14:paraId="7C8EC1C6"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2021</w:t>
            </w:r>
          </w:p>
        </w:tc>
        <w:tc>
          <w:tcPr>
            <w:tcW w:w="0" w:type="auto"/>
            <w:vAlign w:val="bottom"/>
            <w:hideMark/>
          </w:tcPr>
          <w:p w14:paraId="0BACD01B"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vAlign w:val="bottom"/>
            <w:hideMark/>
          </w:tcPr>
          <w:p w14:paraId="7FB842FE"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2"/>
            <w:tcBorders>
              <w:bottom w:val="single" w:sz="4" w:space="0" w:color="000000"/>
            </w:tcBorders>
            <w:vAlign w:val="bottom"/>
            <w:hideMark/>
          </w:tcPr>
          <w:p w14:paraId="5AEF0A66"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2020</w:t>
            </w:r>
          </w:p>
        </w:tc>
        <w:tc>
          <w:tcPr>
            <w:tcW w:w="0" w:type="auto"/>
            <w:vAlign w:val="bottom"/>
            <w:hideMark/>
          </w:tcPr>
          <w:p w14:paraId="1F6EDC46"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r>
      <w:tr w:rsidR="002F3D36" w:rsidRPr="002F3D36" w14:paraId="11731283" w14:textId="77777777" w:rsidTr="002F3D36">
        <w:trPr>
          <w:trHeight w:val="180"/>
          <w:tblCellSpacing w:w="15" w:type="dxa"/>
        </w:trPr>
        <w:tc>
          <w:tcPr>
            <w:tcW w:w="0" w:type="auto"/>
            <w:shd w:val="clear" w:color="auto" w:fill="CFF0FC"/>
            <w:hideMark/>
          </w:tcPr>
          <w:p w14:paraId="10D6439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Net actuarial (gain) loss</w:t>
            </w:r>
          </w:p>
        </w:tc>
        <w:tc>
          <w:tcPr>
            <w:tcW w:w="0" w:type="auto"/>
            <w:shd w:val="clear" w:color="auto" w:fill="CFF0FC"/>
            <w:vAlign w:val="bottom"/>
            <w:hideMark/>
          </w:tcPr>
          <w:p w14:paraId="06EABB6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76248BA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730E5DB5"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w:t>
            </w:r>
          </w:p>
        </w:tc>
        <w:tc>
          <w:tcPr>
            <w:tcW w:w="0" w:type="auto"/>
            <w:shd w:val="clear" w:color="auto" w:fill="CFF0FC"/>
            <w:vAlign w:val="bottom"/>
            <w:hideMark/>
          </w:tcPr>
          <w:p w14:paraId="092DD31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3E07768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3F5A6E0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0B3C1F12"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0</w:t>
            </w:r>
          </w:p>
        </w:tc>
        <w:tc>
          <w:tcPr>
            <w:tcW w:w="0" w:type="auto"/>
            <w:shd w:val="clear" w:color="auto" w:fill="CFF0FC"/>
            <w:vAlign w:val="bottom"/>
            <w:hideMark/>
          </w:tcPr>
          <w:p w14:paraId="1C80BA2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4F0C2A87" w14:textId="77777777" w:rsidTr="002F3D36">
        <w:trPr>
          <w:trHeight w:val="180"/>
          <w:tblCellSpacing w:w="15" w:type="dxa"/>
        </w:trPr>
        <w:tc>
          <w:tcPr>
            <w:tcW w:w="0" w:type="auto"/>
            <w:hideMark/>
          </w:tcPr>
          <w:p w14:paraId="0699EDF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Prior service (credit)</w:t>
            </w:r>
          </w:p>
        </w:tc>
        <w:tc>
          <w:tcPr>
            <w:tcW w:w="0" w:type="auto"/>
            <w:vAlign w:val="bottom"/>
            <w:hideMark/>
          </w:tcPr>
          <w:p w14:paraId="5A4B671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19BF8E7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64C93748"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(2</w:t>
            </w:r>
          </w:p>
        </w:tc>
        <w:tc>
          <w:tcPr>
            <w:tcW w:w="0" w:type="auto"/>
            <w:vAlign w:val="bottom"/>
            <w:hideMark/>
          </w:tcPr>
          <w:p w14:paraId="165AAD0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vAlign w:val="bottom"/>
            <w:hideMark/>
          </w:tcPr>
          <w:p w14:paraId="2FABF62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730DFFA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7B15247F"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(4</w:t>
            </w:r>
          </w:p>
        </w:tc>
        <w:tc>
          <w:tcPr>
            <w:tcW w:w="0" w:type="auto"/>
            <w:vAlign w:val="bottom"/>
            <w:hideMark/>
          </w:tcPr>
          <w:p w14:paraId="752607F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r>
      <w:tr w:rsidR="002F3D36" w:rsidRPr="002F3D36" w14:paraId="5E74B01C" w14:textId="77777777" w:rsidTr="002F3D36">
        <w:trPr>
          <w:trHeight w:val="180"/>
          <w:tblCellSpacing w:w="15" w:type="dxa"/>
        </w:trPr>
        <w:tc>
          <w:tcPr>
            <w:tcW w:w="0" w:type="auto"/>
            <w:shd w:val="clear" w:color="auto" w:fill="CFF0FC"/>
            <w:hideMark/>
          </w:tcPr>
          <w:p w14:paraId="20C865D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Total accumulated other comprehensive income</w:t>
            </w:r>
            <w:r w:rsidRPr="002F3D36">
              <w:rPr>
                <w:rFonts w:ascii="Arial" w:eastAsia="宋体" w:hAnsi="Arial" w:cs="Arial"/>
                <w:b/>
                <w:bCs/>
                <w:color w:val="000000"/>
                <w:kern w:val="0"/>
                <w:sz w:val="18"/>
                <w:szCs w:val="18"/>
              </w:rPr>
              <w:br/>
              <w:t>   recognized in the balance sheet</w:t>
            </w:r>
          </w:p>
        </w:tc>
        <w:tc>
          <w:tcPr>
            <w:tcW w:w="0" w:type="auto"/>
            <w:shd w:val="clear" w:color="auto" w:fill="CFF0FC"/>
            <w:vAlign w:val="bottom"/>
            <w:hideMark/>
          </w:tcPr>
          <w:p w14:paraId="42F8D3E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5EE6587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shd w:val="clear" w:color="auto" w:fill="CFF0FC"/>
            <w:vAlign w:val="bottom"/>
            <w:hideMark/>
          </w:tcPr>
          <w:p w14:paraId="45DC2691"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(3</w:t>
            </w:r>
          </w:p>
        </w:tc>
        <w:tc>
          <w:tcPr>
            <w:tcW w:w="0" w:type="auto"/>
            <w:shd w:val="clear" w:color="auto" w:fill="CFF0FC"/>
            <w:vAlign w:val="bottom"/>
            <w:hideMark/>
          </w:tcPr>
          <w:p w14:paraId="29C06D0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shd w:val="clear" w:color="auto" w:fill="CFF0FC"/>
            <w:vAlign w:val="bottom"/>
            <w:hideMark/>
          </w:tcPr>
          <w:p w14:paraId="5622A18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099B433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shd w:val="clear" w:color="auto" w:fill="CFF0FC"/>
            <w:vAlign w:val="bottom"/>
            <w:hideMark/>
          </w:tcPr>
          <w:p w14:paraId="246E2491"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(4</w:t>
            </w:r>
          </w:p>
        </w:tc>
        <w:tc>
          <w:tcPr>
            <w:tcW w:w="0" w:type="auto"/>
            <w:shd w:val="clear" w:color="auto" w:fill="CFF0FC"/>
            <w:vAlign w:val="bottom"/>
            <w:hideMark/>
          </w:tcPr>
          <w:p w14:paraId="307DA02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r>
    </w:tbl>
    <w:p w14:paraId="3D94FCC3"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24"/>
          <w:szCs w:val="24"/>
        </w:rPr>
        <w:t> </w:t>
      </w:r>
    </w:p>
    <w:p w14:paraId="17B18F79"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The average discount rate used to determine the U.S. postretirement benefit obligation was 2.91% in 2021 and 2.60% in 2020. The average discount rate used in determining the postretirement benefit cost was 2.60% in 2021, 3.50% in 2020 and 4.45% in 2019.</w:t>
      </w:r>
    </w:p>
    <w:p w14:paraId="11D9C524"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The estimated future benefit payments for the postretirement benefits set forth below reflect expected future service as appropriate.</w:t>
      </w:r>
    </w:p>
    <w:p w14:paraId="6A6CA1AF"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w:t>
      </w:r>
    </w:p>
    <w:tbl>
      <w:tblPr>
        <w:tblW w:w="12369" w:type="dxa"/>
        <w:tblCellSpacing w:w="15" w:type="dxa"/>
        <w:tblCellMar>
          <w:top w:w="15" w:type="dxa"/>
          <w:left w:w="15" w:type="dxa"/>
          <w:bottom w:w="15" w:type="dxa"/>
          <w:right w:w="15" w:type="dxa"/>
        </w:tblCellMar>
        <w:tblLook w:val="04A0" w:firstRow="1" w:lastRow="0" w:firstColumn="1" w:lastColumn="0" w:noHBand="0" w:noVBand="1"/>
      </w:tblPr>
      <w:tblGrid>
        <w:gridCol w:w="9307"/>
        <w:gridCol w:w="234"/>
        <w:gridCol w:w="323"/>
        <w:gridCol w:w="2348"/>
        <w:gridCol w:w="157"/>
      </w:tblGrid>
      <w:tr w:rsidR="002F3D36" w:rsidRPr="002F3D36" w14:paraId="1D7626E6" w14:textId="77777777" w:rsidTr="002F3D36">
        <w:trPr>
          <w:tblCellSpacing w:w="15" w:type="dxa"/>
        </w:trPr>
        <w:tc>
          <w:tcPr>
            <w:tcW w:w="9288" w:type="dxa"/>
            <w:vAlign w:val="center"/>
            <w:hideMark/>
          </w:tcPr>
          <w:p w14:paraId="6483ABD6" w14:textId="77777777" w:rsidR="002F3D36" w:rsidRPr="002F3D36" w:rsidRDefault="002F3D36" w:rsidP="002F3D36">
            <w:pPr>
              <w:widowControl/>
              <w:jc w:val="left"/>
              <w:rPr>
                <w:rFonts w:ascii="Times New Roman" w:eastAsia="宋体" w:hAnsi="Times New Roman" w:cs="Times New Roman"/>
                <w:color w:val="000000"/>
                <w:kern w:val="0"/>
                <w:sz w:val="20"/>
                <w:szCs w:val="20"/>
              </w:rPr>
            </w:pPr>
          </w:p>
        </w:tc>
        <w:tc>
          <w:tcPr>
            <w:tcW w:w="204" w:type="dxa"/>
            <w:vAlign w:val="center"/>
            <w:hideMark/>
          </w:tcPr>
          <w:p w14:paraId="2A6414D9"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93" w:type="dxa"/>
            <w:vAlign w:val="center"/>
            <w:hideMark/>
          </w:tcPr>
          <w:p w14:paraId="5C809615"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323" w:type="dxa"/>
            <w:vAlign w:val="center"/>
            <w:hideMark/>
          </w:tcPr>
          <w:p w14:paraId="4C0A87E2"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12" w:type="dxa"/>
            <w:vAlign w:val="center"/>
            <w:hideMark/>
          </w:tcPr>
          <w:p w14:paraId="4B0BC44A" w14:textId="77777777" w:rsidR="002F3D36" w:rsidRPr="002F3D36" w:rsidRDefault="002F3D36" w:rsidP="002F3D36">
            <w:pPr>
              <w:widowControl/>
              <w:jc w:val="left"/>
              <w:rPr>
                <w:rFonts w:ascii="Times New Roman" w:eastAsia="Times New Roman" w:hAnsi="Times New Roman" w:cs="Times New Roman"/>
                <w:kern w:val="0"/>
                <w:sz w:val="20"/>
                <w:szCs w:val="20"/>
              </w:rPr>
            </w:pPr>
          </w:p>
        </w:tc>
      </w:tr>
      <w:tr w:rsidR="002F3D36" w:rsidRPr="002F3D36" w14:paraId="09076491" w14:textId="77777777" w:rsidTr="002F3D36">
        <w:trPr>
          <w:trHeight w:val="160"/>
          <w:tblCellSpacing w:w="15" w:type="dxa"/>
        </w:trPr>
        <w:tc>
          <w:tcPr>
            <w:tcW w:w="0" w:type="auto"/>
            <w:vAlign w:val="bottom"/>
            <w:hideMark/>
          </w:tcPr>
          <w:p w14:paraId="58BEFB21"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u w:val="single"/>
              </w:rPr>
              <w:t>POSTRETIREMENT BENEFITS</w:t>
            </w:r>
            <w:r w:rsidRPr="002F3D36">
              <w:rPr>
                <w:rFonts w:ascii="Arial" w:eastAsia="宋体" w:hAnsi="Arial" w:cs="Arial"/>
                <w:color w:val="000000"/>
                <w:kern w:val="0"/>
                <w:sz w:val="16"/>
                <w:szCs w:val="16"/>
                <w:u w:val="single"/>
              </w:rPr>
              <w:t> (Dollars in millions)</w:t>
            </w:r>
          </w:p>
        </w:tc>
        <w:tc>
          <w:tcPr>
            <w:tcW w:w="0" w:type="auto"/>
            <w:vAlign w:val="bottom"/>
            <w:hideMark/>
          </w:tcPr>
          <w:p w14:paraId="31B4F5F5"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2"/>
            <w:tcBorders>
              <w:bottom w:val="single" w:sz="4" w:space="0" w:color="000000"/>
            </w:tcBorders>
            <w:vAlign w:val="bottom"/>
            <w:hideMark/>
          </w:tcPr>
          <w:p w14:paraId="064C9119"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EXPECTED</w:t>
            </w:r>
            <w:r w:rsidRPr="002F3D36">
              <w:rPr>
                <w:rFonts w:ascii="Arial" w:eastAsia="宋体" w:hAnsi="Arial" w:cs="Arial"/>
                <w:b/>
                <w:bCs/>
                <w:color w:val="000000"/>
                <w:kern w:val="0"/>
                <w:sz w:val="16"/>
                <w:szCs w:val="16"/>
              </w:rPr>
              <w:br/>
              <w:t>PAYMENTS</w:t>
            </w:r>
          </w:p>
        </w:tc>
        <w:tc>
          <w:tcPr>
            <w:tcW w:w="0" w:type="auto"/>
            <w:vAlign w:val="bottom"/>
            <w:hideMark/>
          </w:tcPr>
          <w:p w14:paraId="42671E6F"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r>
      <w:tr w:rsidR="002F3D36" w:rsidRPr="002F3D36" w14:paraId="6B04137D" w14:textId="77777777" w:rsidTr="002F3D36">
        <w:trPr>
          <w:trHeight w:val="180"/>
          <w:tblCellSpacing w:w="15" w:type="dxa"/>
        </w:trPr>
        <w:tc>
          <w:tcPr>
            <w:tcW w:w="0" w:type="auto"/>
            <w:shd w:val="clear" w:color="auto" w:fill="CFF0FC"/>
            <w:hideMark/>
          </w:tcPr>
          <w:p w14:paraId="7BA9B2C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2022</w:t>
            </w:r>
          </w:p>
        </w:tc>
        <w:tc>
          <w:tcPr>
            <w:tcW w:w="0" w:type="auto"/>
            <w:shd w:val="clear" w:color="auto" w:fill="CFF0FC"/>
            <w:hideMark/>
          </w:tcPr>
          <w:p w14:paraId="383CDE5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122AFCF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163824AB"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w:t>
            </w:r>
          </w:p>
        </w:tc>
        <w:tc>
          <w:tcPr>
            <w:tcW w:w="0" w:type="auto"/>
            <w:shd w:val="clear" w:color="auto" w:fill="CFF0FC"/>
            <w:vAlign w:val="bottom"/>
            <w:hideMark/>
          </w:tcPr>
          <w:p w14:paraId="02E374C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1EB90CB5" w14:textId="77777777" w:rsidTr="002F3D36">
        <w:trPr>
          <w:trHeight w:val="180"/>
          <w:tblCellSpacing w:w="15" w:type="dxa"/>
        </w:trPr>
        <w:tc>
          <w:tcPr>
            <w:tcW w:w="0" w:type="auto"/>
            <w:hideMark/>
          </w:tcPr>
          <w:p w14:paraId="166CA5C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lastRenderedPageBreak/>
              <w:t>2023</w:t>
            </w:r>
          </w:p>
        </w:tc>
        <w:tc>
          <w:tcPr>
            <w:tcW w:w="0" w:type="auto"/>
            <w:hideMark/>
          </w:tcPr>
          <w:p w14:paraId="6120044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2450FAD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51B4359E"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w:t>
            </w:r>
          </w:p>
        </w:tc>
        <w:tc>
          <w:tcPr>
            <w:tcW w:w="0" w:type="auto"/>
            <w:vAlign w:val="bottom"/>
            <w:hideMark/>
          </w:tcPr>
          <w:p w14:paraId="0979BFA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612DBF40" w14:textId="77777777" w:rsidTr="002F3D36">
        <w:trPr>
          <w:trHeight w:val="180"/>
          <w:tblCellSpacing w:w="15" w:type="dxa"/>
        </w:trPr>
        <w:tc>
          <w:tcPr>
            <w:tcW w:w="0" w:type="auto"/>
            <w:shd w:val="clear" w:color="auto" w:fill="CFF0FC"/>
            <w:hideMark/>
          </w:tcPr>
          <w:p w14:paraId="3C293C5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2024</w:t>
            </w:r>
          </w:p>
        </w:tc>
        <w:tc>
          <w:tcPr>
            <w:tcW w:w="0" w:type="auto"/>
            <w:shd w:val="clear" w:color="auto" w:fill="CFF0FC"/>
            <w:hideMark/>
          </w:tcPr>
          <w:p w14:paraId="14FCC57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4030941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22AD133D"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w:t>
            </w:r>
          </w:p>
        </w:tc>
        <w:tc>
          <w:tcPr>
            <w:tcW w:w="0" w:type="auto"/>
            <w:shd w:val="clear" w:color="auto" w:fill="CFF0FC"/>
            <w:vAlign w:val="bottom"/>
            <w:hideMark/>
          </w:tcPr>
          <w:p w14:paraId="64C7D47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0178AE67" w14:textId="77777777" w:rsidTr="002F3D36">
        <w:trPr>
          <w:trHeight w:val="180"/>
          <w:tblCellSpacing w:w="15" w:type="dxa"/>
        </w:trPr>
        <w:tc>
          <w:tcPr>
            <w:tcW w:w="0" w:type="auto"/>
            <w:hideMark/>
          </w:tcPr>
          <w:p w14:paraId="330EF00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2025</w:t>
            </w:r>
          </w:p>
        </w:tc>
        <w:tc>
          <w:tcPr>
            <w:tcW w:w="0" w:type="auto"/>
            <w:hideMark/>
          </w:tcPr>
          <w:p w14:paraId="5F1B77C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3BCF572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1C4F33AF"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w:t>
            </w:r>
          </w:p>
        </w:tc>
        <w:tc>
          <w:tcPr>
            <w:tcW w:w="0" w:type="auto"/>
            <w:vAlign w:val="bottom"/>
            <w:hideMark/>
          </w:tcPr>
          <w:p w14:paraId="257E831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010D5D46" w14:textId="77777777" w:rsidTr="002F3D36">
        <w:trPr>
          <w:trHeight w:val="180"/>
          <w:tblCellSpacing w:w="15" w:type="dxa"/>
        </w:trPr>
        <w:tc>
          <w:tcPr>
            <w:tcW w:w="0" w:type="auto"/>
            <w:shd w:val="clear" w:color="auto" w:fill="CFF0FC"/>
            <w:hideMark/>
          </w:tcPr>
          <w:p w14:paraId="0DC7681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2026</w:t>
            </w:r>
          </w:p>
        </w:tc>
        <w:tc>
          <w:tcPr>
            <w:tcW w:w="0" w:type="auto"/>
            <w:shd w:val="clear" w:color="auto" w:fill="CFF0FC"/>
            <w:hideMark/>
          </w:tcPr>
          <w:p w14:paraId="35F1A09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11AB6CF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7880B558"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w:t>
            </w:r>
          </w:p>
        </w:tc>
        <w:tc>
          <w:tcPr>
            <w:tcW w:w="0" w:type="auto"/>
            <w:shd w:val="clear" w:color="auto" w:fill="CFF0FC"/>
            <w:vAlign w:val="bottom"/>
            <w:hideMark/>
          </w:tcPr>
          <w:p w14:paraId="7CB9DAD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6607EB1B" w14:textId="77777777" w:rsidTr="002F3D36">
        <w:trPr>
          <w:trHeight w:val="180"/>
          <w:tblCellSpacing w:w="15" w:type="dxa"/>
        </w:trPr>
        <w:tc>
          <w:tcPr>
            <w:tcW w:w="0" w:type="auto"/>
            <w:vAlign w:val="bottom"/>
            <w:hideMark/>
          </w:tcPr>
          <w:p w14:paraId="78C000F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Years 2027-2031</w:t>
            </w:r>
          </w:p>
        </w:tc>
        <w:tc>
          <w:tcPr>
            <w:tcW w:w="0" w:type="auto"/>
            <w:hideMark/>
          </w:tcPr>
          <w:p w14:paraId="78F13EC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5A02F94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3F227C5A"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4</w:t>
            </w:r>
          </w:p>
        </w:tc>
        <w:tc>
          <w:tcPr>
            <w:tcW w:w="0" w:type="auto"/>
            <w:vAlign w:val="bottom"/>
            <w:hideMark/>
          </w:tcPr>
          <w:p w14:paraId="290954D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bl>
    <w:p w14:paraId="58D35D73"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24"/>
          <w:szCs w:val="24"/>
        </w:rPr>
        <w:t> </w:t>
      </w:r>
    </w:p>
    <w:p w14:paraId="3FB4DB2C" w14:textId="77777777" w:rsidR="002F3D36" w:rsidRPr="002F3D36" w:rsidRDefault="002F3D36" w:rsidP="002F3D36">
      <w:pPr>
        <w:widowControl/>
        <w:jc w:val="left"/>
        <w:rPr>
          <w:rFonts w:ascii="Times New Roman" w:eastAsia="宋体" w:hAnsi="Times New Roman" w:cs="Times New Roman"/>
          <w:color w:val="000000"/>
          <w:kern w:val="0"/>
          <w:sz w:val="20"/>
          <w:szCs w:val="20"/>
        </w:rPr>
      </w:pPr>
      <w:r w:rsidRPr="002F3D36">
        <w:rPr>
          <w:rFonts w:ascii="Times New Roman" w:eastAsia="宋体" w:hAnsi="Times New Roman" w:cs="Times New Roman"/>
          <w:color w:val="000000"/>
          <w:kern w:val="0"/>
          <w:sz w:val="20"/>
          <w:szCs w:val="20"/>
        </w:rPr>
        <w:t> </w:t>
      </w:r>
    </w:p>
    <w:p w14:paraId="1848EB06" w14:textId="77777777" w:rsidR="002F3D36" w:rsidRPr="002F3D36" w:rsidRDefault="002F3D36" w:rsidP="002F3D36">
      <w:pPr>
        <w:widowControl/>
        <w:spacing w:before="240"/>
        <w:jc w:val="center"/>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87</w:t>
      </w:r>
    </w:p>
    <w:p w14:paraId="406CF5F5" w14:textId="77777777" w:rsidR="002F3D36" w:rsidRPr="002F3D36" w:rsidRDefault="002F3D36" w:rsidP="002F3D36">
      <w:pPr>
        <w:widowControl/>
        <w:jc w:val="left"/>
        <w:rPr>
          <w:rFonts w:ascii="宋体" w:eastAsia="宋体" w:hAnsi="宋体" w:cs="宋体"/>
          <w:kern w:val="0"/>
          <w:sz w:val="24"/>
          <w:szCs w:val="24"/>
        </w:rPr>
      </w:pPr>
      <w:r w:rsidRPr="002F3D36">
        <w:rPr>
          <w:rFonts w:ascii="宋体" w:eastAsia="宋体" w:hAnsi="宋体" w:cs="宋体"/>
          <w:kern w:val="0"/>
          <w:sz w:val="24"/>
          <w:szCs w:val="24"/>
        </w:rPr>
        <w:pict w14:anchorId="76C30384">
          <v:rect id="_x0000_i1114" style="width:0;height:1.5pt" o:hralign="center" o:hrstd="t" o:hrnoshade="t" o:hr="t" fillcolor="black" stroked="f"/>
        </w:pict>
      </w:r>
    </w:p>
    <w:p w14:paraId="2F249B5C" w14:textId="77777777" w:rsidR="002F3D36" w:rsidRPr="002F3D36" w:rsidRDefault="002F3D36" w:rsidP="002F3D36">
      <w:pPr>
        <w:widowControl/>
        <w:spacing w:line="20" w:lineRule="atLeast"/>
        <w:jc w:val="left"/>
        <w:rPr>
          <w:rFonts w:ascii="Times New Roman" w:eastAsia="宋体" w:hAnsi="Times New Roman" w:cs="Times New Roman"/>
          <w:color w:val="000000"/>
          <w:kern w:val="0"/>
          <w:sz w:val="20"/>
          <w:szCs w:val="20"/>
        </w:rPr>
      </w:pPr>
      <w:r w:rsidRPr="002F3D36">
        <w:rPr>
          <w:rFonts w:ascii="Arial" w:eastAsia="宋体" w:hAnsi="Arial" w:cs="Arial"/>
          <w:color w:val="000000"/>
          <w:kern w:val="0"/>
          <w:sz w:val="2"/>
          <w:szCs w:val="2"/>
        </w:rPr>
        <w:t> </w:t>
      </w:r>
    </w:p>
    <w:p w14:paraId="2A68ECB8" w14:textId="77777777" w:rsidR="002F3D36" w:rsidRPr="002F3D36" w:rsidRDefault="002F3D36" w:rsidP="002F3D36">
      <w:pPr>
        <w:widowControl/>
        <w:spacing w:before="10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22"/>
        </w:rPr>
        <w:t>19. Related Party Transactions</w:t>
      </w:r>
    </w:p>
    <w:p w14:paraId="164E0F96"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shd w:val="clear" w:color="auto" w:fill="FFFFFF"/>
        </w:rPr>
        <w:t>Throughout the periods covered by consolidated financial statements, Autoliv purchased finished goods from Veoneer. Related party purchases from Veoneer amounted to approxim</w:t>
      </w:r>
      <w:r w:rsidRPr="002F3D36">
        <w:rPr>
          <w:rFonts w:ascii="Arial" w:eastAsia="宋体" w:hAnsi="Arial" w:cs="Arial"/>
          <w:color w:val="000000"/>
          <w:kern w:val="0"/>
          <w:sz w:val="18"/>
          <w:szCs w:val="18"/>
        </w:rPr>
        <w:t xml:space="preserve">ately $69 million and $70 million for the full year 2021 and 2020, respectively. </w:t>
      </w:r>
    </w:p>
    <w:p w14:paraId="4BB89E92"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xml:space="preserve">Autoliv also subleases certain office space to Veoneer. However, related party sublease income from Veoneer was not material for 2021 and 2020. </w:t>
      </w:r>
    </w:p>
    <w:p w14:paraId="04A81FE8"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Amounts due to and due from related parties as of December 31, 2021 and December 31, 2020 are summarized in the below table:</w:t>
      </w:r>
    </w:p>
    <w:p w14:paraId="40DCCB17"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w:t>
      </w:r>
    </w:p>
    <w:tbl>
      <w:tblPr>
        <w:tblW w:w="14430" w:type="dxa"/>
        <w:tblCellSpacing w:w="15" w:type="dxa"/>
        <w:tblCellMar>
          <w:top w:w="15" w:type="dxa"/>
          <w:left w:w="15" w:type="dxa"/>
          <w:bottom w:w="15" w:type="dxa"/>
          <w:right w:w="15" w:type="dxa"/>
        </w:tblCellMar>
        <w:tblLook w:val="04A0" w:firstRow="1" w:lastRow="0" w:firstColumn="1" w:lastColumn="0" w:noHBand="0" w:noVBand="1"/>
      </w:tblPr>
      <w:tblGrid>
        <w:gridCol w:w="8835"/>
        <w:gridCol w:w="250"/>
        <w:gridCol w:w="320"/>
        <w:gridCol w:w="2073"/>
        <w:gridCol w:w="153"/>
        <w:gridCol w:w="264"/>
        <w:gridCol w:w="320"/>
        <w:gridCol w:w="2048"/>
        <w:gridCol w:w="167"/>
      </w:tblGrid>
      <w:tr w:rsidR="002F3D36" w:rsidRPr="002F3D36" w14:paraId="410C5A0A" w14:textId="77777777" w:rsidTr="002F3D36">
        <w:trPr>
          <w:tblCellSpacing w:w="15" w:type="dxa"/>
        </w:trPr>
        <w:tc>
          <w:tcPr>
            <w:tcW w:w="8809" w:type="dxa"/>
            <w:vAlign w:val="center"/>
            <w:hideMark/>
          </w:tcPr>
          <w:p w14:paraId="716819F4" w14:textId="77777777" w:rsidR="002F3D36" w:rsidRPr="002F3D36" w:rsidRDefault="002F3D36" w:rsidP="002F3D36">
            <w:pPr>
              <w:widowControl/>
              <w:jc w:val="left"/>
              <w:rPr>
                <w:rFonts w:ascii="Times New Roman" w:eastAsia="宋体" w:hAnsi="Times New Roman" w:cs="Times New Roman"/>
                <w:color w:val="000000"/>
                <w:kern w:val="0"/>
                <w:sz w:val="20"/>
                <w:szCs w:val="20"/>
              </w:rPr>
            </w:pPr>
          </w:p>
        </w:tc>
        <w:tc>
          <w:tcPr>
            <w:tcW w:w="221" w:type="dxa"/>
            <w:vAlign w:val="center"/>
            <w:hideMark/>
          </w:tcPr>
          <w:p w14:paraId="41B8955C"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90" w:type="dxa"/>
            <w:vAlign w:val="center"/>
            <w:hideMark/>
          </w:tcPr>
          <w:p w14:paraId="6146BDAA"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047" w:type="dxa"/>
            <w:vAlign w:val="center"/>
            <w:hideMark/>
          </w:tcPr>
          <w:p w14:paraId="71E71B64"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23" w:type="dxa"/>
            <w:vAlign w:val="center"/>
            <w:hideMark/>
          </w:tcPr>
          <w:p w14:paraId="4A12B61A"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34" w:type="dxa"/>
            <w:vAlign w:val="center"/>
            <w:hideMark/>
          </w:tcPr>
          <w:p w14:paraId="4AE0D724"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90" w:type="dxa"/>
            <w:vAlign w:val="center"/>
            <w:hideMark/>
          </w:tcPr>
          <w:p w14:paraId="2EAA55CC"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022" w:type="dxa"/>
            <w:vAlign w:val="center"/>
            <w:hideMark/>
          </w:tcPr>
          <w:p w14:paraId="57AA4528"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22" w:type="dxa"/>
            <w:vAlign w:val="center"/>
            <w:hideMark/>
          </w:tcPr>
          <w:p w14:paraId="3A2BE566" w14:textId="77777777" w:rsidR="002F3D36" w:rsidRPr="002F3D36" w:rsidRDefault="002F3D36" w:rsidP="002F3D36">
            <w:pPr>
              <w:widowControl/>
              <w:jc w:val="left"/>
              <w:rPr>
                <w:rFonts w:ascii="Times New Roman" w:eastAsia="Times New Roman" w:hAnsi="Times New Roman" w:cs="Times New Roman"/>
                <w:kern w:val="0"/>
                <w:sz w:val="20"/>
                <w:szCs w:val="20"/>
              </w:rPr>
            </w:pPr>
          </w:p>
        </w:tc>
      </w:tr>
      <w:tr w:rsidR="002F3D36" w:rsidRPr="002F3D36" w14:paraId="7EC93A55" w14:textId="77777777" w:rsidTr="002F3D36">
        <w:trPr>
          <w:trHeight w:val="160"/>
          <w:tblCellSpacing w:w="15" w:type="dxa"/>
        </w:trPr>
        <w:tc>
          <w:tcPr>
            <w:tcW w:w="0" w:type="auto"/>
            <w:vAlign w:val="bottom"/>
            <w:hideMark/>
          </w:tcPr>
          <w:p w14:paraId="11E6FF43" w14:textId="77777777" w:rsidR="002F3D36" w:rsidRPr="002F3D36" w:rsidRDefault="002F3D36" w:rsidP="002F3D36">
            <w:pPr>
              <w:widowControl/>
              <w:jc w:val="left"/>
              <w:rPr>
                <w:rFonts w:ascii="Times New Roman" w:eastAsia="宋体" w:hAnsi="Times New Roman" w:cs="Times New Roman"/>
                <w:kern w:val="0"/>
                <w:sz w:val="22"/>
              </w:rPr>
            </w:pPr>
            <w:r w:rsidRPr="002F3D36">
              <w:rPr>
                <w:rFonts w:ascii="Arial" w:eastAsia="宋体" w:hAnsi="Arial" w:cs="Arial"/>
                <w:kern w:val="0"/>
                <w:sz w:val="22"/>
              </w:rPr>
              <w:t> </w:t>
            </w:r>
          </w:p>
        </w:tc>
        <w:tc>
          <w:tcPr>
            <w:tcW w:w="0" w:type="auto"/>
            <w:vAlign w:val="bottom"/>
            <w:hideMark/>
          </w:tcPr>
          <w:p w14:paraId="65DB67B5" w14:textId="77777777" w:rsidR="002F3D36" w:rsidRPr="002F3D36" w:rsidRDefault="002F3D36" w:rsidP="002F3D36">
            <w:pPr>
              <w:widowControl/>
              <w:jc w:val="left"/>
              <w:rPr>
                <w:rFonts w:ascii="Times New Roman" w:eastAsia="宋体" w:hAnsi="Times New Roman" w:cs="Times New Roman"/>
                <w:kern w:val="0"/>
                <w:sz w:val="22"/>
              </w:rPr>
            </w:pPr>
            <w:r w:rsidRPr="002F3D36">
              <w:rPr>
                <w:rFonts w:ascii="Arial" w:eastAsia="宋体" w:hAnsi="Arial" w:cs="Arial"/>
                <w:kern w:val="0"/>
                <w:sz w:val="22"/>
              </w:rPr>
              <w:t> </w:t>
            </w:r>
          </w:p>
        </w:tc>
        <w:tc>
          <w:tcPr>
            <w:tcW w:w="0" w:type="auto"/>
            <w:gridSpan w:val="6"/>
            <w:tcBorders>
              <w:bottom w:val="single" w:sz="4" w:space="0" w:color="000000"/>
            </w:tcBorders>
            <w:vAlign w:val="bottom"/>
            <w:hideMark/>
          </w:tcPr>
          <w:p w14:paraId="2D2677B3"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As of December 31,</w:t>
            </w:r>
          </w:p>
        </w:tc>
        <w:tc>
          <w:tcPr>
            <w:tcW w:w="0" w:type="auto"/>
            <w:vAlign w:val="bottom"/>
            <w:hideMark/>
          </w:tcPr>
          <w:p w14:paraId="37CAEBEA"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r>
      <w:tr w:rsidR="002F3D36" w:rsidRPr="002F3D36" w14:paraId="3FA58E1B" w14:textId="77777777" w:rsidTr="002F3D36">
        <w:trPr>
          <w:trHeight w:val="160"/>
          <w:tblCellSpacing w:w="15" w:type="dxa"/>
        </w:trPr>
        <w:tc>
          <w:tcPr>
            <w:tcW w:w="0" w:type="auto"/>
            <w:vAlign w:val="bottom"/>
            <w:hideMark/>
          </w:tcPr>
          <w:p w14:paraId="08CFD647"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i/>
                <w:iCs/>
                <w:color w:val="000000"/>
                <w:kern w:val="0"/>
                <w:sz w:val="16"/>
                <w:szCs w:val="16"/>
                <w:u w:val="single"/>
              </w:rPr>
              <w:t>(Dollars in millions)</w:t>
            </w:r>
          </w:p>
        </w:tc>
        <w:tc>
          <w:tcPr>
            <w:tcW w:w="0" w:type="auto"/>
            <w:vAlign w:val="bottom"/>
            <w:hideMark/>
          </w:tcPr>
          <w:p w14:paraId="285C1DF6"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2"/>
            <w:tcBorders>
              <w:bottom w:val="single" w:sz="4" w:space="0" w:color="000000"/>
            </w:tcBorders>
            <w:vAlign w:val="bottom"/>
            <w:hideMark/>
          </w:tcPr>
          <w:p w14:paraId="70F63ABC"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2021</w:t>
            </w:r>
          </w:p>
        </w:tc>
        <w:tc>
          <w:tcPr>
            <w:tcW w:w="0" w:type="auto"/>
            <w:vAlign w:val="bottom"/>
            <w:hideMark/>
          </w:tcPr>
          <w:p w14:paraId="31382C5E"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vAlign w:val="bottom"/>
            <w:hideMark/>
          </w:tcPr>
          <w:p w14:paraId="530AE58B"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2"/>
            <w:tcBorders>
              <w:bottom w:val="single" w:sz="4" w:space="0" w:color="000000"/>
            </w:tcBorders>
            <w:vAlign w:val="bottom"/>
            <w:hideMark/>
          </w:tcPr>
          <w:p w14:paraId="6414E5B4"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2020</w:t>
            </w:r>
          </w:p>
        </w:tc>
        <w:tc>
          <w:tcPr>
            <w:tcW w:w="0" w:type="auto"/>
            <w:vAlign w:val="bottom"/>
            <w:hideMark/>
          </w:tcPr>
          <w:p w14:paraId="10BD0CED"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r>
      <w:tr w:rsidR="002F3D36" w:rsidRPr="002F3D36" w14:paraId="2944F9AF" w14:textId="77777777" w:rsidTr="002F3D36">
        <w:trPr>
          <w:trHeight w:val="180"/>
          <w:tblCellSpacing w:w="15" w:type="dxa"/>
        </w:trPr>
        <w:tc>
          <w:tcPr>
            <w:tcW w:w="0" w:type="auto"/>
            <w:shd w:val="clear" w:color="auto" w:fill="CFF0FC"/>
            <w:hideMark/>
          </w:tcPr>
          <w:p w14:paraId="4D49698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Related party receivables</w:t>
            </w:r>
          </w:p>
        </w:tc>
        <w:tc>
          <w:tcPr>
            <w:tcW w:w="0" w:type="auto"/>
            <w:shd w:val="clear" w:color="auto" w:fill="CFF0FC"/>
            <w:vAlign w:val="bottom"/>
            <w:hideMark/>
          </w:tcPr>
          <w:p w14:paraId="1461C047" w14:textId="77777777" w:rsidR="002F3D36" w:rsidRPr="002F3D36" w:rsidRDefault="002F3D36" w:rsidP="002F3D36">
            <w:pPr>
              <w:widowControl/>
              <w:jc w:val="center"/>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051A16A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54E484C6"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w:t>
            </w:r>
          </w:p>
        </w:tc>
        <w:tc>
          <w:tcPr>
            <w:tcW w:w="0" w:type="auto"/>
            <w:shd w:val="clear" w:color="auto" w:fill="CFF0FC"/>
            <w:vAlign w:val="bottom"/>
            <w:hideMark/>
          </w:tcPr>
          <w:p w14:paraId="5DC673E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215A1654" w14:textId="77777777" w:rsidR="002F3D36" w:rsidRPr="002F3D36" w:rsidRDefault="002F3D36" w:rsidP="002F3D36">
            <w:pPr>
              <w:widowControl/>
              <w:jc w:val="center"/>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1817561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524E14A2"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2</w:t>
            </w:r>
          </w:p>
        </w:tc>
        <w:tc>
          <w:tcPr>
            <w:tcW w:w="0" w:type="auto"/>
            <w:shd w:val="clear" w:color="auto" w:fill="CFF0FC"/>
            <w:vAlign w:val="bottom"/>
            <w:hideMark/>
          </w:tcPr>
          <w:p w14:paraId="187A5CC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0DAD484E" w14:textId="77777777" w:rsidTr="002F3D36">
        <w:trPr>
          <w:trHeight w:val="180"/>
          <w:tblCellSpacing w:w="15" w:type="dxa"/>
        </w:trPr>
        <w:tc>
          <w:tcPr>
            <w:tcW w:w="0" w:type="auto"/>
            <w:hideMark/>
          </w:tcPr>
          <w:p w14:paraId="562B706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Related party payables</w:t>
            </w:r>
            <w:r w:rsidRPr="002F3D36">
              <w:rPr>
                <w:rFonts w:ascii="Arial" w:eastAsia="宋体" w:hAnsi="Arial" w:cs="Arial"/>
                <w:color w:val="000000"/>
                <w:kern w:val="0"/>
                <w:sz w:val="12"/>
                <w:szCs w:val="12"/>
              </w:rPr>
              <w:t>1)</w:t>
            </w:r>
          </w:p>
        </w:tc>
        <w:tc>
          <w:tcPr>
            <w:tcW w:w="0" w:type="auto"/>
            <w:vAlign w:val="bottom"/>
            <w:hideMark/>
          </w:tcPr>
          <w:p w14:paraId="5B854590" w14:textId="77777777" w:rsidR="002F3D36" w:rsidRPr="002F3D36" w:rsidRDefault="002F3D36" w:rsidP="002F3D36">
            <w:pPr>
              <w:widowControl/>
              <w:jc w:val="center"/>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22CA8D1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4F9374C9"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15</w:t>
            </w:r>
          </w:p>
        </w:tc>
        <w:tc>
          <w:tcPr>
            <w:tcW w:w="0" w:type="auto"/>
            <w:vAlign w:val="bottom"/>
            <w:hideMark/>
          </w:tcPr>
          <w:p w14:paraId="66F41D2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3E0F7514" w14:textId="77777777" w:rsidR="002F3D36" w:rsidRPr="002F3D36" w:rsidRDefault="002F3D36" w:rsidP="002F3D36">
            <w:pPr>
              <w:widowControl/>
              <w:jc w:val="center"/>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720B492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3602ECB6"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27</w:t>
            </w:r>
          </w:p>
        </w:tc>
        <w:tc>
          <w:tcPr>
            <w:tcW w:w="0" w:type="auto"/>
            <w:vAlign w:val="bottom"/>
            <w:hideMark/>
          </w:tcPr>
          <w:p w14:paraId="293FBFC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594ACD9F" w14:textId="77777777" w:rsidTr="002F3D36">
        <w:trPr>
          <w:trHeight w:val="180"/>
          <w:tblCellSpacing w:w="15" w:type="dxa"/>
        </w:trPr>
        <w:tc>
          <w:tcPr>
            <w:tcW w:w="0" w:type="auto"/>
            <w:shd w:val="clear" w:color="auto" w:fill="CFF0FC"/>
            <w:hideMark/>
          </w:tcPr>
          <w:p w14:paraId="4BBB9A5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Related party accrued expenses</w:t>
            </w:r>
            <w:r w:rsidRPr="002F3D36">
              <w:rPr>
                <w:rFonts w:ascii="Arial" w:eastAsia="宋体" w:hAnsi="Arial" w:cs="Arial"/>
                <w:color w:val="000000"/>
                <w:kern w:val="0"/>
                <w:sz w:val="12"/>
                <w:szCs w:val="12"/>
              </w:rPr>
              <w:t>1)</w:t>
            </w:r>
          </w:p>
        </w:tc>
        <w:tc>
          <w:tcPr>
            <w:tcW w:w="0" w:type="auto"/>
            <w:shd w:val="clear" w:color="auto" w:fill="CFF0FC"/>
            <w:vAlign w:val="bottom"/>
            <w:hideMark/>
          </w:tcPr>
          <w:p w14:paraId="771D2324" w14:textId="77777777" w:rsidR="002F3D36" w:rsidRPr="002F3D36" w:rsidRDefault="002F3D36" w:rsidP="002F3D36">
            <w:pPr>
              <w:widowControl/>
              <w:jc w:val="center"/>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33DA21F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52563E13"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9</w:t>
            </w:r>
          </w:p>
        </w:tc>
        <w:tc>
          <w:tcPr>
            <w:tcW w:w="0" w:type="auto"/>
            <w:shd w:val="clear" w:color="auto" w:fill="CFF0FC"/>
            <w:vAlign w:val="bottom"/>
            <w:hideMark/>
          </w:tcPr>
          <w:p w14:paraId="519838F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57CE424E" w14:textId="77777777" w:rsidR="002F3D36" w:rsidRPr="002F3D36" w:rsidRDefault="002F3D36" w:rsidP="002F3D36">
            <w:pPr>
              <w:widowControl/>
              <w:jc w:val="center"/>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1ED29DB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10F9B7EC"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10</w:t>
            </w:r>
          </w:p>
        </w:tc>
        <w:tc>
          <w:tcPr>
            <w:tcW w:w="0" w:type="auto"/>
            <w:shd w:val="clear" w:color="auto" w:fill="CFF0FC"/>
            <w:vAlign w:val="bottom"/>
            <w:hideMark/>
          </w:tcPr>
          <w:p w14:paraId="571199E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bl>
    <w:p w14:paraId="25BF3344"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24"/>
          <w:szCs w:val="24"/>
        </w:rPr>
        <w:t> </w:t>
      </w:r>
    </w:p>
    <w:p w14:paraId="331E7DC3"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6"/>
          <w:szCs w:val="16"/>
        </w:rPr>
        <w:t>1) Included in Related party liabilities in the Consolidated Balance Sheet</w:t>
      </w:r>
      <w:r w:rsidRPr="002F3D36">
        <w:rPr>
          <w:rFonts w:ascii="Arial" w:eastAsia="宋体" w:hAnsi="Arial" w:cs="Arial"/>
          <w:color w:val="000000"/>
          <w:kern w:val="0"/>
          <w:sz w:val="18"/>
          <w:szCs w:val="18"/>
        </w:rPr>
        <w:t>.</w:t>
      </w:r>
    </w:p>
    <w:p w14:paraId="33CB7550"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20"/>
          <w:szCs w:val="20"/>
        </w:rPr>
        <w:t> </w:t>
      </w:r>
    </w:p>
    <w:p w14:paraId="1F603EE1" w14:textId="77777777" w:rsidR="002F3D36" w:rsidRPr="002F3D36" w:rsidRDefault="002F3D36" w:rsidP="002F3D36">
      <w:pPr>
        <w:widowControl/>
        <w:spacing w:before="4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Related party receivables primarily relate to an agreement between Autoliv and Veoneer.</w:t>
      </w:r>
    </w:p>
    <w:p w14:paraId="4A58F5C9"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xml:space="preserve">The related party payables are mainly driven by Reseller Agreements entered into in connection with the spin-off. The Reseller Agreements are between Autoliv and Veoneer to facilitate the temporary arrangement of the sale of Veoneer products in the interim period post spin-off. </w:t>
      </w:r>
    </w:p>
    <w:p w14:paraId="51D9F4C3"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The related party accrued expenses consists of indemnification liabilities where Autoliv is required to indemnify Veoneer for certain warranty and recall related claims in connection with the Spin-off.</w:t>
      </w:r>
    </w:p>
    <w:p w14:paraId="318FC764"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w:t>
      </w:r>
    </w:p>
    <w:p w14:paraId="73E1060A" w14:textId="77777777" w:rsidR="002F3D36" w:rsidRPr="002F3D36" w:rsidRDefault="002F3D36" w:rsidP="002F3D36">
      <w:pPr>
        <w:widowControl/>
        <w:jc w:val="left"/>
        <w:rPr>
          <w:rFonts w:ascii="Times New Roman" w:eastAsia="宋体" w:hAnsi="Times New Roman" w:cs="Times New Roman"/>
          <w:color w:val="000000"/>
          <w:kern w:val="0"/>
          <w:sz w:val="20"/>
          <w:szCs w:val="20"/>
        </w:rPr>
      </w:pPr>
      <w:r w:rsidRPr="002F3D36">
        <w:rPr>
          <w:rFonts w:ascii="Times New Roman" w:eastAsia="宋体" w:hAnsi="Times New Roman" w:cs="Times New Roman"/>
          <w:color w:val="000000"/>
          <w:kern w:val="0"/>
          <w:sz w:val="20"/>
          <w:szCs w:val="20"/>
        </w:rPr>
        <w:t> </w:t>
      </w:r>
    </w:p>
    <w:p w14:paraId="1AB1AF1D" w14:textId="77777777" w:rsidR="002F3D36" w:rsidRPr="002F3D36" w:rsidRDefault="002F3D36" w:rsidP="002F3D36">
      <w:pPr>
        <w:widowControl/>
        <w:spacing w:before="240"/>
        <w:jc w:val="center"/>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88</w:t>
      </w:r>
    </w:p>
    <w:p w14:paraId="2D979A38" w14:textId="77777777" w:rsidR="002F3D36" w:rsidRPr="002F3D36" w:rsidRDefault="002F3D36" w:rsidP="002F3D36">
      <w:pPr>
        <w:widowControl/>
        <w:jc w:val="left"/>
        <w:rPr>
          <w:rFonts w:ascii="宋体" w:eastAsia="宋体" w:hAnsi="宋体" w:cs="宋体"/>
          <w:kern w:val="0"/>
          <w:sz w:val="24"/>
          <w:szCs w:val="24"/>
        </w:rPr>
      </w:pPr>
      <w:r w:rsidRPr="002F3D36">
        <w:rPr>
          <w:rFonts w:ascii="宋体" w:eastAsia="宋体" w:hAnsi="宋体" w:cs="宋体"/>
          <w:kern w:val="0"/>
          <w:sz w:val="24"/>
          <w:szCs w:val="24"/>
        </w:rPr>
        <w:pict w14:anchorId="326AC47B">
          <v:rect id="_x0000_i1115" style="width:0;height:1.5pt" o:hralign="center" o:hrstd="t" o:hrnoshade="t" o:hr="t" fillcolor="black" stroked="f"/>
        </w:pict>
      </w:r>
    </w:p>
    <w:p w14:paraId="2C04100A" w14:textId="77777777" w:rsidR="002F3D36" w:rsidRPr="002F3D36" w:rsidRDefault="002F3D36" w:rsidP="002F3D36">
      <w:pPr>
        <w:widowControl/>
        <w:spacing w:line="20" w:lineRule="atLeast"/>
        <w:jc w:val="left"/>
        <w:rPr>
          <w:rFonts w:ascii="Times New Roman" w:eastAsia="宋体" w:hAnsi="Times New Roman" w:cs="Times New Roman"/>
          <w:color w:val="000000"/>
          <w:kern w:val="0"/>
          <w:sz w:val="20"/>
          <w:szCs w:val="20"/>
        </w:rPr>
      </w:pPr>
      <w:r w:rsidRPr="002F3D36">
        <w:rPr>
          <w:rFonts w:ascii="Arial" w:eastAsia="宋体" w:hAnsi="Arial" w:cs="Arial"/>
          <w:color w:val="000000"/>
          <w:kern w:val="0"/>
          <w:sz w:val="2"/>
          <w:szCs w:val="2"/>
        </w:rPr>
        <w:t> </w:t>
      </w:r>
    </w:p>
    <w:p w14:paraId="32E8243A" w14:textId="77777777" w:rsidR="002F3D36" w:rsidRPr="002F3D36" w:rsidRDefault="002F3D36" w:rsidP="002F3D36">
      <w:pPr>
        <w:widowControl/>
        <w:spacing w:before="16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22"/>
        </w:rPr>
        <w:lastRenderedPageBreak/>
        <w:t>20. Segment Information</w:t>
      </w:r>
    </w:p>
    <w:p w14:paraId="0EC2A1AF"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The Company has one operating segment which includes Autoliv’s airbag and seatbelt products and components. The operating results of the operating segment are regularly reviewed by the Company’s chief operating decision maker to assess the performance of the individual operating segment and make decisions about resources to be allocated to the operating segment.</w:t>
      </w:r>
    </w:p>
    <w:p w14:paraId="5BC17D88"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xml:space="preserve">The Company’s customers consist of all major European, U.S. and Asian automobile manufacturers. Sales to individual customers representing 10% or more of net sales were: </w:t>
      </w:r>
    </w:p>
    <w:p w14:paraId="28F9A4C6"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In 2021: Renault 13% (including Nissan and Mitsubishi), Stellantis 11% and VW 10%.</w:t>
      </w:r>
    </w:p>
    <w:p w14:paraId="0C32F5A8"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In 2020: Renault 13% (including Nissan and Mitsubishi), VW 11%, Stellantis 11% and Honda 10%.</w:t>
      </w:r>
    </w:p>
    <w:p w14:paraId="1A06EA93"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In 2019: Renault 16% (including Nissan and Mitsubishi) and VW 10% and Honda 10%.</w:t>
      </w:r>
    </w:p>
    <w:p w14:paraId="1661DA41"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w:t>
      </w:r>
    </w:p>
    <w:tbl>
      <w:tblPr>
        <w:tblW w:w="16491" w:type="dxa"/>
        <w:tblCellSpacing w:w="15" w:type="dxa"/>
        <w:tblCellMar>
          <w:top w:w="15" w:type="dxa"/>
          <w:left w:w="15" w:type="dxa"/>
          <w:bottom w:w="15" w:type="dxa"/>
          <w:right w:w="15" w:type="dxa"/>
        </w:tblCellMar>
        <w:tblLook w:val="04A0" w:firstRow="1" w:lastRow="0" w:firstColumn="1" w:lastColumn="0" w:noHBand="0" w:noVBand="1"/>
      </w:tblPr>
      <w:tblGrid>
        <w:gridCol w:w="8764"/>
        <w:gridCol w:w="239"/>
        <w:gridCol w:w="299"/>
        <w:gridCol w:w="1884"/>
        <w:gridCol w:w="147"/>
        <w:gridCol w:w="240"/>
        <w:gridCol w:w="300"/>
        <w:gridCol w:w="1884"/>
        <w:gridCol w:w="147"/>
        <w:gridCol w:w="240"/>
        <w:gridCol w:w="300"/>
        <w:gridCol w:w="1884"/>
        <w:gridCol w:w="163"/>
      </w:tblGrid>
      <w:tr w:rsidR="002F3D36" w:rsidRPr="002F3D36" w14:paraId="71CBE5E4" w14:textId="77777777" w:rsidTr="002F3D36">
        <w:trPr>
          <w:tblCellSpacing w:w="15" w:type="dxa"/>
        </w:trPr>
        <w:tc>
          <w:tcPr>
            <w:tcW w:w="8737" w:type="dxa"/>
            <w:vAlign w:val="center"/>
            <w:hideMark/>
          </w:tcPr>
          <w:p w14:paraId="42FEA2B7" w14:textId="77777777" w:rsidR="002F3D36" w:rsidRPr="002F3D36" w:rsidRDefault="002F3D36" w:rsidP="002F3D36">
            <w:pPr>
              <w:widowControl/>
              <w:jc w:val="left"/>
              <w:rPr>
                <w:rFonts w:ascii="Times New Roman" w:eastAsia="宋体" w:hAnsi="Times New Roman" w:cs="Times New Roman"/>
                <w:color w:val="000000"/>
                <w:kern w:val="0"/>
                <w:sz w:val="20"/>
                <w:szCs w:val="20"/>
              </w:rPr>
            </w:pPr>
          </w:p>
        </w:tc>
        <w:tc>
          <w:tcPr>
            <w:tcW w:w="210" w:type="dxa"/>
            <w:vAlign w:val="center"/>
            <w:hideMark/>
          </w:tcPr>
          <w:p w14:paraId="3DB51BAD"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70" w:type="dxa"/>
            <w:vAlign w:val="center"/>
            <w:hideMark/>
          </w:tcPr>
          <w:p w14:paraId="67F3837A"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857" w:type="dxa"/>
            <w:vAlign w:val="center"/>
            <w:hideMark/>
          </w:tcPr>
          <w:p w14:paraId="0407D20A"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17" w:type="dxa"/>
            <w:vAlign w:val="center"/>
            <w:hideMark/>
          </w:tcPr>
          <w:p w14:paraId="3B1180A1"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10" w:type="dxa"/>
            <w:vAlign w:val="center"/>
            <w:hideMark/>
          </w:tcPr>
          <w:p w14:paraId="298086C4"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70" w:type="dxa"/>
            <w:vAlign w:val="center"/>
            <w:hideMark/>
          </w:tcPr>
          <w:p w14:paraId="42BEE4B8"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857" w:type="dxa"/>
            <w:vAlign w:val="center"/>
            <w:hideMark/>
          </w:tcPr>
          <w:p w14:paraId="305946AE"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17" w:type="dxa"/>
            <w:vAlign w:val="center"/>
            <w:hideMark/>
          </w:tcPr>
          <w:p w14:paraId="6BF940E6"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10" w:type="dxa"/>
            <w:vAlign w:val="center"/>
            <w:hideMark/>
          </w:tcPr>
          <w:p w14:paraId="543BA087"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70" w:type="dxa"/>
            <w:vAlign w:val="center"/>
            <w:hideMark/>
          </w:tcPr>
          <w:p w14:paraId="0E8A4751"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857" w:type="dxa"/>
            <w:vAlign w:val="center"/>
            <w:hideMark/>
          </w:tcPr>
          <w:p w14:paraId="69DEB3F5"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18" w:type="dxa"/>
            <w:vAlign w:val="center"/>
            <w:hideMark/>
          </w:tcPr>
          <w:p w14:paraId="1FAAAD6D" w14:textId="77777777" w:rsidR="002F3D36" w:rsidRPr="002F3D36" w:rsidRDefault="002F3D36" w:rsidP="002F3D36">
            <w:pPr>
              <w:widowControl/>
              <w:jc w:val="left"/>
              <w:rPr>
                <w:rFonts w:ascii="Times New Roman" w:eastAsia="Times New Roman" w:hAnsi="Times New Roman" w:cs="Times New Roman"/>
                <w:kern w:val="0"/>
                <w:sz w:val="20"/>
                <w:szCs w:val="20"/>
              </w:rPr>
            </w:pPr>
          </w:p>
        </w:tc>
      </w:tr>
      <w:tr w:rsidR="002F3D36" w:rsidRPr="002F3D36" w14:paraId="2B14E2A5" w14:textId="77777777" w:rsidTr="002F3D36">
        <w:trPr>
          <w:trHeight w:val="160"/>
          <w:tblCellSpacing w:w="15" w:type="dxa"/>
        </w:trPr>
        <w:tc>
          <w:tcPr>
            <w:tcW w:w="0" w:type="auto"/>
            <w:vAlign w:val="bottom"/>
            <w:hideMark/>
          </w:tcPr>
          <w:p w14:paraId="363F5DFB"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u w:val="single"/>
              </w:rPr>
              <w:t>NET SALES BY REGION</w:t>
            </w:r>
            <w:r w:rsidRPr="002F3D36">
              <w:rPr>
                <w:rFonts w:ascii="Arial" w:eastAsia="宋体" w:hAnsi="Arial" w:cs="Arial"/>
                <w:color w:val="000000"/>
                <w:kern w:val="0"/>
                <w:sz w:val="16"/>
                <w:szCs w:val="16"/>
                <w:u w:val="single"/>
              </w:rPr>
              <w:t> (Dollars in millions)</w:t>
            </w:r>
          </w:p>
        </w:tc>
        <w:tc>
          <w:tcPr>
            <w:tcW w:w="0" w:type="auto"/>
            <w:vAlign w:val="bottom"/>
            <w:hideMark/>
          </w:tcPr>
          <w:p w14:paraId="38052D4B"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2"/>
            <w:tcBorders>
              <w:bottom w:val="single" w:sz="4" w:space="0" w:color="000000"/>
            </w:tcBorders>
            <w:vAlign w:val="bottom"/>
            <w:hideMark/>
          </w:tcPr>
          <w:p w14:paraId="39A7582F"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2021</w:t>
            </w:r>
          </w:p>
        </w:tc>
        <w:tc>
          <w:tcPr>
            <w:tcW w:w="0" w:type="auto"/>
            <w:vAlign w:val="bottom"/>
            <w:hideMark/>
          </w:tcPr>
          <w:p w14:paraId="63EED6EB"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vAlign w:val="bottom"/>
            <w:hideMark/>
          </w:tcPr>
          <w:p w14:paraId="5CB7D906"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2"/>
            <w:tcBorders>
              <w:bottom w:val="single" w:sz="4" w:space="0" w:color="000000"/>
            </w:tcBorders>
            <w:vAlign w:val="bottom"/>
            <w:hideMark/>
          </w:tcPr>
          <w:p w14:paraId="140DAB5A"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2020</w:t>
            </w:r>
          </w:p>
        </w:tc>
        <w:tc>
          <w:tcPr>
            <w:tcW w:w="0" w:type="auto"/>
            <w:vAlign w:val="bottom"/>
            <w:hideMark/>
          </w:tcPr>
          <w:p w14:paraId="6B734BF2"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vAlign w:val="bottom"/>
            <w:hideMark/>
          </w:tcPr>
          <w:p w14:paraId="41358238"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2"/>
            <w:tcBorders>
              <w:bottom w:val="single" w:sz="4" w:space="0" w:color="000000"/>
            </w:tcBorders>
            <w:vAlign w:val="bottom"/>
            <w:hideMark/>
          </w:tcPr>
          <w:p w14:paraId="3CD16933"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2019</w:t>
            </w:r>
          </w:p>
        </w:tc>
        <w:tc>
          <w:tcPr>
            <w:tcW w:w="0" w:type="auto"/>
            <w:vAlign w:val="bottom"/>
            <w:hideMark/>
          </w:tcPr>
          <w:p w14:paraId="48BD8E9C"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r>
      <w:tr w:rsidR="002F3D36" w:rsidRPr="002F3D36" w14:paraId="275BF4CE" w14:textId="77777777" w:rsidTr="002F3D36">
        <w:trPr>
          <w:trHeight w:val="180"/>
          <w:tblCellSpacing w:w="15" w:type="dxa"/>
        </w:trPr>
        <w:tc>
          <w:tcPr>
            <w:tcW w:w="0" w:type="auto"/>
            <w:shd w:val="clear" w:color="auto" w:fill="CFF0FC"/>
            <w:hideMark/>
          </w:tcPr>
          <w:p w14:paraId="5B47A3F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China</w:t>
            </w:r>
          </w:p>
        </w:tc>
        <w:tc>
          <w:tcPr>
            <w:tcW w:w="0" w:type="auto"/>
            <w:shd w:val="clear" w:color="auto" w:fill="CFF0FC"/>
            <w:vAlign w:val="bottom"/>
            <w:hideMark/>
          </w:tcPr>
          <w:p w14:paraId="666A144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0E98773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0A22D5F3"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1,766</w:t>
            </w:r>
          </w:p>
        </w:tc>
        <w:tc>
          <w:tcPr>
            <w:tcW w:w="0" w:type="auto"/>
            <w:shd w:val="clear" w:color="auto" w:fill="CFF0FC"/>
            <w:vAlign w:val="bottom"/>
            <w:hideMark/>
          </w:tcPr>
          <w:p w14:paraId="757671A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5BF27A6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004F2C9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786F89C1"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1,541</w:t>
            </w:r>
          </w:p>
        </w:tc>
        <w:tc>
          <w:tcPr>
            <w:tcW w:w="0" w:type="auto"/>
            <w:shd w:val="clear" w:color="auto" w:fill="CFF0FC"/>
            <w:vAlign w:val="bottom"/>
            <w:hideMark/>
          </w:tcPr>
          <w:p w14:paraId="6A04A19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4EB7ABB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77437C7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730B047F"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1,525</w:t>
            </w:r>
          </w:p>
        </w:tc>
        <w:tc>
          <w:tcPr>
            <w:tcW w:w="0" w:type="auto"/>
            <w:shd w:val="clear" w:color="auto" w:fill="CFF0FC"/>
            <w:vAlign w:val="bottom"/>
            <w:hideMark/>
          </w:tcPr>
          <w:p w14:paraId="08B8748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6D0EFC32" w14:textId="77777777" w:rsidTr="002F3D36">
        <w:trPr>
          <w:trHeight w:val="180"/>
          <w:tblCellSpacing w:w="15" w:type="dxa"/>
        </w:trPr>
        <w:tc>
          <w:tcPr>
            <w:tcW w:w="0" w:type="auto"/>
            <w:hideMark/>
          </w:tcPr>
          <w:p w14:paraId="0DCB436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Japan</w:t>
            </w:r>
          </w:p>
        </w:tc>
        <w:tc>
          <w:tcPr>
            <w:tcW w:w="0" w:type="auto"/>
            <w:vAlign w:val="bottom"/>
            <w:hideMark/>
          </w:tcPr>
          <w:p w14:paraId="49E6761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294DA48E"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22AE9EA6"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733</w:t>
            </w:r>
          </w:p>
        </w:tc>
        <w:tc>
          <w:tcPr>
            <w:tcW w:w="0" w:type="auto"/>
            <w:vAlign w:val="bottom"/>
            <w:hideMark/>
          </w:tcPr>
          <w:p w14:paraId="20090F9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16A7B9B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3B8BB11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79158782"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733</w:t>
            </w:r>
          </w:p>
        </w:tc>
        <w:tc>
          <w:tcPr>
            <w:tcW w:w="0" w:type="auto"/>
            <w:vAlign w:val="bottom"/>
            <w:hideMark/>
          </w:tcPr>
          <w:p w14:paraId="49FC835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7748211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252A197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5B1FC75D"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810</w:t>
            </w:r>
          </w:p>
        </w:tc>
        <w:tc>
          <w:tcPr>
            <w:tcW w:w="0" w:type="auto"/>
            <w:vAlign w:val="bottom"/>
            <w:hideMark/>
          </w:tcPr>
          <w:p w14:paraId="6D30328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16797CAB" w14:textId="77777777" w:rsidTr="002F3D36">
        <w:trPr>
          <w:trHeight w:val="180"/>
          <w:tblCellSpacing w:w="15" w:type="dxa"/>
        </w:trPr>
        <w:tc>
          <w:tcPr>
            <w:tcW w:w="0" w:type="auto"/>
            <w:shd w:val="clear" w:color="auto" w:fill="CFF0FC"/>
            <w:hideMark/>
          </w:tcPr>
          <w:p w14:paraId="72EDE8F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Rest of Asia</w:t>
            </w:r>
          </w:p>
        </w:tc>
        <w:tc>
          <w:tcPr>
            <w:tcW w:w="0" w:type="auto"/>
            <w:shd w:val="clear" w:color="auto" w:fill="CFF0FC"/>
            <w:vAlign w:val="bottom"/>
            <w:hideMark/>
          </w:tcPr>
          <w:p w14:paraId="2C0E839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43DA7B6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2FBC6EC4"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908</w:t>
            </w:r>
          </w:p>
        </w:tc>
        <w:tc>
          <w:tcPr>
            <w:tcW w:w="0" w:type="auto"/>
            <w:shd w:val="clear" w:color="auto" w:fill="CFF0FC"/>
            <w:vAlign w:val="bottom"/>
            <w:hideMark/>
          </w:tcPr>
          <w:p w14:paraId="6AF21AF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65012D5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7934C0F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77DB8836"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769</w:t>
            </w:r>
          </w:p>
        </w:tc>
        <w:tc>
          <w:tcPr>
            <w:tcW w:w="0" w:type="auto"/>
            <w:shd w:val="clear" w:color="auto" w:fill="CFF0FC"/>
            <w:vAlign w:val="bottom"/>
            <w:hideMark/>
          </w:tcPr>
          <w:p w14:paraId="3C0580B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3A27EB7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2881C95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1614F707"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841</w:t>
            </w:r>
          </w:p>
        </w:tc>
        <w:tc>
          <w:tcPr>
            <w:tcW w:w="0" w:type="auto"/>
            <w:shd w:val="clear" w:color="auto" w:fill="CFF0FC"/>
            <w:vAlign w:val="bottom"/>
            <w:hideMark/>
          </w:tcPr>
          <w:p w14:paraId="3D558FC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1479BC2A" w14:textId="77777777" w:rsidTr="002F3D36">
        <w:trPr>
          <w:trHeight w:val="180"/>
          <w:tblCellSpacing w:w="15" w:type="dxa"/>
        </w:trPr>
        <w:tc>
          <w:tcPr>
            <w:tcW w:w="0" w:type="auto"/>
            <w:hideMark/>
          </w:tcPr>
          <w:p w14:paraId="4DB0688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Americas</w:t>
            </w:r>
          </w:p>
        </w:tc>
        <w:tc>
          <w:tcPr>
            <w:tcW w:w="0" w:type="auto"/>
            <w:vAlign w:val="bottom"/>
            <w:hideMark/>
          </w:tcPr>
          <w:p w14:paraId="03A652DE"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1EC5C9FE"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24E2E9B8"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2,535</w:t>
            </w:r>
          </w:p>
        </w:tc>
        <w:tc>
          <w:tcPr>
            <w:tcW w:w="0" w:type="auto"/>
            <w:vAlign w:val="bottom"/>
            <w:hideMark/>
          </w:tcPr>
          <w:p w14:paraId="302D068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4A5FEB8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5CDB009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58B19DCE"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2,337</w:t>
            </w:r>
          </w:p>
        </w:tc>
        <w:tc>
          <w:tcPr>
            <w:tcW w:w="0" w:type="auto"/>
            <w:vAlign w:val="bottom"/>
            <w:hideMark/>
          </w:tcPr>
          <w:p w14:paraId="30FFCD9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607EE6F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7F6F1B5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6477FC38"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2,907</w:t>
            </w:r>
          </w:p>
        </w:tc>
        <w:tc>
          <w:tcPr>
            <w:tcW w:w="0" w:type="auto"/>
            <w:vAlign w:val="bottom"/>
            <w:hideMark/>
          </w:tcPr>
          <w:p w14:paraId="6A13CBAE"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56AFC1CC" w14:textId="77777777" w:rsidTr="002F3D36">
        <w:trPr>
          <w:trHeight w:val="180"/>
          <w:tblCellSpacing w:w="15" w:type="dxa"/>
        </w:trPr>
        <w:tc>
          <w:tcPr>
            <w:tcW w:w="0" w:type="auto"/>
            <w:shd w:val="clear" w:color="auto" w:fill="CFF0FC"/>
            <w:hideMark/>
          </w:tcPr>
          <w:p w14:paraId="1D34449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Europe</w:t>
            </w:r>
          </w:p>
        </w:tc>
        <w:tc>
          <w:tcPr>
            <w:tcW w:w="0" w:type="auto"/>
            <w:shd w:val="clear" w:color="auto" w:fill="CFF0FC"/>
            <w:vAlign w:val="bottom"/>
            <w:hideMark/>
          </w:tcPr>
          <w:p w14:paraId="79382A9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7AC61B7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1D17E0B9"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2,289</w:t>
            </w:r>
          </w:p>
        </w:tc>
        <w:tc>
          <w:tcPr>
            <w:tcW w:w="0" w:type="auto"/>
            <w:shd w:val="clear" w:color="auto" w:fill="CFF0FC"/>
            <w:vAlign w:val="bottom"/>
            <w:hideMark/>
          </w:tcPr>
          <w:p w14:paraId="3814D9D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12F7107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2B40420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5B3216B4"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2,067</w:t>
            </w:r>
          </w:p>
        </w:tc>
        <w:tc>
          <w:tcPr>
            <w:tcW w:w="0" w:type="auto"/>
            <w:shd w:val="clear" w:color="auto" w:fill="CFF0FC"/>
            <w:vAlign w:val="bottom"/>
            <w:hideMark/>
          </w:tcPr>
          <w:p w14:paraId="2B9DE38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632DF68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7558508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5815DB3A"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2,464</w:t>
            </w:r>
          </w:p>
        </w:tc>
        <w:tc>
          <w:tcPr>
            <w:tcW w:w="0" w:type="auto"/>
            <w:shd w:val="clear" w:color="auto" w:fill="CFF0FC"/>
            <w:vAlign w:val="bottom"/>
            <w:hideMark/>
          </w:tcPr>
          <w:p w14:paraId="598822E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7FD00549" w14:textId="77777777" w:rsidTr="002F3D36">
        <w:trPr>
          <w:trHeight w:val="180"/>
          <w:tblCellSpacing w:w="15" w:type="dxa"/>
        </w:trPr>
        <w:tc>
          <w:tcPr>
            <w:tcW w:w="0" w:type="auto"/>
            <w:hideMark/>
          </w:tcPr>
          <w:p w14:paraId="2FAA8CB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Total</w:t>
            </w:r>
          </w:p>
        </w:tc>
        <w:tc>
          <w:tcPr>
            <w:tcW w:w="0" w:type="auto"/>
            <w:vAlign w:val="bottom"/>
            <w:hideMark/>
          </w:tcPr>
          <w:p w14:paraId="3CE45D7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1FE3293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vAlign w:val="bottom"/>
            <w:hideMark/>
          </w:tcPr>
          <w:p w14:paraId="68B06A7B"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8,230</w:t>
            </w:r>
          </w:p>
        </w:tc>
        <w:tc>
          <w:tcPr>
            <w:tcW w:w="0" w:type="auto"/>
            <w:vAlign w:val="bottom"/>
            <w:hideMark/>
          </w:tcPr>
          <w:p w14:paraId="52F1F28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26F2434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370C5FB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vAlign w:val="bottom"/>
            <w:hideMark/>
          </w:tcPr>
          <w:p w14:paraId="70C02C7E"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7,447</w:t>
            </w:r>
          </w:p>
        </w:tc>
        <w:tc>
          <w:tcPr>
            <w:tcW w:w="0" w:type="auto"/>
            <w:vAlign w:val="bottom"/>
            <w:hideMark/>
          </w:tcPr>
          <w:p w14:paraId="1777CF2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6A526B2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76E661AE"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vAlign w:val="bottom"/>
            <w:hideMark/>
          </w:tcPr>
          <w:p w14:paraId="7F3E4339"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8,548</w:t>
            </w:r>
          </w:p>
        </w:tc>
        <w:tc>
          <w:tcPr>
            <w:tcW w:w="0" w:type="auto"/>
            <w:vAlign w:val="bottom"/>
            <w:hideMark/>
          </w:tcPr>
          <w:p w14:paraId="12A5DB0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bl>
    <w:p w14:paraId="6A67C3BE"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24"/>
          <w:szCs w:val="24"/>
        </w:rPr>
        <w:t> </w:t>
      </w:r>
    </w:p>
    <w:p w14:paraId="29CD448A"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The Company has attributed net sales to the geographic area based on the location of the entity selling the final product.</w:t>
      </w:r>
    </w:p>
    <w:p w14:paraId="42CB26EB"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External sales in the U.S. amounted to $1,724 million, $1,647 million and $2,090 million in 2021, 2020 and 2019, respectively. Of the external sales, exports from the U.S. to other regions amounted to approximately $280 million, $348 million and $463 million in 2021, 2020 and 2019, respectively.</w:t>
      </w:r>
    </w:p>
    <w:p w14:paraId="06A0D579"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w:t>
      </w:r>
    </w:p>
    <w:tbl>
      <w:tblPr>
        <w:tblW w:w="16491" w:type="dxa"/>
        <w:tblCellSpacing w:w="15" w:type="dxa"/>
        <w:tblCellMar>
          <w:top w:w="15" w:type="dxa"/>
          <w:left w:w="15" w:type="dxa"/>
          <w:bottom w:w="15" w:type="dxa"/>
          <w:right w:w="15" w:type="dxa"/>
        </w:tblCellMar>
        <w:tblLook w:val="04A0" w:firstRow="1" w:lastRow="0" w:firstColumn="1" w:lastColumn="0" w:noHBand="0" w:noVBand="1"/>
      </w:tblPr>
      <w:tblGrid>
        <w:gridCol w:w="8964"/>
        <w:gridCol w:w="223"/>
        <w:gridCol w:w="302"/>
        <w:gridCol w:w="1827"/>
        <w:gridCol w:w="151"/>
        <w:gridCol w:w="224"/>
        <w:gridCol w:w="302"/>
        <w:gridCol w:w="1827"/>
        <w:gridCol w:w="151"/>
        <w:gridCol w:w="224"/>
        <w:gridCol w:w="302"/>
        <w:gridCol w:w="1827"/>
        <w:gridCol w:w="167"/>
      </w:tblGrid>
      <w:tr w:rsidR="002F3D36" w:rsidRPr="002F3D36" w14:paraId="06F40C11" w14:textId="77777777" w:rsidTr="002F3D36">
        <w:trPr>
          <w:tblCellSpacing w:w="15" w:type="dxa"/>
        </w:trPr>
        <w:tc>
          <w:tcPr>
            <w:tcW w:w="8941" w:type="dxa"/>
            <w:vAlign w:val="center"/>
            <w:hideMark/>
          </w:tcPr>
          <w:p w14:paraId="632A3D19" w14:textId="77777777" w:rsidR="002F3D36" w:rsidRPr="002F3D36" w:rsidRDefault="002F3D36" w:rsidP="002F3D36">
            <w:pPr>
              <w:widowControl/>
              <w:jc w:val="left"/>
              <w:rPr>
                <w:rFonts w:ascii="Times New Roman" w:eastAsia="宋体" w:hAnsi="Times New Roman" w:cs="Times New Roman"/>
                <w:color w:val="000000"/>
                <w:kern w:val="0"/>
                <w:sz w:val="20"/>
                <w:szCs w:val="20"/>
              </w:rPr>
            </w:pPr>
          </w:p>
        </w:tc>
        <w:tc>
          <w:tcPr>
            <w:tcW w:w="194" w:type="dxa"/>
            <w:vAlign w:val="center"/>
            <w:hideMark/>
          </w:tcPr>
          <w:p w14:paraId="6676E67C"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72" w:type="dxa"/>
            <w:vAlign w:val="center"/>
            <w:hideMark/>
          </w:tcPr>
          <w:p w14:paraId="7A750D4B"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801" w:type="dxa"/>
            <w:vAlign w:val="center"/>
            <w:hideMark/>
          </w:tcPr>
          <w:p w14:paraId="778BE5D0"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21" w:type="dxa"/>
            <w:vAlign w:val="center"/>
            <w:hideMark/>
          </w:tcPr>
          <w:p w14:paraId="4CFC483C"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94" w:type="dxa"/>
            <w:vAlign w:val="center"/>
            <w:hideMark/>
          </w:tcPr>
          <w:p w14:paraId="056C0064"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72" w:type="dxa"/>
            <w:vAlign w:val="center"/>
            <w:hideMark/>
          </w:tcPr>
          <w:p w14:paraId="1B57A099"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801" w:type="dxa"/>
            <w:vAlign w:val="center"/>
            <w:hideMark/>
          </w:tcPr>
          <w:p w14:paraId="0BB8BDC4"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21" w:type="dxa"/>
            <w:vAlign w:val="center"/>
            <w:hideMark/>
          </w:tcPr>
          <w:p w14:paraId="4954B3D0"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94" w:type="dxa"/>
            <w:vAlign w:val="center"/>
            <w:hideMark/>
          </w:tcPr>
          <w:p w14:paraId="51830176"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72" w:type="dxa"/>
            <w:vAlign w:val="center"/>
            <w:hideMark/>
          </w:tcPr>
          <w:p w14:paraId="29DBEFF9"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801" w:type="dxa"/>
            <w:vAlign w:val="center"/>
            <w:hideMark/>
          </w:tcPr>
          <w:p w14:paraId="7591F0B5"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22" w:type="dxa"/>
            <w:vAlign w:val="center"/>
            <w:hideMark/>
          </w:tcPr>
          <w:p w14:paraId="7ACC3401" w14:textId="77777777" w:rsidR="002F3D36" w:rsidRPr="002F3D36" w:rsidRDefault="002F3D36" w:rsidP="002F3D36">
            <w:pPr>
              <w:widowControl/>
              <w:jc w:val="left"/>
              <w:rPr>
                <w:rFonts w:ascii="Times New Roman" w:eastAsia="Times New Roman" w:hAnsi="Times New Roman" w:cs="Times New Roman"/>
                <w:kern w:val="0"/>
                <w:sz w:val="20"/>
                <w:szCs w:val="20"/>
              </w:rPr>
            </w:pPr>
          </w:p>
        </w:tc>
      </w:tr>
      <w:tr w:rsidR="002F3D36" w:rsidRPr="002F3D36" w14:paraId="6434C0A8" w14:textId="77777777" w:rsidTr="002F3D36">
        <w:trPr>
          <w:trHeight w:val="160"/>
          <w:tblCellSpacing w:w="15" w:type="dxa"/>
        </w:trPr>
        <w:tc>
          <w:tcPr>
            <w:tcW w:w="0" w:type="auto"/>
            <w:vAlign w:val="bottom"/>
            <w:hideMark/>
          </w:tcPr>
          <w:p w14:paraId="5B7FABD6"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u w:val="single"/>
              </w:rPr>
              <w:t>NET SALES BY PRODUCT</w:t>
            </w:r>
            <w:r w:rsidRPr="002F3D36">
              <w:rPr>
                <w:rFonts w:ascii="Arial" w:eastAsia="宋体" w:hAnsi="Arial" w:cs="Arial"/>
                <w:color w:val="000000"/>
                <w:kern w:val="0"/>
                <w:sz w:val="16"/>
                <w:szCs w:val="16"/>
                <w:u w:val="single"/>
              </w:rPr>
              <w:t> (Dollars in millions)</w:t>
            </w:r>
          </w:p>
        </w:tc>
        <w:tc>
          <w:tcPr>
            <w:tcW w:w="0" w:type="auto"/>
            <w:vAlign w:val="bottom"/>
            <w:hideMark/>
          </w:tcPr>
          <w:p w14:paraId="4BF00B68"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2"/>
            <w:tcBorders>
              <w:bottom w:val="single" w:sz="4" w:space="0" w:color="000000"/>
            </w:tcBorders>
            <w:vAlign w:val="bottom"/>
            <w:hideMark/>
          </w:tcPr>
          <w:p w14:paraId="52F26661"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2021</w:t>
            </w:r>
          </w:p>
        </w:tc>
        <w:tc>
          <w:tcPr>
            <w:tcW w:w="0" w:type="auto"/>
            <w:vAlign w:val="bottom"/>
            <w:hideMark/>
          </w:tcPr>
          <w:p w14:paraId="384E69A9"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vAlign w:val="bottom"/>
            <w:hideMark/>
          </w:tcPr>
          <w:p w14:paraId="33384ABE"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2"/>
            <w:tcBorders>
              <w:bottom w:val="single" w:sz="4" w:space="0" w:color="000000"/>
            </w:tcBorders>
            <w:vAlign w:val="bottom"/>
            <w:hideMark/>
          </w:tcPr>
          <w:p w14:paraId="11982668"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2020</w:t>
            </w:r>
          </w:p>
        </w:tc>
        <w:tc>
          <w:tcPr>
            <w:tcW w:w="0" w:type="auto"/>
            <w:vAlign w:val="bottom"/>
            <w:hideMark/>
          </w:tcPr>
          <w:p w14:paraId="15060CEB"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vAlign w:val="bottom"/>
            <w:hideMark/>
          </w:tcPr>
          <w:p w14:paraId="242A627F"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2"/>
            <w:tcBorders>
              <w:bottom w:val="single" w:sz="4" w:space="0" w:color="000000"/>
            </w:tcBorders>
            <w:vAlign w:val="bottom"/>
            <w:hideMark/>
          </w:tcPr>
          <w:p w14:paraId="091174C9"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2019</w:t>
            </w:r>
          </w:p>
        </w:tc>
        <w:tc>
          <w:tcPr>
            <w:tcW w:w="0" w:type="auto"/>
            <w:vAlign w:val="bottom"/>
            <w:hideMark/>
          </w:tcPr>
          <w:p w14:paraId="7DBA03E7"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r>
      <w:tr w:rsidR="002F3D36" w:rsidRPr="002F3D36" w14:paraId="54035356" w14:textId="77777777" w:rsidTr="002F3D36">
        <w:trPr>
          <w:trHeight w:val="180"/>
          <w:tblCellSpacing w:w="15" w:type="dxa"/>
        </w:trPr>
        <w:tc>
          <w:tcPr>
            <w:tcW w:w="0" w:type="auto"/>
            <w:shd w:val="clear" w:color="auto" w:fill="CFF0FC"/>
            <w:hideMark/>
          </w:tcPr>
          <w:p w14:paraId="56CFE41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Airbag Products</w:t>
            </w:r>
            <w:r w:rsidRPr="002F3D36">
              <w:rPr>
                <w:rFonts w:ascii="Arial" w:eastAsia="宋体" w:hAnsi="Arial" w:cs="Arial"/>
                <w:color w:val="000000"/>
                <w:kern w:val="0"/>
                <w:sz w:val="12"/>
                <w:szCs w:val="12"/>
              </w:rPr>
              <w:t>1)</w:t>
            </w:r>
          </w:p>
        </w:tc>
        <w:tc>
          <w:tcPr>
            <w:tcW w:w="0" w:type="auto"/>
            <w:shd w:val="clear" w:color="auto" w:fill="CFF0FC"/>
            <w:vAlign w:val="bottom"/>
            <w:hideMark/>
          </w:tcPr>
          <w:p w14:paraId="006E384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1F70A65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3FA98509"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5,380</w:t>
            </w:r>
          </w:p>
        </w:tc>
        <w:tc>
          <w:tcPr>
            <w:tcW w:w="0" w:type="auto"/>
            <w:shd w:val="clear" w:color="auto" w:fill="CFF0FC"/>
            <w:vAlign w:val="bottom"/>
            <w:hideMark/>
          </w:tcPr>
          <w:p w14:paraId="6561892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69D7FF2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1E644E6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09210AC8"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4,824</w:t>
            </w:r>
          </w:p>
        </w:tc>
        <w:tc>
          <w:tcPr>
            <w:tcW w:w="0" w:type="auto"/>
            <w:shd w:val="clear" w:color="auto" w:fill="CFF0FC"/>
            <w:vAlign w:val="bottom"/>
            <w:hideMark/>
          </w:tcPr>
          <w:p w14:paraId="53A75F1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56F6E2C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58677AD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14E12018"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5,676</w:t>
            </w:r>
          </w:p>
        </w:tc>
        <w:tc>
          <w:tcPr>
            <w:tcW w:w="0" w:type="auto"/>
            <w:shd w:val="clear" w:color="auto" w:fill="CFF0FC"/>
            <w:vAlign w:val="bottom"/>
            <w:hideMark/>
          </w:tcPr>
          <w:p w14:paraId="1B98E7D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2D5D921B" w14:textId="77777777" w:rsidTr="002F3D36">
        <w:trPr>
          <w:trHeight w:val="180"/>
          <w:tblCellSpacing w:w="15" w:type="dxa"/>
        </w:trPr>
        <w:tc>
          <w:tcPr>
            <w:tcW w:w="0" w:type="auto"/>
            <w:hideMark/>
          </w:tcPr>
          <w:p w14:paraId="1EA0EC7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Seatbelt Products</w:t>
            </w:r>
            <w:r w:rsidRPr="002F3D36">
              <w:rPr>
                <w:rFonts w:ascii="Arial" w:eastAsia="宋体" w:hAnsi="Arial" w:cs="Arial"/>
                <w:color w:val="000000"/>
                <w:kern w:val="0"/>
                <w:sz w:val="12"/>
                <w:szCs w:val="12"/>
              </w:rPr>
              <w:t>1)</w:t>
            </w:r>
          </w:p>
        </w:tc>
        <w:tc>
          <w:tcPr>
            <w:tcW w:w="0" w:type="auto"/>
            <w:vAlign w:val="bottom"/>
            <w:hideMark/>
          </w:tcPr>
          <w:p w14:paraId="1E9CBCD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7E04761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0C342EB9"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2,850</w:t>
            </w:r>
          </w:p>
        </w:tc>
        <w:tc>
          <w:tcPr>
            <w:tcW w:w="0" w:type="auto"/>
            <w:vAlign w:val="bottom"/>
            <w:hideMark/>
          </w:tcPr>
          <w:p w14:paraId="48F1302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67D1CDF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76D76F9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41E10584"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2,623</w:t>
            </w:r>
          </w:p>
        </w:tc>
        <w:tc>
          <w:tcPr>
            <w:tcW w:w="0" w:type="auto"/>
            <w:vAlign w:val="bottom"/>
            <w:hideMark/>
          </w:tcPr>
          <w:p w14:paraId="709D76F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63EAA02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3B0FB74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vAlign w:val="bottom"/>
            <w:hideMark/>
          </w:tcPr>
          <w:p w14:paraId="64F75CA9"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2,871</w:t>
            </w:r>
          </w:p>
        </w:tc>
        <w:tc>
          <w:tcPr>
            <w:tcW w:w="0" w:type="auto"/>
            <w:vAlign w:val="bottom"/>
            <w:hideMark/>
          </w:tcPr>
          <w:p w14:paraId="00AAA3E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6653BCB7" w14:textId="77777777" w:rsidTr="002F3D36">
        <w:trPr>
          <w:trHeight w:val="180"/>
          <w:tblCellSpacing w:w="15" w:type="dxa"/>
        </w:trPr>
        <w:tc>
          <w:tcPr>
            <w:tcW w:w="0" w:type="auto"/>
            <w:shd w:val="clear" w:color="auto" w:fill="CFF0FC"/>
            <w:hideMark/>
          </w:tcPr>
          <w:p w14:paraId="79BAE57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Total net sales</w:t>
            </w:r>
          </w:p>
        </w:tc>
        <w:tc>
          <w:tcPr>
            <w:tcW w:w="0" w:type="auto"/>
            <w:shd w:val="clear" w:color="auto" w:fill="CFF0FC"/>
            <w:vAlign w:val="bottom"/>
            <w:hideMark/>
          </w:tcPr>
          <w:p w14:paraId="1201A21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63B33F4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shd w:val="clear" w:color="auto" w:fill="CFF0FC"/>
            <w:vAlign w:val="bottom"/>
            <w:hideMark/>
          </w:tcPr>
          <w:p w14:paraId="6E8EEC6A"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8,230</w:t>
            </w:r>
          </w:p>
        </w:tc>
        <w:tc>
          <w:tcPr>
            <w:tcW w:w="0" w:type="auto"/>
            <w:shd w:val="clear" w:color="auto" w:fill="CFF0FC"/>
            <w:vAlign w:val="bottom"/>
            <w:hideMark/>
          </w:tcPr>
          <w:p w14:paraId="7C10A11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250179B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44A7A43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shd w:val="clear" w:color="auto" w:fill="CFF0FC"/>
            <w:vAlign w:val="bottom"/>
            <w:hideMark/>
          </w:tcPr>
          <w:p w14:paraId="6E53D567"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7,447</w:t>
            </w:r>
          </w:p>
        </w:tc>
        <w:tc>
          <w:tcPr>
            <w:tcW w:w="0" w:type="auto"/>
            <w:shd w:val="clear" w:color="auto" w:fill="CFF0FC"/>
            <w:vAlign w:val="bottom"/>
            <w:hideMark/>
          </w:tcPr>
          <w:p w14:paraId="212EC13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19B6102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7896671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shd w:val="clear" w:color="auto" w:fill="CFF0FC"/>
            <w:vAlign w:val="bottom"/>
            <w:hideMark/>
          </w:tcPr>
          <w:p w14:paraId="3CFE66D4"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8,548</w:t>
            </w:r>
          </w:p>
        </w:tc>
        <w:tc>
          <w:tcPr>
            <w:tcW w:w="0" w:type="auto"/>
            <w:shd w:val="clear" w:color="auto" w:fill="CFF0FC"/>
            <w:vAlign w:val="bottom"/>
            <w:hideMark/>
          </w:tcPr>
          <w:p w14:paraId="06BB9BC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bl>
    <w:p w14:paraId="357BA4C1"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24"/>
          <w:szCs w:val="24"/>
        </w:rPr>
        <w:t> </w:t>
      </w:r>
    </w:p>
    <w:p w14:paraId="636C45A5"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6"/>
          <w:szCs w:val="16"/>
        </w:rPr>
        <w:t>1) Including Corporate and other sales.</w:t>
      </w:r>
    </w:p>
    <w:p w14:paraId="4BB8BA5C"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w:t>
      </w:r>
    </w:p>
    <w:tbl>
      <w:tblPr>
        <w:tblW w:w="14430" w:type="dxa"/>
        <w:tblCellSpacing w:w="15" w:type="dxa"/>
        <w:tblCellMar>
          <w:top w:w="15" w:type="dxa"/>
          <w:left w:w="15" w:type="dxa"/>
          <w:bottom w:w="15" w:type="dxa"/>
          <w:right w:w="15" w:type="dxa"/>
        </w:tblCellMar>
        <w:tblLook w:val="04A0" w:firstRow="1" w:lastRow="0" w:firstColumn="1" w:lastColumn="0" w:noHBand="0" w:noVBand="1"/>
      </w:tblPr>
      <w:tblGrid>
        <w:gridCol w:w="8964"/>
        <w:gridCol w:w="243"/>
        <w:gridCol w:w="317"/>
        <w:gridCol w:w="2017"/>
        <w:gridCol w:w="148"/>
        <w:gridCol w:w="244"/>
        <w:gridCol w:w="317"/>
        <w:gridCol w:w="2017"/>
        <w:gridCol w:w="163"/>
      </w:tblGrid>
      <w:tr w:rsidR="002F3D36" w:rsidRPr="002F3D36" w14:paraId="6753F4E9" w14:textId="77777777" w:rsidTr="002F3D36">
        <w:trPr>
          <w:tblCellSpacing w:w="15" w:type="dxa"/>
        </w:trPr>
        <w:tc>
          <w:tcPr>
            <w:tcW w:w="8941" w:type="dxa"/>
            <w:vAlign w:val="center"/>
            <w:hideMark/>
          </w:tcPr>
          <w:p w14:paraId="08D23916" w14:textId="77777777" w:rsidR="002F3D36" w:rsidRPr="002F3D36" w:rsidRDefault="002F3D36" w:rsidP="002F3D36">
            <w:pPr>
              <w:widowControl/>
              <w:jc w:val="left"/>
              <w:rPr>
                <w:rFonts w:ascii="Times New Roman" w:eastAsia="宋体" w:hAnsi="Times New Roman" w:cs="Times New Roman"/>
                <w:color w:val="000000"/>
                <w:kern w:val="0"/>
                <w:sz w:val="20"/>
                <w:szCs w:val="20"/>
              </w:rPr>
            </w:pPr>
          </w:p>
        </w:tc>
        <w:tc>
          <w:tcPr>
            <w:tcW w:w="214" w:type="dxa"/>
            <w:vAlign w:val="center"/>
            <w:hideMark/>
          </w:tcPr>
          <w:p w14:paraId="03E4B66C"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87" w:type="dxa"/>
            <w:vAlign w:val="center"/>
            <w:hideMark/>
          </w:tcPr>
          <w:p w14:paraId="7836EDE6"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991" w:type="dxa"/>
            <w:vAlign w:val="center"/>
            <w:hideMark/>
          </w:tcPr>
          <w:p w14:paraId="6E51983F"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18" w:type="dxa"/>
            <w:vAlign w:val="center"/>
            <w:hideMark/>
          </w:tcPr>
          <w:p w14:paraId="4B4AA74A"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14" w:type="dxa"/>
            <w:vAlign w:val="center"/>
            <w:hideMark/>
          </w:tcPr>
          <w:p w14:paraId="0A00AC36"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87" w:type="dxa"/>
            <w:vAlign w:val="center"/>
            <w:hideMark/>
          </w:tcPr>
          <w:p w14:paraId="56DB3D6D"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991" w:type="dxa"/>
            <w:vAlign w:val="center"/>
            <w:hideMark/>
          </w:tcPr>
          <w:p w14:paraId="33D06613"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18" w:type="dxa"/>
            <w:vAlign w:val="center"/>
            <w:hideMark/>
          </w:tcPr>
          <w:p w14:paraId="5CE8BAD2" w14:textId="77777777" w:rsidR="002F3D36" w:rsidRPr="002F3D36" w:rsidRDefault="002F3D36" w:rsidP="002F3D36">
            <w:pPr>
              <w:widowControl/>
              <w:jc w:val="left"/>
              <w:rPr>
                <w:rFonts w:ascii="Times New Roman" w:eastAsia="Times New Roman" w:hAnsi="Times New Roman" w:cs="Times New Roman"/>
                <w:kern w:val="0"/>
                <w:sz w:val="20"/>
                <w:szCs w:val="20"/>
              </w:rPr>
            </w:pPr>
          </w:p>
        </w:tc>
      </w:tr>
      <w:tr w:rsidR="002F3D36" w:rsidRPr="002F3D36" w14:paraId="520B27E4" w14:textId="77777777" w:rsidTr="002F3D36">
        <w:trPr>
          <w:trHeight w:val="160"/>
          <w:tblCellSpacing w:w="15" w:type="dxa"/>
        </w:trPr>
        <w:tc>
          <w:tcPr>
            <w:tcW w:w="0" w:type="auto"/>
            <w:vAlign w:val="bottom"/>
            <w:hideMark/>
          </w:tcPr>
          <w:p w14:paraId="1AE77AB2"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u w:val="single"/>
              </w:rPr>
              <w:t xml:space="preserve">LONG-LIVED ASSETS </w:t>
            </w:r>
            <w:r w:rsidRPr="002F3D36">
              <w:rPr>
                <w:rFonts w:ascii="Arial" w:eastAsia="宋体" w:hAnsi="Arial" w:cs="Arial"/>
                <w:color w:val="000000"/>
                <w:kern w:val="0"/>
                <w:sz w:val="16"/>
                <w:szCs w:val="16"/>
                <w:u w:val="single"/>
              </w:rPr>
              <w:t>(Dollars in millions)</w:t>
            </w:r>
          </w:p>
        </w:tc>
        <w:tc>
          <w:tcPr>
            <w:tcW w:w="0" w:type="auto"/>
            <w:vAlign w:val="bottom"/>
            <w:hideMark/>
          </w:tcPr>
          <w:p w14:paraId="3D5AAF4B"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2"/>
            <w:tcBorders>
              <w:bottom w:val="single" w:sz="4" w:space="0" w:color="000000"/>
            </w:tcBorders>
            <w:vAlign w:val="bottom"/>
            <w:hideMark/>
          </w:tcPr>
          <w:p w14:paraId="5B03A5AA"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2021</w:t>
            </w:r>
          </w:p>
        </w:tc>
        <w:tc>
          <w:tcPr>
            <w:tcW w:w="0" w:type="auto"/>
            <w:vAlign w:val="bottom"/>
            <w:hideMark/>
          </w:tcPr>
          <w:p w14:paraId="35F7474C"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vAlign w:val="bottom"/>
            <w:hideMark/>
          </w:tcPr>
          <w:p w14:paraId="6A76EE99"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2"/>
            <w:tcBorders>
              <w:bottom w:val="single" w:sz="4" w:space="0" w:color="000000"/>
            </w:tcBorders>
            <w:vAlign w:val="bottom"/>
            <w:hideMark/>
          </w:tcPr>
          <w:p w14:paraId="6FAC4210"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2020</w:t>
            </w:r>
          </w:p>
        </w:tc>
        <w:tc>
          <w:tcPr>
            <w:tcW w:w="0" w:type="auto"/>
            <w:vAlign w:val="bottom"/>
            <w:hideMark/>
          </w:tcPr>
          <w:p w14:paraId="3E6F61E3"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r>
      <w:tr w:rsidR="002F3D36" w:rsidRPr="002F3D36" w14:paraId="088533C5" w14:textId="77777777" w:rsidTr="002F3D36">
        <w:trPr>
          <w:trHeight w:val="180"/>
          <w:tblCellSpacing w:w="15" w:type="dxa"/>
        </w:trPr>
        <w:tc>
          <w:tcPr>
            <w:tcW w:w="0" w:type="auto"/>
            <w:shd w:val="clear" w:color="auto" w:fill="CFF0FC"/>
            <w:hideMark/>
          </w:tcPr>
          <w:p w14:paraId="11063B4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China</w:t>
            </w:r>
          </w:p>
        </w:tc>
        <w:tc>
          <w:tcPr>
            <w:tcW w:w="0" w:type="auto"/>
            <w:shd w:val="clear" w:color="auto" w:fill="CFF0FC"/>
            <w:vAlign w:val="bottom"/>
            <w:hideMark/>
          </w:tcPr>
          <w:p w14:paraId="371D10C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7118563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4DAF515E"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521</w:t>
            </w:r>
          </w:p>
        </w:tc>
        <w:tc>
          <w:tcPr>
            <w:tcW w:w="0" w:type="auto"/>
            <w:shd w:val="clear" w:color="auto" w:fill="CFF0FC"/>
            <w:vAlign w:val="bottom"/>
            <w:hideMark/>
          </w:tcPr>
          <w:p w14:paraId="59D16C9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523F0CAE"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57D661C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5671DEB7"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508</w:t>
            </w:r>
          </w:p>
        </w:tc>
        <w:tc>
          <w:tcPr>
            <w:tcW w:w="0" w:type="auto"/>
            <w:shd w:val="clear" w:color="auto" w:fill="CFF0FC"/>
            <w:vAlign w:val="bottom"/>
            <w:hideMark/>
          </w:tcPr>
          <w:p w14:paraId="697A00F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47C95C82" w14:textId="77777777" w:rsidTr="002F3D36">
        <w:trPr>
          <w:trHeight w:val="180"/>
          <w:tblCellSpacing w:w="15" w:type="dxa"/>
        </w:trPr>
        <w:tc>
          <w:tcPr>
            <w:tcW w:w="0" w:type="auto"/>
            <w:hideMark/>
          </w:tcPr>
          <w:p w14:paraId="791FCD1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Japan</w:t>
            </w:r>
          </w:p>
        </w:tc>
        <w:tc>
          <w:tcPr>
            <w:tcW w:w="0" w:type="auto"/>
            <w:vAlign w:val="bottom"/>
            <w:hideMark/>
          </w:tcPr>
          <w:p w14:paraId="540B612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539B6D7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0CC4171A"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178</w:t>
            </w:r>
          </w:p>
        </w:tc>
        <w:tc>
          <w:tcPr>
            <w:tcW w:w="0" w:type="auto"/>
            <w:vAlign w:val="bottom"/>
            <w:hideMark/>
          </w:tcPr>
          <w:p w14:paraId="59B6E6E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58C44CE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7DC7543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62F5DBED"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184</w:t>
            </w:r>
          </w:p>
        </w:tc>
        <w:tc>
          <w:tcPr>
            <w:tcW w:w="0" w:type="auto"/>
            <w:vAlign w:val="bottom"/>
            <w:hideMark/>
          </w:tcPr>
          <w:p w14:paraId="0D03045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71ABBD2D" w14:textId="77777777" w:rsidTr="002F3D36">
        <w:trPr>
          <w:trHeight w:val="180"/>
          <w:tblCellSpacing w:w="15" w:type="dxa"/>
        </w:trPr>
        <w:tc>
          <w:tcPr>
            <w:tcW w:w="0" w:type="auto"/>
            <w:shd w:val="clear" w:color="auto" w:fill="CFF0FC"/>
            <w:hideMark/>
          </w:tcPr>
          <w:p w14:paraId="12EED33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Rest of Asia</w:t>
            </w:r>
          </w:p>
        </w:tc>
        <w:tc>
          <w:tcPr>
            <w:tcW w:w="0" w:type="auto"/>
            <w:shd w:val="clear" w:color="auto" w:fill="CFF0FC"/>
            <w:vAlign w:val="bottom"/>
            <w:hideMark/>
          </w:tcPr>
          <w:p w14:paraId="6F291B8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1712C9C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46D31A14"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293</w:t>
            </w:r>
          </w:p>
        </w:tc>
        <w:tc>
          <w:tcPr>
            <w:tcW w:w="0" w:type="auto"/>
            <w:shd w:val="clear" w:color="auto" w:fill="CFF0FC"/>
            <w:vAlign w:val="bottom"/>
            <w:hideMark/>
          </w:tcPr>
          <w:p w14:paraId="2B9C3BB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23ACD6F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38C0A87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520C918F"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292</w:t>
            </w:r>
          </w:p>
        </w:tc>
        <w:tc>
          <w:tcPr>
            <w:tcW w:w="0" w:type="auto"/>
            <w:shd w:val="clear" w:color="auto" w:fill="CFF0FC"/>
            <w:vAlign w:val="bottom"/>
            <w:hideMark/>
          </w:tcPr>
          <w:p w14:paraId="4739061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68203324" w14:textId="77777777" w:rsidTr="002F3D36">
        <w:trPr>
          <w:trHeight w:val="180"/>
          <w:tblCellSpacing w:w="15" w:type="dxa"/>
        </w:trPr>
        <w:tc>
          <w:tcPr>
            <w:tcW w:w="0" w:type="auto"/>
            <w:hideMark/>
          </w:tcPr>
          <w:p w14:paraId="64856E3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Americas</w:t>
            </w:r>
          </w:p>
        </w:tc>
        <w:tc>
          <w:tcPr>
            <w:tcW w:w="0" w:type="auto"/>
            <w:vAlign w:val="bottom"/>
            <w:hideMark/>
          </w:tcPr>
          <w:p w14:paraId="6DE2326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19B3C3D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206D4B8D"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1,838</w:t>
            </w:r>
          </w:p>
        </w:tc>
        <w:tc>
          <w:tcPr>
            <w:tcW w:w="0" w:type="auto"/>
            <w:vAlign w:val="bottom"/>
            <w:hideMark/>
          </w:tcPr>
          <w:p w14:paraId="1BF8336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1BD874F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5A0D232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450AFBDE"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1,874</w:t>
            </w:r>
          </w:p>
        </w:tc>
        <w:tc>
          <w:tcPr>
            <w:tcW w:w="0" w:type="auto"/>
            <w:vAlign w:val="bottom"/>
            <w:hideMark/>
          </w:tcPr>
          <w:p w14:paraId="516D45E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17AF2860" w14:textId="77777777" w:rsidTr="002F3D36">
        <w:trPr>
          <w:trHeight w:val="180"/>
          <w:tblCellSpacing w:w="15" w:type="dxa"/>
        </w:trPr>
        <w:tc>
          <w:tcPr>
            <w:tcW w:w="0" w:type="auto"/>
            <w:shd w:val="clear" w:color="auto" w:fill="CFF0FC"/>
            <w:hideMark/>
          </w:tcPr>
          <w:p w14:paraId="3656E61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Europe</w:t>
            </w:r>
          </w:p>
        </w:tc>
        <w:tc>
          <w:tcPr>
            <w:tcW w:w="0" w:type="auto"/>
            <w:shd w:val="clear" w:color="auto" w:fill="CFF0FC"/>
            <w:vAlign w:val="bottom"/>
            <w:hideMark/>
          </w:tcPr>
          <w:p w14:paraId="3EC4C29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1D68E47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5C12182D"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1,032</w:t>
            </w:r>
          </w:p>
        </w:tc>
        <w:tc>
          <w:tcPr>
            <w:tcW w:w="0" w:type="auto"/>
            <w:shd w:val="clear" w:color="auto" w:fill="CFF0FC"/>
            <w:vAlign w:val="bottom"/>
            <w:hideMark/>
          </w:tcPr>
          <w:p w14:paraId="3D3659D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6921E26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53F84E7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77E6B6B1"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1,030</w:t>
            </w:r>
          </w:p>
        </w:tc>
        <w:tc>
          <w:tcPr>
            <w:tcW w:w="0" w:type="auto"/>
            <w:shd w:val="clear" w:color="auto" w:fill="CFF0FC"/>
            <w:vAlign w:val="bottom"/>
            <w:hideMark/>
          </w:tcPr>
          <w:p w14:paraId="68FB9C7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15DD600D" w14:textId="77777777" w:rsidTr="002F3D36">
        <w:trPr>
          <w:trHeight w:val="180"/>
          <w:tblCellSpacing w:w="15" w:type="dxa"/>
        </w:trPr>
        <w:tc>
          <w:tcPr>
            <w:tcW w:w="0" w:type="auto"/>
            <w:hideMark/>
          </w:tcPr>
          <w:p w14:paraId="35ACB0DC"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lastRenderedPageBreak/>
              <w:t>Total</w:t>
            </w:r>
          </w:p>
        </w:tc>
        <w:tc>
          <w:tcPr>
            <w:tcW w:w="0" w:type="auto"/>
            <w:vAlign w:val="bottom"/>
            <w:hideMark/>
          </w:tcPr>
          <w:p w14:paraId="3D09B46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385B7E8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vAlign w:val="bottom"/>
            <w:hideMark/>
          </w:tcPr>
          <w:p w14:paraId="29120571"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3,862</w:t>
            </w:r>
          </w:p>
        </w:tc>
        <w:tc>
          <w:tcPr>
            <w:tcW w:w="0" w:type="auto"/>
            <w:vAlign w:val="bottom"/>
            <w:hideMark/>
          </w:tcPr>
          <w:p w14:paraId="3367985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284B343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681F052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w:t>
            </w:r>
          </w:p>
        </w:tc>
        <w:tc>
          <w:tcPr>
            <w:tcW w:w="0" w:type="auto"/>
            <w:vAlign w:val="bottom"/>
            <w:hideMark/>
          </w:tcPr>
          <w:p w14:paraId="0916C8CD"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b/>
                <w:bCs/>
                <w:color w:val="000000"/>
                <w:kern w:val="0"/>
                <w:sz w:val="18"/>
                <w:szCs w:val="18"/>
              </w:rPr>
              <w:t>3,888</w:t>
            </w:r>
          </w:p>
        </w:tc>
        <w:tc>
          <w:tcPr>
            <w:tcW w:w="0" w:type="auto"/>
            <w:vAlign w:val="bottom"/>
            <w:hideMark/>
          </w:tcPr>
          <w:p w14:paraId="4A22031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bl>
    <w:p w14:paraId="68BA8C44"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24"/>
          <w:szCs w:val="24"/>
        </w:rPr>
        <w:t> </w:t>
      </w:r>
    </w:p>
    <w:p w14:paraId="57A3F9B9"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Long-lived assets in the U.S. amounted to $1,774 million and $1,653 million for 2021 and 2020, respectively. For 2021 and 2020, $1,393 million and $1,235 million, respectively, of the long-lived assets in the U.S. refers to intangible assets, principally from acquisition goodwill.</w:t>
      </w:r>
    </w:p>
    <w:p w14:paraId="48B0130F" w14:textId="77777777" w:rsidR="002F3D36" w:rsidRPr="002F3D36" w:rsidRDefault="002F3D36" w:rsidP="002F3D36">
      <w:pPr>
        <w:widowControl/>
        <w:spacing w:before="240"/>
        <w:jc w:val="center"/>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89</w:t>
      </w:r>
    </w:p>
    <w:p w14:paraId="25D81306" w14:textId="77777777" w:rsidR="002F3D36" w:rsidRPr="002F3D36" w:rsidRDefault="002F3D36" w:rsidP="002F3D36">
      <w:pPr>
        <w:widowControl/>
        <w:jc w:val="left"/>
        <w:rPr>
          <w:rFonts w:ascii="宋体" w:eastAsia="宋体" w:hAnsi="宋体" w:cs="宋体"/>
          <w:kern w:val="0"/>
          <w:sz w:val="24"/>
          <w:szCs w:val="24"/>
        </w:rPr>
      </w:pPr>
      <w:r w:rsidRPr="002F3D36">
        <w:rPr>
          <w:rFonts w:ascii="宋体" w:eastAsia="宋体" w:hAnsi="宋体" w:cs="宋体"/>
          <w:kern w:val="0"/>
          <w:sz w:val="24"/>
          <w:szCs w:val="24"/>
        </w:rPr>
        <w:pict w14:anchorId="45008151">
          <v:rect id="_x0000_i1116" style="width:0;height:1.5pt" o:hralign="center" o:hrstd="t" o:hrnoshade="t" o:hr="t" fillcolor="black" stroked="f"/>
        </w:pict>
      </w:r>
    </w:p>
    <w:p w14:paraId="6D5E8839" w14:textId="77777777" w:rsidR="002F3D36" w:rsidRPr="002F3D36" w:rsidRDefault="002F3D36" w:rsidP="002F3D36">
      <w:pPr>
        <w:widowControl/>
        <w:spacing w:line="20" w:lineRule="atLeast"/>
        <w:jc w:val="left"/>
        <w:rPr>
          <w:rFonts w:ascii="Times New Roman" w:eastAsia="宋体" w:hAnsi="Times New Roman" w:cs="Times New Roman"/>
          <w:color w:val="000000"/>
          <w:kern w:val="0"/>
          <w:sz w:val="20"/>
          <w:szCs w:val="20"/>
        </w:rPr>
      </w:pPr>
      <w:r w:rsidRPr="002F3D36">
        <w:rPr>
          <w:rFonts w:ascii="Arial" w:eastAsia="宋体" w:hAnsi="Arial" w:cs="Arial"/>
          <w:color w:val="000000"/>
          <w:kern w:val="0"/>
          <w:sz w:val="2"/>
          <w:szCs w:val="2"/>
        </w:rPr>
        <w:t> </w:t>
      </w:r>
    </w:p>
    <w:p w14:paraId="5E9CD1A4"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22"/>
        </w:rPr>
        <w:t>21. Earnings Per Share</w:t>
      </w:r>
    </w:p>
    <w:p w14:paraId="41235FD0"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The computation of basic and diluted EPS under the two-class method were as follows (dollars and shares in millions):</w:t>
      </w:r>
    </w:p>
    <w:p w14:paraId="051F833C" w14:textId="77777777" w:rsidR="002F3D36" w:rsidRPr="002F3D36" w:rsidRDefault="002F3D36" w:rsidP="002F3D36">
      <w:pPr>
        <w:widowControl/>
        <w:jc w:val="left"/>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w:t>
      </w:r>
    </w:p>
    <w:tbl>
      <w:tblPr>
        <w:tblW w:w="16491" w:type="dxa"/>
        <w:tblCellSpacing w:w="15" w:type="dxa"/>
        <w:tblCellMar>
          <w:top w:w="15" w:type="dxa"/>
          <w:left w:w="15" w:type="dxa"/>
          <w:bottom w:w="15" w:type="dxa"/>
          <w:right w:w="15" w:type="dxa"/>
        </w:tblCellMar>
        <w:tblLook w:val="04A0" w:firstRow="1" w:lastRow="0" w:firstColumn="1" w:lastColumn="0" w:noHBand="0" w:noVBand="1"/>
      </w:tblPr>
      <w:tblGrid>
        <w:gridCol w:w="8949"/>
        <w:gridCol w:w="237"/>
        <w:gridCol w:w="298"/>
        <w:gridCol w:w="1826"/>
        <w:gridCol w:w="147"/>
        <w:gridCol w:w="238"/>
        <w:gridCol w:w="298"/>
        <w:gridCol w:w="1826"/>
        <w:gridCol w:w="147"/>
        <w:gridCol w:w="238"/>
        <w:gridCol w:w="298"/>
        <w:gridCol w:w="1826"/>
        <w:gridCol w:w="163"/>
      </w:tblGrid>
      <w:tr w:rsidR="002F3D36" w:rsidRPr="002F3D36" w14:paraId="282A5004" w14:textId="77777777" w:rsidTr="002F3D36">
        <w:trPr>
          <w:tblCellSpacing w:w="15" w:type="dxa"/>
        </w:trPr>
        <w:tc>
          <w:tcPr>
            <w:tcW w:w="8922" w:type="dxa"/>
            <w:vAlign w:val="center"/>
            <w:hideMark/>
          </w:tcPr>
          <w:p w14:paraId="24FA5204" w14:textId="77777777" w:rsidR="002F3D36" w:rsidRPr="002F3D36" w:rsidRDefault="002F3D36" w:rsidP="002F3D36">
            <w:pPr>
              <w:widowControl/>
              <w:jc w:val="left"/>
              <w:rPr>
                <w:rFonts w:ascii="Times New Roman" w:eastAsia="宋体" w:hAnsi="Times New Roman" w:cs="Times New Roman"/>
                <w:color w:val="000000"/>
                <w:kern w:val="0"/>
                <w:sz w:val="20"/>
                <w:szCs w:val="20"/>
              </w:rPr>
            </w:pPr>
          </w:p>
        </w:tc>
        <w:tc>
          <w:tcPr>
            <w:tcW w:w="208" w:type="dxa"/>
            <w:vAlign w:val="center"/>
            <w:hideMark/>
          </w:tcPr>
          <w:p w14:paraId="3229264A"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68" w:type="dxa"/>
            <w:vAlign w:val="center"/>
            <w:hideMark/>
          </w:tcPr>
          <w:p w14:paraId="6FAEBF9E"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799" w:type="dxa"/>
            <w:vAlign w:val="center"/>
            <w:hideMark/>
          </w:tcPr>
          <w:p w14:paraId="1DFA0F54"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17" w:type="dxa"/>
            <w:vAlign w:val="center"/>
            <w:hideMark/>
          </w:tcPr>
          <w:p w14:paraId="1D2AD7F8"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08" w:type="dxa"/>
            <w:vAlign w:val="center"/>
            <w:hideMark/>
          </w:tcPr>
          <w:p w14:paraId="0FABFF64"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68" w:type="dxa"/>
            <w:vAlign w:val="center"/>
            <w:hideMark/>
          </w:tcPr>
          <w:p w14:paraId="54715EF1"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799" w:type="dxa"/>
            <w:vAlign w:val="center"/>
            <w:hideMark/>
          </w:tcPr>
          <w:p w14:paraId="1C54258F"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17" w:type="dxa"/>
            <w:vAlign w:val="center"/>
            <w:hideMark/>
          </w:tcPr>
          <w:p w14:paraId="6331A8E7"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08" w:type="dxa"/>
            <w:vAlign w:val="center"/>
            <w:hideMark/>
          </w:tcPr>
          <w:p w14:paraId="03298A7A"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68" w:type="dxa"/>
            <w:vAlign w:val="center"/>
            <w:hideMark/>
          </w:tcPr>
          <w:p w14:paraId="6BB214A7"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799" w:type="dxa"/>
            <w:vAlign w:val="center"/>
            <w:hideMark/>
          </w:tcPr>
          <w:p w14:paraId="29CF3C90"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18" w:type="dxa"/>
            <w:vAlign w:val="center"/>
            <w:hideMark/>
          </w:tcPr>
          <w:p w14:paraId="0E532E77" w14:textId="77777777" w:rsidR="002F3D36" w:rsidRPr="002F3D36" w:rsidRDefault="002F3D36" w:rsidP="002F3D36">
            <w:pPr>
              <w:widowControl/>
              <w:jc w:val="left"/>
              <w:rPr>
                <w:rFonts w:ascii="Times New Roman" w:eastAsia="Times New Roman" w:hAnsi="Times New Roman" w:cs="Times New Roman"/>
                <w:kern w:val="0"/>
                <w:sz w:val="20"/>
                <w:szCs w:val="20"/>
              </w:rPr>
            </w:pPr>
          </w:p>
        </w:tc>
      </w:tr>
      <w:tr w:rsidR="002F3D36" w:rsidRPr="002F3D36" w14:paraId="501A22CD" w14:textId="77777777" w:rsidTr="002F3D36">
        <w:trPr>
          <w:trHeight w:val="160"/>
          <w:tblCellSpacing w:w="15" w:type="dxa"/>
        </w:trPr>
        <w:tc>
          <w:tcPr>
            <w:tcW w:w="0" w:type="auto"/>
            <w:vAlign w:val="bottom"/>
            <w:hideMark/>
          </w:tcPr>
          <w:p w14:paraId="7A4C798C"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vAlign w:val="bottom"/>
            <w:hideMark/>
          </w:tcPr>
          <w:p w14:paraId="62DFF6BA"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2"/>
            <w:tcBorders>
              <w:bottom w:val="single" w:sz="4" w:space="0" w:color="000000"/>
            </w:tcBorders>
            <w:vAlign w:val="bottom"/>
            <w:hideMark/>
          </w:tcPr>
          <w:p w14:paraId="45093BF9"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2021</w:t>
            </w:r>
          </w:p>
        </w:tc>
        <w:tc>
          <w:tcPr>
            <w:tcW w:w="0" w:type="auto"/>
            <w:vAlign w:val="bottom"/>
            <w:hideMark/>
          </w:tcPr>
          <w:p w14:paraId="0E4EA9B5"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vAlign w:val="bottom"/>
            <w:hideMark/>
          </w:tcPr>
          <w:p w14:paraId="7AD14DF5"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2"/>
            <w:tcBorders>
              <w:bottom w:val="single" w:sz="4" w:space="0" w:color="000000"/>
            </w:tcBorders>
            <w:vAlign w:val="bottom"/>
            <w:hideMark/>
          </w:tcPr>
          <w:p w14:paraId="4AA89B9A"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2020</w:t>
            </w:r>
          </w:p>
        </w:tc>
        <w:tc>
          <w:tcPr>
            <w:tcW w:w="0" w:type="auto"/>
            <w:vAlign w:val="bottom"/>
            <w:hideMark/>
          </w:tcPr>
          <w:p w14:paraId="4166367E"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vAlign w:val="bottom"/>
            <w:hideMark/>
          </w:tcPr>
          <w:p w14:paraId="0945478F" w14:textId="77777777" w:rsidR="002F3D36" w:rsidRPr="002F3D36" w:rsidRDefault="002F3D36" w:rsidP="002F3D36">
            <w:pPr>
              <w:widowControl/>
              <w:jc w:val="left"/>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c>
          <w:tcPr>
            <w:tcW w:w="0" w:type="auto"/>
            <w:gridSpan w:val="2"/>
            <w:tcBorders>
              <w:bottom w:val="single" w:sz="4" w:space="0" w:color="000000"/>
            </w:tcBorders>
            <w:vAlign w:val="bottom"/>
            <w:hideMark/>
          </w:tcPr>
          <w:p w14:paraId="41D6ECE0"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b/>
                <w:bCs/>
                <w:color w:val="000000"/>
                <w:kern w:val="0"/>
                <w:sz w:val="16"/>
                <w:szCs w:val="16"/>
              </w:rPr>
              <w:t>2019</w:t>
            </w:r>
          </w:p>
        </w:tc>
        <w:tc>
          <w:tcPr>
            <w:tcW w:w="0" w:type="auto"/>
            <w:vAlign w:val="bottom"/>
            <w:hideMark/>
          </w:tcPr>
          <w:p w14:paraId="6D4A227E" w14:textId="77777777" w:rsidR="002F3D36" w:rsidRPr="002F3D36" w:rsidRDefault="002F3D36" w:rsidP="002F3D36">
            <w:pPr>
              <w:widowControl/>
              <w:jc w:val="center"/>
              <w:rPr>
                <w:rFonts w:ascii="Times New Roman" w:eastAsia="宋体" w:hAnsi="Times New Roman" w:cs="Times New Roman"/>
                <w:kern w:val="0"/>
                <w:sz w:val="16"/>
                <w:szCs w:val="16"/>
              </w:rPr>
            </w:pPr>
            <w:r w:rsidRPr="002F3D36">
              <w:rPr>
                <w:rFonts w:ascii="Arial" w:eastAsia="宋体" w:hAnsi="Arial" w:cs="Arial"/>
                <w:kern w:val="0"/>
                <w:sz w:val="16"/>
                <w:szCs w:val="16"/>
              </w:rPr>
              <w:t> </w:t>
            </w:r>
          </w:p>
        </w:tc>
      </w:tr>
      <w:tr w:rsidR="002F3D36" w:rsidRPr="002F3D36" w14:paraId="4141B7D0" w14:textId="77777777" w:rsidTr="002F3D36">
        <w:trPr>
          <w:trHeight w:val="180"/>
          <w:tblCellSpacing w:w="15" w:type="dxa"/>
        </w:trPr>
        <w:tc>
          <w:tcPr>
            <w:tcW w:w="0" w:type="auto"/>
            <w:shd w:val="clear" w:color="auto" w:fill="CFF0FC"/>
            <w:hideMark/>
          </w:tcPr>
          <w:p w14:paraId="15B5E30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 xml:space="preserve">Numerator: </w:t>
            </w:r>
            <w:r w:rsidRPr="002F3D36">
              <w:rPr>
                <w:rFonts w:ascii="Arial" w:eastAsia="宋体" w:hAnsi="Arial" w:cs="Arial"/>
                <w:b/>
                <w:bCs/>
                <w:color w:val="000000"/>
                <w:kern w:val="0"/>
                <w:sz w:val="12"/>
                <w:szCs w:val="12"/>
              </w:rPr>
              <w:t>1)</w:t>
            </w:r>
          </w:p>
        </w:tc>
        <w:tc>
          <w:tcPr>
            <w:tcW w:w="0" w:type="auto"/>
            <w:shd w:val="clear" w:color="auto" w:fill="CFF0FC"/>
            <w:vAlign w:val="bottom"/>
            <w:hideMark/>
          </w:tcPr>
          <w:p w14:paraId="7DD31AC4" w14:textId="77777777" w:rsidR="002F3D36" w:rsidRPr="002F3D36" w:rsidRDefault="002F3D36" w:rsidP="002F3D36">
            <w:pPr>
              <w:widowControl/>
              <w:jc w:val="center"/>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gridSpan w:val="2"/>
            <w:shd w:val="clear" w:color="auto" w:fill="CFF0FC"/>
            <w:vAlign w:val="bottom"/>
            <w:hideMark/>
          </w:tcPr>
          <w:p w14:paraId="26B6DD3F" w14:textId="77777777" w:rsidR="002F3D36" w:rsidRPr="002F3D36" w:rsidRDefault="002F3D36" w:rsidP="002F3D36">
            <w:pPr>
              <w:widowControl/>
              <w:jc w:val="center"/>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50528018" w14:textId="77777777" w:rsidR="002F3D36" w:rsidRPr="002F3D36" w:rsidRDefault="002F3D36" w:rsidP="002F3D36">
            <w:pPr>
              <w:widowControl/>
              <w:jc w:val="center"/>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0808FA21" w14:textId="77777777" w:rsidR="002F3D36" w:rsidRPr="002F3D36" w:rsidRDefault="002F3D36" w:rsidP="002F3D36">
            <w:pPr>
              <w:widowControl/>
              <w:jc w:val="center"/>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gridSpan w:val="2"/>
            <w:shd w:val="clear" w:color="auto" w:fill="CFF0FC"/>
            <w:vAlign w:val="bottom"/>
            <w:hideMark/>
          </w:tcPr>
          <w:p w14:paraId="5B707C8F" w14:textId="77777777" w:rsidR="002F3D36" w:rsidRPr="002F3D36" w:rsidRDefault="002F3D36" w:rsidP="002F3D36">
            <w:pPr>
              <w:widowControl/>
              <w:jc w:val="center"/>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0567591D" w14:textId="77777777" w:rsidR="002F3D36" w:rsidRPr="002F3D36" w:rsidRDefault="002F3D36" w:rsidP="002F3D36">
            <w:pPr>
              <w:widowControl/>
              <w:jc w:val="center"/>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68D254DF" w14:textId="77777777" w:rsidR="002F3D36" w:rsidRPr="002F3D36" w:rsidRDefault="002F3D36" w:rsidP="002F3D36">
            <w:pPr>
              <w:widowControl/>
              <w:jc w:val="center"/>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gridSpan w:val="2"/>
            <w:shd w:val="clear" w:color="auto" w:fill="CFF0FC"/>
            <w:vAlign w:val="bottom"/>
            <w:hideMark/>
          </w:tcPr>
          <w:p w14:paraId="680ED6B6" w14:textId="77777777" w:rsidR="002F3D36" w:rsidRPr="002F3D36" w:rsidRDefault="002F3D36" w:rsidP="002F3D36">
            <w:pPr>
              <w:widowControl/>
              <w:jc w:val="center"/>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1C4FECF2" w14:textId="77777777" w:rsidR="002F3D36" w:rsidRPr="002F3D36" w:rsidRDefault="002F3D36" w:rsidP="002F3D36">
            <w:pPr>
              <w:widowControl/>
              <w:jc w:val="center"/>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52BD04F6" w14:textId="77777777" w:rsidTr="002F3D36">
        <w:trPr>
          <w:trHeight w:val="180"/>
          <w:tblCellSpacing w:w="15" w:type="dxa"/>
        </w:trPr>
        <w:tc>
          <w:tcPr>
            <w:tcW w:w="0" w:type="auto"/>
            <w:vAlign w:val="bottom"/>
            <w:hideMark/>
          </w:tcPr>
          <w:p w14:paraId="11356D5F" w14:textId="77777777" w:rsidR="002F3D36" w:rsidRPr="002F3D36" w:rsidRDefault="002F3D36" w:rsidP="002F3D36">
            <w:pPr>
              <w:widowControl/>
              <w:ind w:left="100"/>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Net income attributable to common shareholders</w:t>
            </w:r>
          </w:p>
        </w:tc>
        <w:tc>
          <w:tcPr>
            <w:tcW w:w="0" w:type="auto"/>
            <w:vAlign w:val="bottom"/>
            <w:hideMark/>
          </w:tcPr>
          <w:p w14:paraId="49B1A1F0" w14:textId="77777777" w:rsidR="002F3D36" w:rsidRPr="002F3D36" w:rsidRDefault="002F3D36" w:rsidP="002F3D36">
            <w:pPr>
              <w:widowControl/>
              <w:jc w:val="center"/>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3E9E588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vAlign w:val="bottom"/>
            <w:hideMark/>
          </w:tcPr>
          <w:p w14:paraId="5BB6A21C"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435</w:t>
            </w:r>
          </w:p>
        </w:tc>
        <w:tc>
          <w:tcPr>
            <w:tcW w:w="0" w:type="auto"/>
            <w:vAlign w:val="bottom"/>
            <w:hideMark/>
          </w:tcPr>
          <w:p w14:paraId="0875E41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2DBB1620"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7D4C9B1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vAlign w:val="bottom"/>
            <w:hideMark/>
          </w:tcPr>
          <w:p w14:paraId="7EE5EC62"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187</w:t>
            </w:r>
          </w:p>
        </w:tc>
        <w:tc>
          <w:tcPr>
            <w:tcW w:w="0" w:type="auto"/>
            <w:vAlign w:val="bottom"/>
            <w:hideMark/>
          </w:tcPr>
          <w:p w14:paraId="55AA6CB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06190E09"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0A3C1E2E"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vAlign w:val="bottom"/>
            <w:hideMark/>
          </w:tcPr>
          <w:p w14:paraId="3F5E72F3"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462</w:t>
            </w:r>
          </w:p>
        </w:tc>
        <w:tc>
          <w:tcPr>
            <w:tcW w:w="0" w:type="auto"/>
            <w:vAlign w:val="bottom"/>
            <w:hideMark/>
          </w:tcPr>
          <w:p w14:paraId="256C9C8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7C3BA0B5" w14:textId="77777777" w:rsidTr="002F3D36">
        <w:trPr>
          <w:trHeight w:val="180"/>
          <w:tblCellSpacing w:w="15" w:type="dxa"/>
        </w:trPr>
        <w:tc>
          <w:tcPr>
            <w:tcW w:w="0" w:type="auto"/>
            <w:shd w:val="clear" w:color="auto" w:fill="CFF0FC"/>
            <w:hideMark/>
          </w:tcPr>
          <w:p w14:paraId="3874342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b/>
                <w:bCs/>
                <w:color w:val="000000"/>
                <w:kern w:val="0"/>
                <w:sz w:val="18"/>
                <w:szCs w:val="18"/>
              </w:rPr>
              <w:t xml:space="preserve">Denominator: </w:t>
            </w:r>
            <w:r w:rsidRPr="002F3D36">
              <w:rPr>
                <w:rFonts w:ascii="Arial" w:eastAsia="宋体" w:hAnsi="Arial" w:cs="Arial"/>
                <w:b/>
                <w:bCs/>
                <w:color w:val="000000"/>
                <w:kern w:val="0"/>
                <w:sz w:val="12"/>
                <w:szCs w:val="12"/>
              </w:rPr>
              <w:t>1)</w:t>
            </w:r>
          </w:p>
        </w:tc>
        <w:tc>
          <w:tcPr>
            <w:tcW w:w="0" w:type="auto"/>
            <w:shd w:val="clear" w:color="auto" w:fill="CFF0FC"/>
            <w:vAlign w:val="bottom"/>
            <w:hideMark/>
          </w:tcPr>
          <w:p w14:paraId="5D00728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gridSpan w:val="2"/>
            <w:shd w:val="clear" w:color="auto" w:fill="CFF0FC"/>
            <w:vAlign w:val="bottom"/>
            <w:hideMark/>
          </w:tcPr>
          <w:p w14:paraId="7536D379"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535BC3C3"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027204F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gridSpan w:val="2"/>
            <w:shd w:val="clear" w:color="auto" w:fill="CFF0FC"/>
            <w:vAlign w:val="bottom"/>
            <w:hideMark/>
          </w:tcPr>
          <w:p w14:paraId="6B34DACE"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65BB0CB1"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53E2DCC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gridSpan w:val="2"/>
            <w:shd w:val="clear" w:color="auto" w:fill="CFF0FC"/>
            <w:vAlign w:val="bottom"/>
            <w:hideMark/>
          </w:tcPr>
          <w:p w14:paraId="413DCA5D"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7A893177"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136B94EC" w14:textId="77777777" w:rsidTr="002F3D36">
        <w:trPr>
          <w:trHeight w:val="180"/>
          <w:tblCellSpacing w:w="15" w:type="dxa"/>
        </w:trPr>
        <w:tc>
          <w:tcPr>
            <w:tcW w:w="0" w:type="auto"/>
            <w:vAlign w:val="bottom"/>
            <w:hideMark/>
          </w:tcPr>
          <w:p w14:paraId="169130F9" w14:textId="77777777" w:rsidR="002F3D36" w:rsidRPr="002F3D36" w:rsidRDefault="002F3D36" w:rsidP="002F3D36">
            <w:pPr>
              <w:widowControl/>
              <w:ind w:left="100"/>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Basic weighted average common stock</w:t>
            </w:r>
          </w:p>
        </w:tc>
        <w:tc>
          <w:tcPr>
            <w:tcW w:w="0" w:type="auto"/>
            <w:vAlign w:val="bottom"/>
            <w:hideMark/>
          </w:tcPr>
          <w:p w14:paraId="5B10859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23E2CAF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4E91A4B9"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87.5</w:t>
            </w:r>
          </w:p>
        </w:tc>
        <w:tc>
          <w:tcPr>
            <w:tcW w:w="0" w:type="auto"/>
            <w:vAlign w:val="bottom"/>
            <w:hideMark/>
          </w:tcPr>
          <w:p w14:paraId="4469271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110EA8E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7A727B2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14ECAF0A"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87.3</w:t>
            </w:r>
          </w:p>
        </w:tc>
        <w:tc>
          <w:tcPr>
            <w:tcW w:w="0" w:type="auto"/>
            <w:vAlign w:val="bottom"/>
            <w:hideMark/>
          </w:tcPr>
          <w:p w14:paraId="5703DAF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49F30DE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0C68C27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29F91285"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87.2</w:t>
            </w:r>
          </w:p>
        </w:tc>
        <w:tc>
          <w:tcPr>
            <w:tcW w:w="0" w:type="auto"/>
            <w:vAlign w:val="bottom"/>
            <w:hideMark/>
          </w:tcPr>
          <w:p w14:paraId="53483023"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7B276930" w14:textId="77777777" w:rsidTr="002F3D36">
        <w:trPr>
          <w:trHeight w:val="180"/>
          <w:tblCellSpacing w:w="15" w:type="dxa"/>
        </w:trPr>
        <w:tc>
          <w:tcPr>
            <w:tcW w:w="0" w:type="auto"/>
            <w:shd w:val="clear" w:color="auto" w:fill="CFF0FC"/>
            <w:vAlign w:val="bottom"/>
            <w:hideMark/>
          </w:tcPr>
          <w:p w14:paraId="213CCBEC" w14:textId="77777777" w:rsidR="002F3D36" w:rsidRPr="002F3D36" w:rsidRDefault="002F3D36" w:rsidP="002F3D36">
            <w:pPr>
              <w:widowControl/>
              <w:ind w:left="100"/>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Added: Weighted average stock options/share awards</w:t>
            </w:r>
          </w:p>
        </w:tc>
        <w:tc>
          <w:tcPr>
            <w:tcW w:w="0" w:type="auto"/>
            <w:shd w:val="clear" w:color="auto" w:fill="CFF0FC"/>
            <w:vAlign w:val="bottom"/>
            <w:hideMark/>
          </w:tcPr>
          <w:p w14:paraId="3467DA5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0F2F87D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2D7ABC83"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0.2</w:t>
            </w:r>
          </w:p>
        </w:tc>
        <w:tc>
          <w:tcPr>
            <w:tcW w:w="0" w:type="auto"/>
            <w:shd w:val="clear" w:color="auto" w:fill="CFF0FC"/>
            <w:vAlign w:val="bottom"/>
            <w:hideMark/>
          </w:tcPr>
          <w:p w14:paraId="589EC80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5E6C979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0700A75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3F21925F"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0.2</w:t>
            </w:r>
          </w:p>
        </w:tc>
        <w:tc>
          <w:tcPr>
            <w:tcW w:w="0" w:type="auto"/>
            <w:shd w:val="clear" w:color="auto" w:fill="CFF0FC"/>
            <w:vAlign w:val="bottom"/>
            <w:hideMark/>
          </w:tcPr>
          <w:p w14:paraId="05F91C7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40C5751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7229E33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4BFEE2D0"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0.2</w:t>
            </w:r>
          </w:p>
        </w:tc>
        <w:tc>
          <w:tcPr>
            <w:tcW w:w="0" w:type="auto"/>
            <w:shd w:val="clear" w:color="auto" w:fill="CFF0FC"/>
            <w:vAlign w:val="bottom"/>
            <w:hideMark/>
          </w:tcPr>
          <w:p w14:paraId="0C502EF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5A59BD9B" w14:textId="77777777" w:rsidTr="002F3D36">
        <w:trPr>
          <w:trHeight w:val="180"/>
          <w:tblCellSpacing w:w="15" w:type="dxa"/>
        </w:trPr>
        <w:tc>
          <w:tcPr>
            <w:tcW w:w="0" w:type="auto"/>
            <w:vAlign w:val="bottom"/>
            <w:hideMark/>
          </w:tcPr>
          <w:p w14:paraId="31FB4901" w14:textId="77777777" w:rsidR="002F3D36" w:rsidRPr="002F3D36" w:rsidRDefault="002F3D36" w:rsidP="002F3D36">
            <w:pPr>
              <w:widowControl/>
              <w:ind w:left="100"/>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Diluted weighted average common stock</w:t>
            </w:r>
          </w:p>
        </w:tc>
        <w:tc>
          <w:tcPr>
            <w:tcW w:w="0" w:type="auto"/>
            <w:vAlign w:val="bottom"/>
            <w:hideMark/>
          </w:tcPr>
          <w:p w14:paraId="102C7ADE"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15723F6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5AF771CA"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87.7</w:t>
            </w:r>
          </w:p>
        </w:tc>
        <w:tc>
          <w:tcPr>
            <w:tcW w:w="0" w:type="auto"/>
            <w:vAlign w:val="bottom"/>
            <w:hideMark/>
          </w:tcPr>
          <w:p w14:paraId="61D539A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4C10E13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3E9D650F"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373AB502"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87.5</w:t>
            </w:r>
          </w:p>
        </w:tc>
        <w:tc>
          <w:tcPr>
            <w:tcW w:w="0" w:type="auto"/>
            <w:vAlign w:val="bottom"/>
            <w:hideMark/>
          </w:tcPr>
          <w:p w14:paraId="623EEF48"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236E8A0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62B2057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62884E51"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87.4</w:t>
            </w:r>
          </w:p>
        </w:tc>
        <w:tc>
          <w:tcPr>
            <w:tcW w:w="0" w:type="auto"/>
            <w:vAlign w:val="bottom"/>
            <w:hideMark/>
          </w:tcPr>
          <w:p w14:paraId="22315A1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152BD718" w14:textId="77777777" w:rsidTr="002F3D36">
        <w:trPr>
          <w:tblCellSpacing w:w="15" w:type="dxa"/>
        </w:trPr>
        <w:tc>
          <w:tcPr>
            <w:tcW w:w="0" w:type="auto"/>
            <w:shd w:val="clear" w:color="auto" w:fill="CFF0FC"/>
            <w:vAlign w:val="bottom"/>
            <w:hideMark/>
          </w:tcPr>
          <w:p w14:paraId="3FCBC551" w14:textId="77777777" w:rsidR="002F3D36" w:rsidRPr="002F3D36" w:rsidRDefault="002F3D36" w:rsidP="002F3D36">
            <w:pPr>
              <w:widowControl/>
              <w:ind w:left="100"/>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075D7E6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gridSpan w:val="2"/>
            <w:shd w:val="clear" w:color="auto" w:fill="CFF0FC"/>
            <w:vAlign w:val="bottom"/>
            <w:hideMark/>
          </w:tcPr>
          <w:p w14:paraId="28C633CB"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56BDC371"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48FFB7F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gridSpan w:val="2"/>
            <w:shd w:val="clear" w:color="auto" w:fill="CFF0FC"/>
            <w:vAlign w:val="bottom"/>
            <w:hideMark/>
          </w:tcPr>
          <w:p w14:paraId="154075FD"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64FB31CA"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13B20C25"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gridSpan w:val="2"/>
            <w:shd w:val="clear" w:color="auto" w:fill="CFF0FC"/>
            <w:vAlign w:val="bottom"/>
            <w:hideMark/>
          </w:tcPr>
          <w:p w14:paraId="3088A14A"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04A0500E" w14:textId="77777777" w:rsidR="002F3D36" w:rsidRPr="002F3D36" w:rsidRDefault="002F3D36" w:rsidP="002F3D36">
            <w:pPr>
              <w:widowControl/>
              <w:jc w:val="righ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63A5C961" w14:textId="77777777" w:rsidTr="002F3D36">
        <w:trPr>
          <w:trHeight w:val="180"/>
          <w:tblCellSpacing w:w="15" w:type="dxa"/>
        </w:trPr>
        <w:tc>
          <w:tcPr>
            <w:tcW w:w="0" w:type="auto"/>
            <w:vAlign w:val="bottom"/>
            <w:hideMark/>
          </w:tcPr>
          <w:p w14:paraId="4DE77B6D" w14:textId="77777777" w:rsidR="002F3D36" w:rsidRPr="002F3D36" w:rsidRDefault="002F3D36" w:rsidP="002F3D36">
            <w:pPr>
              <w:widowControl/>
              <w:ind w:left="100"/>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Basic EPS</w:t>
            </w:r>
          </w:p>
        </w:tc>
        <w:tc>
          <w:tcPr>
            <w:tcW w:w="0" w:type="auto"/>
            <w:vAlign w:val="bottom"/>
            <w:hideMark/>
          </w:tcPr>
          <w:p w14:paraId="4476D7E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1E462B9D"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vAlign w:val="bottom"/>
            <w:hideMark/>
          </w:tcPr>
          <w:p w14:paraId="0503E654"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4.97</w:t>
            </w:r>
          </w:p>
        </w:tc>
        <w:tc>
          <w:tcPr>
            <w:tcW w:w="0" w:type="auto"/>
            <w:vAlign w:val="bottom"/>
            <w:hideMark/>
          </w:tcPr>
          <w:p w14:paraId="01A7D227"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1E35C70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102165D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vAlign w:val="bottom"/>
            <w:hideMark/>
          </w:tcPr>
          <w:p w14:paraId="6C4C7F3F"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2.14</w:t>
            </w:r>
          </w:p>
        </w:tc>
        <w:tc>
          <w:tcPr>
            <w:tcW w:w="0" w:type="auto"/>
            <w:vAlign w:val="bottom"/>
            <w:hideMark/>
          </w:tcPr>
          <w:p w14:paraId="4DBA746E"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05118EC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vAlign w:val="bottom"/>
            <w:hideMark/>
          </w:tcPr>
          <w:p w14:paraId="0D9F5AF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vAlign w:val="bottom"/>
            <w:hideMark/>
          </w:tcPr>
          <w:p w14:paraId="35705938"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5.29</w:t>
            </w:r>
          </w:p>
        </w:tc>
        <w:tc>
          <w:tcPr>
            <w:tcW w:w="0" w:type="auto"/>
            <w:vAlign w:val="bottom"/>
            <w:hideMark/>
          </w:tcPr>
          <w:p w14:paraId="321B7D61"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r w:rsidR="002F3D36" w:rsidRPr="002F3D36" w14:paraId="22A39319" w14:textId="77777777" w:rsidTr="002F3D36">
        <w:trPr>
          <w:trHeight w:val="180"/>
          <w:tblCellSpacing w:w="15" w:type="dxa"/>
        </w:trPr>
        <w:tc>
          <w:tcPr>
            <w:tcW w:w="0" w:type="auto"/>
            <w:shd w:val="clear" w:color="auto" w:fill="CFF0FC"/>
            <w:vAlign w:val="bottom"/>
            <w:hideMark/>
          </w:tcPr>
          <w:p w14:paraId="6A2B7197" w14:textId="77777777" w:rsidR="002F3D36" w:rsidRPr="002F3D36" w:rsidRDefault="002F3D36" w:rsidP="002F3D36">
            <w:pPr>
              <w:widowControl/>
              <w:ind w:left="100"/>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Diluted EPS</w:t>
            </w:r>
          </w:p>
        </w:tc>
        <w:tc>
          <w:tcPr>
            <w:tcW w:w="0" w:type="auto"/>
            <w:shd w:val="clear" w:color="auto" w:fill="CFF0FC"/>
            <w:vAlign w:val="bottom"/>
            <w:hideMark/>
          </w:tcPr>
          <w:p w14:paraId="1FB1A88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7D9A90B0"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2DADADBE"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4.96</w:t>
            </w:r>
          </w:p>
        </w:tc>
        <w:tc>
          <w:tcPr>
            <w:tcW w:w="0" w:type="auto"/>
            <w:shd w:val="clear" w:color="auto" w:fill="CFF0FC"/>
            <w:vAlign w:val="bottom"/>
            <w:hideMark/>
          </w:tcPr>
          <w:p w14:paraId="7AEF2AF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44501082"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4E962FDB"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72B6BC39"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2.14</w:t>
            </w:r>
          </w:p>
        </w:tc>
        <w:tc>
          <w:tcPr>
            <w:tcW w:w="0" w:type="auto"/>
            <w:shd w:val="clear" w:color="auto" w:fill="CFF0FC"/>
            <w:vAlign w:val="bottom"/>
            <w:hideMark/>
          </w:tcPr>
          <w:p w14:paraId="675FC47A"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60015A34"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c>
          <w:tcPr>
            <w:tcW w:w="0" w:type="auto"/>
            <w:shd w:val="clear" w:color="auto" w:fill="CFF0FC"/>
            <w:vAlign w:val="bottom"/>
            <w:hideMark/>
          </w:tcPr>
          <w:p w14:paraId="2EEE6D96"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color w:val="000000"/>
                <w:kern w:val="0"/>
                <w:sz w:val="18"/>
                <w:szCs w:val="18"/>
              </w:rPr>
              <w:t>$</w:t>
            </w:r>
          </w:p>
        </w:tc>
        <w:tc>
          <w:tcPr>
            <w:tcW w:w="0" w:type="auto"/>
            <w:shd w:val="clear" w:color="auto" w:fill="CFF0FC"/>
            <w:vAlign w:val="bottom"/>
            <w:hideMark/>
          </w:tcPr>
          <w:p w14:paraId="0BEECE2A" w14:textId="77777777" w:rsidR="002F3D36" w:rsidRPr="002F3D36" w:rsidRDefault="002F3D36" w:rsidP="002F3D36">
            <w:pPr>
              <w:widowControl/>
              <w:jc w:val="right"/>
              <w:rPr>
                <w:rFonts w:ascii="Times New Roman" w:eastAsia="宋体" w:hAnsi="Times New Roman" w:cs="Times New Roman"/>
                <w:kern w:val="0"/>
                <w:sz w:val="20"/>
                <w:szCs w:val="20"/>
              </w:rPr>
            </w:pPr>
            <w:r w:rsidRPr="002F3D36">
              <w:rPr>
                <w:rFonts w:ascii="Arial" w:eastAsia="宋体" w:hAnsi="Arial" w:cs="Arial"/>
                <w:color w:val="000000"/>
                <w:kern w:val="0"/>
                <w:sz w:val="18"/>
                <w:szCs w:val="18"/>
              </w:rPr>
              <w:t>5.29</w:t>
            </w:r>
          </w:p>
        </w:tc>
        <w:tc>
          <w:tcPr>
            <w:tcW w:w="0" w:type="auto"/>
            <w:shd w:val="clear" w:color="auto" w:fill="CFF0FC"/>
            <w:vAlign w:val="bottom"/>
            <w:hideMark/>
          </w:tcPr>
          <w:p w14:paraId="6367DD59" w14:textId="77777777" w:rsidR="002F3D36" w:rsidRPr="002F3D36" w:rsidRDefault="002F3D36" w:rsidP="002F3D36">
            <w:pPr>
              <w:widowControl/>
              <w:jc w:val="left"/>
              <w:rPr>
                <w:rFonts w:ascii="Times New Roman" w:eastAsia="宋体" w:hAnsi="Times New Roman" w:cs="Times New Roman"/>
                <w:kern w:val="0"/>
                <w:sz w:val="18"/>
                <w:szCs w:val="18"/>
              </w:rPr>
            </w:pPr>
            <w:r w:rsidRPr="002F3D36">
              <w:rPr>
                <w:rFonts w:ascii="Arial" w:eastAsia="宋体" w:hAnsi="Arial" w:cs="Arial"/>
                <w:kern w:val="0"/>
                <w:sz w:val="18"/>
                <w:szCs w:val="18"/>
              </w:rPr>
              <w:t> </w:t>
            </w:r>
          </w:p>
        </w:tc>
      </w:tr>
    </w:tbl>
    <w:p w14:paraId="784EF1E8" w14:textId="77777777" w:rsidR="002F3D36" w:rsidRPr="002F3D36" w:rsidRDefault="002F3D36" w:rsidP="002F3D36">
      <w:pPr>
        <w:widowControl/>
        <w:ind w:hanging="581"/>
        <w:rPr>
          <w:rFonts w:ascii="Times New Roman" w:eastAsia="宋体" w:hAnsi="Times New Roman" w:cs="Times New Roman"/>
          <w:color w:val="000000"/>
          <w:kern w:val="0"/>
          <w:sz w:val="20"/>
          <w:szCs w:val="20"/>
        </w:rPr>
      </w:pPr>
      <w:r w:rsidRPr="002F3D36">
        <w:rPr>
          <w:rFonts w:ascii="Arial" w:eastAsia="宋体" w:hAnsi="Arial" w:cs="Arial"/>
          <w:color w:val="000000"/>
          <w:kern w:val="0"/>
          <w:sz w:val="24"/>
          <w:szCs w:val="24"/>
        </w:rPr>
        <w:t> </w:t>
      </w:r>
    </w:p>
    <w:p w14:paraId="07A34A98"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6"/>
          <w:szCs w:val="16"/>
        </w:rPr>
        <w:t>1) The Company’s unvested RSUs and PSs, of which some included the right to receive non-forfeitable dividend equivalents, are considered participating securities. Calculations of EPS under the two-class method exclude from the numerator any dividends paid or owed on participating securities and any undistributed earnings considered to be attributable to participating securities. The related participating securities are similarly excluded from the denominator. However, these participating securities have been immaterial for all the years presented.</w:t>
      </w:r>
    </w:p>
    <w:p w14:paraId="1E715FB2"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w:t>
      </w:r>
    </w:p>
    <w:p w14:paraId="7E70E529" w14:textId="77777777" w:rsidR="002F3D36" w:rsidRPr="002F3D36" w:rsidRDefault="002F3D36" w:rsidP="002F3D36">
      <w:pPr>
        <w:widowControl/>
        <w:spacing w:before="6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xml:space="preserve">Anti-dilutive shares outstanding for the years ended December 31, 2021, 2020 and 2019 were immaterial. </w:t>
      </w:r>
    </w:p>
    <w:p w14:paraId="4C144A42"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22"/>
        </w:rPr>
        <w:t>22. Subsequent Events</w:t>
      </w:r>
    </w:p>
    <w:p w14:paraId="4171A343"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There were no reportable events subsequent to December 31, 2021.</w:t>
      </w:r>
    </w:p>
    <w:p w14:paraId="3F9120A6" w14:textId="77777777" w:rsidR="002F3D36" w:rsidRPr="002F3D36" w:rsidRDefault="002F3D36" w:rsidP="002F3D36">
      <w:pPr>
        <w:widowControl/>
        <w:spacing w:before="240"/>
        <w:jc w:val="center"/>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90</w:t>
      </w:r>
    </w:p>
    <w:p w14:paraId="3D9E5BF1" w14:textId="77777777" w:rsidR="002F3D36" w:rsidRPr="002F3D36" w:rsidRDefault="002F3D36" w:rsidP="002F3D36">
      <w:pPr>
        <w:widowControl/>
        <w:jc w:val="left"/>
        <w:rPr>
          <w:rFonts w:ascii="宋体" w:eastAsia="宋体" w:hAnsi="宋体" w:cs="宋体"/>
          <w:kern w:val="0"/>
          <w:sz w:val="24"/>
          <w:szCs w:val="24"/>
        </w:rPr>
      </w:pPr>
      <w:r w:rsidRPr="002F3D36">
        <w:rPr>
          <w:rFonts w:ascii="宋体" w:eastAsia="宋体" w:hAnsi="宋体" w:cs="宋体"/>
          <w:kern w:val="0"/>
          <w:sz w:val="24"/>
          <w:szCs w:val="24"/>
        </w:rPr>
        <w:pict w14:anchorId="3F6DEA13">
          <v:rect id="_x0000_i1117" style="width:0;height:1.5pt" o:hralign="center" o:hrstd="t" o:hrnoshade="t" o:hr="t" fillcolor="black" stroked="f"/>
        </w:pict>
      </w:r>
    </w:p>
    <w:p w14:paraId="7F3A0C02" w14:textId="77777777" w:rsidR="002F3D36" w:rsidRPr="002F3D36" w:rsidRDefault="002F3D36" w:rsidP="002F3D36">
      <w:pPr>
        <w:widowControl/>
        <w:spacing w:line="20" w:lineRule="atLeast"/>
        <w:jc w:val="left"/>
        <w:rPr>
          <w:rFonts w:ascii="Times New Roman" w:eastAsia="宋体" w:hAnsi="Times New Roman" w:cs="Times New Roman"/>
          <w:color w:val="000000"/>
          <w:kern w:val="0"/>
          <w:sz w:val="20"/>
          <w:szCs w:val="20"/>
        </w:rPr>
      </w:pPr>
      <w:r w:rsidRPr="002F3D36">
        <w:rPr>
          <w:rFonts w:ascii="Arial" w:eastAsia="宋体" w:hAnsi="Arial" w:cs="Arial"/>
          <w:color w:val="000000"/>
          <w:kern w:val="0"/>
          <w:sz w:val="2"/>
          <w:szCs w:val="2"/>
        </w:rPr>
        <w:t> </w:t>
      </w:r>
    </w:p>
    <w:p w14:paraId="70EB924C" w14:textId="77777777" w:rsidR="002F3D36" w:rsidRPr="002F3D36" w:rsidRDefault="002F3D36" w:rsidP="002F3D36">
      <w:pPr>
        <w:widowControl/>
        <w:spacing w:before="10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22"/>
        </w:rPr>
        <w:t>Item 9. Changes in and Disagreements with Accountants on Accounting and Financial Disclosure</w:t>
      </w:r>
    </w:p>
    <w:p w14:paraId="18586B44"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lastRenderedPageBreak/>
        <w:t>There have been no changes to and no disagreements with our independent auditors regarding accounting or financial disclosure matters in our two most recent fiscal years.</w:t>
      </w:r>
    </w:p>
    <w:p w14:paraId="1317DAB6"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w:t>
      </w:r>
    </w:p>
    <w:p w14:paraId="152E24C7" w14:textId="77777777" w:rsidR="002F3D36" w:rsidRPr="002F3D36" w:rsidRDefault="002F3D36" w:rsidP="002F3D36">
      <w:pPr>
        <w:widowControl/>
        <w:spacing w:before="16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22"/>
        </w:rPr>
        <w:t>Item 9A. Controls and Procedures</w:t>
      </w:r>
    </w:p>
    <w:p w14:paraId="2645A3A9"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Evaluation of Disclosure Controls and Procedures</w:t>
      </w:r>
    </w:p>
    <w:p w14:paraId="58A45B2B"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An evaluation has been carried out by the Company’s management, under the supervision and with the participation of the Company’s Chief Executive Officer and Chief Financial Officer, of the effectiveness of the design and operation of our disclosure controls and procedures (as such term is defined in Rules 13a-15(e) and 15d-15(e) under the Securities Exchange Act of 1934, as amended (the “Exchange Act”)) as of the end of the period covered by this report. Based on such evaluation, the Company’s Chief Executive Officer and Chief Financial Officer have concluded that, as of the end of such period, the Company’s disclosure controls and procedures are effective.</w:t>
      </w:r>
    </w:p>
    <w:p w14:paraId="344A531E"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w:t>
      </w:r>
    </w:p>
    <w:p w14:paraId="22637F37" w14:textId="77777777" w:rsidR="002F3D36" w:rsidRPr="002F3D36" w:rsidRDefault="002F3D36" w:rsidP="002F3D36">
      <w:pPr>
        <w:widowControl/>
        <w:spacing w:before="16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Internal Control over Financial Reporting</w:t>
      </w:r>
    </w:p>
    <w:p w14:paraId="5E14283C"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(a) Management’s Annual Report on Internal Control Over Financial Reporting</w:t>
      </w:r>
    </w:p>
    <w:p w14:paraId="46587C09"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2"/>
          <w:szCs w:val="12"/>
        </w:rPr>
        <w:t> </w:t>
      </w:r>
    </w:p>
    <w:p w14:paraId="4B9B30DF"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Management of the Company is responsible for establishing and maintaining adequate internal control over financial reporting.</w:t>
      </w:r>
    </w:p>
    <w:p w14:paraId="1BAEBF6B"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Internal control over financial reporting is defined in Rules 13a-15(f) and 15d-15(f) under the Exchange Act as a process designed by, or under the supervision of, the Company’s principal executive and principal financial officers and effected by the Company’s board of directors, management and other personnel to provide reasonable assurance regarding the reliability of financial reporting and the preparation of financial statements for external purposes in accordance with generally accepted accounting principles and includes those policies and procedures that:</w:t>
      </w:r>
    </w:p>
    <w:p w14:paraId="19F22EA3" w14:textId="77777777" w:rsidR="002F3D36" w:rsidRPr="002F3D36" w:rsidRDefault="002F3D36" w:rsidP="002F3D36">
      <w:pPr>
        <w:widowControl/>
        <w:rPr>
          <w:rFonts w:ascii="微软雅黑" w:eastAsia="微软雅黑" w:hAnsi="微软雅黑" w:cs="宋体"/>
          <w:color w:val="000000"/>
          <w:kern w:val="0"/>
          <w:sz w:val="27"/>
          <w:szCs w:val="27"/>
        </w:rPr>
      </w:pPr>
      <w:r w:rsidRPr="002F3D36">
        <w:rPr>
          <w:rFonts w:ascii="Times New Roman" w:eastAsia="微软雅黑" w:hAnsi="Times New Roman" w:cs="Times New Roman"/>
          <w:color w:val="000000"/>
          <w:kern w:val="0"/>
          <w:sz w:val="18"/>
          <w:szCs w:val="18"/>
        </w:rPr>
        <w:t>•</w:t>
      </w:r>
    </w:p>
    <w:p w14:paraId="7AF3D09E" w14:textId="77777777" w:rsidR="002F3D36" w:rsidRPr="002F3D36" w:rsidRDefault="002F3D36" w:rsidP="002F3D36">
      <w:pPr>
        <w:widowControl/>
        <w:rPr>
          <w:rFonts w:ascii="微软雅黑" w:eastAsia="微软雅黑" w:hAnsi="微软雅黑" w:cs="宋体" w:hint="eastAsia"/>
          <w:color w:val="000000"/>
          <w:kern w:val="0"/>
          <w:sz w:val="27"/>
          <w:szCs w:val="27"/>
        </w:rPr>
      </w:pPr>
      <w:r w:rsidRPr="002F3D36">
        <w:rPr>
          <w:rFonts w:ascii="Arial" w:eastAsia="微软雅黑" w:hAnsi="Arial" w:cs="Arial"/>
          <w:color w:val="000000"/>
          <w:kern w:val="0"/>
          <w:sz w:val="18"/>
          <w:szCs w:val="18"/>
        </w:rPr>
        <w:t>pertain to the maintenance of records that in reasonable detail accurately and fairly reflect the transactions and dispositions of the assets of the Company;</w:t>
      </w:r>
    </w:p>
    <w:p w14:paraId="76974072" w14:textId="77777777" w:rsidR="002F3D36" w:rsidRPr="002F3D36" w:rsidRDefault="002F3D36" w:rsidP="002F3D36">
      <w:pPr>
        <w:widowControl/>
        <w:rPr>
          <w:rFonts w:ascii="微软雅黑" w:eastAsia="微软雅黑" w:hAnsi="微软雅黑" w:cs="宋体" w:hint="eastAsia"/>
          <w:color w:val="000000"/>
          <w:kern w:val="0"/>
          <w:sz w:val="27"/>
          <w:szCs w:val="27"/>
        </w:rPr>
      </w:pPr>
      <w:r w:rsidRPr="002F3D36">
        <w:rPr>
          <w:rFonts w:ascii="Times New Roman" w:eastAsia="微软雅黑" w:hAnsi="Times New Roman" w:cs="Times New Roman"/>
          <w:color w:val="000000"/>
          <w:kern w:val="0"/>
          <w:sz w:val="18"/>
          <w:szCs w:val="18"/>
        </w:rPr>
        <w:t>•</w:t>
      </w:r>
    </w:p>
    <w:p w14:paraId="239049C8" w14:textId="77777777" w:rsidR="002F3D36" w:rsidRPr="002F3D36" w:rsidRDefault="002F3D36" w:rsidP="002F3D36">
      <w:pPr>
        <w:widowControl/>
        <w:rPr>
          <w:rFonts w:ascii="微软雅黑" w:eastAsia="微软雅黑" w:hAnsi="微软雅黑" w:cs="宋体" w:hint="eastAsia"/>
          <w:color w:val="000000"/>
          <w:kern w:val="0"/>
          <w:sz w:val="27"/>
          <w:szCs w:val="27"/>
        </w:rPr>
      </w:pPr>
      <w:r w:rsidRPr="002F3D36">
        <w:rPr>
          <w:rFonts w:ascii="Arial" w:eastAsia="微软雅黑" w:hAnsi="Arial" w:cs="Arial"/>
          <w:color w:val="000000"/>
          <w:kern w:val="0"/>
          <w:sz w:val="18"/>
          <w:szCs w:val="18"/>
        </w:rPr>
        <w:t>provide reasonable assurance that transactions are recorded as necessary to permit preparation of financial statements in accordance with generally accepted accounting principles, and that receipts and expenditures of the Company are being made only in accordance with authorizations of management and directors of the Company; and</w:t>
      </w:r>
    </w:p>
    <w:p w14:paraId="716B3493" w14:textId="77777777" w:rsidR="002F3D36" w:rsidRPr="002F3D36" w:rsidRDefault="002F3D36" w:rsidP="002F3D36">
      <w:pPr>
        <w:widowControl/>
        <w:rPr>
          <w:rFonts w:ascii="微软雅黑" w:eastAsia="微软雅黑" w:hAnsi="微软雅黑" w:cs="宋体" w:hint="eastAsia"/>
          <w:color w:val="000000"/>
          <w:kern w:val="0"/>
          <w:sz w:val="27"/>
          <w:szCs w:val="27"/>
        </w:rPr>
      </w:pPr>
      <w:r w:rsidRPr="002F3D36">
        <w:rPr>
          <w:rFonts w:ascii="Times New Roman" w:eastAsia="微软雅黑" w:hAnsi="Times New Roman" w:cs="Times New Roman"/>
          <w:color w:val="000000"/>
          <w:kern w:val="0"/>
          <w:sz w:val="18"/>
          <w:szCs w:val="18"/>
        </w:rPr>
        <w:t>•</w:t>
      </w:r>
    </w:p>
    <w:p w14:paraId="38CCF113" w14:textId="77777777" w:rsidR="002F3D36" w:rsidRPr="002F3D36" w:rsidRDefault="002F3D36" w:rsidP="002F3D36">
      <w:pPr>
        <w:widowControl/>
        <w:rPr>
          <w:rFonts w:ascii="微软雅黑" w:eastAsia="微软雅黑" w:hAnsi="微软雅黑" w:cs="宋体" w:hint="eastAsia"/>
          <w:color w:val="000000"/>
          <w:kern w:val="0"/>
          <w:sz w:val="27"/>
          <w:szCs w:val="27"/>
        </w:rPr>
      </w:pPr>
      <w:r w:rsidRPr="002F3D36">
        <w:rPr>
          <w:rFonts w:ascii="Arial" w:eastAsia="微软雅黑" w:hAnsi="Arial" w:cs="Arial"/>
          <w:color w:val="000000"/>
          <w:kern w:val="0"/>
          <w:sz w:val="18"/>
          <w:szCs w:val="18"/>
        </w:rPr>
        <w:t>provide reasonable assurance regarding prevention or timely detection of unauthorized acquisition, use or disposition of the Company’s assets that could have a material effect on the financial statements.</w:t>
      </w:r>
    </w:p>
    <w:p w14:paraId="2949418B" w14:textId="77777777" w:rsidR="002F3D36" w:rsidRPr="002F3D36" w:rsidRDefault="002F3D36" w:rsidP="002F3D36">
      <w:pPr>
        <w:widowControl/>
        <w:spacing w:before="240"/>
        <w:rPr>
          <w:rFonts w:ascii="Times New Roman" w:eastAsia="宋体" w:hAnsi="Times New Roman" w:cs="Times New Roman" w:hint="eastAsia"/>
          <w:color w:val="000000"/>
          <w:kern w:val="0"/>
          <w:sz w:val="20"/>
          <w:szCs w:val="20"/>
        </w:rPr>
      </w:pPr>
      <w:r w:rsidRPr="002F3D36">
        <w:rPr>
          <w:rFonts w:ascii="Arial" w:eastAsia="宋体" w:hAnsi="Arial" w:cs="Arial"/>
          <w:color w:val="000000"/>
          <w:kern w:val="0"/>
          <w:sz w:val="18"/>
          <w:szCs w:val="18"/>
        </w:rPr>
        <w:t>Because of its inherent limitations, internal control over financial reporting may not prevent or detect misstatements. Projections of any evaluation of effectiveness to future periods are subject to the risks that controls may become inadequate because of changes in conditions, or that the degree of compliance with the policies or procedures may deteriorate.</w:t>
      </w:r>
    </w:p>
    <w:p w14:paraId="7A642A97"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xml:space="preserve">Management assessed the effectiveness of Autoliv’s internal control over financial reporting as of December 31, 2021. In making this assessment, we used the criteria set forth by the Committee of </w:t>
      </w:r>
      <w:r w:rsidRPr="002F3D36">
        <w:rPr>
          <w:rFonts w:ascii="Arial" w:eastAsia="宋体" w:hAnsi="Arial" w:cs="Arial"/>
          <w:color w:val="000000"/>
          <w:kern w:val="0"/>
          <w:sz w:val="18"/>
          <w:szCs w:val="18"/>
        </w:rPr>
        <w:lastRenderedPageBreak/>
        <w:t>Sponsoring Organizations of the Treadway Commission (COSO) in Internal Control – Integrated Framework (2013 framework).</w:t>
      </w:r>
    </w:p>
    <w:p w14:paraId="6FC2CC6D"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Based on our assessment, we believe that, as of December 31, 2021, the Company’s internal control over financial reporting is effective.</w:t>
      </w:r>
    </w:p>
    <w:p w14:paraId="1F296F41"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(b) Attestation Report of the Registered Public Accounting Firm</w:t>
      </w:r>
    </w:p>
    <w:p w14:paraId="139DDB9F"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2"/>
          <w:szCs w:val="12"/>
        </w:rPr>
        <w:t> </w:t>
      </w:r>
    </w:p>
    <w:p w14:paraId="29FF0F6C"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Ernst &amp; Young AB has issued an attestation report on the Company’s internal control over financial reporting, which is included herein as the Report of Independent Registered Public Accounting Firm under Item 8. Financial Statements and Supplementary Data for the year ended December 31, 2021.</w:t>
      </w:r>
    </w:p>
    <w:p w14:paraId="38FF5F9A"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w:t>
      </w:r>
    </w:p>
    <w:p w14:paraId="380367B8" w14:textId="77777777" w:rsidR="002F3D36" w:rsidRPr="002F3D36" w:rsidRDefault="002F3D36" w:rsidP="002F3D36">
      <w:pPr>
        <w:widowControl/>
        <w:spacing w:before="16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(c) Changes in Internal Control over Financial Reporting</w:t>
      </w:r>
    </w:p>
    <w:p w14:paraId="75AED056"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There have not been any changes in the Company’s internal control over financial reporting (as such term is defined in Rules 13a-15-(f) and 15d-15(f) under the Exchange Act) during the quarter ended December 31, 2021 that have materially affected, or are reasonably likely to materially affect, the Company’s internal control over financial reporting.</w:t>
      </w:r>
    </w:p>
    <w:p w14:paraId="4E7B72EB"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w:t>
      </w:r>
    </w:p>
    <w:p w14:paraId="70F48EFD" w14:textId="77777777" w:rsidR="002F3D36" w:rsidRPr="002F3D36" w:rsidRDefault="002F3D36" w:rsidP="002F3D36">
      <w:pPr>
        <w:widowControl/>
        <w:spacing w:before="16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22"/>
        </w:rPr>
        <w:t>Item 9B. Other Information</w:t>
      </w:r>
    </w:p>
    <w:p w14:paraId="711E7625"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None.</w:t>
      </w:r>
    </w:p>
    <w:p w14:paraId="38A75B8F"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Times New Roman" w:eastAsia="宋体" w:hAnsi="Times New Roman" w:cs="Times New Roman"/>
          <w:color w:val="000000"/>
          <w:kern w:val="0"/>
          <w:sz w:val="20"/>
          <w:szCs w:val="20"/>
        </w:rPr>
        <w:t> </w:t>
      </w:r>
    </w:p>
    <w:p w14:paraId="07704901" w14:textId="77777777" w:rsidR="002F3D36" w:rsidRPr="002F3D36" w:rsidRDefault="002F3D36" w:rsidP="002F3D36">
      <w:pPr>
        <w:widowControl/>
        <w:spacing w:before="240"/>
        <w:jc w:val="center"/>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91</w:t>
      </w:r>
    </w:p>
    <w:p w14:paraId="79AD6CD9" w14:textId="77777777" w:rsidR="002F3D36" w:rsidRPr="002F3D36" w:rsidRDefault="002F3D36" w:rsidP="002F3D36">
      <w:pPr>
        <w:widowControl/>
        <w:jc w:val="left"/>
        <w:rPr>
          <w:rFonts w:ascii="宋体" w:eastAsia="宋体" w:hAnsi="宋体" w:cs="宋体"/>
          <w:kern w:val="0"/>
          <w:sz w:val="24"/>
          <w:szCs w:val="24"/>
        </w:rPr>
      </w:pPr>
      <w:r w:rsidRPr="002F3D36">
        <w:rPr>
          <w:rFonts w:ascii="宋体" w:eastAsia="宋体" w:hAnsi="宋体" w:cs="宋体"/>
          <w:kern w:val="0"/>
          <w:sz w:val="24"/>
          <w:szCs w:val="24"/>
        </w:rPr>
        <w:pict w14:anchorId="76B9B916">
          <v:rect id="_x0000_i1118" style="width:0;height:1.5pt" o:hralign="center" o:hrstd="t" o:hrnoshade="t" o:hr="t" fillcolor="black" stroked="f"/>
        </w:pict>
      </w:r>
    </w:p>
    <w:p w14:paraId="0D35B799" w14:textId="77777777" w:rsidR="002F3D36" w:rsidRPr="002F3D36" w:rsidRDefault="002F3D36" w:rsidP="002F3D36">
      <w:pPr>
        <w:widowControl/>
        <w:spacing w:line="20" w:lineRule="atLeast"/>
        <w:jc w:val="left"/>
        <w:rPr>
          <w:rFonts w:ascii="Times New Roman" w:eastAsia="宋体" w:hAnsi="Times New Roman" w:cs="Times New Roman"/>
          <w:color w:val="000000"/>
          <w:kern w:val="0"/>
          <w:sz w:val="20"/>
          <w:szCs w:val="20"/>
        </w:rPr>
      </w:pPr>
      <w:r w:rsidRPr="002F3D36">
        <w:rPr>
          <w:rFonts w:ascii="Arial" w:eastAsia="宋体" w:hAnsi="Arial" w:cs="Arial"/>
          <w:color w:val="000000"/>
          <w:kern w:val="0"/>
          <w:sz w:val="2"/>
          <w:szCs w:val="2"/>
        </w:rPr>
        <w:t> </w:t>
      </w:r>
    </w:p>
    <w:p w14:paraId="60D1184F" w14:textId="77777777" w:rsidR="002F3D36" w:rsidRPr="002F3D36" w:rsidRDefault="002F3D36" w:rsidP="002F3D36">
      <w:pPr>
        <w:widowControl/>
        <w:jc w:val="center"/>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PART III</w:t>
      </w:r>
    </w:p>
    <w:p w14:paraId="509E8396" w14:textId="77777777" w:rsidR="002F3D36" w:rsidRPr="002F3D36" w:rsidRDefault="002F3D36" w:rsidP="002F3D36">
      <w:pPr>
        <w:widowControl/>
        <w:spacing w:before="2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22"/>
        </w:rPr>
        <w:t>Item 10. Directors, Executive Officers and Corporate Governance</w:t>
      </w:r>
    </w:p>
    <w:p w14:paraId="6C2AF91E"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The information required by Item 10. regarding executive officers, directors and nominees for election as directors of Autoliv, Autoliv’s Audit Committee, Autoliv’s code of ethics, and compliance with Section 16(A) of the Securities Exchange Act is incorporated herein by reference from the information under the captions “Executive Officers of the Company” and “Proposal 1: Election of Directors”, “Committees of the Board” and “Audit Committee Report”, “Corporate Governance Guidelines and Codes of Conduct and Ethics”, and “Delinquent Section 16(a) Reports”, respectively, in the Company’s 2022 Proxy Statement. Information on Board meeting attendance is provided under the caption “Board Meetings” in the 2022 Proxy Statement and incorporated herein by reference.</w:t>
      </w:r>
    </w:p>
    <w:p w14:paraId="47A3D5C1"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w:t>
      </w:r>
    </w:p>
    <w:p w14:paraId="734C2FA4" w14:textId="77777777" w:rsidR="002F3D36" w:rsidRPr="002F3D36" w:rsidRDefault="002F3D36" w:rsidP="002F3D36">
      <w:pPr>
        <w:widowControl/>
        <w:spacing w:before="16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22"/>
        </w:rPr>
        <w:t>Item 11. Executive Compensation</w:t>
      </w:r>
    </w:p>
    <w:p w14:paraId="4CCCA14F"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xml:space="preserve">The information required by Item 11. regarding executive compensation for the year ended December 31, 2021 is included under the caption “Compensation Discussion and Analysis” in the 2022 Proxy Statement and is incorporated herein by reference. The information required by the same item regarding Leadership Development and Compensation Committee is included in the sections “Leadership Development and </w:t>
      </w:r>
      <w:r w:rsidRPr="002F3D36">
        <w:rPr>
          <w:rFonts w:ascii="Arial" w:eastAsia="宋体" w:hAnsi="Arial" w:cs="Arial"/>
          <w:color w:val="000000"/>
          <w:kern w:val="0"/>
          <w:sz w:val="18"/>
          <w:szCs w:val="18"/>
        </w:rPr>
        <w:lastRenderedPageBreak/>
        <w:t>Compensation Committee Interlocks and Insider Participation” and “Leadership Development and Compensation Committee Report” in the 2022 Proxy Statement and is incorporated herein by reference.</w:t>
      </w:r>
    </w:p>
    <w:p w14:paraId="615541EB"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w:t>
      </w:r>
    </w:p>
    <w:p w14:paraId="1ECEB5A1" w14:textId="77777777" w:rsidR="002F3D36" w:rsidRPr="002F3D36" w:rsidRDefault="002F3D36" w:rsidP="002F3D36">
      <w:pPr>
        <w:widowControl/>
        <w:spacing w:before="16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22"/>
        </w:rPr>
        <w:t>Item 12. Security Ownership of Certain Beneficial Owners and Management and Related Stockholder Matters</w:t>
      </w:r>
    </w:p>
    <w:p w14:paraId="7B1AB27C"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The information required by Item 12. regarding beneficial ownership of Autoliv’s common stock is included under the caption “Security Ownership of Certain Beneficial Owners and Management” in the 2022 Proxy Statement and is incorporated herein by reference.</w:t>
      </w:r>
    </w:p>
    <w:p w14:paraId="4A3E2673"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w:t>
      </w:r>
    </w:p>
    <w:p w14:paraId="4D55D6BA" w14:textId="77777777" w:rsidR="002F3D36" w:rsidRPr="002F3D36" w:rsidRDefault="002F3D36" w:rsidP="002F3D36">
      <w:pPr>
        <w:widowControl/>
        <w:spacing w:before="16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Shares Previously Authorized for Issuance Under the 1997 Stock Incentive Plan</w:t>
      </w:r>
    </w:p>
    <w:p w14:paraId="711B8C50"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The following table provides information as of December 31, 2021, about the common stock that may be issued under the Autoliv, Inc. Stock Incentive Plan. The Company does not have any equity compensation plans that have not been approved by its stockholders.</w:t>
      </w:r>
    </w:p>
    <w:p w14:paraId="48E2C4BC"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w:t>
      </w:r>
    </w:p>
    <w:tbl>
      <w:tblPr>
        <w:tblW w:w="20614" w:type="dxa"/>
        <w:tblCellSpacing w:w="15" w:type="dxa"/>
        <w:tblCellMar>
          <w:top w:w="15" w:type="dxa"/>
          <w:left w:w="15" w:type="dxa"/>
          <w:bottom w:w="15" w:type="dxa"/>
          <w:right w:w="15" w:type="dxa"/>
        </w:tblCellMar>
        <w:tblLook w:val="04A0" w:firstRow="1" w:lastRow="0" w:firstColumn="1" w:lastColumn="0" w:noHBand="0" w:noVBand="1"/>
      </w:tblPr>
      <w:tblGrid>
        <w:gridCol w:w="6457"/>
        <w:gridCol w:w="313"/>
        <w:gridCol w:w="151"/>
        <w:gridCol w:w="4041"/>
        <w:gridCol w:w="151"/>
        <w:gridCol w:w="313"/>
        <w:gridCol w:w="277"/>
        <w:gridCol w:w="3756"/>
        <w:gridCol w:w="151"/>
        <w:gridCol w:w="313"/>
        <w:gridCol w:w="151"/>
        <w:gridCol w:w="4373"/>
        <w:gridCol w:w="167"/>
      </w:tblGrid>
      <w:tr w:rsidR="002F3D36" w:rsidRPr="002F3D36" w14:paraId="02B917F3" w14:textId="77777777" w:rsidTr="002F3D36">
        <w:trPr>
          <w:tblCellSpacing w:w="15" w:type="dxa"/>
        </w:trPr>
        <w:tc>
          <w:tcPr>
            <w:tcW w:w="6423" w:type="dxa"/>
            <w:vAlign w:val="center"/>
            <w:hideMark/>
          </w:tcPr>
          <w:p w14:paraId="3EA23AE3" w14:textId="77777777" w:rsidR="002F3D36" w:rsidRPr="002F3D36" w:rsidRDefault="002F3D36" w:rsidP="002F3D36">
            <w:pPr>
              <w:widowControl/>
              <w:jc w:val="left"/>
              <w:rPr>
                <w:rFonts w:ascii="Times New Roman" w:eastAsia="宋体" w:hAnsi="Times New Roman" w:cs="Times New Roman"/>
                <w:color w:val="000000"/>
                <w:kern w:val="0"/>
                <w:sz w:val="20"/>
                <w:szCs w:val="20"/>
              </w:rPr>
            </w:pPr>
          </w:p>
        </w:tc>
        <w:tc>
          <w:tcPr>
            <w:tcW w:w="283" w:type="dxa"/>
            <w:vAlign w:val="center"/>
            <w:hideMark/>
          </w:tcPr>
          <w:p w14:paraId="70B9E117"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21" w:type="dxa"/>
            <w:vAlign w:val="center"/>
            <w:hideMark/>
          </w:tcPr>
          <w:p w14:paraId="25FD2C43"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4017" w:type="dxa"/>
            <w:vAlign w:val="center"/>
            <w:hideMark/>
          </w:tcPr>
          <w:p w14:paraId="7C97D862"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21" w:type="dxa"/>
            <w:vAlign w:val="center"/>
            <w:hideMark/>
          </w:tcPr>
          <w:p w14:paraId="685523D5"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83" w:type="dxa"/>
            <w:vAlign w:val="center"/>
            <w:hideMark/>
          </w:tcPr>
          <w:p w14:paraId="254C8284"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47" w:type="dxa"/>
            <w:vAlign w:val="center"/>
            <w:hideMark/>
          </w:tcPr>
          <w:p w14:paraId="0337B728"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3732" w:type="dxa"/>
            <w:vAlign w:val="center"/>
            <w:hideMark/>
          </w:tcPr>
          <w:p w14:paraId="0B7A2BA9"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21" w:type="dxa"/>
            <w:vAlign w:val="center"/>
            <w:hideMark/>
          </w:tcPr>
          <w:p w14:paraId="68E9B9BA"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283" w:type="dxa"/>
            <w:vAlign w:val="center"/>
            <w:hideMark/>
          </w:tcPr>
          <w:p w14:paraId="69870267"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21" w:type="dxa"/>
            <w:vAlign w:val="center"/>
            <w:hideMark/>
          </w:tcPr>
          <w:p w14:paraId="7B742545"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4349" w:type="dxa"/>
            <w:vAlign w:val="center"/>
            <w:hideMark/>
          </w:tcPr>
          <w:p w14:paraId="31C6D1F0"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22" w:type="dxa"/>
            <w:vAlign w:val="center"/>
            <w:hideMark/>
          </w:tcPr>
          <w:p w14:paraId="3370A00E" w14:textId="77777777" w:rsidR="002F3D36" w:rsidRPr="002F3D36" w:rsidRDefault="002F3D36" w:rsidP="002F3D36">
            <w:pPr>
              <w:widowControl/>
              <w:jc w:val="left"/>
              <w:rPr>
                <w:rFonts w:ascii="Times New Roman" w:eastAsia="Times New Roman" w:hAnsi="Times New Roman" w:cs="Times New Roman"/>
                <w:kern w:val="0"/>
                <w:sz w:val="20"/>
                <w:szCs w:val="20"/>
              </w:rPr>
            </w:pPr>
          </w:p>
        </w:tc>
      </w:tr>
      <w:tr w:rsidR="002F3D36" w:rsidRPr="002F3D36" w14:paraId="2BA1F2CC" w14:textId="77777777" w:rsidTr="002F3D36">
        <w:trPr>
          <w:trHeight w:val="160"/>
          <w:tblCellSpacing w:w="15" w:type="dxa"/>
        </w:trPr>
        <w:tc>
          <w:tcPr>
            <w:tcW w:w="0" w:type="auto"/>
            <w:vAlign w:val="bottom"/>
            <w:hideMark/>
          </w:tcPr>
          <w:p w14:paraId="11D8771C" w14:textId="77777777" w:rsidR="002F3D36" w:rsidRPr="002F3D36" w:rsidRDefault="002F3D36" w:rsidP="002F3D36">
            <w:pPr>
              <w:widowControl/>
              <w:jc w:val="left"/>
              <w:rPr>
                <w:rFonts w:ascii="Times New Roman" w:eastAsia="微软雅黑" w:hAnsi="Times New Roman" w:cs="Times New Roman"/>
                <w:kern w:val="0"/>
                <w:sz w:val="16"/>
                <w:szCs w:val="16"/>
              </w:rPr>
            </w:pPr>
            <w:r w:rsidRPr="002F3D36">
              <w:rPr>
                <w:rFonts w:ascii="Arial" w:eastAsia="微软雅黑" w:hAnsi="Arial" w:cs="Arial"/>
                <w:b/>
                <w:bCs/>
                <w:color w:val="000000"/>
                <w:kern w:val="0"/>
                <w:sz w:val="16"/>
                <w:szCs w:val="16"/>
                <w:u w:val="single"/>
              </w:rPr>
              <w:t>Plan Category</w:t>
            </w:r>
          </w:p>
        </w:tc>
        <w:tc>
          <w:tcPr>
            <w:tcW w:w="0" w:type="auto"/>
            <w:vAlign w:val="bottom"/>
            <w:hideMark/>
          </w:tcPr>
          <w:p w14:paraId="385E18A2"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gridSpan w:val="2"/>
            <w:tcBorders>
              <w:bottom w:val="single" w:sz="4" w:space="0" w:color="000000"/>
            </w:tcBorders>
            <w:vAlign w:val="bottom"/>
            <w:hideMark/>
          </w:tcPr>
          <w:p w14:paraId="0CE3D6D2"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b/>
                <w:bCs/>
                <w:color w:val="000000"/>
                <w:kern w:val="0"/>
                <w:sz w:val="16"/>
                <w:szCs w:val="16"/>
              </w:rPr>
              <w:t>(a) Number of</w:t>
            </w:r>
            <w:r w:rsidRPr="002F3D36">
              <w:rPr>
                <w:rFonts w:ascii="Arial" w:eastAsia="微软雅黑" w:hAnsi="Arial" w:cs="Arial"/>
                <w:b/>
                <w:bCs/>
                <w:color w:val="000000"/>
                <w:kern w:val="0"/>
                <w:sz w:val="16"/>
                <w:szCs w:val="16"/>
              </w:rPr>
              <w:br/>
              <w:t>Securities to</w:t>
            </w:r>
            <w:r w:rsidRPr="002F3D36">
              <w:rPr>
                <w:rFonts w:ascii="Arial" w:eastAsia="微软雅黑" w:hAnsi="Arial" w:cs="Arial"/>
                <w:b/>
                <w:bCs/>
                <w:color w:val="000000"/>
                <w:kern w:val="0"/>
                <w:sz w:val="16"/>
                <w:szCs w:val="16"/>
              </w:rPr>
              <w:br/>
              <w:t>be issued upon</w:t>
            </w:r>
            <w:r w:rsidRPr="002F3D36">
              <w:rPr>
                <w:rFonts w:ascii="Arial" w:eastAsia="微软雅黑" w:hAnsi="Arial" w:cs="Arial"/>
                <w:b/>
                <w:bCs/>
                <w:color w:val="000000"/>
                <w:kern w:val="0"/>
                <w:sz w:val="16"/>
                <w:szCs w:val="16"/>
              </w:rPr>
              <w:br/>
              <w:t>exercise of</w:t>
            </w:r>
            <w:r w:rsidRPr="002F3D36">
              <w:rPr>
                <w:rFonts w:ascii="Arial" w:eastAsia="微软雅黑" w:hAnsi="Arial" w:cs="Arial"/>
                <w:b/>
                <w:bCs/>
                <w:color w:val="000000"/>
                <w:kern w:val="0"/>
                <w:sz w:val="16"/>
                <w:szCs w:val="16"/>
              </w:rPr>
              <w:br/>
              <w:t>outstanding options,</w:t>
            </w:r>
            <w:r w:rsidRPr="002F3D36">
              <w:rPr>
                <w:rFonts w:ascii="Arial" w:eastAsia="微软雅黑" w:hAnsi="Arial" w:cs="Arial"/>
                <w:b/>
                <w:bCs/>
                <w:color w:val="000000"/>
                <w:kern w:val="0"/>
                <w:sz w:val="16"/>
                <w:szCs w:val="16"/>
              </w:rPr>
              <w:br/>
              <w:t>warrants and rights</w:t>
            </w:r>
          </w:p>
        </w:tc>
        <w:tc>
          <w:tcPr>
            <w:tcW w:w="0" w:type="auto"/>
            <w:vAlign w:val="bottom"/>
            <w:hideMark/>
          </w:tcPr>
          <w:p w14:paraId="1BB4F335"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vAlign w:val="bottom"/>
            <w:hideMark/>
          </w:tcPr>
          <w:p w14:paraId="07E30595"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gridSpan w:val="2"/>
            <w:tcBorders>
              <w:bottom w:val="single" w:sz="4" w:space="0" w:color="000000"/>
            </w:tcBorders>
            <w:vAlign w:val="bottom"/>
            <w:hideMark/>
          </w:tcPr>
          <w:p w14:paraId="2B59E9FD"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b/>
                <w:bCs/>
                <w:color w:val="000000"/>
                <w:kern w:val="0"/>
                <w:sz w:val="16"/>
                <w:szCs w:val="16"/>
              </w:rPr>
              <w:t>(b) Weighted-</w:t>
            </w:r>
            <w:r w:rsidRPr="002F3D36">
              <w:rPr>
                <w:rFonts w:ascii="Arial" w:eastAsia="微软雅黑" w:hAnsi="Arial" w:cs="Arial"/>
                <w:b/>
                <w:bCs/>
                <w:color w:val="000000"/>
                <w:kern w:val="0"/>
                <w:sz w:val="16"/>
                <w:szCs w:val="16"/>
              </w:rPr>
              <w:br/>
              <w:t>average exercise</w:t>
            </w:r>
            <w:r w:rsidRPr="002F3D36">
              <w:rPr>
                <w:rFonts w:ascii="Arial" w:eastAsia="微软雅黑" w:hAnsi="Arial" w:cs="Arial"/>
                <w:b/>
                <w:bCs/>
                <w:color w:val="000000"/>
                <w:kern w:val="0"/>
                <w:sz w:val="16"/>
                <w:szCs w:val="16"/>
              </w:rPr>
              <w:br/>
              <w:t>price of outstanding</w:t>
            </w:r>
            <w:r w:rsidRPr="002F3D36">
              <w:rPr>
                <w:rFonts w:ascii="Arial" w:eastAsia="微软雅黑" w:hAnsi="Arial" w:cs="Arial"/>
                <w:b/>
                <w:bCs/>
                <w:color w:val="000000"/>
                <w:kern w:val="0"/>
                <w:sz w:val="16"/>
                <w:szCs w:val="16"/>
              </w:rPr>
              <w:br/>
              <w:t>options, warrants</w:t>
            </w:r>
            <w:r w:rsidRPr="002F3D36">
              <w:rPr>
                <w:rFonts w:ascii="Arial" w:eastAsia="微软雅黑" w:hAnsi="Arial" w:cs="Arial"/>
                <w:b/>
                <w:bCs/>
                <w:color w:val="000000"/>
                <w:kern w:val="0"/>
                <w:sz w:val="16"/>
                <w:szCs w:val="16"/>
              </w:rPr>
              <w:br/>
              <w:t>and rights(2)</w:t>
            </w:r>
          </w:p>
        </w:tc>
        <w:tc>
          <w:tcPr>
            <w:tcW w:w="0" w:type="auto"/>
            <w:vAlign w:val="bottom"/>
            <w:hideMark/>
          </w:tcPr>
          <w:p w14:paraId="337265FA"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vAlign w:val="bottom"/>
            <w:hideMark/>
          </w:tcPr>
          <w:p w14:paraId="46BF0435"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gridSpan w:val="2"/>
            <w:tcBorders>
              <w:bottom w:val="single" w:sz="4" w:space="0" w:color="000000"/>
            </w:tcBorders>
            <w:vAlign w:val="bottom"/>
            <w:hideMark/>
          </w:tcPr>
          <w:p w14:paraId="29113DAC"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b/>
                <w:bCs/>
                <w:color w:val="000000"/>
                <w:kern w:val="0"/>
                <w:sz w:val="16"/>
                <w:szCs w:val="16"/>
              </w:rPr>
              <w:t>(c) Number of</w:t>
            </w:r>
            <w:r w:rsidRPr="002F3D36">
              <w:rPr>
                <w:rFonts w:ascii="Arial" w:eastAsia="微软雅黑" w:hAnsi="Arial" w:cs="Arial"/>
                <w:b/>
                <w:bCs/>
                <w:color w:val="000000"/>
                <w:kern w:val="0"/>
                <w:sz w:val="16"/>
                <w:szCs w:val="16"/>
              </w:rPr>
              <w:br/>
              <w:t>securities remaining</w:t>
            </w:r>
            <w:r w:rsidRPr="002F3D36">
              <w:rPr>
                <w:rFonts w:ascii="Arial" w:eastAsia="微软雅黑" w:hAnsi="Arial" w:cs="Arial"/>
                <w:b/>
                <w:bCs/>
                <w:color w:val="000000"/>
                <w:kern w:val="0"/>
                <w:sz w:val="16"/>
                <w:szCs w:val="16"/>
              </w:rPr>
              <w:br/>
              <w:t>available for future</w:t>
            </w:r>
            <w:r w:rsidRPr="002F3D36">
              <w:rPr>
                <w:rFonts w:ascii="Arial" w:eastAsia="微软雅黑" w:hAnsi="Arial" w:cs="Arial"/>
                <w:b/>
                <w:bCs/>
                <w:color w:val="000000"/>
                <w:kern w:val="0"/>
                <w:sz w:val="16"/>
                <w:szCs w:val="16"/>
              </w:rPr>
              <w:br/>
              <w:t>issuance under equity</w:t>
            </w:r>
            <w:r w:rsidRPr="002F3D36">
              <w:rPr>
                <w:rFonts w:ascii="Arial" w:eastAsia="微软雅黑" w:hAnsi="Arial" w:cs="Arial"/>
                <w:b/>
                <w:bCs/>
                <w:color w:val="000000"/>
                <w:kern w:val="0"/>
                <w:sz w:val="16"/>
                <w:szCs w:val="16"/>
              </w:rPr>
              <w:br/>
              <w:t>compensation plans</w:t>
            </w:r>
            <w:r w:rsidRPr="002F3D36">
              <w:rPr>
                <w:rFonts w:ascii="Arial" w:eastAsia="微软雅黑" w:hAnsi="Arial" w:cs="Arial"/>
                <w:b/>
                <w:bCs/>
                <w:color w:val="000000"/>
                <w:kern w:val="0"/>
                <w:sz w:val="16"/>
                <w:szCs w:val="16"/>
              </w:rPr>
              <w:br/>
              <w:t>(excluding securities</w:t>
            </w:r>
            <w:r w:rsidRPr="002F3D36">
              <w:rPr>
                <w:rFonts w:ascii="Arial" w:eastAsia="微软雅黑" w:hAnsi="Arial" w:cs="Arial"/>
                <w:b/>
                <w:bCs/>
                <w:color w:val="000000"/>
                <w:kern w:val="0"/>
                <w:sz w:val="16"/>
                <w:szCs w:val="16"/>
              </w:rPr>
              <w:br/>
              <w:t>reflected in column</w:t>
            </w:r>
            <w:r w:rsidRPr="002F3D36">
              <w:rPr>
                <w:rFonts w:ascii="Arial" w:eastAsia="微软雅黑" w:hAnsi="Arial" w:cs="Arial"/>
                <w:b/>
                <w:bCs/>
                <w:color w:val="000000"/>
                <w:kern w:val="0"/>
                <w:sz w:val="16"/>
                <w:szCs w:val="16"/>
              </w:rPr>
              <w:br/>
              <w:t>(a))(3)</w:t>
            </w:r>
          </w:p>
        </w:tc>
        <w:tc>
          <w:tcPr>
            <w:tcW w:w="0" w:type="auto"/>
            <w:vAlign w:val="bottom"/>
            <w:hideMark/>
          </w:tcPr>
          <w:p w14:paraId="1577AFDA"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r>
      <w:tr w:rsidR="002F3D36" w:rsidRPr="002F3D36" w14:paraId="0D3E0D92" w14:textId="77777777" w:rsidTr="002F3D36">
        <w:trPr>
          <w:trHeight w:val="180"/>
          <w:tblCellSpacing w:w="15" w:type="dxa"/>
        </w:trPr>
        <w:tc>
          <w:tcPr>
            <w:tcW w:w="0" w:type="auto"/>
            <w:shd w:val="clear" w:color="auto" w:fill="CFF0FC"/>
            <w:vAlign w:val="bottom"/>
            <w:hideMark/>
          </w:tcPr>
          <w:p w14:paraId="7EEC433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Equity compensation plans</w:t>
            </w:r>
            <w:r w:rsidRPr="002F3D36">
              <w:rPr>
                <w:rFonts w:ascii="Arial" w:eastAsia="微软雅黑" w:hAnsi="Arial" w:cs="Arial"/>
                <w:color w:val="000000"/>
                <w:kern w:val="0"/>
                <w:sz w:val="18"/>
                <w:szCs w:val="18"/>
              </w:rPr>
              <w:br/>
              <w:t>   approved by security</w:t>
            </w:r>
            <w:r w:rsidRPr="002F3D36">
              <w:rPr>
                <w:rFonts w:ascii="Arial" w:eastAsia="微软雅黑" w:hAnsi="Arial" w:cs="Arial"/>
                <w:color w:val="000000"/>
                <w:kern w:val="0"/>
                <w:sz w:val="18"/>
                <w:szCs w:val="18"/>
              </w:rPr>
              <w:br/>
              <w:t>   holders (1)</w:t>
            </w:r>
          </w:p>
        </w:tc>
        <w:tc>
          <w:tcPr>
            <w:tcW w:w="0" w:type="auto"/>
            <w:shd w:val="clear" w:color="auto" w:fill="CFF0FC"/>
            <w:vAlign w:val="bottom"/>
            <w:hideMark/>
          </w:tcPr>
          <w:p w14:paraId="48DB7D4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2762070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76B36EA7"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447,454</w:t>
            </w:r>
          </w:p>
        </w:tc>
        <w:tc>
          <w:tcPr>
            <w:tcW w:w="0" w:type="auto"/>
            <w:shd w:val="clear" w:color="auto" w:fill="CFF0FC"/>
            <w:vAlign w:val="bottom"/>
            <w:hideMark/>
          </w:tcPr>
          <w:p w14:paraId="5CA8ECD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5792A46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2FBB163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shd w:val="clear" w:color="auto" w:fill="CFF0FC"/>
            <w:vAlign w:val="bottom"/>
            <w:hideMark/>
          </w:tcPr>
          <w:p w14:paraId="3750C275"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68.71</w:t>
            </w:r>
          </w:p>
        </w:tc>
        <w:tc>
          <w:tcPr>
            <w:tcW w:w="0" w:type="auto"/>
            <w:shd w:val="clear" w:color="auto" w:fill="CFF0FC"/>
            <w:vAlign w:val="bottom"/>
            <w:hideMark/>
          </w:tcPr>
          <w:p w14:paraId="3040C0F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3F38BCD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7EB18BD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7C4FEF4E"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2,772,250</w:t>
            </w:r>
          </w:p>
        </w:tc>
        <w:tc>
          <w:tcPr>
            <w:tcW w:w="0" w:type="auto"/>
            <w:shd w:val="clear" w:color="auto" w:fill="CFF0FC"/>
            <w:vAlign w:val="bottom"/>
            <w:hideMark/>
          </w:tcPr>
          <w:p w14:paraId="219C88E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2EAFCA8B" w14:textId="77777777" w:rsidTr="002F3D36">
        <w:trPr>
          <w:trHeight w:val="180"/>
          <w:tblCellSpacing w:w="15" w:type="dxa"/>
        </w:trPr>
        <w:tc>
          <w:tcPr>
            <w:tcW w:w="0" w:type="auto"/>
            <w:vAlign w:val="bottom"/>
            <w:hideMark/>
          </w:tcPr>
          <w:p w14:paraId="209B5E3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Equity compensation plans</w:t>
            </w:r>
            <w:r w:rsidRPr="002F3D36">
              <w:rPr>
                <w:rFonts w:ascii="Arial" w:eastAsia="微软雅黑" w:hAnsi="Arial" w:cs="Arial"/>
                <w:color w:val="000000"/>
                <w:kern w:val="0"/>
                <w:sz w:val="18"/>
                <w:szCs w:val="18"/>
              </w:rPr>
              <w:br/>
              <w:t>   not approved by security</w:t>
            </w:r>
            <w:r w:rsidRPr="002F3D36">
              <w:rPr>
                <w:rFonts w:ascii="Arial" w:eastAsia="微软雅黑" w:hAnsi="Arial" w:cs="Arial"/>
                <w:color w:val="000000"/>
                <w:kern w:val="0"/>
                <w:sz w:val="18"/>
                <w:szCs w:val="18"/>
              </w:rPr>
              <w:br/>
              <w:t>   holders</w:t>
            </w:r>
          </w:p>
        </w:tc>
        <w:tc>
          <w:tcPr>
            <w:tcW w:w="0" w:type="auto"/>
            <w:vAlign w:val="bottom"/>
            <w:hideMark/>
          </w:tcPr>
          <w:p w14:paraId="037A95C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vAlign w:val="bottom"/>
            <w:hideMark/>
          </w:tcPr>
          <w:p w14:paraId="10D11B2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vAlign w:val="bottom"/>
            <w:hideMark/>
          </w:tcPr>
          <w:p w14:paraId="410ABC65"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vAlign w:val="bottom"/>
            <w:hideMark/>
          </w:tcPr>
          <w:p w14:paraId="53EA4EC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5EDBF05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vAlign w:val="bottom"/>
            <w:hideMark/>
          </w:tcPr>
          <w:p w14:paraId="36A03C9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vAlign w:val="bottom"/>
            <w:hideMark/>
          </w:tcPr>
          <w:p w14:paraId="3C40E716"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vAlign w:val="bottom"/>
            <w:hideMark/>
          </w:tcPr>
          <w:p w14:paraId="20EE115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681CAC2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vAlign w:val="bottom"/>
            <w:hideMark/>
          </w:tcPr>
          <w:p w14:paraId="2F04EA5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vAlign w:val="bottom"/>
            <w:hideMark/>
          </w:tcPr>
          <w:p w14:paraId="6A9F292D"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vAlign w:val="bottom"/>
            <w:hideMark/>
          </w:tcPr>
          <w:p w14:paraId="76FBA32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350DF1E1" w14:textId="77777777" w:rsidTr="002F3D36">
        <w:trPr>
          <w:trHeight w:val="180"/>
          <w:tblCellSpacing w:w="15" w:type="dxa"/>
        </w:trPr>
        <w:tc>
          <w:tcPr>
            <w:tcW w:w="0" w:type="auto"/>
            <w:shd w:val="clear" w:color="auto" w:fill="CFF0FC"/>
            <w:vAlign w:val="bottom"/>
            <w:hideMark/>
          </w:tcPr>
          <w:p w14:paraId="28F9FE3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Total</w:t>
            </w:r>
          </w:p>
        </w:tc>
        <w:tc>
          <w:tcPr>
            <w:tcW w:w="0" w:type="auto"/>
            <w:shd w:val="clear" w:color="auto" w:fill="CFF0FC"/>
            <w:vAlign w:val="bottom"/>
            <w:hideMark/>
          </w:tcPr>
          <w:p w14:paraId="1999E43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shd w:val="clear" w:color="auto" w:fill="CFF0FC"/>
            <w:vAlign w:val="bottom"/>
            <w:hideMark/>
          </w:tcPr>
          <w:p w14:paraId="3FD4C4D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shd w:val="clear" w:color="auto" w:fill="CFF0FC"/>
            <w:vAlign w:val="bottom"/>
            <w:hideMark/>
          </w:tcPr>
          <w:p w14:paraId="6090EC35"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447,454</w:t>
            </w:r>
          </w:p>
        </w:tc>
        <w:tc>
          <w:tcPr>
            <w:tcW w:w="0" w:type="auto"/>
            <w:shd w:val="clear" w:color="auto" w:fill="CFF0FC"/>
            <w:vAlign w:val="bottom"/>
            <w:hideMark/>
          </w:tcPr>
          <w:p w14:paraId="32C2A79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70A4FD4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shd w:val="clear" w:color="auto" w:fill="CFF0FC"/>
            <w:vAlign w:val="bottom"/>
            <w:hideMark/>
          </w:tcPr>
          <w:p w14:paraId="0494DB4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w:t>
            </w:r>
          </w:p>
        </w:tc>
        <w:tc>
          <w:tcPr>
            <w:tcW w:w="0" w:type="auto"/>
            <w:tcBorders>
              <w:bottom w:val="single" w:sz="4" w:space="0" w:color="000000"/>
            </w:tcBorders>
            <w:shd w:val="clear" w:color="auto" w:fill="CFF0FC"/>
            <w:vAlign w:val="bottom"/>
            <w:hideMark/>
          </w:tcPr>
          <w:p w14:paraId="5DAC9725"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68.71</w:t>
            </w:r>
          </w:p>
        </w:tc>
        <w:tc>
          <w:tcPr>
            <w:tcW w:w="0" w:type="auto"/>
            <w:shd w:val="clear" w:color="auto" w:fill="CFF0FC"/>
            <w:vAlign w:val="bottom"/>
            <w:hideMark/>
          </w:tcPr>
          <w:p w14:paraId="412F3F4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shd w:val="clear" w:color="auto" w:fill="CFF0FC"/>
            <w:vAlign w:val="bottom"/>
            <w:hideMark/>
          </w:tcPr>
          <w:p w14:paraId="4C9C7D8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shd w:val="clear" w:color="auto" w:fill="CFF0FC"/>
            <w:vAlign w:val="bottom"/>
            <w:hideMark/>
          </w:tcPr>
          <w:p w14:paraId="2A87CCD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000000"/>
            </w:tcBorders>
            <w:shd w:val="clear" w:color="auto" w:fill="CFF0FC"/>
            <w:vAlign w:val="bottom"/>
            <w:hideMark/>
          </w:tcPr>
          <w:p w14:paraId="36C9AA5F" w14:textId="77777777" w:rsidR="002F3D36" w:rsidRPr="002F3D36" w:rsidRDefault="002F3D36" w:rsidP="002F3D36">
            <w:pPr>
              <w:widowControl/>
              <w:jc w:val="righ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2,772,250</w:t>
            </w:r>
          </w:p>
        </w:tc>
        <w:tc>
          <w:tcPr>
            <w:tcW w:w="0" w:type="auto"/>
            <w:shd w:val="clear" w:color="auto" w:fill="CFF0FC"/>
            <w:vAlign w:val="bottom"/>
            <w:hideMark/>
          </w:tcPr>
          <w:p w14:paraId="7199D1A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bl>
    <w:p w14:paraId="73050D57" w14:textId="77777777" w:rsidR="002F3D36" w:rsidRPr="002F3D36" w:rsidRDefault="002F3D36" w:rsidP="002F3D36">
      <w:pPr>
        <w:widowControl/>
        <w:jc w:val="left"/>
        <w:rPr>
          <w:rFonts w:ascii="Times New Roman" w:eastAsia="宋体" w:hAnsi="Times New Roman" w:cs="Times New Roman"/>
          <w:color w:val="000000"/>
          <w:kern w:val="0"/>
          <w:sz w:val="20"/>
          <w:szCs w:val="20"/>
        </w:rPr>
      </w:pPr>
      <w:r w:rsidRPr="002F3D36">
        <w:rPr>
          <w:rFonts w:ascii="Times New Roman" w:eastAsia="宋体" w:hAnsi="Times New Roman" w:cs="Times New Roman"/>
          <w:color w:val="000000"/>
          <w:kern w:val="0"/>
          <w:sz w:val="20"/>
          <w:szCs w:val="20"/>
        </w:rPr>
        <w:t> </w:t>
      </w:r>
    </w:p>
    <w:p w14:paraId="23DDC32F" w14:textId="77777777" w:rsidR="002F3D36" w:rsidRPr="002F3D36" w:rsidRDefault="002F3D36" w:rsidP="002F3D36">
      <w:pPr>
        <w:widowControl/>
        <w:rPr>
          <w:rFonts w:ascii="微软雅黑" w:eastAsia="微软雅黑" w:hAnsi="微软雅黑" w:cs="宋体"/>
          <w:color w:val="000000"/>
          <w:kern w:val="0"/>
          <w:sz w:val="27"/>
          <w:szCs w:val="27"/>
        </w:rPr>
      </w:pPr>
      <w:r w:rsidRPr="002F3D36">
        <w:rPr>
          <w:rFonts w:ascii="Arial" w:eastAsia="微软雅黑" w:hAnsi="Arial" w:cs="Arial"/>
          <w:color w:val="000000"/>
          <w:kern w:val="0"/>
          <w:sz w:val="16"/>
          <w:szCs w:val="16"/>
        </w:rPr>
        <w:t>(1)</w:t>
      </w:r>
    </w:p>
    <w:p w14:paraId="0D95B03A" w14:textId="77777777" w:rsidR="002F3D36" w:rsidRPr="002F3D36" w:rsidRDefault="002F3D36" w:rsidP="002F3D36">
      <w:pPr>
        <w:widowControl/>
        <w:rPr>
          <w:rFonts w:ascii="微软雅黑" w:eastAsia="微软雅黑" w:hAnsi="微软雅黑" w:cs="宋体" w:hint="eastAsia"/>
          <w:color w:val="000000"/>
          <w:kern w:val="0"/>
          <w:sz w:val="27"/>
          <w:szCs w:val="27"/>
        </w:rPr>
      </w:pPr>
      <w:r w:rsidRPr="002F3D36">
        <w:rPr>
          <w:rFonts w:ascii="Arial" w:eastAsia="微软雅黑" w:hAnsi="Arial" w:cs="Arial"/>
          <w:color w:val="000000"/>
          <w:kern w:val="0"/>
          <w:sz w:val="16"/>
          <w:szCs w:val="16"/>
        </w:rPr>
        <w:t>Autoliv, Inc. Stock Incentive Plan, as amended and restated on May 6, 2009, as amended by Amendment No. 1 dated December 17, 2010 and Amendment No. 2 dated May 8, 2012.</w:t>
      </w:r>
    </w:p>
    <w:p w14:paraId="429665DB" w14:textId="77777777" w:rsidR="002F3D36" w:rsidRPr="002F3D36" w:rsidRDefault="002F3D36" w:rsidP="002F3D36">
      <w:pPr>
        <w:widowControl/>
        <w:rPr>
          <w:rFonts w:ascii="微软雅黑" w:eastAsia="微软雅黑" w:hAnsi="微软雅黑" w:cs="宋体" w:hint="eastAsia"/>
          <w:color w:val="000000"/>
          <w:kern w:val="0"/>
          <w:sz w:val="27"/>
          <w:szCs w:val="27"/>
        </w:rPr>
      </w:pPr>
      <w:r w:rsidRPr="002F3D36">
        <w:rPr>
          <w:rFonts w:ascii="Arial" w:eastAsia="微软雅黑" w:hAnsi="Arial" w:cs="Arial"/>
          <w:color w:val="000000"/>
          <w:kern w:val="0"/>
          <w:sz w:val="16"/>
          <w:szCs w:val="16"/>
        </w:rPr>
        <w:t>(2)</w:t>
      </w:r>
    </w:p>
    <w:p w14:paraId="1ECE52A9" w14:textId="77777777" w:rsidR="002F3D36" w:rsidRPr="002F3D36" w:rsidRDefault="002F3D36" w:rsidP="002F3D36">
      <w:pPr>
        <w:widowControl/>
        <w:rPr>
          <w:rFonts w:ascii="微软雅黑" w:eastAsia="微软雅黑" w:hAnsi="微软雅黑" w:cs="宋体" w:hint="eastAsia"/>
          <w:color w:val="000000"/>
          <w:kern w:val="0"/>
          <w:sz w:val="27"/>
          <w:szCs w:val="27"/>
        </w:rPr>
      </w:pPr>
      <w:r w:rsidRPr="002F3D36">
        <w:rPr>
          <w:rFonts w:ascii="Arial" w:eastAsia="微软雅黑" w:hAnsi="Arial" w:cs="Arial"/>
          <w:color w:val="000000"/>
          <w:kern w:val="0"/>
          <w:sz w:val="16"/>
          <w:szCs w:val="16"/>
        </w:rPr>
        <w:t>Excludes restricted stock units and performance shares which convert to shares of common stock for no consideration.</w:t>
      </w:r>
    </w:p>
    <w:p w14:paraId="6C45D789" w14:textId="77777777" w:rsidR="002F3D36" w:rsidRPr="002F3D36" w:rsidRDefault="002F3D36" w:rsidP="002F3D36">
      <w:pPr>
        <w:widowControl/>
        <w:rPr>
          <w:rFonts w:ascii="微软雅黑" w:eastAsia="微软雅黑" w:hAnsi="微软雅黑" w:cs="宋体" w:hint="eastAsia"/>
          <w:color w:val="000000"/>
          <w:kern w:val="0"/>
          <w:sz w:val="27"/>
          <w:szCs w:val="27"/>
        </w:rPr>
      </w:pPr>
      <w:r w:rsidRPr="002F3D36">
        <w:rPr>
          <w:rFonts w:ascii="Arial" w:eastAsia="微软雅黑" w:hAnsi="Arial" w:cs="Arial"/>
          <w:color w:val="000000"/>
          <w:kern w:val="0"/>
          <w:sz w:val="16"/>
          <w:szCs w:val="16"/>
        </w:rPr>
        <w:t>(3)</w:t>
      </w:r>
    </w:p>
    <w:p w14:paraId="4E6AA12C" w14:textId="77777777" w:rsidR="002F3D36" w:rsidRPr="002F3D36" w:rsidRDefault="002F3D36" w:rsidP="002F3D36">
      <w:pPr>
        <w:widowControl/>
        <w:rPr>
          <w:rFonts w:ascii="微软雅黑" w:eastAsia="微软雅黑" w:hAnsi="微软雅黑" w:cs="宋体" w:hint="eastAsia"/>
          <w:color w:val="000000"/>
          <w:kern w:val="0"/>
          <w:sz w:val="27"/>
          <w:szCs w:val="27"/>
        </w:rPr>
      </w:pPr>
      <w:r w:rsidRPr="002F3D36">
        <w:rPr>
          <w:rFonts w:ascii="Arial" w:eastAsia="微软雅黑" w:hAnsi="Arial" w:cs="Arial"/>
          <w:color w:val="000000"/>
          <w:kern w:val="0"/>
          <w:sz w:val="16"/>
          <w:szCs w:val="16"/>
        </w:rPr>
        <w:t>All such shares are available for issuance pursuant to grants of full-value stock awards.</w:t>
      </w:r>
    </w:p>
    <w:p w14:paraId="6BB5FF4E" w14:textId="77777777" w:rsidR="002F3D36" w:rsidRPr="002F3D36" w:rsidRDefault="002F3D36" w:rsidP="002F3D36">
      <w:pPr>
        <w:widowControl/>
        <w:rPr>
          <w:rFonts w:ascii="Times New Roman" w:eastAsia="宋体" w:hAnsi="Times New Roman" w:cs="Times New Roman" w:hint="eastAsia"/>
          <w:color w:val="000000"/>
          <w:kern w:val="0"/>
          <w:sz w:val="20"/>
          <w:szCs w:val="20"/>
        </w:rPr>
      </w:pPr>
      <w:r w:rsidRPr="002F3D36">
        <w:rPr>
          <w:rFonts w:ascii="Arial" w:eastAsia="宋体" w:hAnsi="Arial" w:cs="Arial"/>
          <w:color w:val="000000"/>
          <w:kern w:val="0"/>
          <w:sz w:val="18"/>
          <w:szCs w:val="18"/>
        </w:rPr>
        <w:t> </w:t>
      </w:r>
    </w:p>
    <w:p w14:paraId="401049DF" w14:textId="77777777" w:rsidR="002F3D36" w:rsidRPr="002F3D36" w:rsidRDefault="002F3D36" w:rsidP="002F3D36">
      <w:pPr>
        <w:widowControl/>
        <w:spacing w:before="16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22"/>
        </w:rPr>
        <w:t>Item 13. Certain Relationships and Related Transactions, and Director Independence</w:t>
      </w:r>
    </w:p>
    <w:p w14:paraId="4BEED7A3"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lastRenderedPageBreak/>
        <w:t>Information regarding the Company’s policy and procedures concerning related party transactions is included under the caption “Related Person Transactions” in the 2022 Proxy Statement and is incorporated herein by reference. Information regarding director independence can be found under the caption “Board Independence” in the 2022 Proxy Statement and is incorporated herein by reference.</w:t>
      </w:r>
    </w:p>
    <w:p w14:paraId="24D36A13"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w:t>
      </w:r>
    </w:p>
    <w:p w14:paraId="5D9916EB" w14:textId="77777777" w:rsidR="002F3D36" w:rsidRPr="002F3D36" w:rsidRDefault="002F3D36" w:rsidP="002F3D36">
      <w:pPr>
        <w:widowControl/>
        <w:spacing w:before="16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22"/>
        </w:rPr>
        <w:t>Item 14. Principal Accounting Fees and Services</w:t>
      </w:r>
    </w:p>
    <w:p w14:paraId="5511222A"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The information required by Item 9(e) of Schedule 14A regarding principal accounting fees and the information required by Item 14 regarding the pre-approval process of accounting services provided to Autoliv is included under the caption “Proposal 3. Ratification of Appointment of Independent Registered Public Accounting Firm Appointment” in the 2022 Proxy Statement and is incorporated herein by reference.</w:t>
      </w:r>
    </w:p>
    <w:p w14:paraId="0D589B93" w14:textId="77777777" w:rsidR="002F3D36" w:rsidRPr="002F3D36" w:rsidRDefault="002F3D36" w:rsidP="002F3D36">
      <w:pPr>
        <w:widowControl/>
        <w:spacing w:before="240"/>
        <w:jc w:val="center"/>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92</w:t>
      </w:r>
    </w:p>
    <w:p w14:paraId="1B55029D" w14:textId="77777777" w:rsidR="002F3D36" w:rsidRPr="002F3D36" w:rsidRDefault="002F3D36" w:rsidP="002F3D36">
      <w:pPr>
        <w:widowControl/>
        <w:jc w:val="left"/>
        <w:rPr>
          <w:rFonts w:ascii="宋体" w:eastAsia="宋体" w:hAnsi="宋体" w:cs="宋体"/>
          <w:kern w:val="0"/>
          <w:sz w:val="24"/>
          <w:szCs w:val="24"/>
        </w:rPr>
      </w:pPr>
      <w:r w:rsidRPr="002F3D36">
        <w:rPr>
          <w:rFonts w:ascii="宋体" w:eastAsia="宋体" w:hAnsi="宋体" w:cs="宋体"/>
          <w:kern w:val="0"/>
          <w:sz w:val="24"/>
          <w:szCs w:val="24"/>
        </w:rPr>
        <w:pict w14:anchorId="4DFE6732">
          <v:rect id="_x0000_i1119" style="width:0;height:1.5pt" o:hralign="center" o:hrstd="t" o:hrnoshade="t" o:hr="t" fillcolor="black" stroked="f"/>
        </w:pict>
      </w:r>
    </w:p>
    <w:p w14:paraId="2751FAF5" w14:textId="77777777" w:rsidR="002F3D36" w:rsidRPr="002F3D36" w:rsidRDefault="002F3D36" w:rsidP="002F3D36">
      <w:pPr>
        <w:widowControl/>
        <w:spacing w:line="20" w:lineRule="atLeast"/>
        <w:jc w:val="left"/>
        <w:rPr>
          <w:rFonts w:ascii="Times New Roman" w:eastAsia="宋体" w:hAnsi="Times New Roman" w:cs="Times New Roman"/>
          <w:color w:val="000000"/>
          <w:kern w:val="0"/>
          <w:sz w:val="20"/>
          <w:szCs w:val="20"/>
        </w:rPr>
      </w:pPr>
      <w:r w:rsidRPr="002F3D36">
        <w:rPr>
          <w:rFonts w:ascii="Arial" w:eastAsia="宋体" w:hAnsi="Arial" w:cs="Arial"/>
          <w:color w:val="000000"/>
          <w:kern w:val="0"/>
          <w:sz w:val="2"/>
          <w:szCs w:val="2"/>
        </w:rPr>
        <w:t> </w:t>
      </w:r>
    </w:p>
    <w:p w14:paraId="0F154C25" w14:textId="77777777" w:rsidR="002F3D36" w:rsidRPr="002F3D36" w:rsidRDefault="002F3D36" w:rsidP="002F3D36">
      <w:pPr>
        <w:widowControl/>
        <w:jc w:val="center"/>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PART IV</w:t>
      </w:r>
    </w:p>
    <w:p w14:paraId="3F16D154" w14:textId="77777777" w:rsidR="002F3D36" w:rsidRPr="002F3D36" w:rsidRDefault="002F3D36" w:rsidP="002F3D36">
      <w:pPr>
        <w:widowControl/>
        <w:spacing w:before="2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22"/>
        </w:rPr>
        <w:t xml:space="preserve">Item 15. Exhibits and Financial Statement Schedules </w:t>
      </w:r>
    </w:p>
    <w:p w14:paraId="69694B98" w14:textId="77777777" w:rsidR="002F3D36" w:rsidRPr="002F3D36" w:rsidRDefault="002F3D36" w:rsidP="002F3D36">
      <w:pPr>
        <w:widowControl/>
        <w:rPr>
          <w:rFonts w:ascii="微软雅黑" w:eastAsia="微软雅黑" w:hAnsi="微软雅黑" w:cs="宋体"/>
          <w:color w:val="000000"/>
          <w:kern w:val="0"/>
          <w:sz w:val="27"/>
          <w:szCs w:val="27"/>
        </w:rPr>
      </w:pPr>
      <w:r w:rsidRPr="002F3D36">
        <w:rPr>
          <w:rFonts w:ascii="Arial" w:eastAsia="微软雅黑" w:hAnsi="Arial" w:cs="Arial"/>
          <w:color w:val="000000"/>
          <w:kern w:val="0"/>
          <w:sz w:val="18"/>
          <w:szCs w:val="18"/>
        </w:rPr>
        <w:t>(a)</w:t>
      </w:r>
    </w:p>
    <w:p w14:paraId="0785FC62" w14:textId="77777777" w:rsidR="002F3D36" w:rsidRPr="002F3D36" w:rsidRDefault="002F3D36" w:rsidP="002F3D36">
      <w:pPr>
        <w:widowControl/>
        <w:rPr>
          <w:rFonts w:ascii="微软雅黑" w:eastAsia="微软雅黑" w:hAnsi="微软雅黑" w:cs="宋体" w:hint="eastAsia"/>
          <w:color w:val="000000"/>
          <w:kern w:val="0"/>
          <w:sz w:val="27"/>
          <w:szCs w:val="27"/>
        </w:rPr>
      </w:pPr>
      <w:r w:rsidRPr="002F3D36">
        <w:rPr>
          <w:rFonts w:ascii="Arial" w:eastAsia="微软雅黑" w:hAnsi="Arial" w:cs="Arial"/>
          <w:color w:val="000000"/>
          <w:kern w:val="0"/>
          <w:sz w:val="18"/>
          <w:szCs w:val="18"/>
        </w:rPr>
        <w:t xml:space="preserve">Documents Filed as Part of this Report </w:t>
      </w:r>
    </w:p>
    <w:p w14:paraId="3A30003D" w14:textId="77777777" w:rsidR="002F3D36" w:rsidRPr="002F3D36" w:rsidRDefault="002F3D36" w:rsidP="002F3D36">
      <w:pPr>
        <w:widowControl/>
        <w:rPr>
          <w:rFonts w:ascii="微软雅黑" w:eastAsia="微软雅黑" w:hAnsi="微软雅黑" w:cs="宋体" w:hint="eastAsia"/>
          <w:color w:val="000000"/>
          <w:kern w:val="0"/>
          <w:sz w:val="27"/>
          <w:szCs w:val="27"/>
        </w:rPr>
      </w:pPr>
      <w:r w:rsidRPr="002F3D36">
        <w:rPr>
          <w:rFonts w:ascii="Arial" w:eastAsia="微软雅黑" w:hAnsi="Arial" w:cs="Arial"/>
          <w:color w:val="000000"/>
          <w:kern w:val="0"/>
          <w:sz w:val="18"/>
          <w:szCs w:val="18"/>
        </w:rPr>
        <w:t>(1)</w:t>
      </w:r>
    </w:p>
    <w:p w14:paraId="5E85E652" w14:textId="77777777" w:rsidR="002F3D36" w:rsidRPr="002F3D36" w:rsidRDefault="002F3D36" w:rsidP="002F3D36">
      <w:pPr>
        <w:widowControl/>
        <w:rPr>
          <w:rFonts w:ascii="微软雅黑" w:eastAsia="微软雅黑" w:hAnsi="微软雅黑" w:cs="宋体" w:hint="eastAsia"/>
          <w:color w:val="000000"/>
          <w:kern w:val="0"/>
          <w:sz w:val="27"/>
          <w:szCs w:val="27"/>
        </w:rPr>
      </w:pPr>
      <w:r w:rsidRPr="002F3D36">
        <w:rPr>
          <w:rFonts w:ascii="Arial" w:eastAsia="微软雅黑" w:hAnsi="Arial" w:cs="Arial"/>
          <w:color w:val="000000"/>
          <w:kern w:val="0"/>
          <w:sz w:val="18"/>
          <w:szCs w:val="18"/>
        </w:rPr>
        <w:t xml:space="preserve">Financial Statements </w:t>
      </w:r>
    </w:p>
    <w:p w14:paraId="51E1C08A" w14:textId="77777777" w:rsidR="002F3D36" w:rsidRPr="002F3D36" w:rsidRDefault="002F3D36" w:rsidP="002F3D36">
      <w:pPr>
        <w:widowControl/>
        <w:rPr>
          <w:rFonts w:ascii="微软雅黑" w:eastAsia="微软雅黑" w:hAnsi="微软雅黑" w:cs="宋体" w:hint="eastAsia"/>
          <w:color w:val="000000"/>
          <w:kern w:val="0"/>
          <w:sz w:val="27"/>
          <w:szCs w:val="27"/>
        </w:rPr>
      </w:pPr>
      <w:r w:rsidRPr="002F3D36">
        <w:rPr>
          <w:rFonts w:ascii="Arial" w:eastAsia="微软雅黑" w:hAnsi="Arial" w:cs="Arial"/>
          <w:color w:val="000000"/>
          <w:kern w:val="0"/>
          <w:sz w:val="18"/>
          <w:szCs w:val="18"/>
        </w:rPr>
        <w:t>(i)</w:t>
      </w:r>
    </w:p>
    <w:p w14:paraId="5CA4456C" w14:textId="77777777" w:rsidR="002F3D36" w:rsidRPr="002F3D36" w:rsidRDefault="002F3D36" w:rsidP="002F3D36">
      <w:pPr>
        <w:widowControl/>
        <w:rPr>
          <w:rFonts w:ascii="微软雅黑" w:eastAsia="微软雅黑" w:hAnsi="微软雅黑" w:cs="宋体" w:hint="eastAsia"/>
          <w:color w:val="000000"/>
          <w:kern w:val="0"/>
          <w:sz w:val="27"/>
          <w:szCs w:val="27"/>
        </w:rPr>
      </w:pPr>
      <w:r w:rsidRPr="002F3D36">
        <w:rPr>
          <w:rFonts w:ascii="Arial" w:eastAsia="微软雅黑" w:hAnsi="Arial" w:cs="Arial"/>
          <w:color w:val="000000"/>
          <w:kern w:val="0"/>
          <w:sz w:val="18"/>
          <w:szCs w:val="18"/>
        </w:rPr>
        <w:t xml:space="preserve">Consolidated Statements of Income – Years ended December 31, 2021, 2020 and 2019; </w:t>
      </w:r>
    </w:p>
    <w:p w14:paraId="25083187" w14:textId="77777777" w:rsidR="002F3D36" w:rsidRPr="002F3D36" w:rsidRDefault="002F3D36" w:rsidP="002F3D36">
      <w:pPr>
        <w:widowControl/>
        <w:rPr>
          <w:rFonts w:ascii="微软雅黑" w:eastAsia="微软雅黑" w:hAnsi="微软雅黑" w:cs="宋体" w:hint="eastAsia"/>
          <w:color w:val="000000"/>
          <w:kern w:val="0"/>
          <w:sz w:val="27"/>
          <w:szCs w:val="27"/>
        </w:rPr>
      </w:pPr>
      <w:r w:rsidRPr="002F3D36">
        <w:rPr>
          <w:rFonts w:ascii="Arial" w:eastAsia="微软雅黑" w:hAnsi="Arial" w:cs="Arial"/>
          <w:color w:val="000000"/>
          <w:kern w:val="0"/>
          <w:sz w:val="18"/>
          <w:szCs w:val="18"/>
        </w:rPr>
        <w:t>(ii)</w:t>
      </w:r>
    </w:p>
    <w:p w14:paraId="4660D418" w14:textId="77777777" w:rsidR="002F3D36" w:rsidRPr="002F3D36" w:rsidRDefault="002F3D36" w:rsidP="002F3D36">
      <w:pPr>
        <w:widowControl/>
        <w:rPr>
          <w:rFonts w:ascii="微软雅黑" w:eastAsia="微软雅黑" w:hAnsi="微软雅黑" w:cs="宋体" w:hint="eastAsia"/>
          <w:color w:val="000000"/>
          <w:kern w:val="0"/>
          <w:sz w:val="27"/>
          <w:szCs w:val="27"/>
        </w:rPr>
      </w:pPr>
      <w:r w:rsidRPr="002F3D36">
        <w:rPr>
          <w:rFonts w:ascii="Arial" w:eastAsia="微软雅黑" w:hAnsi="Arial" w:cs="Arial"/>
          <w:color w:val="000000"/>
          <w:kern w:val="0"/>
          <w:sz w:val="18"/>
          <w:szCs w:val="18"/>
        </w:rPr>
        <w:t xml:space="preserve">Consolidated Statements of Comprehensive Income – Years ended December 31, 2021, 2020 and 2019; </w:t>
      </w:r>
    </w:p>
    <w:p w14:paraId="0BB58493" w14:textId="77777777" w:rsidR="002F3D36" w:rsidRPr="002F3D36" w:rsidRDefault="002F3D36" w:rsidP="002F3D36">
      <w:pPr>
        <w:widowControl/>
        <w:rPr>
          <w:rFonts w:ascii="微软雅黑" w:eastAsia="微软雅黑" w:hAnsi="微软雅黑" w:cs="宋体" w:hint="eastAsia"/>
          <w:color w:val="000000"/>
          <w:kern w:val="0"/>
          <w:sz w:val="27"/>
          <w:szCs w:val="27"/>
        </w:rPr>
      </w:pPr>
      <w:r w:rsidRPr="002F3D36">
        <w:rPr>
          <w:rFonts w:ascii="Arial" w:eastAsia="微软雅黑" w:hAnsi="Arial" w:cs="Arial"/>
          <w:color w:val="000000"/>
          <w:kern w:val="0"/>
          <w:sz w:val="18"/>
          <w:szCs w:val="18"/>
        </w:rPr>
        <w:t>(iii)</w:t>
      </w:r>
    </w:p>
    <w:p w14:paraId="4DABA570" w14:textId="77777777" w:rsidR="002F3D36" w:rsidRPr="002F3D36" w:rsidRDefault="002F3D36" w:rsidP="002F3D36">
      <w:pPr>
        <w:widowControl/>
        <w:rPr>
          <w:rFonts w:ascii="微软雅黑" w:eastAsia="微软雅黑" w:hAnsi="微软雅黑" w:cs="宋体" w:hint="eastAsia"/>
          <w:color w:val="000000"/>
          <w:kern w:val="0"/>
          <w:sz w:val="27"/>
          <w:szCs w:val="27"/>
        </w:rPr>
      </w:pPr>
      <w:r w:rsidRPr="002F3D36">
        <w:rPr>
          <w:rFonts w:ascii="Arial" w:eastAsia="微软雅黑" w:hAnsi="Arial" w:cs="Arial"/>
          <w:color w:val="000000"/>
          <w:kern w:val="0"/>
          <w:sz w:val="18"/>
          <w:szCs w:val="18"/>
        </w:rPr>
        <w:t xml:space="preserve">Consolidated Balance Sheets – as of December 31, 2021 and 2020; </w:t>
      </w:r>
    </w:p>
    <w:p w14:paraId="4CF68FB4" w14:textId="77777777" w:rsidR="002F3D36" w:rsidRPr="002F3D36" w:rsidRDefault="002F3D36" w:rsidP="002F3D36">
      <w:pPr>
        <w:widowControl/>
        <w:rPr>
          <w:rFonts w:ascii="微软雅黑" w:eastAsia="微软雅黑" w:hAnsi="微软雅黑" w:cs="宋体" w:hint="eastAsia"/>
          <w:color w:val="000000"/>
          <w:kern w:val="0"/>
          <w:sz w:val="27"/>
          <w:szCs w:val="27"/>
        </w:rPr>
      </w:pPr>
      <w:r w:rsidRPr="002F3D36">
        <w:rPr>
          <w:rFonts w:ascii="Arial" w:eastAsia="微软雅黑" w:hAnsi="Arial" w:cs="Arial"/>
          <w:color w:val="000000"/>
          <w:kern w:val="0"/>
          <w:sz w:val="18"/>
          <w:szCs w:val="18"/>
        </w:rPr>
        <w:t>(iv)</w:t>
      </w:r>
    </w:p>
    <w:p w14:paraId="29F3DA50" w14:textId="77777777" w:rsidR="002F3D36" w:rsidRPr="002F3D36" w:rsidRDefault="002F3D36" w:rsidP="002F3D36">
      <w:pPr>
        <w:widowControl/>
        <w:rPr>
          <w:rFonts w:ascii="微软雅黑" w:eastAsia="微软雅黑" w:hAnsi="微软雅黑" w:cs="宋体" w:hint="eastAsia"/>
          <w:color w:val="000000"/>
          <w:kern w:val="0"/>
          <w:sz w:val="27"/>
          <w:szCs w:val="27"/>
        </w:rPr>
      </w:pPr>
      <w:r w:rsidRPr="002F3D36">
        <w:rPr>
          <w:rFonts w:ascii="Arial" w:eastAsia="微软雅黑" w:hAnsi="Arial" w:cs="Arial"/>
          <w:color w:val="000000"/>
          <w:kern w:val="0"/>
          <w:sz w:val="18"/>
          <w:szCs w:val="18"/>
        </w:rPr>
        <w:t xml:space="preserve">Consolidated Statements of Cash Flows – Years ended December 31, 2021, 2020 and 2019; </w:t>
      </w:r>
    </w:p>
    <w:p w14:paraId="0B0AF473" w14:textId="77777777" w:rsidR="002F3D36" w:rsidRPr="002F3D36" w:rsidRDefault="002F3D36" w:rsidP="002F3D36">
      <w:pPr>
        <w:widowControl/>
        <w:rPr>
          <w:rFonts w:ascii="微软雅黑" w:eastAsia="微软雅黑" w:hAnsi="微软雅黑" w:cs="宋体" w:hint="eastAsia"/>
          <w:color w:val="000000"/>
          <w:kern w:val="0"/>
          <w:sz w:val="27"/>
          <w:szCs w:val="27"/>
        </w:rPr>
      </w:pPr>
      <w:r w:rsidRPr="002F3D36">
        <w:rPr>
          <w:rFonts w:ascii="Arial" w:eastAsia="微软雅黑" w:hAnsi="Arial" w:cs="Arial"/>
          <w:color w:val="000000"/>
          <w:kern w:val="0"/>
          <w:sz w:val="18"/>
          <w:szCs w:val="18"/>
        </w:rPr>
        <w:t>(v)</w:t>
      </w:r>
    </w:p>
    <w:p w14:paraId="3E509AE5" w14:textId="77777777" w:rsidR="002F3D36" w:rsidRPr="002F3D36" w:rsidRDefault="002F3D36" w:rsidP="002F3D36">
      <w:pPr>
        <w:widowControl/>
        <w:rPr>
          <w:rFonts w:ascii="微软雅黑" w:eastAsia="微软雅黑" w:hAnsi="微软雅黑" w:cs="宋体" w:hint="eastAsia"/>
          <w:color w:val="000000"/>
          <w:kern w:val="0"/>
          <w:sz w:val="27"/>
          <w:szCs w:val="27"/>
        </w:rPr>
      </w:pPr>
      <w:r w:rsidRPr="002F3D36">
        <w:rPr>
          <w:rFonts w:ascii="Arial" w:eastAsia="微软雅黑" w:hAnsi="Arial" w:cs="Arial"/>
          <w:color w:val="000000"/>
          <w:kern w:val="0"/>
          <w:sz w:val="18"/>
          <w:szCs w:val="18"/>
        </w:rPr>
        <w:t xml:space="preserve">Consolidated Statements of Total Equity – as of December 31, 2021, 2020 and 2019; </w:t>
      </w:r>
    </w:p>
    <w:p w14:paraId="35532918" w14:textId="77777777" w:rsidR="002F3D36" w:rsidRPr="002F3D36" w:rsidRDefault="002F3D36" w:rsidP="002F3D36">
      <w:pPr>
        <w:widowControl/>
        <w:rPr>
          <w:rFonts w:ascii="微软雅黑" w:eastAsia="微软雅黑" w:hAnsi="微软雅黑" w:cs="宋体" w:hint="eastAsia"/>
          <w:color w:val="000000"/>
          <w:kern w:val="0"/>
          <w:sz w:val="27"/>
          <w:szCs w:val="27"/>
        </w:rPr>
      </w:pPr>
      <w:r w:rsidRPr="002F3D36">
        <w:rPr>
          <w:rFonts w:ascii="Arial" w:eastAsia="微软雅黑" w:hAnsi="Arial" w:cs="Arial"/>
          <w:color w:val="000000"/>
          <w:kern w:val="0"/>
          <w:sz w:val="18"/>
          <w:szCs w:val="18"/>
        </w:rPr>
        <w:t>(vi)</w:t>
      </w:r>
    </w:p>
    <w:p w14:paraId="525C58C1" w14:textId="77777777" w:rsidR="002F3D36" w:rsidRPr="002F3D36" w:rsidRDefault="002F3D36" w:rsidP="002F3D36">
      <w:pPr>
        <w:widowControl/>
        <w:rPr>
          <w:rFonts w:ascii="微软雅黑" w:eastAsia="微软雅黑" w:hAnsi="微软雅黑" w:cs="宋体" w:hint="eastAsia"/>
          <w:color w:val="000000"/>
          <w:kern w:val="0"/>
          <w:sz w:val="27"/>
          <w:szCs w:val="27"/>
        </w:rPr>
      </w:pPr>
      <w:r w:rsidRPr="002F3D36">
        <w:rPr>
          <w:rFonts w:ascii="Arial" w:eastAsia="微软雅黑" w:hAnsi="Arial" w:cs="Arial"/>
          <w:color w:val="000000"/>
          <w:kern w:val="0"/>
          <w:sz w:val="18"/>
          <w:szCs w:val="18"/>
        </w:rPr>
        <w:t xml:space="preserve">Notes to Consolidated Financial Statements; and </w:t>
      </w:r>
    </w:p>
    <w:p w14:paraId="3BC5D88D" w14:textId="77777777" w:rsidR="002F3D36" w:rsidRPr="002F3D36" w:rsidRDefault="002F3D36" w:rsidP="002F3D36">
      <w:pPr>
        <w:widowControl/>
        <w:rPr>
          <w:rFonts w:ascii="微软雅黑" w:eastAsia="微软雅黑" w:hAnsi="微软雅黑" w:cs="宋体" w:hint="eastAsia"/>
          <w:color w:val="000000"/>
          <w:kern w:val="0"/>
          <w:sz w:val="27"/>
          <w:szCs w:val="27"/>
        </w:rPr>
      </w:pPr>
      <w:r w:rsidRPr="002F3D36">
        <w:rPr>
          <w:rFonts w:ascii="Arial" w:eastAsia="微软雅黑" w:hAnsi="Arial" w:cs="Arial"/>
          <w:color w:val="000000"/>
          <w:kern w:val="0"/>
          <w:sz w:val="18"/>
          <w:szCs w:val="18"/>
        </w:rPr>
        <w:t>(vii)</w:t>
      </w:r>
    </w:p>
    <w:p w14:paraId="30117D67" w14:textId="77777777" w:rsidR="002F3D36" w:rsidRPr="002F3D36" w:rsidRDefault="002F3D36" w:rsidP="002F3D36">
      <w:pPr>
        <w:widowControl/>
        <w:rPr>
          <w:rFonts w:ascii="微软雅黑" w:eastAsia="微软雅黑" w:hAnsi="微软雅黑" w:cs="宋体" w:hint="eastAsia"/>
          <w:color w:val="000000"/>
          <w:kern w:val="0"/>
          <w:sz w:val="27"/>
          <w:szCs w:val="27"/>
        </w:rPr>
      </w:pPr>
      <w:r w:rsidRPr="002F3D36">
        <w:rPr>
          <w:rFonts w:ascii="Arial" w:eastAsia="微软雅黑" w:hAnsi="Arial" w:cs="Arial"/>
          <w:color w:val="000000"/>
          <w:kern w:val="0"/>
          <w:sz w:val="18"/>
          <w:szCs w:val="18"/>
        </w:rPr>
        <w:t xml:space="preserve">Reports of Independent Registered Public Accounting Firm (PCAOB Auditor ID No. 1433). </w:t>
      </w:r>
    </w:p>
    <w:p w14:paraId="2A04ACA4" w14:textId="77777777" w:rsidR="002F3D36" w:rsidRPr="002F3D36" w:rsidRDefault="002F3D36" w:rsidP="002F3D36">
      <w:pPr>
        <w:widowControl/>
        <w:rPr>
          <w:rFonts w:ascii="微软雅黑" w:eastAsia="微软雅黑" w:hAnsi="微软雅黑" w:cs="宋体" w:hint="eastAsia"/>
          <w:color w:val="000000"/>
          <w:kern w:val="0"/>
          <w:sz w:val="27"/>
          <w:szCs w:val="27"/>
        </w:rPr>
      </w:pPr>
      <w:r w:rsidRPr="002F3D36">
        <w:rPr>
          <w:rFonts w:ascii="Arial" w:eastAsia="微软雅黑" w:hAnsi="Arial" w:cs="Arial"/>
          <w:color w:val="000000"/>
          <w:kern w:val="0"/>
          <w:sz w:val="18"/>
          <w:szCs w:val="18"/>
        </w:rPr>
        <w:t>(2)</w:t>
      </w:r>
    </w:p>
    <w:p w14:paraId="105FC95A" w14:textId="77777777" w:rsidR="002F3D36" w:rsidRPr="002F3D36" w:rsidRDefault="002F3D36" w:rsidP="002F3D36">
      <w:pPr>
        <w:widowControl/>
        <w:rPr>
          <w:rFonts w:ascii="微软雅黑" w:eastAsia="微软雅黑" w:hAnsi="微软雅黑" w:cs="宋体" w:hint="eastAsia"/>
          <w:color w:val="000000"/>
          <w:kern w:val="0"/>
          <w:sz w:val="27"/>
          <w:szCs w:val="27"/>
        </w:rPr>
      </w:pPr>
      <w:r w:rsidRPr="002F3D36">
        <w:rPr>
          <w:rFonts w:ascii="Arial" w:eastAsia="微软雅黑" w:hAnsi="Arial" w:cs="Arial"/>
          <w:color w:val="000000"/>
          <w:kern w:val="0"/>
          <w:sz w:val="18"/>
          <w:szCs w:val="18"/>
        </w:rPr>
        <w:t xml:space="preserve">Financial Statement Schedules </w:t>
      </w:r>
    </w:p>
    <w:p w14:paraId="45BC36E5" w14:textId="77777777" w:rsidR="002F3D36" w:rsidRPr="002F3D36" w:rsidRDefault="002F3D36" w:rsidP="002F3D36">
      <w:pPr>
        <w:widowControl/>
        <w:spacing w:before="240"/>
        <w:rPr>
          <w:rFonts w:ascii="Times New Roman" w:eastAsia="宋体" w:hAnsi="Times New Roman" w:cs="Times New Roman" w:hint="eastAsia"/>
          <w:color w:val="000000"/>
          <w:kern w:val="0"/>
          <w:sz w:val="20"/>
          <w:szCs w:val="20"/>
        </w:rPr>
      </w:pPr>
      <w:r w:rsidRPr="002F3D36">
        <w:rPr>
          <w:rFonts w:ascii="Arial" w:eastAsia="宋体" w:hAnsi="Arial" w:cs="Arial"/>
          <w:color w:val="000000"/>
          <w:kern w:val="0"/>
          <w:sz w:val="18"/>
          <w:szCs w:val="18"/>
        </w:rPr>
        <w:t xml:space="preserve">All of the schedules specified under Regulation S-X to be provided by Autoliv have been omitted either because they are not applicable, they are not required, or the information required is included in the financial statements or notes thereto. </w:t>
      </w:r>
    </w:p>
    <w:p w14:paraId="6092C7AE" w14:textId="77777777" w:rsidR="002F3D36" w:rsidRPr="002F3D36" w:rsidRDefault="002F3D36" w:rsidP="002F3D36">
      <w:pPr>
        <w:widowControl/>
        <w:rPr>
          <w:rFonts w:ascii="微软雅黑" w:eastAsia="微软雅黑" w:hAnsi="微软雅黑" w:cs="宋体"/>
          <w:color w:val="000000"/>
          <w:kern w:val="0"/>
          <w:sz w:val="27"/>
          <w:szCs w:val="27"/>
        </w:rPr>
      </w:pPr>
      <w:r w:rsidRPr="002F3D36">
        <w:rPr>
          <w:rFonts w:ascii="Arial" w:eastAsia="微软雅黑" w:hAnsi="Arial" w:cs="Arial"/>
          <w:color w:val="000000"/>
          <w:kern w:val="0"/>
          <w:sz w:val="18"/>
          <w:szCs w:val="18"/>
        </w:rPr>
        <w:t>(3)</w:t>
      </w:r>
    </w:p>
    <w:p w14:paraId="7A034BE7" w14:textId="77777777" w:rsidR="002F3D36" w:rsidRPr="002F3D36" w:rsidRDefault="002F3D36" w:rsidP="002F3D36">
      <w:pPr>
        <w:widowControl/>
        <w:rPr>
          <w:rFonts w:ascii="微软雅黑" w:eastAsia="微软雅黑" w:hAnsi="微软雅黑" w:cs="宋体" w:hint="eastAsia"/>
          <w:color w:val="000000"/>
          <w:kern w:val="0"/>
          <w:sz w:val="27"/>
          <w:szCs w:val="27"/>
        </w:rPr>
      </w:pPr>
      <w:r w:rsidRPr="002F3D36">
        <w:rPr>
          <w:rFonts w:ascii="Arial" w:eastAsia="微软雅黑" w:hAnsi="Arial" w:cs="Arial"/>
          <w:color w:val="000000"/>
          <w:kern w:val="0"/>
          <w:sz w:val="18"/>
          <w:szCs w:val="18"/>
        </w:rPr>
        <w:t xml:space="preserve">Exhibits </w:t>
      </w:r>
    </w:p>
    <w:p w14:paraId="6B83DA1F" w14:textId="77777777" w:rsidR="002F3D36" w:rsidRPr="002F3D36" w:rsidRDefault="002F3D36" w:rsidP="002F3D36">
      <w:pPr>
        <w:widowControl/>
        <w:rPr>
          <w:rFonts w:ascii="Times New Roman" w:eastAsia="宋体" w:hAnsi="Times New Roman" w:cs="Times New Roman" w:hint="eastAsia"/>
          <w:color w:val="000000"/>
          <w:kern w:val="0"/>
          <w:sz w:val="20"/>
          <w:szCs w:val="20"/>
        </w:rPr>
      </w:pPr>
      <w:r w:rsidRPr="002F3D36">
        <w:rPr>
          <w:rFonts w:ascii="Arial" w:eastAsia="宋体" w:hAnsi="Arial" w:cs="Arial"/>
          <w:color w:val="000000"/>
          <w:kern w:val="0"/>
          <w:sz w:val="18"/>
          <w:szCs w:val="18"/>
        </w:rPr>
        <w:t> </w:t>
      </w:r>
    </w:p>
    <w:tbl>
      <w:tblPr>
        <w:tblW w:w="20614" w:type="dxa"/>
        <w:tblCellSpacing w:w="15" w:type="dxa"/>
        <w:tblCellMar>
          <w:top w:w="15" w:type="dxa"/>
          <w:left w:w="15" w:type="dxa"/>
          <w:bottom w:w="15" w:type="dxa"/>
          <w:right w:w="15" w:type="dxa"/>
        </w:tblCellMar>
        <w:tblLook w:val="04A0" w:firstRow="1" w:lastRow="0" w:firstColumn="1" w:lastColumn="0" w:noHBand="0" w:noVBand="1"/>
      </w:tblPr>
      <w:tblGrid>
        <w:gridCol w:w="1315"/>
        <w:gridCol w:w="194"/>
        <w:gridCol w:w="19105"/>
      </w:tblGrid>
      <w:tr w:rsidR="002F3D36" w:rsidRPr="002F3D36" w14:paraId="78C4617D" w14:textId="77777777" w:rsidTr="002F3D36">
        <w:trPr>
          <w:tblCellSpacing w:w="15" w:type="dxa"/>
        </w:trPr>
        <w:tc>
          <w:tcPr>
            <w:tcW w:w="1642" w:type="dxa"/>
            <w:vAlign w:val="center"/>
            <w:hideMark/>
          </w:tcPr>
          <w:p w14:paraId="3C53C52F" w14:textId="77777777" w:rsidR="002F3D36" w:rsidRPr="002F3D36" w:rsidRDefault="002F3D36" w:rsidP="002F3D36">
            <w:pPr>
              <w:widowControl/>
              <w:jc w:val="left"/>
              <w:rPr>
                <w:rFonts w:ascii="Times New Roman" w:eastAsia="宋体" w:hAnsi="Times New Roman" w:cs="Times New Roman"/>
                <w:color w:val="000000"/>
                <w:kern w:val="0"/>
                <w:sz w:val="20"/>
                <w:szCs w:val="20"/>
              </w:rPr>
            </w:pPr>
          </w:p>
        </w:tc>
        <w:tc>
          <w:tcPr>
            <w:tcW w:w="205" w:type="dxa"/>
            <w:vAlign w:val="center"/>
            <w:hideMark/>
          </w:tcPr>
          <w:p w14:paraId="74C06188"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8678" w:type="dxa"/>
            <w:vAlign w:val="center"/>
            <w:hideMark/>
          </w:tcPr>
          <w:p w14:paraId="136A86DC" w14:textId="77777777" w:rsidR="002F3D36" w:rsidRPr="002F3D36" w:rsidRDefault="002F3D36" w:rsidP="002F3D36">
            <w:pPr>
              <w:widowControl/>
              <w:jc w:val="left"/>
              <w:rPr>
                <w:rFonts w:ascii="Times New Roman" w:eastAsia="Times New Roman" w:hAnsi="Times New Roman" w:cs="Times New Roman"/>
                <w:kern w:val="0"/>
                <w:sz w:val="20"/>
                <w:szCs w:val="20"/>
              </w:rPr>
            </w:pPr>
          </w:p>
        </w:tc>
      </w:tr>
      <w:tr w:rsidR="002F3D36" w:rsidRPr="002F3D36" w14:paraId="17DA7AD0" w14:textId="77777777" w:rsidTr="002F3D36">
        <w:trPr>
          <w:trHeight w:val="160"/>
          <w:tblCellSpacing w:w="15" w:type="dxa"/>
        </w:trPr>
        <w:tc>
          <w:tcPr>
            <w:tcW w:w="0" w:type="auto"/>
            <w:tcBorders>
              <w:bottom w:val="single" w:sz="4" w:space="0" w:color="auto"/>
            </w:tcBorders>
            <w:vAlign w:val="bottom"/>
            <w:hideMark/>
          </w:tcPr>
          <w:p w14:paraId="20DCE1C3"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b/>
                <w:bCs/>
                <w:color w:val="000000"/>
                <w:kern w:val="0"/>
                <w:sz w:val="16"/>
                <w:szCs w:val="16"/>
              </w:rPr>
              <w:lastRenderedPageBreak/>
              <w:t>Exhibit</w:t>
            </w:r>
          </w:p>
          <w:p w14:paraId="54CDB84D"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b/>
                <w:bCs/>
                <w:color w:val="000000"/>
                <w:kern w:val="0"/>
                <w:sz w:val="16"/>
                <w:szCs w:val="16"/>
              </w:rPr>
              <w:t>No.</w:t>
            </w:r>
          </w:p>
        </w:tc>
        <w:tc>
          <w:tcPr>
            <w:tcW w:w="0" w:type="auto"/>
            <w:hideMark/>
          </w:tcPr>
          <w:p w14:paraId="7324403B" w14:textId="77777777" w:rsidR="002F3D36" w:rsidRPr="002F3D36" w:rsidRDefault="002F3D36" w:rsidP="002F3D36">
            <w:pPr>
              <w:widowControl/>
              <w:rPr>
                <w:rFonts w:ascii="Times New Roman" w:eastAsia="微软雅黑" w:hAnsi="Times New Roman" w:cs="Times New Roman"/>
                <w:kern w:val="0"/>
                <w:sz w:val="16"/>
                <w:szCs w:val="16"/>
              </w:rPr>
            </w:pPr>
            <w:r w:rsidRPr="002F3D36">
              <w:rPr>
                <w:rFonts w:ascii="Arial" w:eastAsia="微软雅黑" w:hAnsi="Arial" w:cs="Arial"/>
                <w:kern w:val="0"/>
                <w:sz w:val="16"/>
                <w:szCs w:val="16"/>
              </w:rPr>
              <w:t> </w:t>
            </w:r>
          </w:p>
        </w:tc>
        <w:tc>
          <w:tcPr>
            <w:tcW w:w="0" w:type="auto"/>
            <w:tcBorders>
              <w:bottom w:val="single" w:sz="4" w:space="0" w:color="auto"/>
            </w:tcBorders>
            <w:vAlign w:val="bottom"/>
            <w:hideMark/>
          </w:tcPr>
          <w:p w14:paraId="50C1049A" w14:textId="77777777" w:rsidR="002F3D36" w:rsidRPr="002F3D36" w:rsidRDefault="002F3D36" w:rsidP="002F3D36">
            <w:pPr>
              <w:widowControl/>
              <w:jc w:val="center"/>
              <w:rPr>
                <w:rFonts w:ascii="Times New Roman" w:eastAsia="微软雅黑" w:hAnsi="Times New Roman" w:cs="Times New Roman"/>
                <w:kern w:val="0"/>
                <w:sz w:val="16"/>
                <w:szCs w:val="16"/>
              </w:rPr>
            </w:pPr>
            <w:r w:rsidRPr="002F3D36">
              <w:rPr>
                <w:rFonts w:ascii="Arial" w:eastAsia="微软雅黑" w:hAnsi="Arial" w:cs="Arial"/>
                <w:b/>
                <w:bCs/>
                <w:color w:val="000000"/>
                <w:kern w:val="0"/>
                <w:sz w:val="16"/>
                <w:szCs w:val="16"/>
              </w:rPr>
              <w:t>Description</w:t>
            </w:r>
          </w:p>
        </w:tc>
      </w:tr>
      <w:tr w:rsidR="002F3D36" w:rsidRPr="002F3D36" w14:paraId="126F000B" w14:textId="77777777" w:rsidTr="002F3D36">
        <w:trPr>
          <w:tblCellSpacing w:w="15" w:type="dxa"/>
        </w:trPr>
        <w:tc>
          <w:tcPr>
            <w:tcW w:w="0" w:type="auto"/>
            <w:hideMark/>
          </w:tcPr>
          <w:p w14:paraId="33A6427F" w14:textId="77777777" w:rsidR="002F3D36" w:rsidRPr="002F3D36" w:rsidRDefault="002F3D36" w:rsidP="002F3D36">
            <w:pPr>
              <w:widowControl/>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0C51E02D" w14:textId="77777777" w:rsidR="002F3D36" w:rsidRPr="002F3D36" w:rsidRDefault="002F3D36" w:rsidP="002F3D36">
            <w:pPr>
              <w:widowControl/>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3C11D040" w14:textId="77777777" w:rsidR="002F3D36" w:rsidRPr="002F3D36" w:rsidRDefault="002F3D36" w:rsidP="002F3D36">
            <w:pPr>
              <w:widowControl/>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r>
      <w:tr w:rsidR="002F3D36" w:rsidRPr="002F3D36" w14:paraId="4FF8AC75" w14:textId="77777777" w:rsidTr="002F3D36">
        <w:trPr>
          <w:trHeight w:val="180"/>
          <w:tblCellSpacing w:w="15" w:type="dxa"/>
        </w:trPr>
        <w:tc>
          <w:tcPr>
            <w:tcW w:w="0" w:type="auto"/>
            <w:hideMark/>
          </w:tcPr>
          <w:p w14:paraId="476162D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  2.1</w:t>
            </w:r>
          </w:p>
        </w:tc>
        <w:tc>
          <w:tcPr>
            <w:tcW w:w="0" w:type="auto"/>
            <w:hideMark/>
          </w:tcPr>
          <w:p w14:paraId="7E199876" w14:textId="77777777" w:rsidR="002F3D36" w:rsidRPr="002F3D36" w:rsidRDefault="002F3D36" w:rsidP="002F3D36">
            <w:pPr>
              <w:widowControl/>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36FAD636" w14:textId="77777777" w:rsidR="002F3D36" w:rsidRPr="002F3D36" w:rsidRDefault="002F3D36" w:rsidP="002F3D36">
            <w:pPr>
              <w:widowControl/>
              <w:rPr>
                <w:rFonts w:ascii="Times New Roman" w:eastAsia="微软雅黑" w:hAnsi="Times New Roman" w:cs="Times New Roman"/>
                <w:kern w:val="0"/>
                <w:sz w:val="18"/>
                <w:szCs w:val="18"/>
              </w:rPr>
            </w:pPr>
            <w:hyperlink r:id="rId29" w:history="1">
              <w:r w:rsidRPr="002F3D36">
                <w:rPr>
                  <w:rFonts w:ascii="Arial" w:eastAsia="微软雅黑" w:hAnsi="Arial" w:cs="Arial"/>
                  <w:color w:val="0000FF"/>
                  <w:kern w:val="0"/>
                  <w:sz w:val="18"/>
                  <w:szCs w:val="18"/>
                  <w:u w:val="single"/>
                </w:rPr>
                <w:t>Distribution Agreement, dated June 28, 2018, between Veoneer, Inc. and Autoliv, Inc., incorporated herein by reference to Exhibit 2.1 to the Current Report on Form 8-K (File No. 001-12933, filing date July 2, 2018).</w:t>
              </w:r>
            </w:hyperlink>
          </w:p>
        </w:tc>
      </w:tr>
      <w:tr w:rsidR="002F3D36" w:rsidRPr="002F3D36" w14:paraId="10F1F976" w14:textId="77777777" w:rsidTr="002F3D36">
        <w:trPr>
          <w:tblCellSpacing w:w="15" w:type="dxa"/>
        </w:trPr>
        <w:tc>
          <w:tcPr>
            <w:tcW w:w="0" w:type="auto"/>
            <w:hideMark/>
          </w:tcPr>
          <w:p w14:paraId="11FCF25A"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2FEA251D" w14:textId="77777777" w:rsidR="002F3D36" w:rsidRPr="002F3D36" w:rsidRDefault="002F3D36" w:rsidP="002F3D36">
            <w:pPr>
              <w:widowControl/>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449E88C6" w14:textId="77777777" w:rsidR="002F3D36" w:rsidRPr="002F3D36" w:rsidRDefault="002F3D36" w:rsidP="002F3D36">
            <w:pPr>
              <w:widowControl/>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r>
      <w:tr w:rsidR="002F3D36" w:rsidRPr="002F3D36" w14:paraId="69A4ED17" w14:textId="77777777" w:rsidTr="002F3D36">
        <w:trPr>
          <w:trHeight w:val="180"/>
          <w:tblCellSpacing w:w="15" w:type="dxa"/>
        </w:trPr>
        <w:tc>
          <w:tcPr>
            <w:tcW w:w="0" w:type="auto"/>
            <w:hideMark/>
          </w:tcPr>
          <w:p w14:paraId="2DFBDC1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  3.1</w:t>
            </w:r>
          </w:p>
        </w:tc>
        <w:tc>
          <w:tcPr>
            <w:tcW w:w="0" w:type="auto"/>
            <w:hideMark/>
          </w:tcPr>
          <w:p w14:paraId="3236347F" w14:textId="77777777" w:rsidR="002F3D36" w:rsidRPr="002F3D36" w:rsidRDefault="002F3D36" w:rsidP="002F3D36">
            <w:pPr>
              <w:widowControl/>
              <w:rPr>
                <w:rFonts w:ascii="Times New Roman" w:eastAsia="微软雅黑" w:hAnsi="Times New Roman" w:cs="Times New Roman"/>
                <w:kern w:val="0"/>
                <w:sz w:val="20"/>
                <w:szCs w:val="20"/>
              </w:rPr>
            </w:pPr>
            <w:r w:rsidRPr="002F3D36">
              <w:rPr>
                <w:rFonts w:ascii="Arial" w:eastAsia="微软雅黑" w:hAnsi="Arial" w:cs="Arial"/>
                <w:kern w:val="0"/>
                <w:sz w:val="20"/>
                <w:szCs w:val="20"/>
              </w:rPr>
              <w:t> </w:t>
            </w:r>
          </w:p>
        </w:tc>
        <w:tc>
          <w:tcPr>
            <w:tcW w:w="0" w:type="auto"/>
            <w:hideMark/>
          </w:tcPr>
          <w:p w14:paraId="6488A814" w14:textId="77777777" w:rsidR="002F3D36" w:rsidRPr="002F3D36" w:rsidRDefault="002F3D36" w:rsidP="002F3D36">
            <w:pPr>
              <w:widowControl/>
              <w:jc w:val="left"/>
              <w:rPr>
                <w:rFonts w:ascii="Times New Roman" w:eastAsia="微软雅黑" w:hAnsi="Times New Roman" w:cs="Times New Roman"/>
                <w:kern w:val="0"/>
                <w:sz w:val="18"/>
                <w:szCs w:val="18"/>
              </w:rPr>
            </w:pPr>
            <w:hyperlink r:id="rId30" w:history="1">
              <w:r w:rsidRPr="002F3D36">
                <w:rPr>
                  <w:rFonts w:ascii="Arial" w:eastAsia="微软雅黑" w:hAnsi="Arial" w:cs="Arial"/>
                  <w:color w:val="0000FF"/>
                  <w:kern w:val="0"/>
                  <w:sz w:val="18"/>
                  <w:szCs w:val="18"/>
                  <w:u w:val="single"/>
                </w:rPr>
                <w:t>Autoliv’s Restated Certificate of Incorporation, as amended, incorporated herein by reference to Exhibit 3.1 to the Quarterly Report on Form 10-Q (File No. 001-12933, filing date April 22, 2015).</w:t>
              </w:r>
            </w:hyperlink>
          </w:p>
        </w:tc>
      </w:tr>
      <w:tr w:rsidR="002F3D36" w:rsidRPr="002F3D36" w14:paraId="13EB6DA7" w14:textId="77777777" w:rsidTr="002F3D36">
        <w:trPr>
          <w:tblCellSpacing w:w="15" w:type="dxa"/>
        </w:trPr>
        <w:tc>
          <w:tcPr>
            <w:tcW w:w="0" w:type="auto"/>
            <w:hideMark/>
          </w:tcPr>
          <w:p w14:paraId="772885C9"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68A16894" w14:textId="77777777" w:rsidR="002F3D36" w:rsidRPr="002F3D36" w:rsidRDefault="002F3D36" w:rsidP="002F3D36">
            <w:pPr>
              <w:widowControl/>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1335D9A6" w14:textId="77777777" w:rsidR="002F3D36" w:rsidRPr="002F3D36" w:rsidRDefault="002F3D36" w:rsidP="002F3D36">
            <w:pPr>
              <w:widowControl/>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r>
      <w:tr w:rsidR="002F3D36" w:rsidRPr="002F3D36" w14:paraId="068400F8" w14:textId="77777777" w:rsidTr="002F3D36">
        <w:trPr>
          <w:trHeight w:val="180"/>
          <w:tblCellSpacing w:w="15" w:type="dxa"/>
        </w:trPr>
        <w:tc>
          <w:tcPr>
            <w:tcW w:w="0" w:type="auto"/>
            <w:hideMark/>
          </w:tcPr>
          <w:p w14:paraId="49DA69E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  3.2</w:t>
            </w:r>
          </w:p>
        </w:tc>
        <w:tc>
          <w:tcPr>
            <w:tcW w:w="0" w:type="auto"/>
            <w:hideMark/>
          </w:tcPr>
          <w:p w14:paraId="5B1E5CCC" w14:textId="77777777" w:rsidR="002F3D36" w:rsidRPr="002F3D36" w:rsidRDefault="002F3D36" w:rsidP="002F3D36">
            <w:pPr>
              <w:widowControl/>
              <w:rPr>
                <w:rFonts w:ascii="Times New Roman" w:eastAsia="微软雅黑" w:hAnsi="Times New Roman" w:cs="Times New Roman"/>
                <w:kern w:val="0"/>
                <w:sz w:val="20"/>
                <w:szCs w:val="20"/>
              </w:rPr>
            </w:pPr>
            <w:r w:rsidRPr="002F3D36">
              <w:rPr>
                <w:rFonts w:ascii="Arial" w:eastAsia="微软雅黑" w:hAnsi="Arial" w:cs="Arial"/>
                <w:kern w:val="0"/>
                <w:sz w:val="20"/>
                <w:szCs w:val="20"/>
              </w:rPr>
              <w:t> </w:t>
            </w:r>
          </w:p>
        </w:tc>
        <w:tc>
          <w:tcPr>
            <w:tcW w:w="0" w:type="auto"/>
            <w:hideMark/>
          </w:tcPr>
          <w:p w14:paraId="36DAE4B0" w14:textId="77777777" w:rsidR="002F3D36" w:rsidRPr="002F3D36" w:rsidRDefault="002F3D36" w:rsidP="002F3D36">
            <w:pPr>
              <w:widowControl/>
              <w:rPr>
                <w:rFonts w:ascii="Times New Roman" w:eastAsia="微软雅黑" w:hAnsi="Times New Roman" w:cs="Times New Roman"/>
                <w:kern w:val="0"/>
                <w:sz w:val="18"/>
                <w:szCs w:val="18"/>
              </w:rPr>
            </w:pPr>
            <w:hyperlink r:id="rId31" w:history="1">
              <w:r w:rsidRPr="002F3D36">
                <w:rPr>
                  <w:rFonts w:ascii="Arial" w:eastAsia="微软雅黑" w:hAnsi="Arial" w:cs="Arial"/>
                  <w:color w:val="0000FF"/>
                  <w:kern w:val="0"/>
                  <w:sz w:val="18"/>
                  <w:szCs w:val="18"/>
                  <w:u w:val="single"/>
                </w:rPr>
                <w:t>Autoliv’s Third Restated By-Laws, incorporated herein by reference to Exhibit 3.1 to the Current Report on Form 8-K (File No. 001-12933, filing date December 18, 2015).</w:t>
              </w:r>
            </w:hyperlink>
          </w:p>
        </w:tc>
      </w:tr>
      <w:tr w:rsidR="002F3D36" w:rsidRPr="002F3D36" w14:paraId="6A9EC323" w14:textId="77777777" w:rsidTr="002F3D36">
        <w:trPr>
          <w:tblCellSpacing w:w="15" w:type="dxa"/>
        </w:trPr>
        <w:tc>
          <w:tcPr>
            <w:tcW w:w="0" w:type="auto"/>
            <w:hideMark/>
          </w:tcPr>
          <w:p w14:paraId="1125D315"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731F8DD0" w14:textId="77777777" w:rsidR="002F3D36" w:rsidRPr="002F3D36" w:rsidRDefault="002F3D36" w:rsidP="002F3D36">
            <w:pPr>
              <w:widowControl/>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1C9065D1" w14:textId="77777777" w:rsidR="002F3D36" w:rsidRPr="002F3D36" w:rsidRDefault="002F3D36" w:rsidP="002F3D36">
            <w:pPr>
              <w:widowControl/>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r>
      <w:tr w:rsidR="002F3D36" w:rsidRPr="002F3D36" w14:paraId="1679AE85" w14:textId="77777777" w:rsidTr="002F3D36">
        <w:trPr>
          <w:trHeight w:val="180"/>
          <w:tblCellSpacing w:w="15" w:type="dxa"/>
        </w:trPr>
        <w:tc>
          <w:tcPr>
            <w:tcW w:w="0" w:type="auto"/>
            <w:hideMark/>
          </w:tcPr>
          <w:p w14:paraId="67B1091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  4.1</w:t>
            </w:r>
          </w:p>
        </w:tc>
        <w:tc>
          <w:tcPr>
            <w:tcW w:w="0" w:type="auto"/>
            <w:hideMark/>
          </w:tcPr>
          <w:p w14:paraId="0DB72029" w14:textId="77777777" w:rsidR="002F3D36" w:rsidRPr="002F3D36" w:rsidRDefault="002F3D36" w:rsidP="002F3D36">
            <w:pPr>
              <w:widowControl/>
              <w:rPr>
                <w:rFonts w:ascii="Times New Roman" w:eastAsia="微软雅黑" w:hAnsi="Times New Roman" w:cs="Times New Roman"/>
                <w:kern w:val="0"/>
                <w:sz w:val="20"/>
                <w:szCs w:val="20"/>
              </w:rPr>
            </w:pPr>
            <w:r w:rsidRPr="002F3D36">
              <w:rPr>
                <w:rFonts w:ascii="Arial" w:eastAsia="微软雅黑" w:hAnsi="Arial" w:cs="Arial"/>
                <w:kern w:val="0"/>
                <w:sz w:val="20"/>
                <w:szCs w:val="20"/>
              </w:rPr>
              <w:t> </w:t>
            </w:r>
          </w:p>
        </w:tc>
        <w:tc>
          <w:tcPr>
            <w:tcW w:w="0" w:type="auto"/>
            <w:hideMark/>
          </w:tcPr>
          <w:p w14:paraId="45598615" w14:textId="77777777" w:rsidR="002F3D36" w:rsidRPr="002F3D36" w:rsidRDefault="002F3D36" w:rsidP="002F3D36">
            <w:pPr>
              <w:widowControl/>
              <w:rPr>
                <w:rFonts w:ascii="Times New Roman" w:eastAsia="微软雅黑" w:hAnsi="Times New Roman" w:cs="Times New Roman"/>
                <w:kern w:val="0"/>
                <w:sz w:val="18"/>
                <w:szCs w:val="18"/>
              </w:rPr>
            </w:pPr>
            <w:hyperlink r:id="rId32" w:history="1">
              <w:r w:rsidRPr="002F3D36">
                <w:rPr>
                  <w:rFonts w:ascii="Arial" w:eastAsia="微软雅黑" w:hAnsi="Arial" w:cs="Arial"/>
                  <w:color w:val="0000FF"/>
                  <w:kern w:val="0"/>
                  <w:sz w:val="18"/>
                  <w:szCs w:val="18"/>
                  <w:u w:val="single"/>
                </w:rPr>
                <w:t>Indenture, dated March 30, 2009, between Autoliv, Inc. and U.S. Bank National Association, as trustee, incorporated herein by reference to Exhibit 4.1 to Autoliv’s Registration Statement on Form 8-A (File No. 001-12933, filing date March 30, 2009).</w:t>
              </w:r>
            </w:hyperlink>
          </w:p>
        </w:tc>
      </w:tr>
      <w:tr w:rsidR="002F3D36" w:rsidRPr="002F3D36" w14:paraId="7641FCD4" w14:textId="77777777" w:rsidTr="002F3D36">
        <w:trPr>
          <w:tblCellSpacing w:w="15" w:type="dxa"/>
        </w:trPr>
        <w:tc>
          <w:tcPr>
            <w:tcW w:w="0" w:type="auto"/>
            <w:hideMark/>
          </w:tcPr>
          <w:p w14:paraId="5528E474"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1CD12290" w14:textId="77777777" w:rsidR="002F3D36" w:rsidRPr="002F3D36" w:rsidRDefault="002F3D36" w:rsidP="002F3D36">
            <w:pPr>
              <w:widowControl/>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1E27C1C9" w14:textId="77777777" w:rsidR="002F3D36" w:rsidRPr="002F3D36" w:rsidRDefault="002F3D36" w:rsidP="002F3D36">
            <w:pPr>
              <w:widowControl/>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r>
      <w:tr w:rsidR="002F3D36" w:rsidRPr="002F3D36" w14:paraId="66BAAE10" w14:textId="77777777" w:rsidTr="002F3D36">
        <w:trPr>
          <w:trHeight w:val="180"/>
          <w:tblCellSpacing w:w="15" w:type="dxa"/>
        </w:trPr>
        <w:tc>
          <w:tcPr>
            <w:tcW w:w="0" w:type="auto"/>
            <w:hideMark/>
          </w:tcPr>
          <w:p w14:paraId="5C8D55C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  4.2</w:t>
            </w:r>
          </w:p>
        </w:tc>
        <w:tc>
          <w:tcPr>
            <w:tcW w:w="0" w:type="auto"/>
            <w:hideMark/>
          </w:tcPr>
          <w:p w14:paraId="3520FB21" w14:textId="77777777" w:rsidR="002F3D36" w:rsidRPr="002F3D36" w:rsidRDefault="002F3D36" w:rsidP="002F3D36">
            <w:pPr>
              <w:widowControl/>
              <w:rPr>
                <w:rFonts w:ascii="Times New Roman" w:eastAsia="微软雅黑" w:hAnsi="Times New Roman" w:cs="Times New Roman"/>
                <w:kern w:val="0"/>
                <w:sz w:val="20"/>
                <w:szCs w:val="20"/>
              </w:rPr>
            </w:pPr>
            <w:r w:rsidRPr="002F3D36">
              <w:rPr>
                <w:rFonts w:ascii="Arial" w:eastAsia="微软雅黑" w:hAnsi="Arial" w:cs="Arial"/>
                <w:kern w:val="0"/>
                <w:sz w:val="20"/>
                <w:szCs w:val="20"/>
              </w:rPr>
              <w:t> </w:t>
            </w:r>
          </w:p>
        </w:tc>
        <w:tc>
          <w:tcPr>
            <w:tcW w:w="0" w:type="auto"/>
            <w:hideMark/>
          </w:tcPr>
          <w:p w14:paraId="4D4EE52C" w14:textId="77777777" w:rsidR="002F3D36" w:rsidRPr="002F3D36" w:rsidRDefault="002F3D36" w:rsidP="002F3D36">
            <w:pPr>
              <w:widowControl/>
              <w:rPr>
                <w:rFonts w:ascii="Times New Roman" w:eastAsia="微软雅黑" w:hAnsi="Times New Roman" w:cs="Times New Roman"/>
                <w:kern w:val="0"/>
                <w:sz w:val="18"/>
                <w:szCs w:val="18"/>
              </w:rPr>
            </w:pPr>
            <w:hyperlink r:id="rId33" w:history="1">
              <w:r w:rsidRPr="002F3D36">
                <w:rPr>
                  <w:rFonts w:ascii="Arial" w:eastAsia="微软雅黑" w:hAnsi="Arial" w:cs="Arial"/>
                  <w:color w:val="0000FF"/>
                  <w:kern w:val="0"/>
                  <w:sz w:val="18"/>
                  <w:szCs w:val="18"/>
                  <w:u w:val="single"/>
                </w:rPr>
                <w:t>Second Supplemental Indenture (including Form of Global Note), dated March 15, 2012, between Autoliv, Inc. and U.S. Bank National Association, as trustee, incorporated herein by reference to Exhibit 4.1 to the Current Report on Form 8-K (File No. 001-12933, filing date March 15, 2012).</w:t>
              </w:r>
            </w:hyperlink>
          </w:p>
        </w:tc>
      </w:tr>
      <w:tr w:rsidR="002F3D36" w:rsidRPr="002F3D36" w14:paraId="04545350" w14:textId="77777777" w:rsidTr="002F3D36">
        <w:trPr>
          <w:tblCellSpacing w:w="15" w:type="dxa"/>
        </w:trPr>
        <w:tc>
          <w:tcPr>
            <w:tcW w:w="0" w:type="auto"/>
            <w:hideMark/>
          </w:tcPr>
          <w:p w14:paraId="22B476ED"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00433725" w14:textId="77777777" w:rsidR="002F3D36" w:rsidRPr="002F3D36" w:rsidRDefault="002F3D36" w:rsidP="002F3D36">
            <w:pPr>
              <w:widowControl/>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2DA74023" w14:textId="77777777" w:rsidR="002F3D36" w:rsidRPr="002F3D36" w:rsidRDefault="002F3D36" w:rsidP="002F3D36">
            <w:pPr>
              <w:widowControl/>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r>
      <w:tr w:rsidR="002F3D36" w:rsidRPr="002F3D36" w14:paraId="6AD2FFBA" w14:textId="77777777" w:rsidTr="002F3D36">
        <w:trPr>
          <w:trHeight w:val="180"/>
          <w:tblCellSpacing w:w="15" w:type="dxa"/>
        </w:trPr>
        <w:tc>
          <w:tcPr>
            <w:tcW w:w="0" w:type="auto"/>
            <w:hideMark/>
          </w:tcPr>
          <w:p w14:paraId="320CE8B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  4.3</w:t>
            </w:r>
          </w:p>
        </w:tc>
        <w:tc>
          <w:tcPr>
            <w:tcW w:w="0" w:type="auto"/>
            <w:hideMark/>
          </w:tcPr>
          <w:p w14:paraId="3447DD31" w14:textId="77777777" w:rsidR="002F3D36" w:rsidRPr="002F3D36" w:rsidRDefault="002F3D36" w:rsidP="002F3D36">
            <w:pPr>
              <w:widowControl/>
              <w:rPr>
                <w:rFonts w:ascii="Times New Roman" w:eastAsia="微软雅黑" w:hAnsi="Times New Roman" w:cs="Times New Roman"/>
                <w:kern w:val="0"/>
                <w:sz w:val="20"/>
                <w:szCs w:val="20"/>
              </w:rPr>
            </w:pPr>
            <w:r w:rsidRPr="002F3D36">
              <w:rPr>
                <w:rFonts w:ascii="Arial" w:eastAsia="微软雅黑" w:hAnsi="Arial" w:cs="Arial"/>
                <w:kern w:val="0"/>
                <w:sz w:val="20"/>
                <w:szCs w:val="20"/>
              </w:rPr>
              <w:t> </w:t>
            </w:r>
          </w:p>
        </w:tc>
        <w:tc>
          <w:tcPr>
            <w:tcW w:w="0" w:type="auto"/>
            <w:hideMark/>
          </w:tcPr>
          <w:p w14:paraId="43FD6330" w14:textId="77777777" w:rsidR="002F3D36" w:rsidRPr="002F3D36" w:rsidRDefault="002F3D36" w:rsidP="002F3D36">
            <w:pPr>
              <w:widowControl/>
              <w:rPr>
                <w:rFonts w:ascii="Times New Roman" w:eastAsia="微软雅黑" w:hAnsi="Times New Roman" w:cs="Times New Roman"/>
                <w:kern w:val="0"/>
                <w:sz w:val="18"/>
                <w:szCs w:val="18"/>
              </w:rPr>
            </w:pPr>
            <w:hyperlink r:id="rId34" w:history="1">
              <w:r w:rsidRPr="002F3D36">
                <w:rPr>
                  <w:rFonts w:ascii="Arial" w:eastAsia="微软雅黑" w:hAnsi="Arial" w:cs="Arial"/>
                  <w:color w:val="0000FF"/>
                  <w:kern w:val="0"/>
                  <w:sz w:val="18"/>
                  <w:szCs w:val="18"/>
                  <w:u w:val="single"/>
                </w:rPr>
                <w:t>Form of Note Purchase and Guaranty Agreement dated April 23, 2014, among Autoliv ASP, Inc., Autoliv, Inc. and the purchasers named therein, incorporated herein by reference to Exhibit 4.6 to the Quarterly Report on Form 10-Q (File No. 001-12933, filing date April 25, 2014).</w:t>
              </w:r>
            </w:hyperlink>
          </w:p>
        </w:tc>
      </w:tr>
      <w:tr w:rsidR="002F3D36" w:rsidRPr="002F3D36" w14:paraId="6F872144" w14:textId="77777777" w:rsidTr="002F3D36">
        <w:trPr>
          <w:tblCellSpacing w:w="15" w:type="dxa"/>
        </w:trPr>
        <w:tc>
          <w:tcPr>
            <w:tcW w:w="0" w:type="auto"/>
            <w:hideMark/>
          </w:tcPr>
          <w:p w14:paraId="3BA973DD"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6ECEB156" w14:textId="77777777" w:rsidR="002F3D36" w:rsidRPr="002F3D36" w:rsidRDefault="002F3D36" w:rsidP="002F3D36">
            <w:pPr>
              <w:widowControl/>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0A761819" w14:textId="77777777" w:rsidR="002F3D36" w:rsidRPr="002F3D36" w:rsidRDefault="002F3D36" w:rsidP="002F3D36">
            <w:pPr>
              <w:widowControl/>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r>
      <w:tr w:rsidR="002F3D36" w:rsidRPr="002F3D36" w14:paraId="37D21878" w14:textId="77777777" w:rsidTr="002F3D36">
        <w:trPr>
          <w:trHeight w:val="180"/>
          <w:tblCellSpacing w:w="15" w:type="dxa"/>
        </w:trPr>
        <w:tc>
          <w:tcPr>
            <w:tcW w:w="0" w:type="auto"/>
            <w:hideMark/>
          </w:tcPr>
          <w:p w14:paraId="2E1411A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  4.4</w:t>
            </w:r>
          </w:p>
        </w:tc>
        <w:tc>
          <w:tcPr>
            <w:tcW w:w="0" w:type="auto"/>
            <w:hideMark/>
          </w:tcPr>
          <w:p w14:paraId="52F63FDC" w14:textId="77777777" w:rsidR="002F3D36" w:rsidRPr="002F3D36" w:rsidRDefault="002F3D36" w:rsidP="002F3D36">
            <w:pPr>
              <w:widowControl/>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4BFCAEFE" w14:textId="77777777" w:rsidR="002F3D36" w:rsidRPr="002F3D36" w:rsidRDefault="002F3D36" w:rsidP="002F3D36">
            <w:pPr>
              <w:widowControl/>
              <w:rPr>
                <w:rFonts w:ascii="Times New Roman" w:eastAsia="微软雅黑" w:hAnsi="Times New Roman" w:cs="Times New Roman"/>
                <w:kern w:val="0"/>
                <w:sz w:val="18"/>
                <w:szCs w:val="18"/>
              </w:rPr>
            </w:pPr>
            <w:hyperlink r:id="rId35" w:history="1">
              <w:r w:rsidRPr="002F3D36">
                <w:rPr>
                  <w:rFonts w:ascii="Arial" w:eastAsia="微软雅黑" w:hAnsi="Arial" w:cs="Arial"/>
                  <w:color w:val="0000FF"/>
                  <w:kern w:val="0"/>
                  <w:sz w:val="18"/>
                  <w:szCs w:val="18"/>
                  <w:u w:val="single"/>
                </w:rPr>
                <w:t>Amendment and Waiver 2014 Note Purchase and Guaranty Agreement, dated May 24, 2018 among Autoliv, Inc., Autoliv ASP, Inc. and the noteholders named therein, incorporated herein by reference to Exhibit 4.4 to the Quarterly Report on Form 10-Q (File No. 001-12933, filing date July 27, 2018).</w:t>
              </w:r>
            </w:hyperlink>
          </w:p>
        </w:tc>
      </w:tr>
      <w:tr w:rsidR="002F3D36" w:rsidRPr="002F3D36" w14:paraId="63D661BC" w14:textId="77777777" w:rsidTr="002F3D36">
        <w:trPr>
          <w:tblCellSpacing w:w="15" w:type="dxa"/>
        </w:trPr>
        <w:tc>
          <w:tcPr>
            <w:tcW w:w="0" w:type="auto"/>
            <w:hideMark/>
          </w:tcPr>
          <w:p w14:paraId="12019767"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6219FBCB" w14:textId="77777777" w:rsidR="002F3D36" w:rsidRPr="002F3D36" w:rsidRDefault="002F3D36" w:rsidP="002F3D36">
            <w:pPr>
              <w:widowControl/>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19DD8F7D" w14:textId="77777777" w:rsidR="002F3D36" w:rsidRPr="002F3D36" w:rsidRDefault="002F3D36" w:rsidP="002F3D36">
            <w:pPr>
              <w:widowControl/>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r>
      <w:tr w:rsidR="002F3D36" w:rsidRPr="002F3D36" w14:paraId="4C5ADF49" w14:textId="77777777" w:rsidTr="002F3D36">
        <w:trPr>
          <w:trHeight w:val="180"/>
          <w:tblCellSpacing w:w="15" w:type="dxa"/>
        </w:trPr>
        <w:tc>
          <w:tcPr>
            <w:tcW w:w="0" w:type="auto"/>
            <w:hideMark/>
          </w:tcPr>
          <w:p w14:paraId="3270536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  4.5</w:t>
            </w:r>
          </w:p>
        </w:tc>
        <w:tc>
          <w:tcPr>
            <w:tcW w:w="0" w:type="auto"/>
            <w:hideMark/>
          </w:tcPr>
          <w:p w14:paraId="1A3C2B53" w14:textId="77777777" w:rsidR="002F3D36" w:rsidRPr="002F3D36" w:rsidRDefault="002F3D36" w:rsidP="002F3D36">
            <w:pPr>
              <w:widowControl/>
              <w:rPr>
                <w:rFonts w:ascii="Times New Roman" w:eastAsia="微软雅黑" w:hAnsi="Times New Roman" w:cs="Times New Roman"/>
                <w:kern w:val="0"/>
                <w:sz w:val="20"/>
                <w:szCs w:val="20"/>
              </w:rPr>
            </w:pPr>
            <w:r w:rsidRPr="002F3D36">
              <w:rPr>
                <w:rFonts w:ascii="Arial" w:eastAsia="微软雅黑" w:hAnsi="Arial" w:cs="Arial"/>
                <w:kern w:val="0"/>
                <w:sz w:val="20"/>
                <w:szCs w:val="20"/>
              </w:rPr>
              <w:t> </w:t>
            </w:r>
          </w:p>
        </w:tc>
        <w:tc>
          <w:tcPr>
            <w:tcW w:w="0" w:type="auto"/>
            <w:hideMark/>
          </w:tcPr>
          <w:p w14:paraId="1156DCA2" w14:textId="77777777" w:rsidR="002F3D36" w:rsidRPr="002F3D36" w:rsidRDefault="002F3D36" w:rsidP="002F3D36">
            <w:pPr>
              <w:widowControl/>
              <w:rPr>
                <w:rFonts w:ascii="Times New Roman" w:eastAsia="微软雅黑" w:hAnsi="Times New Roman" w:cs="Times New Roman"/>
                <w:kern w:val="0"/>
                <w:sz w:val="18"/>
                <w:szCs w:val="18"/>
              </w:rPr>
            </w:pPr>
            <w:hyperlink r:id="rId36" w:history="1">
              <w:r w:rsidRPr="002F3D36">
                <w:rPr>
                  <w:rFonts w:ascii="Arial" w:eastAsia="微软雅黑" w:hAnsi="Arial" w:cs="Arial"/>
                  <w:color w:val="0000FF"/>
                  <w:kern w:val="0"/>
                  <w:sz w:val="18"/>
                  <w:szCs w:val="18"/>
                  <w:u w:val="single"/>
                </w:rPr>
                <w:t>General Terms and Conditions for Swedish Depository Receipts in Autoliv, Inc., representing common shares in Autoliv, Inc., effective as of May 30, 2018 with Skandinaviska Enskilda Banken AB (publ) serving as a custodian, incorporated herein by reference to Exhibit 4.5 to the Quarterly Report on Form 10-Q (File No. 001-12933, filing date July 27, 2018).</w:t>
              </w:r>
            </w:hyperlink>
          </w:p>
        </w:tc>
      </w:tr>
      <w:tr w:rsidR="002F3D36" w:rsidRPr="002F3D36" w14:paraId="6EA71096" w14:textId="77777777" w:rsidTr="002F3D36">
        <w:trPr>
          <w:tblCellSpacing w:w="15" w:type="dxa"/>
        </w:trPr>
        <w:tc>
          <w:tcPr>
            <w:tcW w:w="0" w:type="auto"/>
            <w:hideMark/>
          </w:tcPr>
          <w:p w14:paraId="5534C258"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6410871A" w14:textId="77777777" w:rsidR="002F3D36" w:rsidRPr="002F3D36" w:rsidRDefault="002F3D36" w:rsidP="002F3D36">
            <w:pPr>
              <w:widowControl/>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691BE82E" w14:textId="77777777" w:rsidR="002F3D36" w:rsidRPr="002F3D36" w:rsidRDefault="002F3D36" w:rsidP="002F3D36">
            <w:pPr>
              <w:widowControl/>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r>
      <w:tr w:rsidR="002F3D36" w:rsidRPr="002F3D36" w14:paraId="72A41E41" w14:textId="77777777" w:rsidTr="002F3D36">
        <w:trPr>
          <w:trHeight w:val="180"/>
          <w:tblCellSpacing w:w="15" w:type="dxa"/>
        </w:trPr>
        <w:tc>
          <w:tcPr>
            <w:tcW w:w="0" w:type="auto"/>
            <w:hideMark/>
          </w:tcPr>
          <w:p w14:paraId="1A344F9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  4.6</w:t>
            </w:r>
          </w:p>
        </w:tc>
        <w:tc>
          <w:tcPr>
            <w:tcW w:w="0" w:type="auto"/>
            <w:hideMark/>
          </w:tcPr>
          <w:p w14:paraId="63DD37EE" w14:textId="77777777" w:rsidR="002F3D36" w:rsidRPr="002F3D36" w:rsidRDefault="002F3D36" w:rsidP="002F3D36">
            <w:pPr>
              <w:widowControl/>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38B77F87" w14:textId="77777777" w:rsidR="002F3D36" w:rsidRPr="002F3D36" w:rsidRDefault="002F3D36" w:rsidP="002F3D36">
            <w:pPr>
              <w:widowControl/>
              <w:rPr>
                <w:rFonts w:ascii="Times New Roman" w:eastAsia="微软雅黑" w:hAnsi="Times New Roman" w:cs="Times New Roman"/>
                <w:kern w:val="0"/>
                <w:sz w:val="18"/>
                <w:szCs w:val="18"/>
              </w:rPr>
            </w:pPr>
            <w:hyperlink r:id="rId37" w:history="1">
              <w:r w:rsidRPr="002F3D36">
                <w:rPr>
                  <w:rFonts w:ascii="Arial" w:eastAsia="微软雅黑" w:hAnsi="Arial" w:cs="Arial"/>
                  <w:color w:val="0000FF"/>
                  <w:kern w:val="0"/>
                  <w:sz w:val="18"/>
                  <w:szCs w:val="18"/>
                  <w:u w:val="single"/>
                </w:rPr>
                <w:t>Agency Agreement dated June 26, 2018 among Autoliv, Inc., Autoliv ASP Inc. and HSBC Bank PLC, incorporated herein by reference to Exhibit 4.6 to the Quarterly Report on Form 10-Q (File No. 001-12933, filing date July 27, 2018).</w:t>
              </w:r>
            </w:hyperlink>
          </w:p>
        </w:tc>
      </w:tr>
      <w:tr w:rsidR="002F3D36" w:rsidRPr="002F3D36" w14:paraId="0D422403" w14:textId="77777777" w:rsidTr="002F3D36">
        <w:trPr>
          <w:tblCellSpacing w:w="15" w:type="dxa"/>
        </w:trPr>
        <w:tc>
          <w:tcPr>
            <w:tcW w:w="0" w:type="auto"/>
            <w:hideMark/>
          </w:tcPr>
          <w:p w14:paraId="1D299701"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5F92D0B6" w14:textId="77777777" w:rsidR="002F3D36" w:rsidRPr="002F3D36" w:rsidRDefault="002F3D36" w:rsidP="002F3D36">
            <w:pPr>
              <w:widowControl/>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1E5DBDAC" w14:textId="77777777" w:rsidR="002F3D36" w:rsidRPr="002F3D36" w:rsidRDefault="002F3D36" w:rsidP="002F3D36">
            <w:pPr>
              <w:widowControl/>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r>
      <w:tr w:rsidR="002F3D36" w:rsidRPr="002F3D36" w14:paraId="55EF9AD9" w14:textId="77777777" w:rsidTr="002F3D36">
        <w:trPr>
          <w:trHeight w:val="180"/>
          <w:tblCellSpacing w:w="15" w:type="dxa"/>
        </w:trPr>
        <w:tc>
          <w:tcPr>
            <w:tcW w:w="0" w:type="auto"/>
            <w:hideMark/>
          </w:tcPr>
          <w:p w14:paraId="3D6C473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  4.7</w:t>
            </w:r>
          </w:p>
        </w:tc>
        <w:tc>
          <w:tcPr>
            <w:tcW w:w="0" w:type="auto"/>
            <w:hideMark/>
          </w:tcPr>
          <w:p w14:paraId="7DF5687D" w14:textId="77777777" w:rsidR="002F3D36" w:rsidRPr="002F3D36" w:rsidRDefault="002F3D36" w:rsidP="002F3D36">
            <w:pPr>
              <w:widowControl/>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4AB67D3E" w14:textId="77777777" w:rsidR="002F3D36" w:rsidRPr="002F3D36" w:rsidRDefault="002F3D36" w:rsidP="002F3D36">
            <w:pPr>
              <w:widowControl/>
              <w:rPr>
                <w:rFonts w:ascii="Times New Roman" w:eastAsia="微软雅黑" w:hAnsi="Times New Roman" w:cs="Times New Roman"/>
                <w:kern w:val="0"/>
                <w:sz w:val="18"/>
                <w:szCs w:val="18"/>
              </w:rPr>
            </w:pPr>
            <w:hyperlink r:id="rId38" w:history="1">
              <w:r w:rsidRPr="002F3D36">
                <w:rPr>
                  <w:rFonts w:ascii="Arial" w:eastAsia="微软雅黑" w:hAnsi="Arial" w:cs="Arial"/>
                  <w:color w:val="0000FF"/>
                  <w:kern w:val="0"/>
                  <w:sz w:val="18"/>
                  <w:szCs w:val="18"/>
                  <w:u w:val="single"/>
                </w:rPr>
                <w:t>Base Listing Particulars Agreement, dated April 11, 2019, among Autoliv, Inc., Autoliv ASP, Inc. and the dealers named therein, incorporated herein by reference to Exhibit 4.7 to the Quarterly Report on Form 10-Q (File No. 001-12933, filing date April 26, 2019).</w:t>
              </w:r>
            </w:hyperlink>
          </w:p>
        </w:tc>
      </w:tr>
      <w:tr w:rsidR="002F3D36" w:rsidRPr="002F3D36" w14:paraId="65FE910A" w14:textId="77777777" w:rsidTr="002F3D36">
        <w:trPr>
          <w:tblCellSpacing w:w="15" w:type="dxa"/>
        </w:trPr>
        <w:tc>
          <w:tcPr>
            <w:tcW w:w="0" w:type="auto"/>
            <w:hideMark/>
          </w:tcPr>
          <w:p w14:paraId="6414632D"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7D2DA836" w14:textId="77777777" w:rsidR="002F3D36" w:rsidRPr="002F3D36" w:rsidRDefault="002F3D36" w:rsidP="002F3D36">
            <w:pPr>
              <w:widowControl/>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5B9B0AEA" w14:textId="77777777" w:rsidR="002F3D36" w:rsidRPr="002F3D36" w:rsidRDefault="002F3D36" w:rsidP="002F3D36">
            <w:pPr>
              <w:widowControl/>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r>
      <w:tr w:rsidR="002F3D36" w:rsidRPr="002F3D36" w14:paraId="22A29765" w14:textId="77777777" w:rsidTr="002F3D36">
        <w:trPr>
          <w:trHeight w:val="180"/>
          <w:tblCellSpacing w:w="15" w:type="dxa"/>
        </w:trPr>
        <w:tc>
          <w:tcPr>
            <w:tcW w:w="0" w:type="auto"/>
            <w:hideMark/>
          </w:tcPr>
          <w:p w14:paraId="720F2B4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  4.8</w:t>
            </w:r>
          </w:p>
        </w:tc>
        <w:tc>
          <w:tcPr>
            <w:tcW w:w="0" w:type="auto"/>
            <w:hideMark/>
          </w:tcPr>
          <w:p w14:paraId="4AFB8221" w14:textId="77777777" w:rsidR="002F3D36" w:rsidRPr="002F3D36" w:rsidRDefault="002F3D36" w:rsidP="002F3D36">
            <w:pPr>
              <w:widowControl/>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2DBC0F45" w14:textId="77777777" w:rsidR="002F3D36" w:rsidRPr="002F3D36" w:rsidRDefault="002F3D36" w:rsidP="002F3D36">
            <w:pPr>
              <w:widowControl/>
              <w:rPr>
                <w:rFonts w:ascii="Times New Roman" w:eastAsia="微软雅黑" w:hAnsi="Times New Roman" w:cs="Times New Roman"/>
                <w:kern w:val="0"/>
                <w:sz w:val="18"/>
                <w:szCs w:val="18"/>
              </w:rPr>
            </w:pPr>
            <w:hyperlink r:id="rId39" w:history="1">
              <w:r w:rsidRPr="002F3D36">
                <w:rPr>
                  <w:rFonts w:ascii="Arial" w:eastAsia="微软雅黑" w:hAnsi="Arial" w:cs="Arial"/>
                  <w:color w:val="0000FF"/>
                  <w:kern w:val="0"/>
                  <w:sz w:val="18"/>
                  <w:szCs w:val="18"/>
                  <w:u w:val="single"/>
                </w:rPr>
                <w:t>Base Listing Particulars Agreement, dated February 21, 2020, among Autoliv, Inc., Autoliv ASP, Inc. and the dealers named therein, incorporated by reference to Exhibit 4.10 to the Quarterly Report on Form 10-Q (File No. 001-12933, filing date April 24, 2020).</w:t>
              </w:r>
            </w:hyperlink>
          </w:p>
        </w:tc>
      </w:tr>
      <w:tr w:rsidR="002F3D36" w:rsidRPr="002F3D36" w14:paraId="3521F88F" w14:textId="77777777" w:rsidTr="002F3D36">
        <w:trPr>
          <w:tblCellSpacing w:w="15" w:type="dxa"/>
        </w:trPr>
        <w:tc>
          <w:tcPr>
            <w:tcW w:w="0" w:type="auto"/>
            <w:hideMark/>
          </w:tcPr>
          <w:p w14:paraId="5296C28D"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7CB27249" w14:textId="77777777" w:rsidR="002F3D36" w:rsidRPr="002F3D36" w:rsidRDefault="002F3D36" w:rsidP="002F3D36">
            <w:pPr>
              <w:widowControl/>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64D75D44" w14:textId="77777777" w:rsidR="002F3D36" w:rsidRPr="002F3D36" w:rsidRDefault="002F3D36" w:rsidP="002F3D36">
            <w:pPr>
              <w:widowControl/>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r>
      <w:tr w:rsidR="002F3D36" w:rsidRPr="002F3D36" w14:paraId="26516856" w14:textId="77777777" w:rsidTr="002F3D36">
        <w:trPr>
          <w:trHeight w:val="180"/>
          <w:tblCellSpacing w:w="15" w:type="dxa"/>
        </w:trPr>
        <w:tc>
          <w:tcPr>
            <w:tcW w:w="0" w:type="auto"/>
            <w:hideMark/>
          </w:tcPr>
          <w:p w14:paraId="73494D4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  4.9</w:t>
            </w:r>
          </w:p>
        </w:tc>
        <w:tc>
          <w:tcPr>
            <w:tcW w:w="0" w:type="auto"/>
            <w:hideMark/>
          </w:tcPr>
          <w:p w14:paraId="5E2699FF" w14:textId="77777777" w:rsidR="002F3D36" w:rsidRPr="002F3D36" w:rsidRDefault="002F3D36" w:rsidP="002F3D36">
            <w:pPr>
              <w:widowControl/>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09EEB98F" w14:textId="77777777" w:rsidR="002F3D36" w:rsidRPr="002F3D36" w:rsidRDefault="002F3D36" w:rsidP="002F3D36">
            <w:pPr>
              <w:widowControl/>
              <w:rPr>
                <w:rFonts w:ascii="Times New Roman" w:eastAsia="微软雅黑" w:hAnsi="Times New Roman" w:cs="Times New Roman"/>
                <w:kern w:val="0"/>
                <w:sz w:val="18"/>
                <w:szCs w:val="18"/>
              </w:rPr>
            </w:pPr>
            <w:hyperlink r:id="rId40" w:history="1">
              <w:r w:rsidRPr="002F3D36">
                <w:rPr>
                  <w:rFonts w:ascii="Arial" w:eastAsia="微软雅黑" w:hAnsi="Arial" w:cs="Arial"/>
                  <w:color w:val="0000FF"/>
                  <w:kern w:val="0"/>
                  <w:sz w:val="18"/>
                  <w:szCs w:val="18"/>
                  <w:u w:val="single"/>
                </w:rPr>
                <w:t>Base Listing Particulars Agreement, dated February 19, 2021, among Autoliv, Inc., Autoliv ASP, Inc., and the dealers named therein, incorporated by reference to Exhibit 4.13 to the Quarterly Report on Form 10-Q (File No. 001-12933, filing date April 23, 2021)</w:t>
              </w:r>
            </w:hyperlink>
          </w:p>
        </w:tc>
      </w:tr>
      <w:tr w:rsidR="002F3D36" w:rsidRPr="002F3D36" w14:paraId="0ECAC9E1" w14:textId="77777777" w:rsidTr="002F3D36">
        <w:trPr>
          <w:tblCellSpacing w:w="15" w:type="dxa"/>
        </w:trPr>
        <w:tc>
          <w:tcPr>
            <w:tcW w:w="0" w:type="auto"/>
            <w:hideMark/>
          </w:tcPr>
          <w:p w14:paraId="1C1C665D"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088FBD54" w14:textId="77777777" w:rsidR="002F3D36" w:rsidRPr="002F3D36" w:rsidRDefault="002F3D36" w:rsidP="002F3D36">
            <w:pPr>
              <w:widowControl/>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0D5EF432" w14:textId="77777777" w:rsidR="002F3D36" w:rsidRPr="002F3D36" w:rsidRDefault="002F3D36" w:rsidP="002F3D36">
            <w:pPr>
              <w:widowControl/>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r>
    </w:tbl>
    <w:p w14:paraId="14AF7A8F" w14:textId="77777777" w:rsidR="002F3D36" w:rsidRPr="002F3D36" w:rsidRDefault="002F3D36" w:rsidP="002F3D36">
      <w:pPr>
        <w:widowControl/>
        <w:jc w:val="left"/>
        <w:rPr>
          <w:rFonts w:ascii="Times New Roman" w:eastAsia="宋体" w:hAnsi="Times New Roman" w:cs="Times New Roman"/>
          <w:color w:val="000000"/>
          <w:kern w:val="0"/>
          <w:sz w:val="20"/>
          <w:szCs w:val="20"/>
        </w:rPr>
      </w:pPr>
      <w:r w:rsidRPr="002F3D36">
        <w:rPr>
          <w:rFonts w:ascii="Times New Roman" w:eastAsia="宋体" w:hAnsi="Times New Roman" w:cs="Times New Roman"/>
          <w:color w:val="000000"/>
          <w:kern w:val="0"/>
          <w:sz w:val="20"/>
          <w:szCs w:val="20"/>
        </w:rPr>
        <w:t> </w:t>
      </w:r>
    </w:p>
    <w:p w14:paraId="2AFD6DCF" w14:textId="77777777" w:rsidR="002F3D36" w:rsidRPr="002F3D36" w:rsidRDefault="002F3D36" w:rsidP="002F3D36">
      <w:pPr>
        <w:widowControl/>
        <w:spacing w:before="240"/>
        <w:jc w:val="center"/>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93</w:t>
      </w:r>
    </w:p>
    <w:p w14:paraId="576A57F8" w14:textId="77777777" w:rsidR="002F3D36" w:rsidRPr="002F3D36" w:rsidRDefault="002F3D36" w:rsidP="002F3D36">
      <w:pPr>
        <w:widowControl/>
        <w:jc w:val="left"/>
        <w:rPr>
          <w:rFonts w:ascii="宋体" w:eastAsia="宋体" w:hAnsi="宋体" w:cs="宋体"/>
          <w:kern w:val="0"/>
          <w:sz w:val="24"/>
          <w:szCs w:val="24"/>
        </w:rPr>
      </w:pPr>
      <w:r w:rsidRPr="002F3D36">
        <w:rPr>
          <w:rFonts w:ascii="宋体" w:eastAsia="宋体" w:hAnsi="宋体" w:cs="宋体"/>
          <w:kern w:val="0"/>
          <w:sz w:val="24"/>
          <w:szCs w:val="24"/>
        </w:rPr>
        <w:pict w14:anchorId="33C9B9B7">
          <v:rect id="_x0000_i1120" style="width:0;height:1.5pt" o:hralign="center" o:hrstd="t" o:hrnoshade="t" o:hr="t" fillcolor="black" stroked="f"/>
        </w:pict>
      </w:r>
    </w:p>
    <w:p w14:paraId="25BDA0A8" w14:textId="77777777" w:rsidR="002F3D36" w:rsidRPr="002F3D36" w:rsidRDefault="002F3D36" w:rsidP="002F3D36">
      <w:pPr>
        <w:widowControl/>
        <w:spacing w:line="20" w:lineRule="atLeast"/>
        <w:jc w:val="left"/>
        <w:rPr>
          <w:rFonts w:ascii="Times New Roman" w:eastAsia="宋体" w:hAnsi="Times New Roman" w:cs="Times New Roman"/>
          <w:color w:val="000000"/>
          <w:kern w:val="0"/>
          <w:sz w:val="20"/>
          <w:szCs w:val="20"/>
        </w:rPr>
      </w:pPr>
      <w:r w:rsidRPr="002F3D36">
        <w:rPr>
          <w:rFonts w:ascii="Arial" w:eastAsia="宋体" w:hAnsi="Arial" w:cs="Arial"/>
          <w:color w:val="000000"/>
          <w:kern w:val="0"/>
          <w:sz w:val="2"/>
          <w:szCs w:val="2"/>
        </w:rPr>
        <w:t> </w:t>
      </w:r>
    </w:p>
    <w:tbl>
      <w:tblPr>
        <w:tblW w:w="20614" w:type="dxa"/>
        <w:tblCellSpacing w:w="15" w:type="dxa"/>
        <w:tblCellMar>
          <w:top w:w="15" w:type="dxa"/>
          <w:left w:w="15" w:type="dxa"/>
          <w:bottom w:w="15" w:type="dxa"/>
          <w:right w:w="15" w:type="dxa"/>
        </w:tblCellMar>
        <w:tblLook w:val="04A0" w:firstRow="1" w:lastRow="0" w:firstColumn="1" w:lastColumn="0" w:noHBand="0" w:noVBand="1"/>
      </w:tblPr>
      <w:tblGrid>
        <w:gridCol w:w="1250"/>
        <w:gridCol w:w="186"/>
        <w:gridCol w:w="19178"/>
      </w:tblGrid>
      <w:tr w:rsidR="002F3D36" w:rsidRPr="002F3D36" w14:paraId="10E8924F" w14:textId="77777777" w:rsidTr="002F3D36">
        <w:trPr>
          <w:tblCellSpacing w:w="15" w:type="dxa"/>
        </w:trPr>
        <w:tc>
          <w:tcPr>
            <w:tcW w:w="1642" w:type="dxa"/>
            <w:vAlign w:val="center"/>
            <w:hideMark/>
          </w:tcPr>
          <w:p w14:paraId="76C92585" w14:textId="77777777" w:rsidR="002F3D36" w:rsidRPr="002F3D36" w:rsidRDefault="002F3D36" w:rsidP="002F3D36">
            <w:pPr>
              <w:widowControl/>
              <w:jc w:val="left"/>
              <w:rPr>
                <w:rFonts w:ascii="Times New Roman" w:eastAsia="宋体" w:hAnsi="Times New Roman" w:cs="Times New Roman"/>
                <w:color w:val="000000"/>
                <w:kern w:val="0"/>
                <w:sz w:val="20"/>
                <w:szCs w:val="20"/>
              </w:rPr>
            </w:pPr>
          </w:p>
        </w:tc>
        <w:tc>
          <w:tcPr>
            <w:tcW w:w="205" w:type="dxa"/>
            <w:vAlign w:val="center"/>
            <w:hideMark/>
          </w:tcPr>
          <w:p w14:paraId="1DB14D04"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8678" w:type="dxa"/>
            <w:vAlign w:val="center"/>
            <w:hideMark/>
          </w:tcPr>
          <w:p w14:paraId="35E442EF" w14:textId="77777777" w:rsidR="002F3D36" w:rsidRPr="002F3D36" w:rsidRDefault="002F3D36" w:rsidP="002F3D36">
            <w:pPr>
              <w:widowControl/>
              <w:jc w:val="left"/>
              <w:rPr>
                <w:rFonts w:ascii="Times New Roman" w:eastAsia="Times New Roman" w:hAnsi="Times New Roman" w:cs="Times New Roman"/>
                <w:kern w:val="0"/>
                <w:sz w:val="20"/>
                <w:szCs w:val="20"/>
              </w:rPr>
            </w:pPr>
          </w:p>
        </w:tc>
      </w:tr>
      <w:tr w:rsidR="002F3D36" w:rsidRPr="002F3D36" w14:paraId="0AD50616" w14:textId="77777777" w:rsidTr="002F3D36">
        <w:trPr>
          <w:trHeight w:val="180"/>
          <w:tblCellSpacing w:w="15" w:type="dxa"/>
        </w:trPr>
        <w:tc>
          <w:tcPr>
            <w:tcW w:w="0" w:type="auto"/>
            <w:hideMark/>
          </w:tcPr>
          <w:p w14:paraId="45419F1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  4.10</w:t>
            </w:r>
          </w:p>
        </w:tc>
        <w:tc>
          <w:tcPr>
            <w:tcW w:w="0" w:type="auto"/>
            <w:hideMark/>
          </w:tcPr>
          <w:p w14:paraId="01820124" w14:textId="77777777" w:rsidR="002F3D36" w:rsidRPr="002F3D36" w:rsidRDefault="002F3D36" w:rsidP="002F3D36">
            <w:pPr>
              <w:widowControl/>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7372813D" w14:textId="77777777" w:rsidR="002F3D36" w:rsidRPr="002F3D36" w:rsidRDefault="002F3D36" w:rsidP="002F3D36">
            <w:pPr>
              <w:widowControl/>
              <w:rPr>
                <w:rFonts w:ascii="Times New Roman" w:eastAsia="微软雅黑" w:hAnsi="Times New Roman" w:cs="Times New Roman"/>
                <w:kern w:val="0"/>
                <w:sz w:val="18"/>
                <w:szCs w:val="18"/>
              </w:rPr>
            </w:pPr>
            <w:hyperlink r:id="rId41" w:history="1">
              <w:r w:rsidRPr="002F3D36">
                <w:rPr>
                  <w:rFonts w:ascii="Arial" w:eastAsia="微软雅黑" w:hAnsi="Arial" w:cs="Arial"/>
                  <w:color w:val="0000FF"/>
                  <w:kern w:val="0"/>
                  <w:sz w:val="18"/>
                  <w:szCs w:val="18"/>
                  <w:u w:val="single"/>
                </w:rPr>
                <w:t>Amended and Restated Programme Agreement, dated February 19, 2021, among Autoliv, Inc., Autoliv ASP, Inc., and the dealers named therein, incorporated by reference to Exhibit 4.14 to the Quarterly Report on Form 10-Q (File No. 001-12933, filing date April 23, 2021)</w:t>
              </w:r>
            </w:hyperlink>
          </w:p>
        </w:tc>
      </w:tr>
      <w:tr w:rsidR="002F3D36" w:rsidRPr="002F3D36" w14:paraId="5B641618" w14:textId="77777777" w:rsidTr="002F3D36">
        <w:trPr>
          <w:tblCellSpacing w:w="15" w:type="dxa"/>
        </w:trPr>
        <w:tc>
          <w:tcPr>
            <w:tcW w:w="0" w:type="auto"/>
            <w:hideMark/>
          </w:tcPr>
          <w:p w14:paraId="295741D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13860318" w14:textId="77777777" w:rsidR="002F3D36" w:rsidRPr="002F3D36" w:rsidRDefault="002F3D36" w:rsidP="002F3D36">
            <w:pPr>
              <w:widowControl/>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17315A5B" w14:textId="77777777" w:rsidR="002F3D36" w:rsidRPr="002F3D36" w:rsidRDefault="002F3D36" w:rsidP="002F3D36">
            <w:pPr>
              <w:widowControl/>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59C6AB68" w14:textId="77777777" w:rsidTr="002F3D36">
        <w:trPr>
          <w:trHeight w:val="180"/>
          <w:tblCellSpacing w:w="15" w:type="dxa"/>
        </w:trPr>
        <w:tc>
          <w:tcPr>
            <w:tcW w:w="0" w:type="auto"/>
            <w:hideMark/>
          </w:tcPr>
          <w:p w14:paraId="29B08A0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  4.11</w:t>
            </w:r>
          </w:p>
        </w:tc>
        <w:tc>
          <w:tcPr>
            <w:tcW w:w="0" w:type="auto"/>
            <w:hideMark/>
          </w:tcPr>
          <w:p w14:paraId="74AC43A6" w14:textId="77777777" w:rsidR="002F3D36" w:rsidRPr="002F3D36" w:rsidRDefault="002F3D36" w:rsidP="002F3D36">
            <w:pPr>
              <w:widowControl/>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0FAC22FB" w14:textId="77777777" w:rsidR="002F3D36" w:rsidRPr="002F3D36" w:rsidRDefault="002F3D36" w:rsidP="002F3D36">
            <w:pPr>
              <w:widowControl/>
              <w:rPr>
                <w:rFonts w:ascii="Times New Roman" w:eastAsia="微软雅黑" w:hAnsi="Times New Roman" w:cs="Times New Roman"/>
                <w:kern w:val="0"/>
                <w:sz w:val="18"/>
                <w:szCs w:val="18"/>
              </w:rPr>
            </w:pPr>
            <w:hyperlink r:id="rId42" w:history="1">
              <w:r w:rsidRPr="002F3D36">
                <w:rPr>
                  <w:rFonts w:ascii="Arial" w:eastAsia="微软雅黑" w:hAnsi="Arial" w:cs="Arial"/>
                  <w:color w:val="0000FF"/>
                  <w:kern w:val="0"/>
                  <w:sz w:val="18"/>
                  <w:szCs w:val="18"/>
                  <w:u w:val="single"/>
                </w:rPr>
                <w:t>Amended and Restated Agency Agreement, dated February 19, 2021, among Autoliv, Inc., Autoliv ASP, Inc., and the dealers named therein, incorporated by reference to Exhibit 4.15 to the Quarterly Report on Form 10-Q (File No. 001-12933, filing date April 23, 2021)</w:t>
              </w:r>
            </w:hyperlink>
          </w:p>
        </w:tc>
      </w:tr>
      <w:tr w:rsidR="002F3D36" w:rsidRPr="002F3D36" w14:paraId="1E180B83" w14:textId="77777777" w:rsidTr="002F3D36">
        <w:trPr>
          <w:tblCellSpacing w:w="15" w:type="dxa"/>
        </w:trPr>
        <w:tc>
          <w:tcPr>
            <w:tcW w:w="0" w:type="auto"/>
            <w:hideMark/>
          </w:tcPr>
          <w:p w14:paraId="35AAA5C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6EA67378" w14:textId="77777777" w:rsidR="002F3D36" w:rsidRPr="002F3D36" w:rsidRDefault="002F3D36" w:rsidP="002F3D36">
            <w:pPr>
              <w:widowControl/>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02A8BAEF" w14:textId="77777777" w:rsidR="002F3D36" w:rsidRPr="002F3D36" w:rsidRDefault="002F3D36" w:rsidP="002F3D36">
            <w:pPr>
              <w:widowControl/>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0F0F55DD" w14:textId="77777777" w:rsidTr="002F3D36">
        <w:trPr>
          <w:trHeight w:val="180"/>
          <w:tblCellSpacing w:w="15" w:type="dxa"/>
        </w:trPr>
        <w:tc>
          <w:tcPr>
            <w:tcW w:w="0" w:type="auto"/>
            <w:hideMark/>
          </w:tcPr>
          <w:p w14:paraId="1B7E6C4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  4.12</w:t>
            </w:r>
          </w:p>
        </w:tc>
        <w:tc>
          <w:tcPr>
            <w:tcW w:w="0" w:type="auto"/>
            <w:hideMark/>
          </w:tcPr>
          <w:p w14:paraId="5C0C6F14" w14:textId="77777777" w:rsidR="002F3D36" w:rsidRPr="002F3D36" w:rsidRDefault="002F3D36" w:rsidP="002F3D36">
            <w:pPr>
              <w:widowControl/>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640E2E33" w14:textId="77777777" w:rsidR="002F3D36" w:rsidRPr="002F3D36" w:rsidRDefault="002F3D36" w:rsidP="002F3D36">
            <w:pPr>
              <w:widowControl/>
              <w:rPr>
                <w:rFonts w:ascii="Times New Roman" w:eastAsia="微软雅黑" w:hAnsi="Times New Roman" w:cs="Times New Roman"/>
                <w:kern w:val="0"/>
                <w:sz w:val="18"/>
                <w:szCs w:val="18"/>
              </w:rPr>
            </w:pPr>
            <w:hyperlink r:id="rId43" w:history="1">
              <w:r w:rsidRPr="002F3D36">
                <w:rPr>
                  <w:rFonts w:ascii="Arial" w:eastAsia="微软雅黑" w:hAnsi="Arial" w:cs="Arial"/>
                  <w:color w:val="0000FF"/>
                  <w:kern w:val="0"/>
                  <w:sz w:val="18"/>
                  <w:szCs w:val="18"/>
                  <w:u w:val="single"/>
                </w:rPr>
                <w:t>Description of Registrant´s Securities, incorporated by reference to Exhibit 4.13 to the Annual Report on Form 10-K (File No. 001-12933, filing date February 19, 2021).</w:t>
              </w:r>
            </w:hyperlink>
          </w:p>
        </w:tc>
      </w:tr>
      <w:tr w:rsidR="002F3D36" w:rsidRPr="002F3D36" w14:paraId="2767EF62" w14:textId="77777777" w:rsidTr="002F3D36">
        <w:trPr>
          <w:tblCellSpacing w:w="15" w:type="dxa"/>
        </w:trPr>
        <w:tc>
          <w:tcPr>
            <w:tcW w:w="0" w:type="auto"/>
            <w:hideMark/>
          </w:tcPr>
          <w:p w14:paraId="5A5DB203"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5782F5CE" w14:textId="77777777" w:rsidR="002F3D36" w:rsidRPr="002F3D36" w:rsidRDefault="002F3D36" w:rsidP="002F3D36">
            <w:pPr>
              <w:widowControl/>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561CBC12" w14:textId="77777777" w:rsidR="002F3D36" w:rsidRPr="002F3D36" w:rsidRDefault="002F3D36" w:rsidP="002F3D36">
            <w:pPr>
              <w:widowControl/>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r>
      <w:tr w:rsidR="002F3D36" w:rsidRPr="002F3D36" w14:paraId="5BAD432B" w14:textId="77777777" w:rsidTr="002F3D36">
        <w:trPr>
          <w:trHeight w:val="180"/>
          <w:tblCellSpacing w:w="15" w:type="dxa"/>
        </w:trPr>
        <w:tc>
          <w:tcPr>
            <w:tcW w:w="0" w:type="auto"/>
            <w:hideMark/>
          </w:tcPr>
          <w:p w14:paraId="59574B3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10.1+</w:t>
            </w:r>
          </w:p>
        </w:tc>
        <w:tc>
          <w:tcPr>
            <w:tcW w:w="0" w:type="auto"/>
            <w:hideMark/>
          </w:tcPr>
          <w:p w14:paraId="04ED0A79" w14:textId="77777777" w:rsidR="002F3D36" w:rsidRPr="002F3D36" w:rsidRDefault="002F3D36" w:rsidP="002F3D36">
            <w:pPr>
              <w:widowControl/>
              <w:rPr>
                <w:rFonts w:ascii="Times New Roman" w:eastAsia="微软雅黑" w:hAnsi="Times New Roman" w:cs="Times New Roman"/>
                <w:kern w:val="0"/>
                <w:sz w:val="20"/>
                <w:szCs w:val="20"/>
              </w:rPr>
            </w:pPr>
            <w:r w:rsidRPr="002F3D36">
              <w:rPr>
                <w:rFonts w:ascii="Arial" w:eastAsia="微软雅黑" w:hAnsi="Arial" w:cs="Arial"/>
                <w:kern w:val="0"/>
                <w:sz w:val="20"/>
                <w:szCs w:val="20"/>
              </w:rPr>
              <w:t> </w:t>
            </w:r>
          </w:p>
        </w:tc>
        <w:tc>
          <w:tcPr>
            <w:tcW w:w="0" w:type="auto"/>
            <w:hideMark/>
          </w:tcPr>
          <w:p w14:paraId="14B76BBF" w14:textId="77777777" w:rsidR="002F3D36" w:rsidRPr="002F3D36" w:rsidRDefault="002F3D36" w:rsidP="002F3D36">
            <w:pPr>
              <w:widowControl/>
              <w:jc w:val="left"/>
              <w:rPr>
                <w:rFonts w:ascii="Times New Roman" w:eastAsia="微软雅黑" w:hAnsi="Times New Roman" w:cs="Times New Roman"/>
                <w:kern w:val="0"/>
                <w:sz w:val="18"/>
                <w:szCs w:val="18"/>
              </w:rPr>
            </w:pPr>
            <w:hyperlink r:id="rId44" w:history="1">
              <w:r w:rsidRPr="002F3D36">
                <w:rPr>
                  <w:rFonts w:ascii="Arial" w:eastAsia="微软雅黑" w:hAnsi="Arial" w:cs="Arial"/>
                  <w:color w:val="0000FF"/>
                  <w:kern w:val="0"/>
                  <w:sz w:val="18"/>
                  <w:szCs w:val="18"/>
                  <w:u w:val="single"/>
                </w:rPr>
                <w:t>Autoliv, Inc. 1997 Stock Incentive Plan, as amended and restated on May 6, 2009, incorporated herein by reference to Appendix A of the Definitive Proxy Statement of Autoliv, Inc. on Schedule 14A (filing date March 23, 2009).</w:t>
              </w:r>
            </w:hyperlink>
          </w:p>
        </w:tc>
      </w:tr>
      <w:tr w:rsidR="002F3D36" w:rsidRPr="002F3D36" w14:paraId="050C455E" w14:textId="77777777" w:rsidTr="002F3D36">
        <w:trPr>
          <w:tblCellSpacing w:w="15" w:type="dxa"/>
        </w:trPr>
        <w:tc>
          <w:tcPr>
            <w:tcW w:w="0" w:type="auto"/>
            <w:hideMark/>
          </w:tcPr>
          <w:p w14:paraId="20F6BF16"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350D6923" w14:textId="77777777" w:rsidR="002F3D36" w:rsidRPr="002F3D36" w:rsidRDefault="002F3D36" w:rsidP="002F3D36">
            <w:pPr>
              <w:widowControl/>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5E873BC1"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r>
      <w:tr w:rsidR="002F3D36" w:rsidRPr="002F3D36" w14:paraId="4CB1F3C9" w14:textId="77777777" w:rsidTr="002F3D36">
        <w:trPr>
          <w:trHeight w:val="180"/>
          <w:tblCellSpacing w:w="15" w:type="dxa"/>
        </w:trPr>
        <w:tc>
          <w:tcPr>
            <w:tcW w:w="0" w:type="auto"/>
            <w:hideMark/>
          </w:tcPr>
          <w:p w14:paraId="42CDC9F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10.2</w:t>
            </w:r>
          </w:p>
        </w:tc>
        <w:tc>
          <w:tcPr>
            <w:tcW w:w="0" w:type="auto"/>
            <w:hideMark/>
          </w:tcPr>
          <w:p w14:paraId="6BCADA81" w14:textId="77777777" w:rsidR="002F3D36" w:rsidRPr="002F3D36" w:rsidRDefault="002F3D36" w:rsidP="002F3D36">
            <w:pPr>
              <w:widowControl/>
              <w:rPr>
                <w:rFonts w:ascii="Times New Roman" w:eastAsia="微软雅黑" w:hAnsi="Times New Roman" w:cs="Times New Roman"/>
                <w:kern w:val="0"/>
                <w:sz w:val="20"/>
                <w:szCs w:val="20"/>
              </w:rPr>
            </w:pPr>
            <w:r w:rsidRPr="002F3D36">
              <w:rPr>
                <w:rFonts w:ascii="Arial" w:eastAsia="微软雅黑" w:hAnsi="Arial" w:cs="Arial"/>
                <w:kern w:val="0"/>
                <w:sz w:val="20"/>
                <w:szCs w:val="20"/>
              </w:rPr>
              <w:t> </w:t>
            </w:r>
          </w:p>
        </w:tc>
        <w:tc>
          <w:tcPr>
            <w:tcW w:w="0" w:type="auto"/>
            <w:hideMark/>
          </w:tcPr>
          <w:p w14:paraId="602D80C5" w14:textId="77777777" w:rsidR="002F3D36" w:rsidRPr="002F3D36" w:rsidRDefault="002F3D36" w:rsidP="002F3D36">
            <w:pPr>
              <w:widowControl/>
              <w:jc w:val="left"/>
              <w:rPr>
                <w:rFonts w:ascii="Times New Roman" w:eastAsia="微软雅黑" w:hAnsi="Times New Roman" w:cs="Times New Roman"/>
                <w:kern w:val="0"/>
                <w:sz w:val="18"/>
                <w:szCs w:val="18"/>
              </w:rPr>
            </w:pPr>
            <w:hyperlink r:id="rId45" w:history="1">
              <w:r w:rsidRPr="002F3D36">
                <w:rPr>
                  <w:rFonts w:ascii="Arial" w:eastAsia="微软雅黑" w:hAnsi="Arial" w:cs="Arial"/>
                  <w:color w:val="0000FF"/>
                  <w:kern w:val="0"/>
                  <w:sz w:val="18"/>
                  <w:szCs w:val="18"/>
                  <w:u w:val="single"/>
                </w:rPr>
                <w:t>Revolving Credit Facility Agreement, dated June 21, 2010, between Autoliv AB, Autoliv, Inc., and Nordea Bank AB (publ), incorporated herein by reference to Exhibit 10.21 to the Quarterly Report on Form 10-Q (File No. 001-12933, filing date July 23, 2010).</w:t>
              </w:r>
            </w:hyperlink>
          </w:p>
        </w:tc>
      </w:tr>
      <w:tr w:rsidR="002F3D36" w:rsidRPr="002F3D36" w14:paraId="3A535EF9" w14:textId="77777777" w:rsidTr="002F3D36">
        <w:trPr>
          <w:tblCellSpacing w:w="15" w:type="dxa"/>
        </w:trPr>
        <w:tc>
          <w:tcPr>
            <w:tcW w:w="0" w:type="auto"/>
            <w:hideMark/>
          </w:tcPr>
          <w:p w14:paraId="61E24746"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40D53FCA" w14:textId="77777777" w:rsidR="002F3D36" w:rsidRPr="002F3D36" w:rsidRDefault="002F3D36" w:rsidP="002F3D36">
            <w:pPr>
              <w:widowControl/>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4FFD0FC9"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r>
      <w:tr w:rsidR="002F3D36" w:rsidRPr="002F3D36" w14:paraId="64442DD7" w14:textId="77777777" w:rsidTr="002F3D36">
        <w:trPr>
          <w:trHeight w:val="180"/>
          <w:tblCellSpacing w:w="15" w:type="dxa"/>
        </w:trPr>
        <w:tc>
          <w:tcPr>
            <w:tcW w:w="0" w:type="auto"/>
            <w:hideMark/>
          </w:tcPr>
          <w:p w14:paraId="2B6F3ED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10.3</w:t>
            </w:r>
          </w:p>
        </w:tc>
        <w:tc>
          <w:tcPr>
            <w:tcW w:w="0" w:type="auto"/>
            <w:hideMark/>
          </w:tcPr>
          <w:p w14:paraId="65CA836A" w14:textId="77777777" w:rsidR="002F3D36" w:rsidRPr="002F3D36" w:rsidRDefault="002F3D36" w:rsidP="002F3D36">
            <w:pPr>
              <w:widowControl/>
              <w:rPr>
                <w:rFonts w:ascii="Times New Roman" w:eastAsia="微软雅黑" w:hAnsi="Times New Roman" w:cs="Times New Roman"/>
                <w:kern w:val="0"/>
                <w:sz w:val="20"/>
                <w:szCs w:val="20"/>
              </w:rPr>
            </w:pPr>
            <w:r w:rsidRPr="002F3D36">
              <w:rPr>
                <w:rFonts w:ascii="Arial" w:eastAsia="微软雅黑" w:hAnsi="Arial" w:cs="Arial"/>
                <w:kern w:val="0"/>
                <w:sz w:val="20"/>
                <w:szCs w:val="20"/>
              </w:rPr>
              <w:t> </w:t>
            </w:r>
          </w:p>
        </w:tc>
        <w:tc>
          <w:tcPr>
            <w:tcW w:w="0" w:type="auto"/>
            <w:hideMark/>
          </w:tcPr>
          <w:p w14:paraId="25205406" w14:textId="77777777" w:rsidR="002F3D36" w:rsidRPr="002F3D36" w:rsidRDefault="002F3D36" w:rsidP="002F3D36">
            <w:pPr>
              <w:widowControl/>
              <w:jc w:val="left"/>
              <w:rPr>
                <w:rFonts w:ascii="Times New Roman" w:eastAsia="微软雅黑" w:hAnsi="Times New Roman" w:cs="Times New Roman"/>
                <w:kern w:val="0"/>
                <w:sz w:val="18"/>
                <w:szCs w:val="18"/>
              </w:rPr>
            </w:pPr>
            <w:hyperlink r:id="rId46" w:history="1">
              <w:r w:rsidRPr="002F3D36">
                <w:rPr>
                  <w:rFonts w:ascii="Arial" w:eastAsia="微软雅黑" w:hAnsi="Arial" w:cs="Arial"/>
                  <w:color w:val="0000FF"/>
                  <w:kern w:val="0"/>
                  <w:sz w:val="18"/>
                  <w:szCs w:val="18"/>
                  <w:u w:val="single"/>
                </w:rPr>
                <w:t>Facility Agreement, dated June 21, 2010, among Autoliv, Inc., Autoliv AB, Swedish Export Credit Corporation, National Export Credits Guarantee Board and Skandinaviska Enskilda Banken AB (publ), incorporated herein by reference to Exhibit 10.22 to the Quarterly Report on Form 10-Q (File No. 001-12933, filing date July 23, 2010).</w:t>
              </w:r>
            </w:hyperlink>
          </w:p>
        </w:tc>
      </w:tr>
      <w:tr w:rsidR="002F3D36" w:rsidRPr="002F3D36" w14:paraId="4494D48F" w14:textId="77777777" w:rsidTr="002F3D36">
        <w:trPr>
          <w:tblCellSpacing w:w="15" w:type="dxa"/>
        </w:trPr>
        <w:tc>
          <w:tcPr>
            <w:tcW w:w="0" w:type="auto"/>
            <w:hideMark/>
          </w:tcPr>
          <w:p w14:paraId="269F6BC5"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4CF6362A" w14:textId="77777777" w:rsidR="002F3D36" w:rsidRPr="002F3D36" w:rsidRDefault="002F3D36" w:rsidP="002F3D36">
            <w:pPr>
              <w:widowControl/>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1C88BBAE"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r>
      <w:tr w:rsidR="002F3D36" w:rsidRPr="002F3D36" w14:paraId="2BB10F6A" w14:textId="77777777" w:rsidTr="002F3D36">
        <w:trPr>
          <w:trHeight w:val="180"/>
          <w:tblCellSpacing w:w="15" w:type="dxa"/>
        </w:trPr>
        <w:tc>
          <w:tcPr>
            <w:tcW w:w="0" w:type="auto"/>
            <w:hideMark/>
          </w:tcPr>
          <w:p w14:paraId="1CAB3D5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10.4+</w:t>
            </w:r>
          </w:p>
        </w:tc>
        <w:tc>
          <w:tcPr>
            <w:tcW w:w="0" w:type="auto"/>
            <w:hideMark/>
          </w:tcPr>
          <w:p w14:paraId="705C8F03" w14:textId="77777777" w:rsidR="002F3D36" w:rsidRPr="002F3D36" w:rsidRDefault="002F3D36" w:rsidP="002F3D36">
            <w:pPr>
              <w:widowControl/>
              <w:rPr>
                <w:rFonts w:ascii="Times New Roman" w:eastAsia="微软雅黑" w:hAnsi="Times New Roman" w:cs="Times New Roman"/>
                <w:kern w:val="0"/>
                <w:sz w:val="20"/>
                <w:szCs w:val="20"/>
              </w:rPr>
            </w:pPr>
            <w:r w:rsidRPr="002F3D36">
              <w:rPr>
                <w:rFonts w:ascii="Arial" w:eastAsia="微软雅黑" w:hAnsi="Arial" w:cs="Arial"/>
                <w:kern w:val="0"/>
                <w:sz w:val="20"/>
                <w:szCs w:val="20"/>
              </w:rPr>
              <w:t> </w:t>
            </w:r>
          </w:p>
        </w:tc>
        <w:tc>
          <w:tcPr>
            <w:tcW w:w="0" w:type="auto"/>
            <w:hideMark/>
          </w:tcPr>
          <w:p w14:paraId="29E75B94" w14:textId="77777777" w:rsidR="002F3D36" w:rsidRPr="002F3D36" w:rsidRDefault="002F3D36" w:rsidP="002F3D36">
            <w:pPr>
              <w:widowControl/>
              <w:rPr>
                <w:rFonts w:ascii="Times New Roman" w:eastAsia="微软雅黑" w:hAnsi="Times New Roman" w:cs="Times New Roman"/>
                <w:kern w:val="0"/>
                <w:sz w:val="18"/>
                <w:szCs w:val="18"/>
              </w:rPr>
            </w:pPr>
            <w:hyperlink r:id="rId47" w:history="1">
              <w:r w:rsidRPr="002F3D36">
                <w:rPr>
                  <w:rFonts w:ascii="Arial" w:eastAsia="微软雅黑" w:hAnsi="Arial" w:cs="Arial"/>
                  <w:color w:val="0000FF"/>
                  <w:kern w:val="0"/>
                  <w:sz w:val="18"/>
                  <w:szCs w:val="18"/>
                  <w:u w:val="single"/>
                </w:rPr>
                <w:t>Amendment No. 1 to the Autoliv, Inc. 1997 Stock Incentive Plan as amended and restated on May 6, 2009, dated December 17, 2010, incorporated herein by reference to Exhibit 10.24 to the Annual Report on Form 10-K (File No. 001-12933, filing date February 23, 2011).</w:t>
              </w:r>
            </w:hyperlink>
          </w:p>
        </w:tc>
      </w:tr>
      <w:tr w:rsidR="002F3D36" w:rsidRPr="002F3D36" w14:paraId="388F5CD1" w14:textId="77777777" w:rsidTr="002F3D36">
        <w:trPr>
          <w:tblCellSpacing w:w="15" w:type="dxa"/>
        </w:trPr>
        <w:tc>
          <w:tcPr>
            <w:tcW w:w="0" w:type="auto"/>
            <w:hideMark/>
          </w:tcPr>
          <w:p w14:paraId="42A91665"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6BCD0611" w14:textId="77777777" w:rsidR="002F3D36" w:rsidRPr="002F3D36" w:rsidRDefault="002F3D36" w:rsidP="002F3D36">
            <w:pPr>
              <w:widowControl/>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336EB12A"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r>
      <w:tr w:rsidR="002F3D36" w:rsidRPr="002F3D36" w14:paraId="518C7742" w14:textId="77777777" w:rsidTr="002F3D36">
        <w:trPr>
          <w:trHeight w:val="180"/>
          <w:tblCellSpacing w:w="15" w:type="dxa"/>
        </w:trPr>
        <w:tc>
          <w:tcPr>
            <w:tcW w:w="0" w:type="auto"/>
            <w:hideMark/>
          </w:tcPr>
          <w:p w14:paraId="6EE89F7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10.5</w:t>
            </w:r>
          </w:p>
        </w:tc>
        <w:tc>
          <w:tcPr>
            <w:tcW w:w="0" w:type="auto"/>
            <w:hideMark/>
          </w:tcPr>
          <w:p w14:paraId="6D3B1E8D" w14:textId="77777777" w:rsidR="002F3D36" w:rsidRPr="002F3D36" w:rsidRDefault="002F3D36" w:rsidP="002F3D36">
            <w:pPr>
              <w:widowControl/>
              <w:rPr>
                <w:rFonts w:ascii="Times New Roman" w:eastAsia="微软雅黑" w:hAnsi="Times New Roman" w:cs="Times New Roman"/>
                <w:kern w:val="0"/>
                <w:sz w:val="20"/>
                <w:szCs w:val="20"/>
              </w:rPr>
            </w:pPr>
            <w:r w:rsidRPr="002F3D36">
              <w:rPr>
                <w:rFonts w:ascii="Arial" w:eastAsia="微软雅黑" w:hAnsi="Arial" w:cs="Arial"/>
                <w:kern w:val="0"/>
                <w:sz w:val="20"/>
                <w:szCs w:val="20"/>
              </w:rPr>
              <w:t> </w:t>
            </w:r>
          </w:p>
        </w:tc>
        <w:tc>
          <w:tcPr>
            <w:tcW w:w="0" w:type="auto"/>
            <w:hideMark/>
          </w:tcPr>
          <w:p w14:paraId="10100495" w14:textId="77777777" w:rsidR="002F3D36" w:rsidRPr="002F3D36" w:rsidRDefault="002F3D36" w:rsidP="002F3D36">
            <w:pPr>
              <w:widowControl/>
              <w:jc w:val="left"/>
              <w:rPr>
                <w:rFonts w:ascii="Times New Roman" w:eastAsia="微软雅黑" w:hAnsi="Times New Roman" w:cs="Times New Roman"/>
                <w:kern w:val="0"/>
                <w:sz w:val="18"/>
                <w:szCs w:val="18"/>
              </w:rPr>
            </w:pPr>
            <w:hyperlink r:id="rId48" w:history="1">
              <w:r w:rsidRPr="002F3D36">
                <w:rPr>
                  <w:rFonts w:ascii="Arial" w:eastAsia="微软雅黑" w:hAnsi="Arial" w:cs="Arial"/>
                  <w:color w:val="0000FF"/>
                  <w:kern w:val="0"/>
                  <w:sz w:val="18"/>
                  <w:szCs w:val="18"/>
                  <w:u w:val="single"/>
                </w:rPr>
                <w:t>Remarketing Agreement, dated as of February 9, 2012, incorporated herein by reference to Exhibit 1.1 to the Current Report on Form 8-K (File No. 001-12933, filing date March 15, 2012).</w:t>
              </w:r>
            </w:hyperlink>
          </w:p>
        </w:tc>
      </w:tr>
      <w:tr w:rsidR="002F3D36" w:rsidRPr="002F3D36" w14:paraId="022FC9D8" w14:textId="77777777" w:rsidTr="002F3D36">
        <w:trPr>
          <w:tblCellSpacing w:w="15" w:type="dxa"/>
        </w:trPr>
        <w:tc>
          <w:tcPr>
            <w:tcW w:w="0" w:type="auto"/>
            <w:hideMark/>
          </w:tcPr>
          <w:p w14:paraId="14C8027C"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58140AEA" w14:textId="77777777" w:rsidR="002F3D36" w:rsidRPr="002F3D36" w:rsidRDefault="002F3D36" w:rsidP="002F3D36">
            <w:pPr>
              <w:widowControl/>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13F391DF"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r>
      <w:tr w:rsidR="002F3D36" w:rsidRPr="002F3D36" w14:paraId="7BF8B0ED" w14:textId="77777777" w:rsidTr="002F3D36">
        <w:trPr>
          <w:trHeight w:val="180"/>
          <w:tblCellSpacing w:w="15" w:type="dxa"/>
        </w:trPr>
        <w:tc>
          <w:tcPr>
            <w:tcW w:w="0" w:type="auto"/>
            <w:hideMark/>
          </w:tcPr>
          <w:p w14:paraId="7E5F0EE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10.6+</w:t>
            </w:r>
          </w:p>
        </w:tc>
        <w:tc>
          <w:tcPr>
            <w:tcW w:w="0" w:type="auto"/>
            <w:hideMark/>
          </w:tcPr>
          <w:p w14:paraId="1FCC816E" w14:textId="77777777" w:rsidR="002F3D36" w:rsidRPr="002F3D36" w:rsidRDefault="002F3D36" w:rsidP="002F3D36">
            <w:pPr>
              <w:widowControl/>
              <w:rPr>
                <w:rFonts w:ascii="Times New Roman" w:eastAsia="微软雅黑" w:hAnsi="Times New Roman" w:cs="Times New Roman"/>
                <w:kern w:val="0"/>
                <w:sz w:val="20"/>
                <w:szCs w:val="20"/>
              </w:rPr>
            </w:pPr>
            <w:r w:rsidRPr="002F3D36">
              <w:rPr>
                <w:rFonts w:ascii="Arial" w:eastAsia="微软雅黑" w:hAnsi="Arial" w:cs="Arial"/>
                <w:kern w:val="0"/>
                <w:sz w:val="20"/>
                <w:szCs w:val="20"/>
              </w:rPr>
              <w:t> </w:t>
            </w:r>
          </w:p>
        </w:tc>
        <w:tc>
          <w:tcPr>
            <w:tcW w:w="0" w:type="auto"/>
            <w:hideMark/>
          </w:tcPr>
          <w:p w14:paraId="038E0F96" w14:textId="77777777" w:rsidR="002F3D36" w:rsidRPr="002F3D36" w:rsidRDefault="002F3D36" w:rsidP="002F3D36">
            <w:pPr>
              <w:widowControl/>
              <w:jc w:val="left"/>
              <w:rPr>
                <w:rFonts w:ascii="Times New Roman" w:eastAsia="微软雅黑" w:hAnsi="Times New Roman" w:cs="Times New Roman"/>
                <w:kern w:val="0"/>
                <w:sz w:val="18"/>
                <w:szCs w:val="18"/>
              </w:rPr>
            </w:pPr>
            <w:hyperlink r:id="rId49" w:history="1">
              <w:r w:rsidRPr="002F3D36">
                <w:rPr>
                  <w:rFonts w:ascii="Arial" w:eastAsia="微软雅黑" w:hAnsi="Arial" w:cs="Arial"/>
                  <w:color w:val="0000FF"/>
                  <w:kern w:val="0"/>
                  <w:sz w:val="18"/>
                  <w:szCs w:val="18"/>
                  <w:u w:val="single"/>
                </w:rPr>
                <w:t>Amendment No. 2 to the Autoliv, Inc. 1997 Stock Incentive Plan, as amended and restated on May 6, 2009, dated May 8, 2012, incorporated herein by reference to Exhibit 10.29 to the Quarterly Report on Form 10-Q (File No. 001-12933, filing date July 20, 2012).</w:t>
              </w:r>
            </w:hyperlink>
          </w:p>
        </w:tc>
      </w:tr>
      <w:tr w:rsidR="002F3D36" w:rsidRPr="002F3D36" w14:paraId="2C2D1CCE" w14:textId="77777777" w:rsidTr="002F3D36">
        <w:trPr>
          <w:tblCellSpacing w:w="15" w:type="dxa"/>
        </w:trPr>
        <w:tc>
          <w:tcPr>
            <w:tcW w:w="0" w:type="auto"/>
            <w:hideMark/>
          </w:tcPr>
          <w:p w14:paraId="0EA86039"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6C802260" w14:textId="77777777" w:rsidR="002F3D36" w:rsidRPr="002F3D36" w:rsidRDefault="002F3D36" w:rsidP="002F3D36">
            <w:pPr>
              <w:widowControl/>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0AB3BB82"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r>
      <w:tr w:rsidR="002F3D36" w:rsidRPr="002F3D36" w14:paraId="7912E238" w14:textId="77777777" w:rsidTr="002F3D36">
        <w:trPr>
          <w:trHeight w:val="180"/>
          <w:tblCellSpacing w:w="15" w:type="dxa"/>
        </w:trPr>
        <w:tc>
          <w:tcPr>
            <w:tcW w:w="0" w:type="auto"/>
            <w:hideMark/>
          </w:tcPr>
          <w:p w14:paraId="59B6D59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10.7†</w:t>
            </w:r>
          </w:p>
        </w:tc>
        <w:tc>
          <w:tcPr>
            <w:tcW w:w="0" w:type="auto"/>
            <w:hideMark/>
          </w:tcPr>
          <w:p w14:paraId="562DCC83" w14:textId="77777777" w:rsidR="002F3D36" w:rsidRPr="002F3D36" w:rsidRDefault="002F3D36" w:rsidP="002F3D36">
            <w:pPr>
              <w:widowControl/>
              <w:rPr>
                <w:rFonts w:ascii="Times New Roman" w:eastAsia="微软雅黑" w:hAnsi="Times New Roman" w:cs="Times New Roman"/>
                <w:kern w:val="0"/>
                <w:sz w:val="20"/>
                <w:szCs w:val="20"/>
              </w:rPr>
            </w:pPr>
            <w:r w:rsidRPr="002F3D36">
              <w:rPr>
                <w:rFonts w:ascii="Arial" w:eastAsia="微软雅黑" w:hAnsi="Arial" w:cs="Arial"/>
                <w:kern w:val="0"/>
                <w:sz w:val="20"/>
                <w:szCs w:val="20"/>
              </w:rPr>
              <w:t> </w:t>
            </w:r>
          </w:p>
        </w:tc>
        <w:tc>
          <w:tcPr>
            <w:tcW w:w="0" w:type="auto"/>
            <w:hideMark/>
          </w:tcPr>
          <w:p w14:paraId="360BADAF" w14:textId="77777777" w:rsidR="002F3D36" w:rsidRPr="002F3D36" w:rsidRDefault="002F3D36" w:rsidP="002F3D36">
            <w:pPr>
              <w:widowControl/>
              <w:jc w:val="left"/>
              <w:rPr>
                <w:rFonts w:ascii="Times New Roman" w:eastAsia="微软雅黑" w:hAnsi="Times New Roman" w:cs="Times New Roman"/>
                <w:kern w:val="0"/>
                <w:sz w:val="18"/>
                <w:szCs w:val="18"/>
              </w:rPr>
            </w:pPr>
            <w:hyperlink r:id="rId50" w:history="1">
              <w:r w:rsidRPr="002F3D36">
                <w:rPr>
                  <w:rFonts w:ascii="Arial" w:eastAsia="微软雅黑" w:hAnsi="Arial" w:cs="Arial"/>
                  <w:color w:val="0000FF"/>
                  <w:kern w:val="0"/>
                  <w:sz w:val="18"/>
                  <w:szCs w:val="18"/>
                  <w:u w:val="single"/>
                </w:rPr>
                <w:t>Finance Contract, dated July 16, 2013, among European Investment Bank, Autoliv AB (publ) and Autoliv, Inc., incorporated herein by reference to Exhibit 10.1 to the Quarterly Report on Form 10-Q (File No. 001-12933, filing date October 24, 2013).</w:t>
              </w:r>
            </w:hyperlink>
          </w:p>
        </w:tc>
      </w:tr>
      <w:tr w:rsidR="002F3D36" w:rsidRPr="002F3D36" w14:paraId="1F4060D6" w14:textId="77777777" w:rsidTr="002F3D36">
        <w:trPr>
          <w:tblCellSpacing w:w="15" w:type="dxa"/>
        </w:trPr>
        <w:tc>
          <w:tcPr>
            <w:tcW w:w="0" w:type="auto"/>
            <w:hideMark/>
          </w:tcPr>
          <w:p w14:paraId="647D81C4"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3DE82D1F" w14:textId="77777777" w:rsidR="002F3D36" w:rsidRPr="002F3D36" w:rsidRDefault="002F3D36" w:rsidP="002F3D36">
            <w:pPr>
              <w:widowControl/>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0F17CDD7"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r>
      <w:tr w:rsidR="002F3D36" w:rsidRPr="002F3D36" w14:paraId="16144EE5" w14:textId="77777777" w:rsidTr="002F3D36">
        <w:trPr>
          <w:trHeight w:val="180"/>
          <w:tblCellSpacing w:w="15" w:type="dxa"/>
        </w:trPr>
        <w:tc>
          <w:tcPr>
            <w:tcW w:w="0" w:type="auto"/>
            <w:hideMark/>
          </w:tcPr>
          <w:p w14:paraId="03CFC04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10.8</w:t>
            </w:r>
          </w:p>
        </w:tc>
        <w:tc>
          <w:tcPr>
            <w:tcW w:w="0" w:type="auto"/>
            <w:hideMark/>
          </w:tcPr>
          <w:p w14:paraId="540FD854" w14:textId="77777777" w:rsidR="002F3D36" w:rsidRPr="002F3D36" w:rsidRDefault="002F3D36" w:rsidP="002F3D36">
            <w:pPr>
              <w:widowControl/>
              <w:rPr>
                <w:rFonts w:ascii="Times New Roman" w:eastAsia="微软雅黑" w:hAnsi="Times New Roman" w:cs="Times New Roman"/>
                <w:kern w:val="0"/>
                <w:sz w:val="20"/>
                <w:szCs w:val="20"/>
              </w:rPr>
            </w:pPr>
            <w:r w:rsidRPr="002F3D36">
              <w:rPr>
                <w:rFonts w:ascii="Arial" w:eastAsia="微软雅黑" w:hAnsi="Arial" w:cs="Arial"/>
                <w:kern w:val="0"/>
                <w:sz w:val="20"/>
                <w:szCs w:val="20"/>
              </w:rPr>
              <w:t> </w:t>
            </w:r>
          </w:p>
        </w:tc>
        <w:tc>
          <w:tcPr>
            <w:tcW w:w="0" w:type="auto"/>
            <w:hideMark/>
          </w:tcPr>
          <w:p w14:paraId="7EEAF05E" w14:textId="77777777" w:rsidR="002F3D36" w:rsidRPr="002F3D36" w:rsidRDefault="002F3D36" w:rsidP="002F3D36">
            <w:pPr>
              <w:widowControl/>
              <w:jc w:val="left"/>
              <w:rPr>
                <w:rFonts w:ascii="Times New Roman" w:eastAsia="微软雅黑" w:hAnsi="Times New Roman" w:cs="Times New Roman"/>
                <w:kern w:val="0"/>
                <w:sz w:val="18"/>
                <w:szCs w:val="18"/>
              </w:rPr>
            </w:pPr>
            <w:hyperlink r:id="rId51" w:history="1">
              <w:r w:rsidRPr="002F3D36">
                <w:rPr>
                  <w:rFonts w:ascii="Arial" w:eastAsia="微软雅黑" w:hAnsi="Arial" w:cs="Arial"/>
                  <w:color w:val="0000FF"/>
                  <w:kern w:val="0"/>
                  <w:sz w:val="18"/>
                  <w:szCs w:val="18"/>
                  <w:u w:val="single"/>
                </w:rPr>
                <w:t>Guarantee Agreement, dated July 16, 2013, between European Investment Bank and Autoliv, Inc., incorporated herein by reference to Exhibit 10.12 to the Quarterly Report on Form 10-Q (File No. 001-12933, filing date October 24, 2013).</w:t>
              </w:r>
            </w:hyperlink>
          </w:p>
        </w:tc>
      </w:tr>
      <w:tr w:rsidR="002F3D36" w:rsidRPr="002F3D36" w14:paraId="2E5C2C85" w14:textId="77777777" w:rsidTr="002F3D36">
        <w:trPr>
          <w:tblCellSpacing w:w="15" w:type="dxa"/>
        </w:trPr>
        <w:tc>
          <w:tcPr>
            <w:tcW w:w="0" w:type="auto"/>
            <w:hideMark/>
          </w:tcPr>
          <w:p w14:paraId="24236DB3"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7E3442F1" w14:textId="77777777" w:rsidR="002F3D36" w:rsidRPr="002F3D36" w:rsidRDefault="002F3D36" w:rsidP="002F3D36">
            <w:pPr>
              <w:widowControl/>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35F90C5D"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r>
      <w:tr w:rsidR="002F3D36" w:rsidRPr="002F3D36" w14:paraId="727FCC45" w14:textId="77777777" w:rsidTr="002F3D36">
        <w:trPr>
          <w:trHeight w:val="180"/>
          <w:tblCellSpacing w:w="15" w:type="dxa"/>
        </w:trPr>
        <w:tc>
          <w:tcPr>
            <w:tcW w:w="0" w:type="auto"/>
            <w:hideMark/>
          </w:tcPr>
          <w:p w14:paraId="2124B0E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10.9</w:t>
            </w:r>
          </w:p>
        </w:tc>
        <w:tc>
          <w:tcPr>
            <w:tcW w:w="0" w:type="auto"/>
            <w:hideMark/>
          </w:tcPr>
          <w:p w14:paraId="17A34571" w14:textId="77777777" w:rsidR="002F3D36" w:rsidRPr="002F3D36" w:rsidRDefault="002F3D36" w:rsidP="002F3D36">
            <w:pPr>
              <w:widowControl/>
              <w:rPr>
                <w:rFonts w:ascii="Times New Roman" w:eastAsia="微软雅黑" w:hAnsi="Times New Roman" w:cs="Times New Roman"/>
                <w:kern w:val="0"/>
                <w:sz w:val="20"/>
                <w:szCs w:val="20"/>
              </w:rPr>
            </w:pPr>
            <w:r w:rsidRPr="002F3D36">
              <w:rPr>
                <w:rFonts w:ascii="Arial" w:eastAsia="微软雅黑" w:hAnsi="Arial" w:cs="Arial"/>
                <w:kern w:val="0"/>
                <w:sz w:val="20"/>
                <w:szCs w:val="20"/>
              </w:rPr>
              <w:t> </w:t>
            </w:r>
          </w:p>
        </w:tc>
        <w:tc>
          <w:tcPr>
            <w:tcW w:w="0" w:type="auto"/>
            <w:hideMark/>
          </w:tcPr>
          <w:p w14:paraId="6DABCA61" w14:textId="77777777" w:rsidR="002F3D36" w:rsidRPr="002F3D36" w:rsidRDefault="002F3D36" w:rsidP="002F3D36">
            <w:pPr>
              <w:widowControl/>
              <w:jc w:val="left"/>
              <w:rPr>
                <w:rFonts w:ascii="Times New Roman" w:eastAsia="微软雅黑" w:hAnsi="Times New Roman" w:cs="Times New Roman"/>
                <w:kern w:val="0"/>
                <w:sz w:val="18"/>
                <w:szCs w:val="18"/>
              </w:rPr>
            </w:pPr>
            <w:hyperlink r:id="rId52" w:history="1">
              <w:r w:rsidRPr="002F3D36">
                <w:rPr>
                  <w:rFonts w:ascii="Arial" w:eastAsia="微软雅黑" w:hAnsi="Arial" w:cs="Arial"/>
                  <w:color w:val="0000FF"/>
                  <w:kern w:val="0"/>
                  <w:sz w:val="18"/>
                  <w:szCs w:val="18"/>
                  <w:u w:val="single"/>
                </w:rPr>
                <w:t>Form of Note Purchase and Guaranty Agreement, dated April 23, 2014, among Autoliv ASP, Inc., Autoliv, Inc. and the purchasers named therein, incorporated herein by reference to Exhibit 4.6 to the Quarterly Report on Form 10-Q (File No. 001-12933, filing date April 25, 2014).</w:t>
              </w:r>
            </w:hyperlink>
          </w:p>
        </w:tc>
      </w:tr>
      <w:tr w:rsidR="002F3D36" w:rsidRPr="002F3D36" w14:paraId="7D52BD8A" w14:textId="77777777" w:rsidTr="002F3D36">
        <w:trPr>
          <w:tblCellSpacing w:w="15" w:type="dxa"/>
        </w:trPr>
        <w:tc>
          <w:tcPr>
            <w:tcW w:w="0" w:type="auto"/>
            <w:hideMark/>
          </w:tcPr>
          <w:p w14:paraId="2BCC5599"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58FCA306" w14:textId="77777777" w:rsidR="002F3D36" w:rsidRPr="002F3D36" w:rsidRDefault="002F3D36" w:rsidP="002F3D36">
            <w:pPr>
              <w:widowControl/>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6F071237"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r>
      <w:tr w:rsidR="002F3D36" w:rsidRPr="002F3D36" w14:paraId="092FE9C5" w14:textId="77777777" w:rsidTr="002F3D36">
        <w:trPr>
          <w:trHeight w:val="180"/>
          <w:tblCellSpacing w:w="15" w:type="dxa"/>
        </w:trPr>
        <w:tc>
          <w:tcPr>
            <w:tcW w:w="0" w:type="auto"/>
            <w:hideMark/>
          </w:tcPr>
          <w:p w14:paraId="6A3E572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10.10</w:t>
            </w:r>
          </w:p>
        </w:tc>
        <w:tc>
          <w:tcPr>
            <w:tcW w:w="0" w:type="auto"/>
            <w:hideMark/>
          </w:tcPr>
          <w:p w14:paraId="74A3903F" w14:textId="77777777" w:rsidR="002F3D36" w:rsidRPr="002F3D36" w:rsidRDefault="002F3D36" w:rsidP="002F3D36">
            <w:pPr>
              <w:widowControl/>
              <w:rPr>
                <w:rFonts w:ascii="Times New Roman" w:eastAsia="微软雅黑" w:hAnsi="Times New Roman" w:cs="Times New Roman"/>
                <w:kern w:val="0"/>
                <w:sz w:val="20"/>
                <w:szCs w:val="20"/>
              </w:rPr>
            </w:pPr>
            <w:r w:rsidRPr="002F3D36">
              <w:rPr>
                <w:rFonts w:ascii="Arial" w:eastAsia="微软雅黑" w:hAnsi="Arial" w:cs="Arial"/>
                <w:kern w:val="0"/>
                <w:sz w:val="20"/>
                <w:szCs w:val="20"/>
              </w:rPr>
              <w:t> </w:t>
            </w:r>
          </w:p>
        </w:tc>
        <w:tc>
          <w:tcPr>
            <w:tcW w:w="0" w:type="auto"/>
            <w:hideMark/>
          </w:tcPr>
          <w:p w14:paraId="41E1A97D" w14:textId="77777777" w:rsidR="002F3D36" w:rsidRPr="002F3D36" w:rsidRDefault="002F3D36" w:rsidP="002F3D36">
            <w:pPr>
              <w:widowControl/>
              <w:jc w:val="left"/>
              <w:rPr>
                <w:rFonts w:ascii="Times New Roman" w:eastAsia="微软雅黑" w:hAnsi="Times New Roman" w:cs="Times New Roman"/>
                <w:kern w:val="0"/>
                <w:sz w:val="18"/>
                <w:szCs w:val="18"/>
              </w:rPr>
            </w:pPr>
            <w:hyperlink r:id="rId53" w:history="1">
              <w:r w:rsidRPr="002F3D36">
                <w:rPr>
                  <w:rFonts w:ascii="Arial" w:eastAsia="微软雅黑" w:hAnsi="Arial" w:cs="Arial"/>
                  <w:color w:val="0000FF"/>
                  <w:kern w:val="0"/>
                  <w:sz w:val="18"/>
                  <w:szCs w:val="18"/>
                  <w:u w:val="single"/>
                </w:rPr>
                <w:t>Amendment, dated January 27, 2015, to the Finance Contract, dated July 16, 2013, among European Investment Bank, Autoliv AB (publ) and Autoliv, Inc., incorporated herein by reference to Exhibit 10.36 to the Annual Report on Form 10- K (File No. 001-12933, filing date February 19, 2015).</w:t>
              </w:r>
            </w:hyperlink>
          </w:p>
        </w:tc>
      </w:tr>
      <w:tr w:rsidR="002F3D36" w:rsidRPr="002F3D36" w14:paraId="23F647C5" w14:textId="77777777" w:rsidTr="002F3D36">
        <w:trPr>
          <w:tblCellSpacing w:w="15" w:type="dxa"/>
        </w:trPr>
        <w:tc>
          <w:tcPr>
            <w:tcW w:w="0" w:type="auto"/>
            <w:hideMark/>
          </w:tcPr>
          <w:p w14:paraId="0E27D760"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297E492E" w14:textId="77777777" w:rsidR="002F3D36" w:rsidRPr="002F3D36" w:rsidRDefault="002F3D36" w:rsidP="002F3D36">
            <w:pPr>
              <w:widowControl/>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6CCA323D"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r>
      <w:tr w:rsidR="002F3D36" w:rsidRPr="002F3D36" w14:paraId="0413FB5C" w14:textId="77777777" w:rsidTr="002F3D36">
        <w:trPr>
          <w:trHeight w:val="180"/>
          <w:tblCellSpacing w:w="15" w:type="dxa"/>
        </w:trPr>
        <w:tc>
          <w:tcPr>
            <w:tcW w:w="0" w:type="auto"/>
            <w:hideMark/>
          </w:tcPr>
          <w:p w14:paraId="3A2C22E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10.11</w:t>
            </w:r>
          </w:p>
        </w:tc>
        <w:tc>
          <w:tcPr>
            <w:tcW w:w="0" w:type="auto"/>
            <w:hideMark/>
          </w:tcPr>
          <w:p w14:paraId="4A443663" w14:textId="77777777" w:rsidR="002F3D36" w:rsidRPr="002F3D36" w:rsidRDefault="002F3D36" w:rsidP="002F3D36">
            <w:pPr>
              <w:widowControl/>
              <w:rPr>
                <w:rFonts w:ascii="Times New Roman" w:eastAsia="微软雅黑" w:hAnsi="Times New Roman" w:cs="Times New Roman"/>
                <w:kern w:val="0"/>
                <w:sz w:val="20"/>
                <w:szCs w:val="20"/>
              </w:rPr>
            </w:pPr>
            <w:r w:rsidRPr="002F3D36">
              <w:rPr>
                <w:rFonts w:ascii="Arial" w:eastAsia="微软雅黑" w:hAnsi="Arial" w:cs="Arial"/>
                <w:kern w:val="0"/>
                <w:sz w:val="20"/>
                <w:szCs w:val="20"/>
              </w:rPr>
              <w:t> </w:t>
            </w:r>
          </w:p>
        </w:tc>
        <w:tc>
          <w:tcPr>
            <w:tcW w:w="0" w:type="auto"/>
            <w:hideMark/>
          </w:tcPr>
          <w:p w14:paraId="35E74377" w14:textId="77777777" w:rsidR="002F3D36" w:rsidRPr="002F3D36" w:rsidRDefault="002F3D36" w:rsidP="002F3D36">
            <w:pPr>
              <w:widowControl/>
              <w:jc w:val="left"/>
              <w:rPr>
                <w:rFonts w:ascii="Times New Roman" w:eastAsia="微软雅黑" w:hAnsi="Times New Roman" w:cs="Times New Roman"/>
                <w:kern w:val="0"/>
                <w:sz w:val="18"/>
                <w:szCs w:val="18"/>
              </w:rPr>
            </w:pPr>
            <w:hyperlink r:id="rId54" w:history="1">
              <w:r w:rsidRPr="002F3D36">
                <w:rPr>
                  <w:rFonts w:ascii="Arial" w:eastAsia="微软雅黑" w:hAnsi="Arial" w:cs="Arial"/>
                  <w:color w:val="0000FF"/>
                  <w:kern w:val="0"/>
                  <w:sz w:val="18"/>
                  <w:szCs w:val="18"/>
                  <w:u w:val="single"/>
                </w:rPr>
                <w:t>General Terms and Conditions for Swedish Depository Receipts in Autoliv, Inc. representing common shares in Autoliv, Inc., effective as of May 30, 2018, with Skandinaviska Enskilda Banken AB (publ) serving as custodian, incorporated herein by reference to Exhibit 4.5 to the Quarterly Report on Form 10-Q (File No. 001-12933, filing date July 27, 2018).</w:t>
              </w:r>
            </w:hyperlink>
          </w:p>
        </w:tc>
      </w:tr>
      <w:tr w:rsidR="002F3D36" w:rsidRPr="002F3D36" w14:paraId="4A8633A0" w14:textId="77777777" w:rsidTr="002F3D36">
        <w:trPr>
          <w:tblCellSpacing w:w="15" w:type="dxa"/>
        </w:trPr>
        <w:tc>
          <w:tcPr>
            <w:tcW w:w="0" w:type="auto"/>
            <w:hideMark/>
          </w:tcPr>
          <w:p w14:paraId="0D9EA4B5"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1A2174A5" w14:textId="77777777" w:rsidR="002F3D36" w:rsidRPr="002F3D36" w:rsidRDefault="002F3D36" w:rsidP="002F3D36">
            <w:pPr>
              <w:widowControl/>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10849CF6"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r>
      <w:tr w:rsidR="002F3D36" w:rsidRPr="002F3D36" w14:paraId="121F68A9" w14:textId="77777777" w:rsidTr="002F3D36">
        <w:trPr>
          <w:trHeight w:val="180"/>
          <w:tblCellSpacing w:w="15" w:type="dxa"/>
        </w:trPr>
        <w:tc>
          <w:tcPr>
            <w:tcW w:w="0" w:type="auto"/>
            <w:hideMark/>
          </w:tcPr>
          <w:p w14:paraId="19776C0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lastRenderedPageBreak/>
              <w:t>10.12</w:t>
            </w:r>
          </w:p>
        </w:tc>
        <w:tc>
          <w:tcPr>
            <w:tcW w:w="0" w:type="auto"/>
            <w:hideMark/>
          </w:tcPr>
          <w:p w14:paraId="1578E9EB" w14:textId="77777777" w:rsidR="002F3D36" w:rsidRPr="002F3D36" w:rsidRDefault="002F3D36" w:rsidP="002F3D36">
            <w:pPr>
              <w:widowControl/>
              <w:rPr>
                <w:rFonts w:ascii="Times New Roman" w:eastAsia="微软雅黑" w:hAnsi="Times New Roman" w:cs="Times New Roman"/>
                <w:kern w:val="0"/>
                <w:sz w:val="20"/>
                <w:szCs w:val="20"/>
              </w:rPr>
            </w:pPr>
            <w:r w:rsidRPr="002F3D36">
              <w:rPr>
                <w:rFonts w:ascii="Arial" w:eastAsia="微软雅黑" w:hAnsi="Arial" w:cs="Arial"/>
                <w:kern w:val="0"/>
                <w:sz w:val="20"/>
                <w:szCs w:val="20"/>
              </w:rPr>
              <w:t> </w:t>
            </w:r>
          </w:p>
        </w:tc>
        <w:tc>
          <w:tcPr>
            <w:tcW w:w="0" w:type="auto"/>
            <w:hideMark/>
          </w:tcPr>
          <w:p w14:paraId="5AB2A2E1" w14:textId="77777777" w:rsidR="002F3D36" w:rsidRPr="002F3D36" w:rsidRDefault="002F3D36" w:rsidP="002F3D36">
            <w:pPr>
              <w:widowControl/>
              <w:jc w:val="left"/>
              <w:rPr>
                <w:rFonts w:ascii="Times New Roman" w:eastAsia="微软雅黑" w:hAnsi="Times New Roman" w:cs="Times New Roman"/>
                <w:kern w:val="0"/>
                <w:sz w:val="18"/>
                <w:szCs w:val="18"/>
              </w:rPr>
            </w:pPr>
            <w:hyperlink r:id="rId55" w:history="1">
              <w:r w:rsidRPr="002F3D36">
                <w:rPr>
                  <w:rFonts w:ascii="Arial" w:eastAsia="微软雅黑" w:hAnsi="Arial" w:cs="Arial"/>
                  <w:color w:val="0000FF"/>
                  <w:kern w:val="0"/>
                  <w:sz w:val="18"/>
                  <w:szCs w:val="18"/>
                  <w:u w:val="single"/>
                </w:rPr>
                <w:t>Facilities Agreement of $1,100,000,000, dated July 14, 2016, among Autoliv, Inc., Autoliv ASP, Inc., Autoliv AB, HSBC Bank PLC, Mizuho Bank, Ltd. and Investment Banking, Skandinaviska Enskilda Banken AB (publ), and the other parties and lenders named therein, incorporated herein by reference to Exhibit 10.1 to the Quarterly Report on Form 10-Q (File No. 001-12933, filing date October 27, 2016).</w:t>
              </w:r>
            </w:hyperlink>
          </w:p>
        </w:tc>
      </w:tr>
      <w:tr w:rsidR="002F3D36" w:rsidRPr="002F3D36" w14:paraId="2A42DF23" w14:textId="77777777" w:rsidTr="002F3D36">
        <w:trPr>
          <w:tblCellSpacing w:w="15" w:type="dxa"/>
        </w:trPr>
        <w:tc>
          <w:tcPr>
            <w:tcW w:w="0" w:type="auto"/>
            <w:hideMark/>
          </w:tcPr>
          <w:p w14:paraId="59FEC37B"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1D9E2658" w14:textId="77777777" w:rsidR="002F3D36" w:rsidRPr="002F3D36" w:rsidRDefault="002F3D36" w:rsidP="002F3D36">
            <w:pPr>
              <w:widowControl/>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5731BD95"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r>
      <w:tr w:rsidR="002F3D36" w:rsidRPr="002F3D36" w14:paraId="72DF4A62" w14:textId="77777777" w:rsidTr="002F3D36">
        <w:trPr>
          <w:trHeight w:val="180"/>
          <w:tblCellSpacing w:w="15" w:type="dxa"/>
        </w:trPr>
        <w:tc>
          <w:tcPr>
            <w:tcW w:w="0" w:type="auto"/>
            <w:hideMark/>
          </w:tcPr>
          <w:p w14:paraId="62770BAB" w14:textId="77777777" w:rsidR="002F3D36" w:rsidRPr="002F3D36" w:rsidRDefault="002F3D36" w:rsidP="002F3D36">
            <w:pPr>
              <w:widowControl/>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10.13+</w:t>
            </w:r>
          </w:p>
        </w:tc>
        <w:tc>
          <w:tcPr>
            <w:tcW w:w="0" w:type="auto"/>
            <w:hideMark/>
          </w:tcPr>
          <w:p w14:paraId="0C0783AE" w14:textId="77777777" w:rsidR="002F3D36" w:rsidRPr="002F3D36" w:rsidRDefault="002F3D36" w:rsidP="002F3D36">
            <w:pPr>
              <w:widowControl/>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1753548C" w14:textId="77777777" w:rsidR="002F3D36" w:rsidRPr="002F3D36" w:rsidRDefault="002F3D36" w:rsidP="002F3D36">
            <w:pPr>
              <w:widowControl/>
              <w:rPr>
                <w:rFonts w:ascii="Times New Roman" w:eastAsia="微软雅黑" w:hAnsi="Times New Roman" w:cs="Times New Roman"/>
                <w:kern w:val="0"/>
                <w:sz w:val="18"/>
                <w:szCs w:val="18"/>
              </w:rPr>
            </w:pPr>
            <w:hyperlink r:id="rId56" w:history="1">
              <w:r w:rsidRPr="002F3D36">
                <w:rPr>
                  <w:rFonts w:ascii="Arial" w:eastAsia="微软雅黑" w:hAnsi="Arial" w:cs="Arial"/>
                  <w:color w:val="0000FF"/>
                  <w:kern w:val="0"/>
                  <w:sz w:val="18"/>
                  <w:szCs w:val="18"/>
                  <w:u w:val="single"/>
                </w:rPr>
                <w:t>Amendment No. 3 to the Autoliv, Inc. 1997 Stock Incentive Plan, as amended and restated, dated April 24, 2017, incorporated herein by reference to Exhibit 10.2 to the Quarterly Report on Form 10-Q (File No. 001-12933, filing date April 28, 2017).</w:t>
              </w:r>
            </w:hyperlink>
          </w:p>
        </w:tc>
      </w:tr>
      <w:tr w:rsidR="002F3D36" w:rsidRPr="002F3D36" w14:paraId="7984581D" w14:textId="77777777" w:rsidTr="002F3D36">
        <w:trPr>
          <w:tblCellSpacing w:w="15" w:type="dxa"/>
        </w:trPr>
        <w:tc>
          <w:tcPr>
            <w:tcW w:w="0" w:type="auto"/>
            <w:hideMark/>
          </w:tcPr>
          <w:p w14:paraId="7B359566"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51B15760" w14:textId="77777777" w:rsidR="002F3D36" w:rsidRPr="002F3D36" w:rsidRDefault="002F3D36" w:rsidP="002F3D36">
            <w:pPr>
              <w:widowControl/>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1B71D851"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r>
      <w:tr w:rsidR="002F3D36" w:rsidRPr="002F3D36" w14:paraId="27058E91" w14:textId="77777777" w:rsidTr="002F3D36">
        <w:trPr>
          <w:trHeight w:val="180"/>
          <w:tblCellSpacing w:w="15" w:type="dxa"/>
        </w:trPr>
        <w:tc>
          <w:tcPr>
            <w:tcW w:w="0" w:type="auto"/>
            <w:hideMark/>
          </w:tcPr>
          <w:p w14:paraId="653555AE" w14:textId="77777777" w:rsidR="002F3D36" w:rsidRPr="002F3D36" w:rsidRDefault="002F3D36" w:rsidP="002F3D36">
            <w:pPr>
              <w:widowControl/>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10.14+</w:t>
            </w:r>
          </w:p>
        </w:tc>
        <w:tc>
          <w:tcPr>
            <w:tcW w:w="0" w:type="auto"/>
            <w:hideMark/>
          </w:tcPr>
          <w:p w14:paraId="4A24EBDF" w14:textId="77777777" w:rsidR="002F3D36" w:rsidRPr="002F3D36" w:rsidRDefault="002F3D36" w:rsidP="002F3D36">
            <w:pPr>
              <w:widowControl/>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0579A6ED" w14:textId="77777777" w:rsidR="002F3D36" w:rsidRPr="002F3D36" w:rsidRDefault="002F3D36" w:rsidP="002F3D36">
            <w:pPr>
              <w:widowControl/>
              <w:rPr>
                <w:rFonts w:ascii="Times New Roman" w:eastAsia="微软雅黑" w:hAnsi="Times New Roman" w:cs="Times New Roman"/>
                <w:kern w:val="0"/>
                <w:sz w:val="18"/>
                <w:szCs w:val="18"/>
              </w:rPr>
            </w:pPr>
            <w:hyperlink r:id="rId57" w:history="1">
              <w:r w:rsidRPr="002F3D36">
                <w:rPr>
                  <w:rFonts w:ascii="Arial" w:eastAsia="微软雅黑" w:hAnsi="Arial" w:cs="Arial"/>
                  <w:color w:val="0000FF"/>
                  <w:kern w:val="0"/>
                  <w:sz w:val="18"/>
                  <w:szCs w:val="18"/>
                  <w:u w:val="single"/>
                </w:rPr>
                <w:t>Form of Employee restricted stock unit award agreement (2017) to be used under the Autoliv, Inc. 1997 Stock Incentive Plan, as amended and restated, incorporated herein by reference to Exhibit 10.4 to the Quarterly Report on Form 10-Q (File No. 001-12933, filing date April 28, 2017).</w:t>
              </w:r>
            </w:hyperlink>
          </w:p>
        </w:tc>
      </w:tr>
      <w:tr w:rsidR="002F3D36" w:rsidRPr="002F3D36" w14:paraId="13D974FE" w14:textId="77777777" w:rsidTr="002F3D36">
        <w:trPr>
          <w:tblCellSpacing w:w="15" w:type="dxa"/>
        </w:trPr>
        <w:tc>
          <w:tcPr>
            <w:tcW w:w="0" w:type="auto"/>
            <w:hideMark/>
          </w:tcPr>
          <w:p w14:paraId="1B3B1A8F"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4576972C" w14:textId="77777777" w:rsidR="002F3D36" w:rsidRPr="002F3D36" w:rsidRDefault="002F3D36" w:rsidP="002F3D36">
            <w:pPr>
              <w:widowControl/>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719247CD"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r>
      <w:tr w:rsidR="002F3D36" w:rsidRPr="002F3D36" w14:paraId="4D2AD5D1" w14:textId="77777777" w:rsidTr="002F3D36">
        <w:trPr>
          <w:trHeight w:val="180"/>
          <w:tblCellSpacing w:w="15" w:type="dxa"/>
        </w:trPr>
        <w:tc>
          <w:tcPr>
            <w:tcW w:w="0" w:type="auto"/>
            <w:hideMark/>
          </w:tcPr>
          <w:p w14:paraId="1869EEF2" w14:textId="77777777" w:rsidR="002F3D36" w:rsidRPr="002F3D36" w:rsidRDefault="002F3D36" w:rsidP="002F3D36">
            <w:pPr>
              <w:widowControl/>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10.15+</w:t>
            </w:r>
          </w:p>
        </w:tc>
        <w:tc>
          <w:tcPr>
            <w:tcW w:w="0" w:type="auto"/>
            <w:hideMark/>
          </w:tcPr>
          <w:p w14:paraId="33007602" w14:textId="77777777" w:rsidR="002F3D36" w:rsidRPr="002F3D36" w:rsidRDefault="002F3D36" w:rsidP="002F3D36">
            <w:pPr>
              <w:widowControl/>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33BBF821" w14:textId="77777777" w:rsidR="002F3D36" w:rsidRPr="002F3D36" w:rsidRDefault="002F3D36" w:rsidP="002F3D36">
            <w:pPr>
              <w:widowControl/>
              <w:jc w:val="left"/>
              <w:rPr>
                <w:rFonts w:ascii="Times New Roman" w:eastAsia="微软雅黑" w:hAnsi="Times New Roman" w:cs="Times New Roman"/>
                <w:kern w:val="0"/>
                <w:sz w:val="18"/>
                <w:szCs w:val="18"/>
              </w:rPr>
            </w:pPr>
            <w:hyperlink r:id="rId58" w:history="1">
              <w:r w:rsidRPr="002F3D36">
                <w:rPr>
                  <w:rFonts w:ascii="Arial" w:eastAsia="微软雅黑" w:hAnsi="Arial" w:cs="Arial"/>
                  <w:color w:val="0000FF"/>
                  <w:kern w:val="0"/>
                  <w:sz w:val="18"/>
                  <w:szCs w:val="18"/>
                  <w:u w:val="single"/>
                </w:rPr>
                <w:t>Form of performance share award agreement (2017) to be used under the Autoliv, Inc. 1997 Stock Incentive Plan, as amended and restated, incorporated herein by reference to Exhibit 10.5 to the Quarterly Report on Form 10-Q (File No. 001-12933, filing date April 28, 2017).</w:t>
              </w:r>
            </w:hyperlink>
          </w:p>
        </w:tc>
      </w:tr>
      <w:tr w:rsidR="002F3D36" w:rsidRPr="002F3D36" w14:paraId="4F0B0884" w14:textId="77777777" w:rsidTr="002F3D36">
        <w:trPr>
          <w:tblCellSpacing w:w="15" w:type="dxa"/>
        </w:trPr>
        <w:tc>
          <w:tcPr>
            <w:tcW w:w="0" w:type="auto"/>
            <w:hideMark/>
          </w:tcPr>
          <w:p w14:paraId="7F5985DE"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287198C6" w14:textId="77777777" w:rsidR="002F3D36" w:rsidRPr="002F3D36" w:rsidRDefault="002F3D36" w:rsidP="002F3D36">
            <w:pPr>
              <w:widowControl/>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28FEB8FA"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r>
      <w:tr w:rsidR="002F3D36" w:rsidRPr="002F3D36" w14:paraId="4BE39672" w14:textId="77777777" w:rsidTr="002F3D36">
        <w:trPr>
          <w:trHeight w:val="180"/>
          <w:tblCellSpacing w:w="15" w:type="dxa"/>
        </w:trPr>
        <w:tc>
          <w:tcPr>
            <w:tcW w:w="0" w:type="auto"/>
            <w:hideMark/>
          </w:tcPr>
          <w:p w14:paraId="7552848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10.16</w:t>
            </w:r>
          </w:p>
        </w:tc>
        <w:tc>
          <w:tcPr>
            <w:tcW w:w="0" w:type="auto"/>
            <w:hideMark/>
          </w:tcPr>
          <w:p w14:paraId="79B3CB78" w14:textId="77777777" w:rsidR="002F3D36" w:rsidRPr="002F3D36" w:rsidRDefault="002F3D36" w:rsidP="002F3D36">
            <w:pPr>
              <w:widowControl/>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0191A7EB" w14:textId="77777777" w:rsidR="002F3D36" w:rsidRPr="002F3D36" w:rsidRDefault="002F3D36" w:rsidP="002F3D36">
            <w:pPr>
              <w:widowControl/>
              <w:jc w:val="left"/>
              <w:rPr>
                <w:rFonts w:ascii="Times New Roman" w:eastAsia="微软雅黑" w:hAnsi="Times New Roman" w:cs="Times New Roman"/>
                <w:kern w:val="0"/>
                <w:sz w:val="18"/>
                <w:szCs w:val="18"/>
              </w:rPr>
            </w:pPr>
            <w:hyperlink r:id="rId59" w:history="1">
              <w:r w:rsidRPr="002F3D36">
                <w:rPr>
                  <w:rFonts w:ascii="Arial" w:eastAsia="微软雅黑" w:hAnsi="Arial" w:cs="Arial"/>
                  <w:color w:val="0000FF"/>
                  <w:kern w:val="0"/>
                  <w:sz w:val="18"/>
                  <w:szCs w:val="18"/>
                  <w:u w:val="single"/>
                </w:rPr>
                <w:t>Employee Matters Agreement, dated June 28, 2018, between Veoneer, Inc. and Autoliv, Inc., incorporated herein by reference to Exhibit 10.1 to the Current Report on Form 8-K (File No. 001-12933, filing date July 2, 2018).</w:t>
              </w:r>
            </w:hyperlink>
          </w:p>
        </w:tc>
      </w:tr>
      <w:tr w:rsidR="002F3D36" w:rsidRPr="002F3D36" w14:paraId="432DB7E6" w14:textId="77777777" w:rsidTr="002F3D36">
        <w:trPr>
          <w:tblCellSpacing w:w="15" w:type="dxa"/>
        </w:trPr>
        <w:tc>
          <w:tcPr>
            <w:tcW w:w="0" w:type="auto"/>
            <w:hideMark/>
          </w:tcPr>
          <w:p w14:paraId="750F7678"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6D40C3D7" w14:textId="77777777" w:rsidR="002F3D36" w:rsidRPr="002F3D36" w:rsidRDefault="002F3D36" w:rsidP="002F3D36">
            <w:pPr>
              <w:widowControl/>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68A5FED2"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r>
      <w:tr w:rsidR="002F3D36" w:rsidRPr="002F3D36" w14:paraId="77C77D17" w14:textId="77777777" w:rsidTr="002F3D36">
        <w:trPr>
          <w:trHeight w:val="180"/>
          <w:tblCellSpacing w:w="15" w:type="dxa"/>
        </w:trPr>
        <w:tc>
          <w:tcPr>
            <w:tcW w:w="0" w:type="auto"/>
            <w:hideMark/>
          </w:tcPr>
          <w:p w14:paraId="4BF4C4D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10.17</w:t>
            </w:r>
          </w:p>
        </w:tc>
        <w:tc>
          <w:tcPr>
            <w:tcW w:w="0" w:type="auto"/>
            <w:hideMark/>
          </w:tcPr>
          <w:p w14:paraId="082FBD6E" w14:textId="77777777" w:rsidR="002F3D36" w:rsidRPr="002F3D36" w:rsidRDefault="002F3D36" w:rsidP="002F3D36">
            <w:pPr>
              <w:widowControl/>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2A82D238" w14:textId="77777777" w:rsidR="002F3D36" w:rsidRPr="002F3D36" w:rsidRDefault="002F3D36" w:rsidP="002F3D36">
            <w:pPr>
              <w:widowControl/>
              <w:jc w:val="left"/>
              <w:rPr>
                <w:rFonts w:ascii="Times New Roman" w:eastAsia="微软雅黑" w:hAnsi="Times New Roman" w:cs="Times New Roman"/>
                <w:kern w:val="0"/>
                <w:sz w:val="18"/>
                <w:szCs w:val="18"/>
              </w:rPr>
            </w:pPr>
            <w:hyperlink r:id="rId60" w:history="1">
              <w:r w:rsidRPr="002F3D36">
                <w:rPr>
                  <w:rFonts w:ascii="Arial" w:eastAsia="微软雅黑" w:hAnsi="Arial" w:cs="Arial"/>
                  <w:color w:val="0000FF"/>
                  <w:kern w:val="0"/>
                  <w:sz w:val="18"/>
                  <w:szCs w:val="18"/>
                  <w:u w:val="single"/>
                </w:rPr>
                <w:t>Tax Matters Agreement, dated June 28, 2018, between Veoneer, Inc. and Autoliv, Inc., incorporated herein by reference to Exhibit 10.2 to the Current Report on Form 8-K (File No. 001-12933, filing date July 2, 2018).</w:t>
              </w:r>
            </w:hyperlink>
          </w:p>
        </w:tc>
      </w:tr>
    </w:tbl>
    <w:p w14:paraId="3B16D7E3" w14:textId="77777777" w:rsidR="002F3D36" w:rsidRPr="002F3D36" w:rsidRDefault="002F3D36" w:rsidP="002F3D36">
      <w:pPr>
        <w:widowControl/>
        <w:jc w:val="left"/>
        <w:rPr>
          <w:rFonts w:ascii="Times New Roman" w:eastAsia="宋体" w:hAnsi="Times New Roman" w:cs="Times New Roman"/>
          <w:color w:val="000000"/>
          <w:kern w:val="0"/>
          <w:sz w:val="20"/>
          <w:szCs w:val="20"/>
        </w:rPr>
      </w:pPr>
      <w:r w:rsidRPr="002F3D36">
        <w:rPr>
          <w:rFonts w:ascii="Times New Roman" w:eastAsia="宋体" w:hAnsi="Times New Roman" w:cs="Times New Roman"/>
          <w:color w:val="000000"/>
          <w:kern w:val="0"/>
          <w:sz w:val="20"/>
          <w:szCs w:val="20"/>
        </w:rPr>
        <w:t> </w:t>
      </w:r>
    </w:p>
    <w:p w14:paraId="7664F51B" w14:textId="77777777" w:rsidR="002F3D36" w:rsidRPr="002F3D36" w:rsidRDefault="002F3D36" w:rsidP="002F3D36">
      <w:pPr>
        <w:widowControl/>
        <w:spacing w:before="240"/>
        <w:jc w:val="center"/>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94</w:t>
      </w:r>
    </w:p>
    <w:p w14:paraId="1A1BFE41" w14:textId="77777777" w:rsidR="002F3D36" w:rsidRPr="002F3D36" w:rsidRDefault="002F3D36" w:rsidP="002F3D36">
      <w:pPr>
        <w:widowControl/>
        <w:jc w:val="left"/>
        <w:rPr>
          <w:rFonts w:ascii="宋体" w:eastAsia="宋体" w:hAnsi="宋体" w:cs="宋体"/>
          <w:kern w:val="0"/>
          <w:sz w:val="24"/>
          <w:szCs w:val="24"/>
        </w:rPr>
      </w:pPr>
      <w:r w:rsidRPr="002F3D36">
        <w:rPr>
          <w:rFonts w:ascii="宋体" w:eastAsia="宋体" w:hAnsi="宋体" w:cs="宋体"/>
          <w:kern w:val="0"/>
          <w:sz w:val="24"/>
          <w:szCs w:val="24"/>
        </w:rPr>
        <w:pict w14:anchorId="5CE65F12">
          <v:rect id="_x0000_i1121" style="width:0;height:1.5pt" o:hralign="center" o:hrstd="t" o:hrnoshade="t" o:hr="t" fillcolor="black" stroked="f"/>
        </w:pict>
      </w:r>
    </w:p>
    <w:p w14:paraId="3EF5B764" w14:textId="77777777" w:rsidR="002F3D36" w:rsidRPr="002F3D36" w:rsidRDefault="002F3D36" w:rsidP="002F3D36">
      <w:pPr>
        <w:widowControl/>
        <w:spacing w:line="20" w:lineRule="atLeast"/>
        <w:jc w:val="left"/>
        <w:rPr>
          <w:rFonts w:ascii="Times New Roman" w:eastAsia="宋体" w:hAnsi="Times New Roman" w:cs="Times New Roman"/>
          <w:color w:val="000000"/>
          <w:kern w:val="0"/>
          <w:sz w:val="20"/>
          <w:szCs w:val="20"/>
        </w:rPr>
      </w:pPr>
      <w:r w:rsidRPr="002F3D36">
        <w:rPr>
          <w:rFonts w:ascii="Arial" w:eastAsia="宋体" w:hAnsi="Arial" w:cs="Arial"/>
          <w:color w:val="000000"/>
          <w:kern w:val="0"/>
          <w:sz w:val="2"/>
          <w:szCs w:val="2"/>
        </w:rPr>
        <w:t> </w:t>
      </w:r>
    </w:p>
    <w:tbl>
      <w:tblPr>
        <w:tblW w:w="20614" w:type="dxa"/>
        <w:tblCellSpacing w:w="15" w:type="dxa"/>
        <w:tblCellMar>
          <w:top w:w="15" w:type="dxa"/>
          <w:left w:w="15" w:type="dxa"/>
          <w:bottom w:w="15" w:type="dxa"/>
          <w:right w:w="15" w:type="dxa"/>
        </w:tblCellMar>
        <w:tblLook w:val="04A0" w:firstRow="1" w:lastRow="0" w:firstColumn="1" w:lastColumn="0" w:noHBand="0" w:noVBand="1"/>
      </w:tblPr>
      <w:tblGrid>
        <w:gridCol w:w="1457"/>
        <w:gridCol w:w="208"/>
        <w:gridCol w:w="18949"/>
      </w:tblGrid>
      <w:tr w:rsidR="002F3D36" w:rsidRPr="002F3D36" w14:paraId="147F46E6" w14:textId="77777777" w:rsidTr="002F3D36">
        <w:trPr>
          <w:tblCellSpacing w:w="15" w:type="dxa"/>
        </w:trPr>
        <w:tc>
          <w:tcPr>
            <w:tcW w:w="1642" w:type="dxa"/>
            <w:vAlign w:val="center"/>
            <w:hideMark/>
          </w:tcPr>
          <w:p w14:paraId="73893E82" w14:textId="77777777" w:rsidR="002F3D36" w:rsidRPr="002F3D36" w:rsidRDefault="002F3D36" w:rsidP="002F3D36">
            <w:pPr>
              <w:widowControl/>
              <w:jc w:val="left"/>
              <w:rPr>
                <w:rFonts w:ascii="Times New Roman" w:eastAsia="宋体" w:hAnsi="Times New Roman" w:cs="Times New Roman"/>
                <w:color w:val="000000"/>
                <w:kern w:val="0"/>
                <w:sz w:val="20"/>
                <w:szCs w:val="20"/>
              </w:rPr>
            </w:pPr>
          </w:p>
        </w:tc>
        <w:tc>
          <w:tcPr>
            <w:tcW w:w="205" w:type="dxa"/>
            <w:vAlign w:val="center"/>
            <w:hideMark/>
          </w:tcPr>
          <w:p w14:paraId="732FF07E"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8678" w:type="dxa"/>
            <w:vAlign w:val="center"/>
            <w:hideMark/>
          </w:tcPr>
          <w:p w14:paraId="112A07F0" w14:textId="77777777" w:rsidR="002F3D36" w:rsidRPr="002F3D36" w:rsidRDefault="002F3D36" w:rsidP="002F3D36">
            <w:pPr>
              <w:widowControl/>
              <w:jc w:val="left"/>
              <w:rPr>
                <w:rFonts w:ascii="Times New Roman" w:eastAsia="Times New Roman" w:hAnsi="Times New Roman" w:cs="Times New Roman"/>
                <w:kern w:val="0"/>
                <w:sz w:val="20"/>
                <w:szCs w:val="20"/>
              </w:rPr>
            </w:pPr>
          </w:p>
        </w:tc>
      </w:tr>
      <w:tr w:rsidR="002F3D36" w:rsidRPr="002F3D36" w14:paraId="798AE339" w14:textId="77777777" w:rsidTr="002F3D36">
        <w:trPr>
          <w:tblCellSpacing w:w="15" w:type="dxa"/>
        </w:trPr>
        <w:tc>
          <w:tcPr>
            <w:tcW w:w="0" w:type="auto"/>
            <w:hideMark/>
          </w:tcPr>
          <w:p w14:paraId="71CFAEAF"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476D5434" w14:textId="77777777" w:rsidR="002F3D36" w:rsidRPr="002F3D36" w:rsidRDefault="002F3D36" w:rsidP="002F3D36">
            <w:pPr>
              <w:widowControl/>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484426A2"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r>
      <w:tr w:rsidR="002F3D36" w:rsidRPr="002F3D36" w14:paraId="7F9016A2" w14:textId="77777777" w:rsidTr="002F3D36">
        <w:trPr>
          <w:trHeight w:val="180"/>
          <w:tblCellSpacing w:w="15" w:type="dxa"/>
        </w:trPr>
        <w:tc>
          <w:tcPr>
            <w:tcW w:w="0" w:type="auto"/>
            <w:hideMark/>
          </w:tcPr>
          <w:p w14:paraId="603C01C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10.18</w:t>
            </w:r>
          </w:p>
        </w:tc>
        <w:tc>
          <w:tcPr>
            <w:tcW w:w="0" w:type="auto"/>
            <w:hideMark/>
          </w:tcPr>
          <w:p w14:paraId="791C59A6" w14:textId="77777777" w:rsidR="002F3D36" w:rsidRPr="002F3D36" w:rsidRDefault="002F3D36" w:rsidP="002F3D36">
            <w:pPr>
              <w:widowControl/>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4FA81DE7" w14:textId="77777777" w:rsidR="002F3D36" w:rsidRPr="002F3D36" w:rsidRDefault="002F3D36" w:rsidP="002F3D36">
            <w:pPr>
              <w:widowControl/>
              <w:jc w:val="left"/>
              <w:rPr>
                <w:rFonts w:ascii="Times New Roman" w:eastAsia="微软雅黑" w:hAnsi="Times New Roman" w:cs="Times New Roman"/>
                <w:kern w:val="0"/>
                <w:sz w:val="18"/>
                <w:szCs w:val="18"/>
              </w:rPr>
            </w:pPr>
            <w:hyperlink r:id="rId61" w:history="1">
              <w:r w:rsidRPr="002F3D36">
                <w:rPr>
                  <w:rFonts w:ascii="Arial" w:eastAsia="微软雅黑" w:hAnsi="Arial" w:cs="Arial"/>
                  <w:color w:val="0000FF"/>
                  <w:kern w:val="0"/>
                  <w:sz w:val="18"/>
                  <w:szCs w:val="18"/>
                  <w:u w:val="single"/>
                </w:rPr>
                <w:t>Facilities Agreement, dated May 24, 2018, among Autoliv, Inc., Autoliv ASP, J.P. Morgan Securities PLC and Skandinaviska Enskilda Banken AB (publ), incorporated herein by reference to Exhibit 10.4 to the Quarterly Report on Form 10-Q (File No. 001-12933, filing date July 27, 2018).</w:t>
              </w:r>
            </w:hyperlink>
          </w:p>
        </w:tc>
      </w:tr>
      <w:tr w:rsidR="002F3D36" w:rsidRPr="002F3D36" w14:paraId="4A7576C2" w14:textId="77777777" w:rsidTr="002F3D36">
        <w:trPr>
          <w:tblCellSpacing w:w="15" w:type="dxa"/>
        </w:trPr>
        <w:tc>
          <w:tcPr>
            <w:tcW w:w="0" w:type="auto"/>
            <w:hideMark/>
          </w:tcPr>
          <w:p w14:paraId="55C13E62"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7183276A" w14:textId="77777777" w:rsidR="002F3D36" w:rsidRPr="002F3D36" w:rsidRDefault="002F3D36" w:rsidP="002F3D36">
            <w:pPr>
              <w:widowControl/>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4F8C0A56"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r>
      <w:tr w:rsidR="002F3D36" w:rsidRPr="002F3D36" w14:paraId="37123A72" w14:textId="77777777" w:rsidTr="002F3D36">
        <w:trPr>
          <w:trHeight w:val="180"/>
          <w:tblCellSpacing w:w="15" w:type="dxa"/>
        </w:trPr>
        <w:tc>
          <w:tcPr>
            <w:tcW w:w="0" w:type="auto"/>
            <w:hideMark/>
          </w:tcPr>
          <w:p w14:paraId="1759D17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10.19+</w:t>
            </w:r>
          </w:p>
        </w:tc>
        <w:tc>
          <w:tcPr>
            <w:tcW w:w="0" w:type="auto"/>
            <w:hideMark/>
          </w:tcPr>
          <w:p w14:paraId="6BC46ACF" w14:textId="77777777" w:rsidR="002F3D36" w:rsidRPr="002F3D36" w:rsidRDefault="002F3D36" w:rsidP="002F3D36">
            <w:pPr>
              <w:widowControl/>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69427F15" w14:textId="77777777" w:rsidR="002F3D36" w:rsidRPr="002F3D36" w:rsidRDefault="002F3D36" w:rsidP="002F3D36">
            <w:pPr>
              <w:widowControl/>
              <w:jc w:val="left"/>
              <w:rPr>
                <w:rFonts w:ascii="Times New Roman" w:eastAsia="微软雅黑" w:hAnsi="Times New Roman" w:cs="Times New Roman"/>
                <w:kern w:val="0"/>
                <w:sz w:val="18"/>
                <w:szCs w:val="18"/>
              </w:rPr>
            </w:pPr>
            <w:hyperlink r:id="rId62" w:history="1">
              <w:r w:rsidRPr="002F3D36">
                <w:rPr>
                  <w:rFonts w:ascii="Arial" w:eastAsia="微软雅黑" w:hAnsi="Arial" w:cs="Arial"/>
                  <w:color w:val="0000FF"/>
                  <w:kern w:val="0"/>
                  <w:sz w:val="18"/>
                  <w:szCs w:val="18"/>
                  <w:u w:val="single"/>
                </w:rPr>
                <w:t>Employment Agreement, effective as of June 29, 2018, by and between Autoliv, Inc. and Mikael Bratt, incorporated herein by reference to Exhibit 10.8 to the Quarterly Report on Form 10-Q (File No. 001-12933, filing date July 27, 2018).</w:t>
              </w:r>
            </w:hyperlink>
          </w:p>
        </w:tc>
      </w:tr>
      <w:tr w:rsidR="002F3D36" w:rsidRPr="002F3D36" w14:paraId="760DF0BE" w14:textId="77777777" w:rsidTr="002F3D36">
        <w:trPr>
          <w:tblCellSpacing w:w="15" w:type="dxa"/>
        </w:trPr>
        <w:tc>
          <w:tcPr>
            <w:tcW w:w="0" w:type="auto"/>
            <w:hideMark/>
          </w:tcPr>
          <w:p w14:paraId="5158FDE1"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5E10921A" w14:textId="77777777" w:rsidR="002F3D36" w:rsidRPr="002F3D36" w:rsidRDefault="002F3D36" w:rsidP="002F3D36">
            <w:pPr>
              <w:widowControl/>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3CC1E8D4"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r>
      <w:tr w:rsidR="002F3D36" w:rsidRPr="002F3D36" w14:paraId="31EBC4FB" w14:textId="77777777" w:rsidTr="002F3D36">
        <w:trPr>
          <w:trHeight w:val="180"/>
          <w:tblCellSpacing w:w="15" w:type="dxa"/>
        </w:trPr>
        <w:tc>
          <w:tcPr>
            <w:tcW w:w="0" w:type="auto"/>
            <w:hideMark/>
          </w:tcPr>
          <w:p w14:paraId="0FD9A02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10.20+</w:t>
            </w:r>
          </w:p>
        </w:tc>
        <w:tc>
          <w:tcPr>
            <w:tcW w:w="0" w:type="auto"/>
            <w:hideMark/>
          </w:tcPr>
          <w:p w14:paraId="2AE2178B" w14:textId="77777777" w:rsidR="002F3D36" w:rsidRPr="002F3D36" w:rsidRDefault="002F3D36" w:rsidP="002F3D36">
            <w:pPr>
              <w:widowControl/>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3EADF062" w14:textId="77777777" w:rsidR="002F3D36" w:rsidRPr="002F3D36" w:rsidRDefault="002F3D36" w:rsidP="002F3D36">
            <w:pPr>
              <w:widowControl/>
              <w:jc w:val="left"/>
              <w:rPr>
                <w:rFonts w:ascii="Times New Roman" w:eastAsia="微软雅黑" w:hAnsi="Times New Roman" w:cs="Times New Roman"/>
                <w:kern w:val="0"/>
                <w:sz w:val="18"/>
                <w:szCs w:val="18"/>
              </w:rPr>
            </w:pPr>
            <w:hyperlink r:id="rId63" w:history="1">
              <w:r w:rsidRPr="002F3D36">
                <w:rPr>
                  <w:rFonts w:ascii="Arial" w:eastAsia="微软雅黑" w:hAnsi="Arial" w:cs="Arial"/>
                  <w:color w:val="0000FF"/>
                  <w:kern w:val="0"/>
                  <w:sz w:val="18"/>
                  <w:szCs w:val="18"/>
                  <w:u w:val="single"/>
                </w:rPr>
                <w:t>Employment Agreement, effective as of June 29, 2018, by and between Autoliv, Inc. and Jordi Lombarte incorporated herein by reference to Exhibit 10.12 to the Quarterly Report on Form 10-Q (File No. 001-12933, filing date July 27, 2018).</w:t>
              </w:r>
            </w:hyperlink>
          </w:p>
        </w:tc>
      </w:tr>
      <w:tr w:rsidR="002F3D36" w:rsidRPr="002F3D36" w14:paraId="34C4B9EE" w14:textId="77777777" w:rsidTr="002F3D36">
        <w:trPr>
          <w:tblCellSpacing w:w="15" w:type="dxa"/>
        </w:trPr>
        <w:tc>
          <w:tcPr>
            <w:tcW w:w="0" w:type="auto"/>
            <w:hideMark/>
          </w:tcPr>
          <w:p w14:paraId="3CF0A1CF"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767C46C1" w14:textId="77777777" w:rsidR="002F3D36" w:rsidRPr="002F3D36" w:rsidRDefault="002F3D36" w:rsidP="002F3D36">
            <w:pPr>
              <w:widowControl/>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18B36209"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r>
      <w:tr w:rsidR="002F3D36" w:rsidRPr="002F3D36" w14:paraId="143187F8" w14:textId="77777777" w:rsidTr="002F3D36">
        <w:trPr>
          <w:trHeight w:val="180"/>
          <w:tblCellSpacing w:w="15" w:type="dxa"/>
        </w:trPr>
        <w:tc>
          <w:tcPr>
            <w:tcW w:w="0" w:type="auto"/>
            <w:hideMark/>
          </w:tcPr>
          <w:p w14:paraId="7A1D9DF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10.21+</w:t>
            </w:r>
          </w:p>
        </w:tc>
        <w:tc>
          <w:tcPr>
            <w:tcW w:w="0" w:type="auto"/>
            <w:hideMark/>
          </w:tcPr>
          <w:p w14:paraId="5D415FD9" w14:textId="77777777" w:rsidR="002F3D36" w:rsidRPr="002F3D36" w:rsidRDefault="002F3D36" w:rsidP="002F3D36">
            <w:pPr>
              <w:widowControl/>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3006E951" w14:textId="77777777" w:rsidR="002F3D36" w:rsidRPr="002F3D36" w:rsidRDefault="002F3D36" w:rsidP="002F3D36">
            <w:pPr>
              <w:widowControl/>
              <w:jc w:val="left"/>
              <w:rPr>
                <w:rFonts w:ascii="Times New Roman" w:eastAsia="微软雅黑" w:hAnsi="Times New Roman" w:cs="Times New Roman"/>
                <w:kern w:val="0"/>
                <w:sz w:val="18"/>
                <w:szCs w:val="18"/>
              </w:rPr>
            </w:pPr>
            <w:hyperlink r:id="rId64" w:history="1">
              <w:r w:rsidRPr="002F3D36">
                <w:rPr>
                  <w:rFonts w:ascii="Arial" w:eastAsia="微软雅黑" w:hAnsi="Arial" w:cs="Arial"/>
                  <w:color w:val="0000FF"/>
                  <w:kern w:val="0"/>
                  <w:sz w:val="18"/>
                  <w:szCs w:val="18"/>
                  <w:u w:val="single"/>
                </w:rPr>
                <w:t>Employment Agreement, effective as of June 29, 2018, by and between Autoliv, Inc. and Anthony J. Nellis, incorporated herein by reference to Exhibit 10.14 to the Quarterly Report on Form 10-Q (File No. 001-12933, filing date July 27, 2018).</w:t>
              </w:r>
            </w:hyperlink>
          </w:p>
        </w:tc>
      </w:tr>
      <w:tr w:rsidR="002F3D36" w:rsidRPr="002F3D36" w14:paraId="491BD9B2" w14:textId="77777777" w:rsidTr="002F3D36">
        <w:trPr>
          <w:tblCellSpacing w:w="15" w:type="dxa"/>
        </w:trPr>
        <w:tc>
          <w:tcPr>
            <w:tcW w:w="0" w:type="auto"/>
            <w:hideMark/>
          </w:tcPr>
          <w:p w14:paraId="4B39E9C5"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07C9F8A5" w14:textId="77777777" w:rsidR="002F3D36" w:rsidRPr="002F3D36" w:rsidRDefault="002F3D36" w:rsidP="002F3D36">
            <w:pPr>
              <w:widowControl/>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6A548FC1"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r>
      <w:tr w:rsidR="002F3D36" w:rsidRPr="002F3D36" w14:paraId="40701E27" w14:textId="77777777" w:rsidTr="002F3D36">
        <w:trPr>
          <w:trHeight w:val="180"/>
          <w:tblCellSpacing w:w="15" w:type="dxa"/>
        </w:trPr>
        <w:tc>
          <w:tcPr>
            <w:tcW w:w="0" w:type="auto"/>
            <w:hideMark/>
          </w:tcPr>
          <w:p w14:paraId="4C7B61C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10.22</w:t>
            </w:r>
          </w:p>
        </w:tc>
        <w:tc>
          <w:tcPr>
            <w:tcW w:w="0" w:type="auto"/>
            <w:hideMark/>
          </w:tcPr>
          <w:p w14:paraId="3463AAAC" w14:textId="77777777" w:rsidR="002F3D36" w:rsidRPr="002F3D36" w:rsidRDefault="002F3D36" w:rsidP="002F3D36">
            <w:pPr>
              <w:widowControl/>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6E9760F9" w14:textId="77777777" w:rsidR="002F3D36" w:rsidRPr="002F3D36" w:rsidRDefault="002F3D36" w:rsidP="002F3D36">
            <w:pPr>
              <w:widowControl/>
              <w:jc w:val="left"/>
              <w:rPr>
                <w:rFonts w:ascii="Times New Roman" w:eastAsia="微软雅黑" w:hAnsi="Times New Roman" w:cs="Times New Roman"/>
                <w:kern w:val="0"/>
                <w:sz w:val="18"/>
                <w:szCs w:val="18"/>
              </w:rPr>
            </w:pPr>
            <w:hyperlink r:id="rId65" w:history="1">
              <w:r w:rsidRPr="002F3D36">
                <w:rPr>
                  <w:rFonts w:ascii="Arial" w:eastAsia="微软雅黑" w:hAnsi="Arial" w:cs="Arial"/>
                  <w:color w:val="0000FF"/>
                  <w:kern w:val="0"/>
                  <w:sz w:val="18"/>
                  <w:szCs w:val="18"/>
                  <w:u w:val="single"/>
                </w:rPr>
                <w:t>Cooperation Agreement, dated March 1, 2019, between Autoliv, Inc. and Cevian Capital II GP Limited, incorporated herein by reference to Exhibit 10.1 to the Current Report on Form 8-K (File No. 001-12933, filing date March 1, 2019).</w:t>
              </w:r>
            </w:hyperlink>
          </w:p>
        </w:tc>
      </w:tr>
      <w:tr w:rsidR="002F3D36" w:rsidRPr="002F3D36" w14:paraId="3BF03B9B" w14:textId="77777777" w:rsidTr="002F3D36">
        <w:trPr>
          <w:tblCellSpacing w:w="15" w:type="dxa"/>
        </w:trPr>
        <w:tc>
          <w:tcPr>
            <w:tcW w:w="0" w:type="auto"/>
            <w:hideMark/>
          </w:tcPr>
          <w:p w14:paraId="28419503"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76FE5B92" w14:textId="77777777" w:rsidR="002F3D36" w:rsidRPr="002F3D36" w:rsidRDefault="002F3D36" w:rsidP="002F3D36">
            <w:pPr>
              <w:widowControl/>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170BD4D2"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r>
      <w:tr w:rsidR="002F3D36" w:rsidRPr="002F3D36" w14:paraId="04681605" w14:textId="77777777" w:rsidTr="002F3D36">
        <w:trPr>
          <w:trHeight w:val="180"/>
          <w:tblCellSpacing w:w="15" w:type="dxa"/>
        </w:trPr>
        <w:tc>
          <w:tcPr>
            <w:tcW w:w="0" w:type="auto"/>
            <w:hideMark/>
          </w:tcPr>
          <w:p w14:paraId="0A2B6F7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10.23+</w:t>
            </w:r>
          </w:p>
        </w:tc>
        <w:tc>
          <w:tcPr>
            <w:tcW w:w="0" w:type="auto"/>
            <w:hideMark/>
          </w:tcPr>
          <w:p w14:paraId="3F5F1C7D" w14:textId="77777777" w:rsidR="002F3D36" w:rsidRPr="002F3D36" w:rsidRDefault="002F3D36" w:rsidP="002F3D36">
            <w:pPr>
              <w:widowControl/>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3ED4CA77" w14:textId="77777777" w:rsidR="002F3D36" w:rsidRPr="002F3D36" w:rsidRDefault="002F3D36" w:rsidP="002F3D36">
            <w:pPr>
              <w:widowControl/>
              <w:jc w:val="left"/>
              <w:rPr>
                <w:rFonts w:ascii="Times New Roman" w:eastAsia="微软雅黑" w:hAnsi="Times New Roman" w:cs="Times New Roman"/>
                <w:kern w:val="0"/>
                <w:sz w:val="18"/>
                <w:szCs w:val="18"/>
              </w:rPr>
            </w:pPr>
            <w:hyperlink r:id="rId66" w:history="1">
              <w:r w:rsidRPr="002F3D36">
                <w:rPr>
                  <w:rFonts w:ascii="Arial" w:eastAsia="微软雅黑" w:hAnsi="Arial" w:cs="Arial"/>
                  <w:color w:val="0000FF"/>
                  <w:kern w:val="0"/>
                  <w:sz w:val="18"/>
                  <w:szCs w:val="18"/>
                  <w:u w:val="single"/>
                </w:rPr>
                <w:t>Form of Employee restricted stock unit grant agreement (2019) to be used under the Autoliv, Inc 1997 Stock Incentive Plan, as amended and restated, incorporated herein by reference to Exhibit 10.2 to the Quarterly Report on Form 10-Q (File No. 001-12933, filing date April 26, 2019</w:t>
              </w:r>
            </w:hyperlink>
            <w:r w:rsidRPr="002F3D36">
              <w:rPr>
                <w:rFonts w:ascii="Arial" w:eastAsia="微软雅黑" w:hAnsi="Arial" w:cs="Arial"/>
                <w:color w:val="0000FF"/>
                <w:kern w:val="0"/>
                <w:sz w:val="18"/>
                <w:szCs w:val="18"/>
                <w:u w:val="single"/>
              </w:rPr>
              <w:t>).</w:t>
            </w:r>
          </w:p>
        </w:tc>
      </w:tr>
      <w:tr w:rsidR="002F3D36" w:rsidRPr="002F3D36" w14:paraId="28E002C0" w14:textId="77777777" w:rsidTr="002F3D36">
        <w:trPr>
          <w:tblCellSpacing w:w="15" w:type="dxa"/>
        </w:trPr>
        <w:tc>
          <w:tcPr>
            <w:tcW w:w="0" w:type="auto"/>
            <w:hideMark/>
          </w:tcPr>
          <w:p w14:paraId="282168AD"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24B98ACB" w14:textId="77777777" w:rsidR="002F3D36" w:rsidRPr="002F3D36" w:rsidRDefault="002F3D36" w:rsidP="002F3D36">
            <w:pPr>
              <w:widowControl/>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7D0E4E55"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r>
      <w:tr w:rsidR="002F3D36" w:rsidRPr="002F3D36" w14:paraId="6A663F9A" w14:textId="77777777" w:rsidTr="002F3D36">
        <w:trPr>
          <w:trHeight w:val="180"/>
          <w:tblCellSpacing w:w="15" w:type="dxa"/>
        </w:trPr>
        <w:tc>
          <w:tcPr>
            <w:tcW w:w="0" w:type="auto"/>
            <w:hideMark/>
          </w:tcPr>
          <w:p w14:paraId="34D63A9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10.24+</w:t>
            </w:r>
          </w:p>
        </w:tc>
        <w:tc>
          <w:tcPr>
            <w:tcW w:w="0" w:type="auto"/>
            <w:hideMark/>
          </w:tcPr>
          <w:p w14:paraId="1991BD12" w14:textId="77777777" w:rsidR="002F3D36" w:rsidRPr="002F3D36" w:rsidRDefault="002F3D36" w:rsidP="002F3D36">
            <w:pPr>
              <w:widowControl/>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070F20B4" w14:textId="77777777" w:rsidR="002F3D36" w:rsidRPr="002F3D36" w:rsidRDefault="002F3D36" w:rsidP="002F3D36">
            <w:pPr>
              <w:widowControl/>
              <w:jc w:val="left"/>
              <w:rPr>
                <w:rFonts w:ascii="Times New Roman" w:eastAsia="微软雅黑" w:hAnsi="Times New Roman" w:cs="Times New Roman"/>
                <w:kern w:val="0"/>
                <w:sz w:val="18"/>
                <w:szCs w:val="18"/>
              </w:rPr>
            </w:pPr>
            <w:hyperlink r:id="rId67" w:history="1">
              <w:r w:rsidRPr="002F3D36">
                <w:rPr>
                  <w:rFonts w:ascii="Arial" w:eastAsia="微软雅黑" w:hAnsi="Arial" w:cs="Arial"/>
                  <w:color w:val="0000FF"/>
                  <w:kern w:val="0"/>
                  <w:sz w:val="18"/>
                  <w:szCs w:val="18"/>
                  <w:u w:val="single"/>
                </w:rPr>
                <w:t>Form of Employee performance share grant agreement (2019) to be used under the Autoliv, Inc 1997 Stock Incentive Plan, as amended and restated, incorporated herein by reference to Exhibit 10.3 to the Quarterly Report on Form 10-Q (File No. 001-12933, filing date April 26, 2019</w:t>
              </w:r>
            </w:hyperlink>
            <w:r w:rsidRPr="002F3D36">
              <w:rPr>
                <w:rFonts w:ascii="Arial" w:eastAsia="微软雅黑" w:hAnsi="Arial" w:cs="Arial"/>
                <w:color w:val="0000FF"/>
                <w:kern w:val="0"/>
                <w:sz w:val="18"/>
                <w:szCs w:val="18"/>
                <w:u w:val="single"/>
              </w:rPr>
              <w:t>).</w:t>
            </w:r>
          </w:p>
        </w:tc>
      </w:tr>
      <w:tr w:rsidR="002F3D36" w:rsidRPr="002F3D36" w14:paraId="6C5179A0" w14:textId="77777777" w:rsidTr="002F3D36">
        <w:trPr>
          <w:tblCellSpacing w:w="15" w:type="dxa"/>
        </w:trPr>
        <w:tc>
          <w:tcPr>
            <w:tcW w:w="0" w:type="auto"/>
            <w:hideMark/>
          </w:tcPr>
          <w:p w14:paraId="6FA2E935"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lastRenderedPageBreak/>
              <w:t> </w:t>
            </w:r>
          </w:p>
        </w:tc>
        <w:tc>
          <w:tcPr>
            <w:tcW w:w="0" w:type="auto"/>
            <w:hideMark/>
          </w:tcPr>
          <w:p w14:paraId="57D99688" w14:textId="77777777" w:rsidR="002F3D36" w:rsidRPr="002F3D36" w:rsidRDefault="002F3D36" w:rsidP="002F3D36">
            <w:pPr>
              <w:widowControl/>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5170B80C"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r>
      <w:tr w:rsidR="002F3D36" w:rsidRPr="002F3D36" w14:paraId="5A75F3B7" w14:textId="77777777" w:rsidTr="002F3D36">
        <w:trPr>
          <w:trHeight w:val="200"/>
          <w:tblCellSpacing w:w="15" w:type="dxa"/>
        </w:trPr>
        <w:tc>
          <w:tcPr>
            <w:tcW w:w="0" w:type="auto"/>
            <w:hideMark/>
          </w:tcPr>
          <w:p w14:paraId="0CB3E41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10.25</w:t>
            </w:r>
          </w:p>
        </w:tc>
        <w:tc>
          <w:tcPr>
            <w:tcW w:w="0" w:type="auto"/>
            <w:hideMark/>
          </w:tcPr>
          <w:p w14:paraId="6C420EA9" w14:textId="77777777" w:rsidR="002F3D36" w:rsidRPr="002F3D36" w:rsidRDefault="002F3D36" w:rsidP="002F3D36">
            <w:pPr>
              <w:widowControl/>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3D394E19" w14:textId="77777777" w:rsidR="002F3D36" w:rsidRPr="002F3D36" w:rsidRDefault="002F3D36" w:rsidP="002F3D36">
            <w:pPr>
              <w:widowControl/>
              <w:jc w:val="left"/>
              <w:rPr>
                <w:rFonts w:ascii="Times New Roman" w:eastAsia="微软雅黑" w:hAnsi="Times New Roman" w:cs="Times New Roman"/>
                <w:kern w:val="0"/>
                <w:sz w:val="20"/>
                <w:szCs w:val="20"/>
              </w:rPr>
            </w:pPr>
            <w:hyperlink r:id="rId68" w:history="1">
              <w:r w:rsidRPr="002F3D36">
                <w:rPr>
                  <w:rFonts w:ascii="Arial" w:eastAsia="微软雅黑" w:hAnsi="Arial" w:cs="Arial"/>
                  <w:color w:val="0000FF"/>
                  <w:kern w:val="0"/>
                  <w:sz w:val="18"/>
                  <w:szCs w:val="18"/>
                  <w:u w:val="single"/>
                </w:rPr>
                <w:t>SEK Facility Agreement dated June 24, 2019 between Autoliv, Inc., Autoliv ASP, Inc. and AB Svensk Exportkredit (Publ),</w:t>
              </w:r>
              <w:r w:rsidRPr="002F3D36">
                <w:rPr>
                  <w:rFonts w:ascii="Arial" w:eastAsia="微软雅黑" w:hAnsi="Arial" w:cs="Arial"/>
                  <w:color w:val="0000FF"/>
                  <w:kern w:val="0"/>
                  <w:sz w:val="20"/>
                  <w:szCs w:val="20"/>
                  <w:u w:val="single"/>
                </w:rPr>
                <w:t xml:space="preserve"> </w:t>
              </w:r>
              <w:r w:rsidRPr="002F3D36">
                <w:rPr>
                  <w:rFonts w:ascii="Arial" w:eastAsia="微软雅黑" w:hAnsi="Arial" w:cs="Arial"/>
                  <w:color w:val="0000FF"/>
                  <w:kern w:val="0"/>
                  <w:sz w:val="18"/>
                  <w:szCs w:val="18"/>
                  <w:u w:val="single"/>
                </w:rPr>
                <w:t>incorporated herein by reference to Exhibit 10.2 to the Quarterly Report on Form 10-Q (File No. 001-12933, filing date July 19, 2019).</w:t>
              </w:r>
            </w:hyperlink>
            <w:r w:rsidRPr="002F3D36">
              <w:rPr>
                <w:rFonts w:ascii="Arial" w:eastAsia="微软雅黑" w:hAnsi="Arial" w:cs="Arial"/>
                <w:color w:val="000000"/>
                <w:kern w:val="0"/>
                <w:sz w:val="18"/>
                <w:szCs w:val="18"/>
              </w:rPr>
              <w:t xml:space="preserve"> </w:t>
            </w:r>
          </w:p>
        </w:tc>
      </w:tr>
      <w:tr w:rsidR="002F3D36" w:rsidRPr="002F3D36" w14:paraId="097608DC" w14:textId="77777777" w:rsidTr="002F3D36">
        <w:trPr>
          <w:tblCellSpacing w:w="15" w:type="dxa"/>
        </w:trPr>
        <w:tc>
          <w:tcPr>
            <w:tcW w:w="0" w:type="auto"/>
            <w:hideMark/>
          </w:tcPr>
          <w:p w14:paraId="7A139D20"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5D7FD92C" w14:textId="77777777" w:rsidR="002F3D36" w:rsidRPr="002F3D36" w:rsidRDefault="002F3D36" w:rsidP="002F3D36">
            <w:pPr>
              <w:widowControl/>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0CBB5344"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r>
      <w:tr w:rsidR="002F3D36" w:rsidRPr="002F3D36" w14:paraId="5778DCD0" w14:textId="77777777" w:rsidTr="002F3D36">
        <w:trPr>
          <w:trHeight w:val="180"/>
          <w:tblCellSpacing w:w="15" w:type="dxa"/>
        </w:trPr>
        <w:tc>
          <w:tcPr>
            <w:tcW w:w="0" w:type="auto"/>
            <w:hideMark/>
          </w:tcPr>
          <w:p w14:paraId="103E996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10.26+</w:t>
            </w:r>
          </w:p>
        </w:tc>
        <w:tc>
          <w:tcPr>
            <w:tcW w:w="0" w:type="auto"/>
            <w:hideMark/>
          </w:tcPr>
          <w:p w14:paraId="4C8F7761" w14:textId="77777777" w:rsidR="002F3D36" w:rsidRPr="002F3D36" w:rsidRDefault="002F3D36" w:rsidP="002F3D36">
            <w:pPr>
              <w:widowControl/>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36E3AD37" w14:textId="77777777" w:rsidR="002F3D36" w:rsidRPr="002F3D36" w:rsidRDefault="002F3D36" w:rsidP="002F3D36">
            <w:pPr>
              <w:widowControl/>
              <w:jc w:val="left"/>
              <w:rPr>
                <w:rFonts w:ascii="Times New Roman" w:eastAsia="微软雅黑" w:hAnsi="Times New Roman" w:cs="Times New Roman"/>
                <w:kern w:val="0"/>
                <w:sz w:val="18"/>
                <w:szCs w:val="18"/>
              </w:rPr>
            </w:pPr>
            <w:hyperlink r:id="rId69" w:history="1">
              <w:r w:rsidRPr="002F3D36">
                <w:rPr>
                  <w:rFonts w:ascii="Arial" w:eastAsia="微软雅黑" w:hAnsi="Arial" w:cs="Arial"/>
                  <w:color w:val="0000FF"/>
                  <w:kern w:val="0"/>
                  <w:sz w:val="18"/>
                  <w:szCs w:val="18"/>
                  <w:u w:val="single"/>
                </w:rPr>
                <w:t>Employment Agreement, dated April 23, 2019, between Autoliv, Inc. and Frithjof Oldorff, incorporated herein by reference to Exhibit 10.3 to the Quarterly Report on Form 10-Q (File No. 001-12933, filing date October 25, 2019).</w:t>
              </w:r>
            </w:hyperlink>
          </w:p>
        </w:tc>
      </w:tr>
      <w:tr w:rsidR="002F3D36" w:rsidRPr="002F3D36" w14:paraId="7C74C89E" w14:textId="77777777" w:rsidTr="002F3D36">
        <w:trPr>
          <w:tblCellSpacing w:w="15" w:type="dxa"/>
        </w:trPr>
        <w:tc>
          <w:tcPr>
            <w:tcW w:w="0" w:type="auto"/>
            <w:hideMark/>
          </w:tcPr>
          <w:p w14:paraId="52BBFC7D"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10D23AF4" w14:textId="77777777" w:rsidR="002F3D36" w:rsidRPr="002F3D36" w:rsidRDefault="002F3D36" w:rsidP="002F3D36">
            <w:pPr>
              <w:widowControl/>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6C2C5990"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r>
      <w:tr w:rsidR="002F3D36" w:rsidRPr="002F3D36" w14:paraId="28B0265E" w14:textId="77777777" w:rsidTr="002F3D36">
        <w:trPr>
          <w:trHeight w:val="180"/>
          <w:tblCellSpacing w:w="15" w:type="dxa"/>
        </w:trPr>
        <w:tc>
          <w:tcPr>
            <w:tcW w:w="0" w:type="auto"/>
            <w:hideMark/>
          </w:tcPr>
          <w:p w14:paraId="2741576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10.27+</w:t>
            </w:r>
          </w:p>
        </w:tc>
        <w:tc>
          <w:tcPr>
            <w:tcW w:w="0" w:type="auto"/>
            <w:hideMark/>
          </w:tcPr>
          <w:p w14:paraId="10C2C397" w14:textId="77777777" w:rsidR="002F3D36" w:rsidRPr="002F3D36" w:rsidRDefault="002F3D36" w:rsidP="002F3D36">
            <w:pPr>
              <w:widowControl/>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1AD64209" w14:textId="77777777" w:rsidR="002F3D36" w:rsidRPr="002F3D36" w:rsidRDefault="002F3D36" w:rsidP="002F3D36">
            <w:pPr>
              <w:widowControl/>
              <w:jc w:val="left"/>
              <w:rPr>
                <w:rFonts w:ascii="Times New Roman" w:eastAsia="微软雅黑" w:hAnsi="Times New Roman" w:cs="Times New Roman"/>
                <w:kern w:val="0"/>
                <w:sz w:val="18"/>
                <w:szCs w:val="18"/>
              </w:rPr>
            </w:pPr>
            <w:hyperlink r:id="rId70" w:history="1">
              <w:r w:rsidRPr="002F3D36">
                <w:rPr>
                  <w:rFonts w:ascii="Arial" w:eastAsia="微软雅黑" w:hAnsi="Arial" w:cs="Arial"/>
                  <w:color w:val="0000FF"/>
                  <w:kern w:val="0"/>
                  <w:sz w:val="18"/>
                  <w:szCs w:val="18"/>
                  <w:u w:val="single"/>
                </w:rPr>
                <w:t>Employment Agreement, dated March 18, 2019, between Autoliv, Inc. and Christian Swahn, incorporated herein by reference to Exhibit 10.4 to the Quarterly Report on Form 10-Q (File No. 001-12933, filing date October 25, 2019).</w:t>
              </w:r>
            </w:hyperlink>
          </w:p>
        </w:tc>
      </w:tr>
      <w:tr w:rsidR="002F3D36" w:rsidRPr="002F3D36" w14:paraId="3743AF59" w14:textId="77777777" w:rsidTr="002F3D36">
        <w:trPr>
          <w:tblCellSpacing w:w="15" w:type="dxa"/>
        </w:trPr>
        <w:tc>
          <w:tcPr>
            <w:tcW w:w="0" w:type="auto"/>
            <w:hideMark/>
          </w:tcPr>
          <w:p w14:paraId="08BCA87D"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489869B3" w14:textId="77777777" w:rsidR="002F3D36" w:rsidRPr="002F3D36" w:rsidRDefault="002F3D36" w:rsidP="002F3D36">
            <w:pPr>
              <w:widowControl/>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1A1BCAE7"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r>
      <w:tr w:rsidR="002F3D36" w:rsidRPr="002F3D36" w14:paraId="0CDB1890" w14:textId="77777777" w:rsidTr="002F3D36">
        <w:trPr>
          <w:trHeight w:val="180"/>
          <w:tblCellSpacing w:w="15" w:type="dxa"/>
        </w:trPr>
        <w:tc>
          <w:tcPr>
            <w:tcW w:w="0" w:type="auto"/>
            <w:hideMark/>
          </w:tcPr>
          <w:p w14:paraId="3AAAC25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10.28+</w:t>
            </w:r>
          </w:p>
        </w:tc>
        <w:tc>
          <w:tcPr>
            <w:tcW w:w="0" w:type="auto"/>
            <w:hideMark/>
          </w:tcPr>
          <w:p w14:paraId="43EEA214" w14:textId="77777777" w:rsidR="002F3D36" w:rsidRPr="002F3D36" w:rsidRDefault="002F3D36" w:rsidP="002F3D36">
            <w:pPr>
              <w:widowControl/>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34CCB9A0" w14:textId="77777777" w:rsidR="002F3D36" w:rsidRPr="002F3D36" w:rsidRDefault="002F3D36" w:rsidP="002F3D36">
            <w:pPr>
              <w:widowControl/>
              <w:jc w:val="left"/>
              <w:rPr>
                <w:rFonts w:ascii="Times New Roman" w:eastAsia="微软雅黑" w:hAnsi="Times New Roman" w:cs="Times New Roman"/>
                <w:kern w:val="0"/>
                <w:sz w:val="18"/>
                <w:szCs w:val="18"/>
              </w:rPr>
            </w:pPr>
            <w:hyperlink r:id="rId71" w:history="1">
              <w:r w:rsidRPr="002F3D36">
                <w:rPr>
                  <w:rFonts w:ascii="Arial" w:eastAsia="微软雅黑" w:hAnsi="Arial" w:cs="Arial"/>
                  <w:color w:val="0000FF"/>
                  <w:kern w:val="0"/>
                  <w:sz w:val="18"/>
                  <w:szCs w:val="18"/>
                  <w:u w:val="single"/>
                </w:rPr>
                <w:t>Employment Agreement, dated February 15, 2019, between Autoliv, Inc. and Magnus Jarlegren, incorporated herein by reference to Exhibit 10.5 to the Quarterly Report on Form 10-Q (File No. 001-12933, filing date October 25, 2019).</w:t>
              </w:r>
            </w:hyperlink>
          </w:p>
          <w:p w14:paraId="2CF9F93B"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r>
      <w:tr w:rsidR="002F3D36" w:rsidRPr="002F3D36" w14:paraId="0A6AC353" w14:textId="77777777" w:rsidTr="002F3D36">
        <w:trPr>
          <w:trHeight w:val="180"/>
          <w:tblCellSpacing w:w="15" w:type="dxa"/>
        </w:trPr>
        <w:tc>
          <w:tcPr>
            <w:tcW w:w="0" w:type="auto"/>
            <w:hideMark/>
          </w:tcPr>
          <w:p w14:paraId="4C4A14C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 xml:space="preserve">10.29 </w:t>
            </w:r>
          </w:p>
        </w:tc>
        <w:tc>
          <w:tcPr>
            <w:tcW w:w="0" w:type="auto"/>
            <w:hideMark/>
          </w:tcPr>
          <w:p w14:paraId="510B95D8" w14:textId="77777777" w:rsidR="002F3D36" w:rsidRPr="002F3D36" w:rsidRDefault="002F3D36" w:rsidP="002F3D36">
            <w:pPr>
              <w:widowControl/>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448055DC" w14:textId="77777777" w:rsidR="002F3D36" w:rsidRPr="002F3D36" w:rsidRDefault="002F3D36" w:rsidP="002F3D36">
            <w:pPr>
              <w:widowControl/>
              <w:jc w:val="left"/>
              <w:rPr>
                <w:rFonts w:ascii="Times New Roman" w:eastAsia="微软雅黑" w:hAnsi="Times New Roman" w:cs="Times New Roman"/>
                <w:kern w:val="0"/>
                <w:sz w:val="18"/>
                <w:szCs w:val="18"/>
              </w:rPr>
            </w:pPr>
            <w:hyperlink r:id="rId72" w:history="1">
              <w:r w:rsidRPr="002F3D36">
                <w:rPr>
                  <w:rFonts w:ascii="Arial" w:eastAsia="微软雅黑" w:hAnsi="Arial" w:cs="Arial"/>
                  <w:color w:val="0000FF"/>
                  <w:kern w:val="0"/>
                  <w:sz w:val="18"/>
                  <w:szCs w:val="18"/>
                  <w:u w:val="single"/>
                </w:rPr>
                <w:t>Form of Indemnification Agreement between Autoliv, Inc. and its directors and certain of its executive officers, incorporated herein by reference to Exhibit 10.6 to the Quarterly Report on Form 10-Q (File No. 001-12933, filing date October 25, 2019).</w:t>
              </w:r>
            </w:hyperlink>
          </w:p>
        </w:tc>
      </w:tr>
      <w:tr w:rsidR="002F3D36" w:rsidRPr="002F3D36" w14:paraId="4A16A172" w14:textId="77777777" w:rsidTr="002F3D36">
        <w:trPr>
          <w:tblCellSpacing w:w="15" w:type="dxa"/>
        </w:trPr>
        <w:tc>
          <w:tcPr>
            <w:tcW w:w="0" w:type="auto"/>
            <w:hideMark/>
          </w:tcPr>
          <w:p w14:paraId="3CD3F7EE"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2ADB48D1" w14:textId="77777777" w:rsidR="002F3D36" w:rsidRPr="002F3D36" w:rsidRDefault="002F3D36" w:rsidP="002F3D36">
            <w:pPr>
              <w:widowControl/>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39854E39"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r>
      <w:tr w:rsidR="002F3D36" w:rsidRPr="002F3D36" w14:paraId="4CF71A61" w14:textId="77777777" w:rsidTr="002F3D36">
        <w:trPr>
          <w:trHeight w:val="220"/>
          <w:tblCellSpacing w:w="15" w:type="dxa"/>
        </w:trPr>
        <w:tc>
          <w:tcPr>
            <w:tcW w:w="0" w:type="auto"/>
            <w:hideMark/>
          </w:tcPr>
          <w:p w14:paraId="613C69DB" w14:textId="77777777" w:rsidR="002F3D36" w:rsidRPr="002F3D36" w:rsidRDefault="002F3D36" w:rsidP="002F3D36">
            <w:pPr>
              <w:widowControl/>
              <w:jc w:val="left"/>
              <w:rPr>
                <w:rFonts w:ascii="Times New Roman" w:eastAsia="微软雅黑" w:hAnsi="Times New Roman" w:cs="Times New Roman"/>
                <w:kern w:val="0"/>
                <w:sz w:val="22"/>
              </w:rPr>
            </w:pPr>
            <w:r w:rsidRPr="002F3D36">
              <w:rPr>
                <w:rFonts w:ascii="Arial" w:eastAsia="微软雅黑" w:hAnsi="Arial" w:cs="Arial"/>
                <w:color w:val="000000"/>
                <w:kern w:val="0"/>
                <w:sz w:val="18"/>
                <w:szCs w:val="18"/>
              </w:rPr>
              <w:t>10.30</w:t>
            </w:r>
            <w:r w:rsidRPr="002F3D36">
              <w:rPr>
                <w:rFonts w:ascii="Arial" w:eastAsia="微软雅黑" w:hAnsi="Arial" w:cs="Arial"/>
                <w:color w:val="000000"/>
                <w:kern w:val="0"/>
                <w:sz w:val="15"/>
                <w:szCs w:val="15"/>
              </w:rPr>
              <w:t>+</w:t>
            </w:r>
          </w:p>
        </w:tc>
        <w:tc>
          <w:tcPr>
            <w:tcW w:w="0" w:type="auto"/>
            <w:hideMark/>
          </w:tcPr>
          <w:p w14:paraId="65B5CF6C" w14:textId="77777777" w:rsidR="002F3D36" w:rsidRPr="002F3D36" w:rsidRDefault="002F3D36" w:rsidP="002F3D36">
            <w:pPr>
              <w:widowControl/>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0AE34C69" w14:textId="77777777" w:rsidR="002F3D36" w:rsidRPr="002F3D36" w:rsidRDefault="002F3D36" w:rsidP="002F3D36">
            <w:pPr>
              <w:widowControl/>
              <w:jc w:val="left"/>
              <w:rPr>
                <w:rFonts w:ascii="Times New Roman" w:eastAsia="微软雅黑" w:hAnsi="Times New Roman" w:cs="Times New Roman"/>
                <w:kern w:val="0"/>
                <w:sz w:val="18"/>
                <w:szCs w:val="18"/>
              </w:rPr>
            </w:pPr>
            <w:hyperlink r:id="rId73" w:history="1">
              <w:r w:rsidRPr="002F3D36">
                <w:rPr>
                  <w:rFonts w:ascii="Arial" w:eastAsia="微软雅黑" w:hAnsi="Arial" w:cs="Arial"/>
                  <w:color w:val="0000FF"/>
                  <w:kern w:val="0"/>
                  <w:sz w:val="18"/>
                  <w:szCs w:val="18"/>
                  <w:u w:val="single"/>
                </w:rPr>
                <w:t>Employment Agreement, dated November 26, 2019 and effective as of March 1, 2020, between Autoliv, Inc. and Fredrik Westin, incorporated herein by reference to Exhibit 10.56 to the Annual Report on Form 10-K (File No. 001-12933, filing date February 21, 2020).</w:t>
              </w:r>
            </w:hyperlink>
          </w:p>
        </w:tc>
      </w:tr>
      <w:tr w:rsidR="002F3D36" w:rsidRPr="002F3D36" w14:paraId="20D78033" w14:textId="77777777" w:rsidTr="002F3D36">
        <w:trPr>
          <w:tblCellSpacing w:w="15" w:type="dxa"/>
        </w:trPr>
        <w:tc>
          <w:tcPr>
            <w:tcW w:w="0" w:type="auto"/>
            <w:hideMark/>
          </w:tcPr>
          <w:p w14:paraId="3EBBEAF5"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4A318C2D" w14:textId="77777777" w:rsidR="002F3D36" w:rsidRPr="002F3D36" w:rsidRDefault="002F3D36" w:rsidP="002F3D36">
            <w:pPr>
              <w:widowControl/>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69DB65A6"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r>
      <w:tr w:rsidR="002F3D36" w:rsidRPr="002F3D36" w14:paraId="51FB1198" w14:textId="77777777" w:rsidTr="002F3D36">
        <w:trPr>
          <w:trHeight w:val="220"/>
          <w:tblCellSpacing w:w="15" w:type="dxa"/>
        </w:trPr>
        <w:tc>
          <w:tcPr>
            <w:tcW w:w="0" w:type="auto"/>
            <w:hideMark/>
          </w:tcPr>
          <w:p w14:paraId="065DF7C7" w14:textId="77777777" w:rsidR="002F3D36" w:rsidRPr="002F3D36" w:rsidRDefault="002F3D36" w:rsidP="002F3D36">
            <w:pPr>
              <w:widowControl/>
              <w:jc w:val="left"/>
              <w:rPr>
                <w:rFonts w:ascii="Times New Roman" w:eastAsia="微软雅黑" w:hAnsi="Times New Roman" w:cs="Times New Roman"/>
                <w:kern w:val="0"/>
                <w:sz w:val="22"/>
              </w:rPr>
            </w:pPr>
            <w:r w:rsidRPr="002F3D36">
              <w:rPr>
                <w:rFonts w:ascii="Arial" w:eastAsia="微软雅黑" w:hAnsi="Arial" w:cs="Arial"/>
                <w:color w:val="000000"/>
                <w:kern w:val="0"/>
                <w:sz w:val="18"/>
                <w:szCs w:val="18"/>
              </w:rPr>
              <w:t>10.31</w:t>
            </w:r>
            <w:r w:rsidRPr="002F3D36">
              <w:rPr>
                <w:rFonts w:ascii="Arial" w:eastAsia="微软雅黑" w:hAnsi="Arial" w:cs="Arial"/>
                <w:color w:val="000000"/>
                <w:kern w:val="0"/>
                <w:sz w:val="15"/>
                <w:szCs w:val="15"/>
              </w:rPr>
              <w:t>+</w:t>
            </w:r>
          </w:p>
        </w:tc>
        <w:tc>
          <w:tcPr>
            <w:tcW w:w="0" w:type="auto"/>
            <w:hideMark/>
          </w:tcPr>
          <w:p w14:paraId="5DF73933" w14:textId="77777777" w:rsidR="002F3D36" w:rsidRPr="002F3D36" w:rsidRDefault="002F3D36" w:rsidP="002F3D36">
            <w:pPr>
              <w:widowControl/>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705A444C" w14:textId="77777777" w:rsidR="002F3D36" w:rsidRPr="002F3D36" w:rsidRDefault="002F3D36" w:rsidP="002F3D36">
            <w:pPr>
              <w:widowControl/>
              <w:jc w:val="left"/>
              <w:rPr>
                <w:rFonts w:ascii="Times New Roman" w:eastAsia="微软雅黑" w:hAnsi="Times New Roman" w:cs="Times New Roman"/>
                <w:kern w:val="0"/>
                <w:sz w:val="18"/>
                <w:szCs w:val="18"/>
              </w:rPr>
            </w:pPr>
            <w:hyperlink r:id="rId74" w:history="1">
              <w:r w:rsidRPr="002F3D36">
                <w:rPr>
                  <w:rFonts w:ascii="Arial" w:eastAsia="微软雅黑" w:hAnsi="Arial" w:cs="Arial"/>
                  <w:color w:val="0000FF"/>
                  <w:kern w:val="0"/>
                  <w:sz w:val="18"/>
                  <w:szCs w:val="18"/>
                  <w:u w:val="single"/>
                </w:rPr>
                <w:t>Employment Agreement, dated January 23, 2020, between Autoliv, Inc. and Svante Mogefors, incorporated herein by reference to Exhibit 10.58 to the Annual Report on Form 10-K (File No. 001-12933, filing date February 21, 2020).</w:t>
              </w:r>
            </w:hyperlink>
          </w:p>
        </w:tc>
      </w:tr>
      <w:tr w:rsidR="002F3D36" w:rsidRPr="002F3D36" w14:paraId="50C19BE2" w14:textId="77777777" w:rsidTr="002F3D36">
        <w:trPr>
          <w:tblCellSpacing w:w="15" w:type="dxa"/>
        </w:trPr>
        <w:tc>
          <w:tcPr>
            <w:tcW w:w="0" w:type="auto"/>
            <w:hideMark/>
          </w:tcPr>
          <w:p w14:paraId="27DEC2F8"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27EA7A43" w14:textId="77777777" w:rsidR="002F3D36" w:rsidRPr="002F3D36" w:rsidRDefault="002F3D36" w:rsidP="002F3D36">
            <w:pPr>
              <w:widowControl/>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696131D5"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r>
      <w:tr w:rsidR="002F3D36" w:rsidRPr="002F3D36" w14:paraId="6A3DBD04" w14:textId="77777777" w:rsidTr="002F3D36">
        <w:trPr>
          <w:trHeight w:val="220"/>
          <w:tblCellSpacing w:w="15" w:type="dxa"/>
        </w:trPr>
        <w:tc>
          <w:tcPr>
            <w:tcW w:w="0" w:type="auto"/>
            <w:hideMark/>
          </w:tcPr>
          <w:p w14:paraId="2E860F55" w14:textId="77777777" w:rsidR="002F3D36" w:rsidRPr="002F3D36" w:rsidRDefault="002F3D36" w:rsidP="002F3D36">
            <w:pPr>
              <w:widowControl/>
              <w:jc w:val="left"/>
              <w:rPr>
                <w:rFonts w:ascii="Times New Roman" w:eastAsia="微软雅黑" w:hAnsi="Times New Roman" w:cs="Times New Roman"/>
                <w:kern w:val="0"/>
                <w:sz w:val="22"/>
              </w:rPr>
            </w:pPr>
            <w:r w:rsidRPr="002F3D36">
              <w:rPr>
                <w:rFonts w:ascii="Arial" w:eastAsia="微软雅黑" w:hAnsi="Arial" w:cs="Arial"/>
                <w:color w:val="000000"/>
                <w:kern w:val="0"/>
                <w:sz w:val="18"/>
                <w:szCs w:val="18"/>
              </w:rPr>
              <w:t>10.32</w:t>
            </w:r>
            <w:r w:rsidRPr="002F3D36">
              <w:rPr>
                <w:rFonts w:ascii="Arial" w:eastAsia="微软雅黑" w:hAnsi="Arial" w:cs="Arial"/>
                <w:color w:val="000000"/>
                <w:kern w:val="0"/>
                <w:sz w:val="15"/>
                <w:szCs w:val="15"/>
              </w:rPr>
              <w:t>+</w:t>
            </w:r>
          </w:p>
        </w:tc>
        <w:tc>
          <w:tcPr>
            <w:tcW w:w="0" w:type="auto"/>
            <w:hideMark/>
          </w:tcPr>
          <w:p w14:paraId="68070EBC" w14:textId="77777777" w:rsidR="002F3D36" w:rsidRPr="002F3D36" w:rsidRDefault="002F3D36" w:rsidP="002F3D36">
            <w:pPr>
              <w:widowControl/>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71CD40D9" w14:textId="77777777" w:rsidR="002F3D36" w:rsidRPr="002F3D36" w:rsidRDefault="002F3D36" w:rsidP="002F3D36">
            <w:pPr>
              <w:widowControl/>
              <w:jc w:val="left"/>
              <w:rPr>
                <w:rFonts w:ascii="Times New Roman" w:eastAsia="微软雅黑" w:hAnsi="Times New Roman" w:cs="Times New Roman"/>
                <w:kern w:val="0"/>
                <w:sz w:val="18"/>
                <w:szCs w:val="18"/>
              </w:rPr>
            </w:pPr>
            <w:hyperlink r:id="rId75" w:history="1">
              <w:r w:rsidRPr="002F3D36">
                <w:rPr>
                  <w:rFonts w:ascii="Arial" w:eastAsia="微软雅黑" w:hAnsi="Arial" w:cs="Arial"/>
                  <w:color w:val="0000FF"/>
                  <w:kern w:val="0"/>
                  <w:sz w:val="18"/>
                  <w:szCs w:val="18"/>
                  <w:u w:val="single"/>
                </w:rPr>
                <w:t>Form of Employee 2020 restricted stock units grant agreement promised under the Autoliv, Inc 1997 Stock Incentive Plan, as amended and restated, incorporated herein by reference to Exhibit 10.4 to the Quarterly Report on Form 10-Q (File No. 001-12933, filing date April 24, 2020).</w:t>
              </w:r>
            </w:hyperlink>
          </w:p>
        </w:tc>
      </w:tr>
      <w:tr w:rsidR="002F3D36" w:rsidRPr="002F3D36" w14:paraId="6F6EC5A3" w14:textId="77777777" w:rsidTr="002F3D36">
        <w:trPr>
          <w:tblCellSpacing w:w="15" w:type="dxa"/>
        </w:trPr>
        <w:tc>
          <w:tcPr>
            <w:tcW w:w="0" w:type="auto"/>
            <w:hideMark/>
          </w:tcPr>
          <w:p w14:paraId="5D8929C7"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7214A3A3" w14:textId="77777777" w:rsidR="002F3D36" w:rsidRPr="002F3D36" w:rsidRDefault="002F3D36" w:rsidP="002F3D36">
            <w:pPr>
              <w:widowControl/>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1CD69715"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r>
      <w:tr w:rsidR="002F3D36" w:rsidRPr="002F3D36" w14:paraId="4C111216" w14:textId="77777777" w:rsidTr="002F3D36">
        <w:trPr>
          <w:trHeight w:val="220"/>
          <w:tblCellSpacing w:w="15" w:type="dxa"/>
        </w:trPr>
        <w:tc>
          <w:tcPr>
            <w:tcW w:w="0" w:type="auto"/>
            <w:hideMark/>
          </w:tcPr>
          <w:p w14:paraId="07A0E339" w14:textId="77777777" w:rsidR="002F3D36" w:rsidRPr="002F3D36" w:rsidRDefault="002F3D36" w:rsidP="002F3D36">
            <w:pPr>
              <w:widowControl/>
              <w:jc w:val="left"/>
              <w:rPr>
                <w:rFonts w:ascii="Times New Roman" w:eastAsia="微软雅黑" w:hAnsi="Times New Roman" w:cs="Times New Roman"/>
                <w:kern w:val="0"/>
                <w:sz w:val="22"/>
              </w:rPr>
            </w:pPr>
            <w:r w:rsidRPr="002F3D36">
              <w:rPr>
                <w:rFonts w:ascii="Arial" w:eastAsia="微软雅黑" w:hAnsi="Arial" w:cs="Arial"/>
                <w:color w:val="000000"/>
                <w:kern w:val="0"/>
                <w:sz w:val="18"/>
                <w:szCs w:val="18"/>
              </w:rPr>
              <w:t>10.33</w:t>
            </w:r>
            <w:r w:rsidRPr="002F3D36">
              <w:rPr>
                <w:rFonts w:ascii="Arial" w:eastAsia="微软雅黑" w:hAnsi="Arial" w:cs="Arial"/>
                <w:color w:val="000000"/>
                <w:kern w:val="0"/>
                <w:sz w:val="15"/>
                <w:szCs w:val="15"/>
              </w:rPr>
              <w:t>+</w:t>
            </w:r>
          </w:p>
        </w:tc>
        <w:tc>
          <w:tcPr>
            <w:tcW w:w="0" w:type="auto"/>
            <w:hideMark/>
          </w:tcPr>
          <w:p w14:paraId="4239AF7D" w14:textId="77777777" w:rsidR="002F3D36" w:rsidRPr="002F3D36" w:rsidRDefault="002F3D36" w:rsidP="002F3D36">
            <w:pPr>
              <w:widowControl/>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3A0E2793" w14:textId="77777777" w:rsidR="002F3D36" w:rsidRPr="002F3D36" w:rsidRDefault="002F3D36" w:rsidP="002F3D36">
            <w:pPr>
              <w:widowControl/>
              <w:jc w:val="left"/>
              <w:rPr>
                <w:rFonts w:ascii="Times New Roman" w:eastAsia="微软雅黑" w:hAnsi="Times New Roman" w:cs="Times New Roman"/>
                <w:kern w:val="0"/>
                <w:sz w:val="18"/>
                <w:szCs w:val="18"/>
              </w:rPr>
            </w:pPr>
            <w:hyperlink r:id="rId76" w:history="1">
              <w:r w:rsidRPr="002F3D36">
                <w:rPr>
                  <w:rFonts w:ascii="Arial" w:eastAsia="微软雅黑" w:hAnsi="Arial" w:cs="Arial"/>
                  <w:color w:val="0000FF"/>
                  <w:kern w:val="0"/>
                  <w:sz w:val="18"/>
                  <w:szCs w:val="18"/>
                  <w:u w:val="single"/>
                </w:rPr>
                <w:t>Form of Employee 2020 performance share units grant agreement promised under the Autoliv, Inc 1997 Stock Incentive Plan, as amended and restated, incorporated herein by reference to Exhibit 10.5 to the Quarterly Report on Form 10-Q (File No. 001-12933, filing date April 24, 2020).</w:t>
              </w:r>
            </w:hyperlink>
          </w:p>
        </w:tc>
      </w:tr>
      <w:tr w:rsidR="002F3D36" w:rsidRPr="002F3D36" w14:paraId="11EDDE1A" w14:textId="77777777" w:rsidTr="002F3D36">
        <w:trPr>
          <w:tblCellSpacing w:w="15" w:type="dxa"/>
        </w:trPr>
        <w:tc>
          <w:tcPr>
            <w:tcW w:w="0" w:type="auto"/>
            <w:hideMark/>
          </w:tcPr>
          <w:p w14:paraId="45EFAE1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16F73307" w14:textId="77777777" w:rsidR="002F3D36" w:rsidRPr="002F3D36" w:rsidRDefault="002F3D36" w:rsidP="002F3D36">
            <w:pPr>
              <w:widowControl/>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246D58A1"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r>
      <w:tr w:rsidR="002F3D36" w:rsidRPr="002F3D36" w14:paraId="56F6AB84" w14:textId="77777777" w:rsidTr="002F3D36">
        <w:trPr>
          <w:trHeight w:val="180"/>
          <w:tblCellSpacing w:w="15" w:type="dxa"/>
        </w:trPr>
        <w:tc>
          <w:tcPr>
            <w:tcW w:w="0" w:type="auto"/>
            <w:hideMark/>
          </w:tcPr>
          <w:p w14:paraId="6D6E351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10.34</w:t>
            </w:r>
          </w:p>
        </w:tc>
        <w:tc>
          <w:tcPr>
            <w:tcW w:w="0" w:type="auto"/>
            <w:hideMark/>
          </w:tcPr>
          <w:p w14:paraId="37F82659" w14:textId="77777777" w:rsidR="002F3D36" w:rsidRPr="002F3D36" w:rsidRDefault="002F3D36" w:rsidP="002F3D36">
            <w:pPr>
              <w:widowControl/>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45E40092" w14:textId="77777777" w:rsidR="002F3D36" w:rsidRPr="002F3D36" w:rsidRDefault="002F3D36" w:rsidP="002F3D36">
            <w:pPr>
              <w:widowControl/>
              <w:jc w:val="left"/>
              <w:rPr>
                <w:rFonts w:ascii="Times New Roman" w:eastAsia="微软雅黑" w:hAnsi="Times New Roman" w:cs="Times New Roman"/>
                <w:kern w:val="0"/>
                <w:sz w:val="18"/>
                <w:szCs w:val="18"/>
              </w:rPr>
            </w:pPr>
            <w:hyperlink r:id="rId77" w:history="1">
              <w:r w:rsidRPr="002F3D36">
                <w:rPr>
                  <w:rFonts w:ascii="Arial" w:eastAsia="微软雅黑" w:hAnsi="Arial" w:cs="Arial"/>
                  <w:color w:val="0000FF"/>
                  <w:kern w:val="0"/>
                  <w:sz w:val="18"/>
                  <w:szCs w:val="18"/>
                  <w:u w:val="single"/>
                </w:rPr>
                <w:t>Facility Agreement, dated May 28, 2020, by and among Autoliv AB, as borrower, Autoliv, Inc. and Autoliv ASP, as guarantors, and AB Svensk Exportkredit, as lender, incorporated herein by reference to Exhibit 10.1 to the Quarterly Report on Form 10-Q (File No. 001-12933, filing date July 17, 2020).</w:t>
              </w:r>
            </w:hyperlink>
          </w:p>
        </w:tc>
      </w:tr>
      <w:tr w:rsidR="002F3D36" w:rsidRPr="002F3D36" w14:paraId="7AC6F0BE" w14:textId="77777777" w:rsidTr="002F3D36">
        <w:trPr>
          <w:tblCellSpacing w:w="15" w:type="dxa"/>
        </w:trPr>
        <w:tc>
          <w:tcPr>
            <w:tcW w:w="0" w:type="auto"/>
            <w:hideMark/>
          </w:tcPr>
          <w:p w14:paraId="501ED5E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4A0198F3" w14:textId="77777777" w:rsidR="002F3D36" w:rsidRPr="002F3D36" w:rsidRDefault="002F3D36" w:rsidP="002F3D36">
            <w:pPr>
              <w:widowControl/>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3A55706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6FFF8943" w14:textId="77777777" w:rsidTr="002F3D36">
        <w:trPr>
          <w:trHeight w:val="220"/>
          <w:tblCellSpacing w:w="15" w:type="dxa"/>
        </w:trPr>
        <w:tc>
          <w:tcPr>
            <w:tcW w:w="0" w:type="auto"/>
            <w:hideMark/>
          </w:tcPr>
          <w:p w14:paraId="3D0E9F7C" w14:textId="77777777" w:rsidR="002F3D36" w:rsidRPr="002F3D36" w:rsidRDefault="002F3D36" w:rsidP="002F3D36">
            <w:pPr>
              <w:widowControl/>
              <w:jc w:val="left"/>
              <w:rPr>
                <w:rFonts w:ascii="Times New Roman" w:eastAsia="微软雅黑" w:hAnsi="Times New Roman" w:cs="Times New Roman"/>
                <w:kern w:val="0"/>
                <w:sz w:val="22"/>
              </w:rPr>
            </w:pPr>
            <w:r w:rsidRPr="002F3D36">
              <w:rPr>
                <w:rFonts w:ascii="Arial" w:eastAsia="微软雅黑" w:hAnsi="Arial" w:cs="Arial"/>
                <w:color w:val="000000"/>
                <w:kern w:val="0"/>
                <w:sz w:val="18"/>
                <w:szCs w:val="18"/>
              </w:rPr>
              <w:t>10.35</w:t>
            </w:r>
            <w:r w:rsidRPr="002F3D36">
              <w:rPr>
                <w:rFonts w:ascii="Arial" w:eastAsia="微软雅黑" w:hAnsi="Arial" w:cs="Arial"/>
                <w:color w:val="000000"/>
                <w:kern w:val="0"/>
                <w:sz w:val="15"/>
                <w:szCs w:val="15"/>
              </w:rPr>
              <w:t>+</w:t>
            </w:r>
          </w:p>
        </w:tc>
        <w:tc>
          <w:tcPr>
            <w:tcW w:w="0" w:type="auto"/>
            <w:hideMark/>
          </w:tcPr>
          <w:p w14:paraId="750938A0" w14:textId="77777777" w:rsidR="002F3D36" w:rsidRPr="002F3D36" w:rsidRDefault="002F3D36" w:rsidP="002F3D36">
            <w:pPr>
              <w:widowControl/>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7DCE577E" w14:textId="77777777" w:rsidR="002F3D36" w:rsidRPr="002F3D36" w:rsidRDefault="002F3D36" w:rsidP="002F3D36">
            <w:pPr>
              <w:widowControl/>
              <w:jc w:val="left"/>
              <w:rPr>
                <w:rFonts w:ascii="Times New Roman" w:eastAsia="微软雅黑" w:hAnsi="Times New Roman" w:cs="Times New Roman"/>
                <w:kern w:val="0"/>
                <w:sz w:val="18"/>
                <w:szCs w:val="18"/>
              </w:rPr>
            </w:pPr>
            <w:hyperlink r:id="rId78" w:history="1">
              <w:r w:rsidRPr="002F3D36">
                <w:rPr>
                  <w:rFonts w:ascii="Arial" w:eastAsia="微软雅黑" w:hAnsi="Arial" w:cs="Arial"/>
                  <w:color w:val="0000FF"/>
                  <w:kern w:val="0"/>
                  <w:sz w:val="18"/>
                  <w:szCs w:val="18"/>
                  <w:u w:val="single"/>
                </w:rPr>
                <w:t>Form of Non-Employee Directors 2020 restricted stock units grant agreement under the Autoliv, Inc 1997 Stock Incentive Plan, as amended and restated, incorporated herein by reference to Exhibit 10.2 to the Quarterly Report on Form 10-Q (File No. 001-12933, filing date July 17, 2020).</w:t>
              </w:r>
            </w:hyperlink>
          </w:p>
        </w:tc>
      </w:tr>
      <w:tr w:rsidR="002F3D36" w:rsidRPr="002F3D36" w14:paraId="180E9F69" w14:textId="77777777" w:rsidTr="002F3D36">
        <w:trPr>
          <w:tblCellSpacing w:w="15" w:type="dxa"/>
        </w:trPr>
        <w:tc>
          <w:tcPr>
            <w:tcW w:w="0" w:type="auto"/>
            <w:hideMark/>
          </w:tcPr>
          <w:p w14:paraId="3941BF5C"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2A56F52E" w14:textId="77777777" w:rsidR="002F3D36" w:rsidRPr="002F3D36" w:rsidRDefault="002F3D36" w:rsidP="002F3D36">
            <w:pPr>
              <w:widowControl/>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6508A77F"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r>
      <w:tr w:rsidR="002F3D36" w:rsidRPr="002F3D36" w14:paraId="09BCF1BA" w14:textId="77777777" w:rsidTr="002F3D36">
        <w:trPr>
          <w:trHeight w:val="220"/>
          <w:tblCellSpacing w:w="15" w:type="dxa"/>
        </w:trPr>
        <w:tc>
          <w:tcPr>
            <w:tcW w:w="0" w:type="auto"/>
            <w:hideMark/>
          </w:tcPr>
          <w:p w14:paraId="040644AF" w14:textId="77777777" w:rsidR="002F3D36" w:rsidRPr="002F3D36" w:rsidRDefault="002F3D36" w:rsidP="002F3D36">
            <w:pPr>
              <w:widowControl/>
              <w:jc w:val="left"/>
              <w:rPr>
                <w:rFonts w:ascii="Times New Roman" w:eastAsia="微软雅黑" w:hAnsi="Times New Roman" w:cs="Times New Roman"/>
                <w:kern w:val="0"/>
                <w:sz w:val="22"/>
              </w:rPr>
            </w:pPr>
            <w:r w:rsidRPr="002F3D36">
              <w:rPr>
                <w:rFonts w:ascii="Arial" w:eastAsia="微软雅黑" w:hAnsi="Arial" w:cs="Arial"/>
                <w:color w:val="000000"/>
                <w:kern w:val="0"/>
                <w:sz w:val="18"/>
                <w:szCs w:val="18"/>
              </w:rPr>
              <w:t>10.36</w:t>
            </w:r>
            <w:r w:rsidRPr="002F3D36">
              <w:rPr>
                <w:rFonts w:ascii="Arial" w:eastAsia="微软雅黑" w:hAnsi="Arial" w:cs="Arial"/>
                <w:color w:val="000000"/>
                <w:kern w:val="0"/>
                <w:sz w:val="15"/>
                <w:szCs w:val="15"/>
              </w:rPr>
              <w:t>+</w:t>
            </w:r>
          </w:p>
        </w:tc>
        <w:tc>
          <w:tcPr>
            <w:tcW w:w="0" w:type="auto"/>
            <w:hideMark/>
          </w:tcPr>
          <w:p w14:paraId="7F859043" w14:textId="77777777" w:rsidR="002F3D36" w:rsidRPr="002F3D36" w:rsidRDefault="002F3D36" w:rsidP="002F3D36">
            <w:pPr>
              <w:widowControl/>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41FC5E5D" w14:textId="77777777" w:rsidR="002F3D36" w:rsidRPr="002F3D36" w:rsidRDefault="002F3D36" w:rsidP="002F3D36">
            <w:pPr>
              <w:widowControl/>
              <w:jc w:val="left"/>
              <w:rPr>
                <w:rFonts w:ascii="Times New Roman" w:eastAsia="微软雅黑" w:hAnsi="Times New Roman" w:cs="Times New Roman"/>
                <w:kern w:val="0"/>
                <w:sz w:val="18"/>
                <w:szCs w:val="18"/>
              </w:rPr>
            </w:pPr>
            <w:hyperlink r:id="rId79" w:history="1">
              <w:r w:rsidRPr="002F3D36">
                <w:rPr>
                  <w:rFonts w:ascii="Arial" w:eastAsia="微软雅黑" w:hAnsi="Arial" w:cs="Arial"/>
                  <w:color w:val="0000FF"/>
                  <w:kern w:val="0"/>
                  <w:sz w:val="18"/>
                  <w:szCs w:val="18"/>
                  <w:u w:val="single"/>
                </w:rPr>
                <w:t>Employment Agreement, dated May 20, 2020 and effective as of July 1, 2020, between Autoliv, Inc. and Per Ericson, incorporated herein by reference to Exhibit 10.3 to the Quarterly Report on Form 10-Q (File No. 001-12933, filing date July 17, 2020).</w:t>
              </w:r>
            </w:hyperlink>
          </w:p>
        </w:tc>
      </w:tr>
      <w:tr w:rsidR="002F3D36" w:rsidRPr="002F3D36" w14:paraId="1594DEA8" w14:textId="77777777" w:rsidTr="002F3D36">
        <w:trPr>
          <w:tblCellSpacing w:w="15" w:type="dxa"/>
        </w:trPr>
        <w:tc>
          <w:tcPr>
            <w:tcW w:w="0" w:type="auto"/>
            <w:hideMark/>
          </w:tcPr>
          <w:p w14:paraId="30921B2D"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7029666F" w14:textId="77777777" w:rsidR="002F3D36" w:rsidRPr="002F3D36" w:rsidRDefault="002F3D36" w:rsidP="002F3D36">
            <w:pPr>
              <w:widowControl/>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7F4BAF66"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r>
      <w:tr w:rsidR="002F3D36" w:rsidRPr="002F3D36" w14:paraId="5421EA97" w14:textId="77777777" w:rsidTr="002F3D36">
        <w:trPr>
          <w:trHeight w:val="220"/>
          <w:tblCellSpacing w:w="15" w:type="dxa"/>
        </w:trPr>
        <w:tc>
          <w:tcPr>
            <w:tcW w:w="0" w:type="auto"/>
            <w:hideMark/>
          </w:tcPr>
          <w:p w14:paraId="0B2E9D97" w14:textId="77777777" w:rsidR="002F3D36" w:rsidRPr="002F3D36" w:rsidRDefault="002F3D36" w:rsidP="002F3D36">
            <w:pPr>
              <w:widowControl/>
              <w:jc w:val="left"/>
              <w:rPr>
                <w:rFonts w:ascii="Times New Roman" w:eastAsia="微软雅黑" w:hAnsi="Times New Roman" w:cs="Times New Roman"/>
                <w:kern w:val="0"/>
                <w:sz w:val="22"/>
              </w:rPr>
            </w:pPr>
            <w:r w:rsidRPr="002F3D36">
              <w:rPr>
                <w:rFonts w:ascii="Arial" w:eastAsia="微软雅黑" w:hAnsi="Arial" w:cs="Arial"/>
                <w:color w:val="000000"/>
                <w:kern w:val="0"/>
                <w:sz w:val="18"/>
                <w:szCs w:val="18"/>
              </w:rPr>
              <w:t>10.37</w:t>
            </w:r>
            <w:r w:rsidRPr="002F3D36">
              <w:rPr>
                <w:rFonts w:ascii="Arial" w:eastAsia="微软雅黑" w:hAnsi="Arial" w:cs="Arial"/>
                <w:color w:val="000000"/>
                <w:kern w:val="0"/>
                <w:sz w:val="15"/>
                <w:szCs w:val="15"/>
              </w:rPr>
              <w:t>+</w:t>
            </w:r>
          </w:p>
        </w:tc>
        <w:tc>
          <w:tcPr>
            <w:tcW w:w="0" w:type="auto"/>
            <w:hideMark/>
          </w:tcPr>
          <w:p w14:paraId="16605312" w14:textId="77777777" w:rsidR="002F3D36" w:rsidRPr="002F3D36" w:rsidRDefault="002F3D36" w:rsidP="002F3D36">
            <w:pPr>
              <w:widowControl/>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085F8946" w14:textId="77777777" w:rsidR="002F3D36" w:rsidRPr="002F3D36" w:rsidRDefault="002F3D36" w:rsidP="002F3D36">
            <w:pPr>
              <w:widowControl/>
              <w:jc w:val="left"/>
              <w:rPr>
                <w:rFonts w:ascii="Times New Roman" w:eastAsia="微软雅黑" w:hAnsi="Times New Roman" w:cs="Times New Roman"/>
                <w:kern w:val="0"/>
                <w:sz w:val="18"/>
                <w:szCs w:val="18"/>
              </w:rPr>
            </w:pPr>
            <w:hyperlink r:id="rId80" w:history="1">
              <w:r w:rsidRPr="002F3D36">
                <w:rPr>
                  <w:rFonts w:ascii="Arial" w:eastAsia="微软雅黑" w:hAnsi="Arial" w:cs="Arial"/>
                  <w:color w:val="0000FF"/>
                  <w:kern w:val="0"/>
                  <w:sz w:val="18"/>
                  <w:szCs w:val="18"/>
                  <w:u w:val="single"/>
                </w:rPr>
                <w:t>Employment Agreement, dated June 8, 2020 and effective as of June 15, 2020, between Autoliv, Inc. and Kevin Fox, incorporated herein by reference to Exhibit 10.4 to the Quarterly Report on Form 10-Q (File No. 001-12933, filing date July 17, 2020).</w:t>
              </w:r>
            </w:hyperlink>
          </w:p>
        </w:tc>
      </w:tr>
      <w:tr w:rsidR="002F3D36" w:rsidRPr="002F3D36" w14:paraId="021F6077" w14:textId="77777777" w:rsidTr="002F3D36">
        <w:trPr>
          <w:tblCellSpacing w:w="15" w:type="dxa"/>
        </w:trPr>
        <w:tc>
          <w:tcPr>
            <w:tcW w:w="0" w:type="auto"/>
            <w:hideMark/>
          </w:tcPr>
          <w:p w14:paraId="34318A7B"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6B9A728A" w14:textId="77777777" w:rsidR="002F3D36" w:rsidRPr="002F3D36" w:rsidRDefault="002F3D36" w:rsidP="002F3D36">
            <w:pPr>
              <w:widowControl/>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1F28FA84"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r>
    </w:tbl>
    <w:p w14:paraId="08C465CA" w14:textId="77777777" w:rsidR="002F3D36" w:rsidRPr="002F3D36" w:rsidRDefault="002F3D36" w:rsidP="002F3D36">
      <w:pPr>
        <w:widowControl/>
        <w:jc w:val="left"/>
        <w:rPr>
          <w:rFonts w:ascii="Times New Roman" w:eastAsia="宋体" w:hAnsi="Times New Roman" w:cs="Times New Roman"/>
          <w:color w:val="000000"/>
          <w:kern w:val="0"/>
          <w:sz w:val="20"/>
          <w:szCs w:val="20"/>
        </w:rPr>
      </w:pPr>
      <w:r w:rsidRPr="002F3D36">
        <w:rPr>
          <w:rFonts w:ascii="Times New Roman" w:eastAsia="宋体" w:hAnsi="Times New Roman" w:cs="Times New Roman"/>
          <w:color w:val="000000"/>
          <w:kern w:val="0"/>
          <w:sz w:val="20"/>
          <w:szCs w:val="20"/>
        </w:rPr>
        <w:t> </w:t>
      </w:r>
    </w:p>
    <w:p w14:paraId="71819E78" w14:textId="77777777" w:rsidR="002F3D36" w:rsidRPr="002F3D36" w:rsidRDefault="002F3D36" w:rsidP="002F3D36">
      <w:pPr>
        <w:widowControl/>
        <w:spacing w:before="240"/>
        <w:jc w:val="center"/>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95</w:t>
      </w:r>
    </w:p>
    <w:p w14:paraId="14A9593F" w14:textId="77777777" w:rsidR="002F3D36" w:rsidRPr="002F3D36" w:rsidRDefault="002F3D36" w:rsidP="002F3D36">
      <w:pPr>
        <w:widowControl/>
        <w:jc w:val="left"/>
        <w:rPr>
          <w:rFonts w:ascii="宋体" w:eastAsia="宋体" w:hAnsi="宋体" w:cs="宋体"/>
          <w:kern w:val="0"/>
          <w:sz w:val="24"/>
          <w:szCs w:val="24"/>
        </w:rPr>
      </w:pPr>
      <w:r w:rsidRPr="002F3D36">
        <w:rPr>
          <w:rFonts w:ascii="宋体" w:eastAsia="宋体" w:hAnsi="宋体" w:cs="宋体"/>
          <w:kern w:val="0"/>
          <w:sz w:val="24"/>
          <w:szCs w:val="24"/>
        </w:rPr>
        <w:pict w14:anchorId="0CDA1B38">
          <v:rect id="_x0000_i1122" style="width:0;height:1.5pt" o:hralign="center" o:hrstd="t" o:hrnoshade="t" o:hr="t" fillcolor="black" stroked="f"/>
        </w:pict>
      </w:r>
    </w:p>
    <w:p w14:paraId="3FD19396" w14:textId="77777777" w:rsidR="002F3D36" w:rsidRPr="002F3D36" w:rsidRDefault="002F3D36" w:rsidP="002F3D36">
      <w:pPr>
        <w:widowControl/>
        <w:spacing w:line="20" w:lineRule="atLeast"/>
        <w:jc w:val="left"/>
        <w:rPr>
          <w:rFonts w:ascii="Times New Roman" w:eastAsia="宋体" w:hAnsi="Times New Roman" w:cs="Times New Roman"/>
          <w:color w:val="000000"/>
          <w:kern w:val="0"/>
          <w:sz w:val="20"/>
          <w:szCs w:val="20"/>
        </w:rPr>
      </w:pPr>
      <w:r w:rsidRPr="002F3D36">
        <w:rPr>
          <w:rFonts w:ascii="Arial" w:eastAsia="宋体" w:hAnsi="Arial" w:cs="Arial"/>
          <w:color w:val="000000"/>
          <w:kern w:val="0"/>
          <w:sz w:val="2"/>
          <w:szCs w:val="2"/>
        </w:rPr>
        <w:lastRenderedPageBreak/>
        <w:t> </w:t>
      </w:r>
    </w:p>
    <w:tbl>
      <w:tblPr>
        <w:tblW w:w="20614" w:type="dxa"/>
        <w:tblCellSpacing w:w="15" w:type="dxa"/>
        <w:tblCellMar>
          <w:top w:w="15" w:type="dxa"/>
          <w:left w:w="15" w:type="dxa"/>
          <w:bottom w:w="15" w:type="dxa"/>
          <w:right w:w="15" w:type="dxa"/>
        </w:tblCellMar>
        <w:tblLook w:val="04A0" w:firstRow="1" w:lastRow="0" w:firstColumn="1" w:lastColumn="0" w:noHBand="0" w:noVBand="1"/>
      </w:tblPr>
      <w:tblGrid>
        <w:gridCol w:w="1536"/>
        <w:gridCol w:w="212"/>
        <w:gridCol w:w="18866"/>
      </w:tblGrid>
      <w:tr w:rsidR="002F3D36" w:rsidRPr="002F3D36" w14:paraId="243341C6" w14:textId="77777777" w:rsidTr="002F3D36">
        <w:trPr>
          <w:tblCellSpacing w:w="15" w:type="dxa"/>
        </w:trPr>
        <w:tc>
          <w:tcPr>
            <w:tcW w:w="1642" w:type="dxa"/>
            <w:vAlign w:val="center"/>
            <w:hideMark/>
          </w:tcPr>
          <w:p w14:paraId="6617C931" w14:textId="77777777" w:rsidR="002F3D36" w:rsidRPr="002F3D36" w:rsidRDefault="002F3D36" w:rsidP="002F3D36">
            <w:pPr>
              <w:widowControl/>
              <w:jc w:val="left"/>
              <w:rPr>
                <w:rFonts w:ascii="Times New Roman" w:eastAsia="宋体" w:hAnsi="Times New Roman" w:cs="Times New Roman"/>
                <w:color w:val="000000"/>
                <w:kern w:val="0"/>
                <w:sz w:val="20"/>
                <w:szCs w:val="20"/>
              </w:rPr>
            </w:pPr>
          </w:p>
        </w:tc>
        <w:tc>
          <w:tcPr>
            <w:tcW w:w="205" w:type="dxa"/>
            <w:vAlign w:val="center"/>
            <w:hideMark/>
          </w:tcPr>
          <w:p w14:paraId="398E45A0"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18678" w:type="dxa"/>
            <w:vAlign w:val="center"/>
            <w:hideMark/>
          </w:tcPr>
          <w:p w14:paraId="2211E963" w14:textId="77777777" w:rsidR="002F3D36" w:rsidRPr="002F3D36" w:rsidRDefault="002F3D36" w:rsidP="002F3D36">
            <w:pPr>
              <w:widowControl/>
              <w:jc w:val="left"/>
              <w:rPr>
                <w:rFonts w:ascii="Times New Roman" w:eastAsia="Times New Roman" w:hAnsi="Times New Roman" w:cs="Times New Roman"/>
                <w:kern w:val="0"/>
                <w:sz w:val="20"/>
                <w:szCs w:val="20"/>
              </w:rPr>
            </w:pPr>
          </w:p>
        </w:tc>
      </w:tr>
      <w:tr w:rsidR="002F3D36" w:rsidRPr="002F3D36" w14:paraId="1285BD28" w14:textId="77777777" w:rsidTr="002F3D36">
        <w:trPr>
          <w:trHeight w:val="220"/>
          <w:tblCellSpacing w:w="15" w:type="dxa"/>
        </w:trPr>
        <w:tc>
          <w:tcPr>
            <w:tcW w:w="0" w:type="auto"/>
            <w:hideMark/>
          </w:tcPr>
          <w:p w14:paraId="5D6F155B" w14:textId="77777777" w:rsidR="002F3D36" w:rsidRPr="002F3D36" w:rsidRDefault="002F3D36" w:rsidP="002F3D36">
            <w:pPr>
              <w:widowControl/>
              <w:jc w:val="left"/>
              <w:rPr>
                <w:rFonts w:ascii="Times New Roman" w:eastAsia="微软雅黑" w:hAnsi="Times New Roman" w:cs="Times New Roman"/>
                <w:kern w:val="0"/>
                <w:sz w:val="22"/>
              </w:rPr>
            </w:pPr>
            <w:r w:rsidRPr="002F3D36">
              <w:rPr>
                <w:rFonts w:ascii="Arial" w:eastAsia="微软雅黑" w:hAnsi="Arial" w:cs="Arial"/>
                <w:color w:val="000000"/>
                <w:kern w:val="0"/>
                <w:sz w:val="18"/>
                <w:szCs w:val="18"/>
              </w:rPr>
              <w:t>10.38</w:t>
            </w:r>
            <w:r w:rsidRPr="002F3D36">
              <w:rPr>
                <w:rFonts w:ascii="Arial" w:eastAsia="微软雅黑" w:hAnsi="Arial" w:cs="Arial"/>
                <w:color w:val="000000"/>
                <w:kern w:val="0"/>
                <w:sz w:val="15"/>
                <w:szCs w:val="15"/>
              </w:rPr>
              <w:t>+</w:t>
            </w:r>
          </w:p>
        </w:tc>
        <w:tc>
          <w:tcPr>
            <w:tcW w:w="0" w:type="auto"/>
            <w:hideMark/>
          </w:tcPr>
          <w:p w14:paraId="09932864" w14:textId="77777777" w:rsidR="002F3D36" w:rsidRPr="002F3D36" w:rsidRDefault="002F3D36" w:rsidP="002F3D36">
            <w:pPr>
              <w:widowControl/>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6D81401E" w14:textId="77777777" w:rsidR="002F3D36" w:rsidRPr="002F3D36" w:rsidRDefault="002F3D36" w:rsidP="002F3D36">
            <w:pPr>
              <w:widowControl/>
              <w:jc w:val="left"/>
              <w:rPr>
                <w:rFonts w:ascii="Times New Roman" w:eastAsia="微软雅黑" w:hAnsi="Times New Roman" w:cs="Times New Roman"/>
                <w:kern w:val="0"/>
                <w:sz w:val="18"/>
                <w:szCs w:val="18"/>
              </w:rPr>
            </w:pPr>
            <w:hyperlink r:id="rId81" w:history="1">
              <w:r w:rsidRPr="002F3D36">
                <w:rPr>
                  <w:rFonts w:ascii="Arial" w:eastAsia="微软雅黑" w:hAnsi="Arial" w:cs="Arial"/>
                  <w:color w:val="0000FF"/>
                  <w:kern w:val="0"/>
                  <w:sz w:val="18"/>
                  <w:szCs w:val="18"/>
                  <w:u w:val="single"/>
                </w:rPr>
                <w:t>Employment Agreement, effective as of August 17, 2020, by and between Autoliv AB and Mikael Hagström incorporated herein by reference to Exhibit 10.2 to the Quarterly Report on Form 10-Q (File No. 001-12933, filing date October 23, 2020).</w:t>
              </w:r>
            </w:hyperlink>
          </w:p>
        </w:tc>
      </w:tr>
      <w:tr w:rsidR="002F3D36" w:rsidRPr="002F3D36" w14:paraId="469F3989" w14:textId="77777777" w:rsidTr="002F3D36">
        <w:trPr>
          <w:tblCellSpacing w:w="15" w:type="dxa"/>
        </w:trPr>
        <w:tc>
          <w:tcPr>
            <w:tcW w:w="0" w:type="auto"/>
            <w:hideMark/>
          </w:tcPr>
          <w:p w14:paraId="2FB65D8E"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022FE901" w14:textId="77777777" w:rsidR="002F3D36" w:rsidRPr="002F3D36" w:rsidRDefault="002F3D36" w:rsidP="002F3D36">
            <w:pPr>
              <w:widowControl/>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030A8BBB"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r>
      <w:tr w:rsidR="002F3D36" w:rsidRPr="002F3D36" w14:paraId="4CB26F56" w14:textId="77777777" w:rsidTr="002F3D36">
        <w:trPr>
          <w:trHeight w:val="180"/>
          <w:tblCellSpacing w:w="15" w:type="dxa"/>
        </w:trPr>
        <w:tc>
          <w:tcPr>
            <w:tcW w:w="0" w:type="auto"/>
            <w:hideMark/>
          </w:tcPr>
          <w:p w14:paraId="656F1AD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10.39+</w:t>
            </w:r>
          </w:p>
        </w:tc>
        <w:tc>
          <w:tcPr>
            <w:tcW w:w="0" w:type="auto"/>
            <w:hideMark/>
          </w:tcPr>
          <w:p w14:paraId="7266DAF7" w14:textId="77777777" w:rsidR="002F3D36" w:rsidRPr="002F3D36" w:rsidRDefault="002F3D36" w:rsidP="002F3D36">
            <w:pPr>
              <w:widowControl/>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6EEB1C88" w14:textId="77777777" w:rsidR="002F3D36" w:rsidRPr="002F3D36" w:rsidRDefault="002F3D36" w:rsidP="002F3D36">
            <w:pPr>
              <w:widowControl/>
              <w:jc w:val="left"/>
              <w:rPr>
                <w:rFonts w:ascii="Times New Roman" w:eastAsia="微软雅黑" w:hAnsi="Times New Roman" w:cs="Times New Roman"/>
                <w:kern w:val="0"/>
                <w:sz w:val="18"/>
                <w:szCs w:val="18"/>
              </w:rPr>
            </w:pPr>
            <w:hyperlink r:id="rId82" w:history="1">
              <w:r w:rsidRPr="002F3D36">
                <w:rPr>
                  <w:rFonts w:ascii="Arial" w:eastAsia="微软雅黑" w:hAnsi="Arial" w:cs="Arial"/>
                  <w:color w:val="0000FF"/>
                  <w:kern w:val="0"/>
                  <w:sz w:val="18"/>
                  <w:szCs w:val="18"/>
                  <w:u w:val="single"/>
                </w:rPr>
                <w:t>Amendment No. 2, effective as of March 9, 2021, to Employment Agreement, effective March 21, 2018, by and between Autoliv Inc. and Jordi Lombarte incorporated herein by reference to Exhibit 10.1 to the Quarterly Report on Form 10-Q (File No. 001-12933, filing date April 23, 2021).</w:t>
              </w:r>
            </w:hyperlink>
          </w:p>
        </w:tc>
      </w:tr>
      <w:tr w:rsidR="002F3D36" w:rsidRPr="002F3D36" w14:paraId="4411DDED" w14:textId="77777777" w:rsidTr="002F3D36">
        <w:trPr>
          <w:tblCellSpacing w:w="15" w:type="dxa"/>
        </w:trPr>
        <w:tc>
          <w:tcPr>
            <w:tcW w:w="0" w:type="auto"/>
            <w:hideMark/>
          </w:tcPr>
          <w:p w14:paraId="74661FA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0CD9AC68" w14:textId="77777777" w:rsidR="002F3D36" w:rsidRPr="002F3D36" w:rsidRDefault="002F3D36" w:rsidP="002F3D36">
            <w:pPr>
              <w:widowControl/>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15B7B7C6"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r>
      <w:tr w:rsidR="002F3D36" w:rsidRPr="002F3D36" w14:paraId="5A4EFFF2" w14:textId="77777777" w:rsidTr="002F3D36">
        <w:trPr>
          <w:trHeight w:val="180"/>
          <w:tblCellSpacing w:w="15" w:type="dxa"/>
        </w:trPr>
        <w:tc>
          <w:tcPr>
            <w:tcW w:w="0" w:type="auto"/>
            <w:hideMark/>
          </w:tcPr>
          <w:p w14:paraId="7C7BB35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10.40+</w:t>
            </w:r>
          </w:p>
        </w:tc>
        <w:tc>
          <w:tcPr>
            <w:tcW w:w="0" w:type="auto"/>
            <w:hideMark/>
          </w:tcPr>
          <w:p w14:paraId="309D4164" w14:textId="77777777" w:rsidR="002F3D36" w:rsidRPr="002F3D36" w:rsidRDefault="002F3D36" w:rsidP="002F3D36">
            <w:pPr>
              <w:widowControl/>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1BE2792A" w14:textId="77777777" w:rsidR="002F3D36" w:rsidRPr="002F3D36" w:rsidRDefault="002F3D36" w:rsidP="002F3D36">
            <w:pPr>
              <w:widowControl/>
              <w:jc w:val="left"/>
              <w:rPr>
                <w:rFonts w:ascii="Times New Roman" w:eastAsia="微软雅黑" w:hAnsi="Times New Roman" w:cs="Times New Roman"/>
                <w:kern w:val="0"/>
                <w:sz w:val="18"/>
                <w:szCs w:val="18"/>
              </w:rPr>
            </w:pPr>
            <w:hyperlink r:id="rId83" w:history="1">
              <w:r w:rsidRPr="002F3D36">
                <w:rPr>
                  <w:rFonts w:ascii="Arial" w:eastAsia="微软雅黑" w:hAnsi="Arial" w:cs="Arial"/>
                  <w:color w:val="0000FF"/>
                  <w:kern w:val="0"/>
                  <w:sz w:val="18"/>
                  <w:szCs w:val="18"/>
                  <w:u w:val="single"/>
                </w:rPr>
                <w:t>Employment Agreement, dated October 1, 2020 and effective as of November 1, 2020, by and between Autoliv Inc. and Colin Naughton incorporated herein by reference to Exhibit 10.2 to the Quarterly Report on Form 10-Q (File No. 001-12933, filing date April 23, 2021).</w:t>
              </w:r>
            </w:hyperlink>
          </w:p>
        </w:tc>
      </w:tr>
      <w:tr w:rsidR="002F3D36" w:rsidRPr="002F3D36" w14:paraId="4CC31054" w14:textId="77777777" w:rsidTr="002F3D36">
        <w:trPr>
          <w:tblCellSpacing w:w="15" w:type="dxa"/>
        </w:trPr>
        <w:tc>
          <w:tcPr>
            <w:tcW w:w="0" w:type="auto"/>
            <w:hideMark/>
          </w:tcPr>
          <w:p w14:paraId="23BDCFE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43DD23A9" w14:textId="77777777" w:rsidR="002F3D36" w:rsidRPr="002F3D36" w:rsidRDefault="002F3D36" w:rsidP="002F3D36">
            <w:pPr>
              <w:widowControl/>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15ADEF53" w14:textId="77777777" w:rsidR="002F3D36" w:rsidRPr="002F3D36" w:rsidRDefault="002F3D36" w:rsidP="002F3D36">
            <w:pPr>
              <w:widowControl/>
              <w:jc w:val="left"/>
              <w:rPr>
                <w:rFonts w:ascii="Times New Roman" w:eastAsia="微软雅黑" w:hAnsi="Times New Roman" w:cs="Times New Roman"/>
                <w:kern w:val="0"/>
                <w:sz w:val="20"/>
                <w:szCs w:val="20"/>
              </w:rPr>
            </w:pPr>
            <w:r w:rsidRPr="002F3D36">
              <w:rPr>
                <w:rFonts w:ascii="Times New Roman" w:eastAsia="微软雅黑" w:hAnsi="Times New Roman" w:cs="Times New Roman"/>
                <w:kern w:val="0"/>
                <w:sz w:val="20"/>
                <w:szCs w:val="20"/>
              </w:rPr>
              <w:t> </w:t>
            </w:r>
          </w:p>
        </w:tc>
      </w:tr>
      <w:tr w:rsidR="002F3D36" w:rsidRPr="002F3D36" w14:paraId="5ADAFEC7" w14:textId="77777777" w:rsidTr="002F3D36">
        <w:trPr>
          <w:trHeight w:val="180"/>
          <w:tblCellSpacing w:w="15" w:type="dxa"/>
        </w:trPr>
        <w:tc>
          <w:tcPr>
            <w:tcW w:w="0" w:type="auto"/>
            <w:hideMark/>
          </w:tcPr>
          <w:p w14:paraId="725643C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10.41+</w:t>
            </w:r>
          </w:p>
        </w:tc>
        <w:tc>
          <w:tcPr>
            <w:tcW w:w="0" w:type="auto"/>
            <w:hideMark/>
          </w:tcPr>
          <w:p w14:paraId="7273EEC7" w14:textId="77777777" w:rsidR="002F3D36" w:rsidRPr="002F3D36" w:rsidRDefault="002F3D36" w:rsidP="002F3D36">
            <w:pPr>
              <w:widowControl/>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649C4A4B" w14:textId="77777777" w:rsidR="002F3D36" w:rsidRPr="002F3D36" w:rsidRDefault="002F3D36" w:rsidP="002F3D36">
            <w:pPr>
              <w:widowControl/>
              <w:jc w:val="left"/>
              <w:rPr>
                <w:rFonts w:ascii="Times New Roman" w:eastAsia="微软雅黑" w:hAnsi="Times New Roman" w:cs="Times New Roman"/>
                <w:kern w:val="0"/>
                <w:sz w:val="18"/>
                <w:szCs w:val="18"/>
              </w:rPr>
            </w:pPr>
            <w:hyperlink r:id="rId84" w:history="1">
              <w:r w:rsidRPr="002F3D36">
                <w:rPr>
                  <w:rFonts w:ascii="Arial" w:eastAsia="微软雅黑" w:hAnsi="Arial" w:cs="Arial"/>
                  <w:color w:val="0000FF"/>
                  <w:kern w:val="0"/>
                  <w:sz w:val="18"/>
                  <w:szCs w:val="18"/>
                  <w:u w:val="single"/>
                </w:rPr>
                <w:t>Form of Employee 2021 restricted stock units grant agreement promised under the Autoliv, Inc 1997 Stock Incentive Plan, as amended and restated, incorporated herein by reference to Exhibit 10.3 to the Quarterly Report on Form 10-Q (File No. 001-12933, filing date April 23, 2021).</w:t>
              </w:r>
            </w:hyperlink>
          </w:p>
        </w:tc>
      </w:tr>
      <w:tr w:rsidR="002F3D36" w:rsidRPr="002F3D36" w14:paraId="1CD173B4" w14:textId="77777777" w:rsidTr="002F3D36">
        <w:trPr>
          <w:tblCellSpacing w:w="15" w:type="dxa"/>
        </w:trPr>
        <w:tc>
          <w:tcPr>
            <w:tcW w:w="0" w:type="auto"/>
            <w:hideMark/>
          </w:tcPr>
          <w:p w14:paraId="1E6D08D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57F8CCD6" w14:textId="77777777" w:rsidR="002F3D36" w:rsidRPr="002F3D36" w:rsidRDefault="002F3D36" w:rsidP="002F3D36">
            <w:pPr>
              <w:widowControl/>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7ED71870" w14:textId="77777777" w:rsidR="002F3D36" w:rsidRPr="002F3D36" w:rsidRDefault="002F3D36" w:rsidP="002F3D36">
            <w:pPr>
              <w:widowControl/>
              <w:jc w:val="left"/>
              <w:rPr>
                <w:rFonts w:ascii="Times New Roman" w:eastAsia="微软雅黑" w:hAnsi="Times New Roman" w:cs="Times New Roman"/>
                <w:kern w:val="0"/>
                <w:sz w:val="20"/>
                <w:szCs w:val="20"/>
              </w:rPr>
            </w:pPr>
            <w:r w:rsidRPr="002F3D36">
              <w:rPr>
                <w:rFonts w:ascii="Times New Roman" w:eastAsia="微软雅黑" w:hAnsi="Times New Roman" w:cs="Times New Roman"/>
                <w:kern w:val="0"/>
                <w:sz w:val="20"/>
                <w:szCs w:val="20"/>
              </w:rPr>
              <w:t> </w:t>
            </w:r>
          </w:p>
        </w:tc>
      </w:tr>
      <w:tr w:rsidR="002F3D36" w:rsidRPr="002F3D36" w14:paraId="5572842C" w14:textId="77777777" w:rsidTr="002F3D36">
        <w:trPr>
          <w:trHeight w:val="180"/>
          <w:tblCellSpacing w:w="15" w:type="dxa"/>
        </w:trPr>
        <w:tc>
          <w:tcPr>
            <w:tcW w:w="0" w:type="auto"/>
            <w:hideMark/>
          </w:tcPr>
          <w:p w14:paraId="2A50935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10.42+</w:t>
            </w:r>
          </w:p>
        </w:tc>
        <w:tc>
          <w:tcPr>
            <w:tcW w:w="0" w:type="auto"/>
            <w:hideMark/>
          </w:tcPr>
          <w:p w14:paraId="70312700" w14:textId="77777777" w:rsidR="002F3D36" w:rsidRPr="002F3D36" w:rsidRDefault="002F3D36" w:rsidP="002F3D36">
            <w:pPr>
              <w:widowControl/>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28B22642" w14:textId="77777777" w:rsidR="002F3D36" w:rsidRPr="002F3D36" w:rsidRDefault="002F3D36" w:rsidP="002F3D36">
            <w:pPr>
              <w:widowControl/>
              <w:jc w:val="left"/>
              <w:rPr>
                <w:rFonts w:ascii="Times New Roman" w:eastAsia="微软雅黑" w:hAnsi="Times New Roman" w:cs="Times New Roman"/>
                <w:kern w:val="0"/>
                <w:sz w:val="18"/>
                <w:szCs w:val="18"/>
              </w:rPr>
            </w:pPr>
            <w:hyperlink r:id="rId85" w:history="1">
              <w:r w:rsidRPr="002F3D36">
                <w:rPr>
                  <w:rFonts w:ascii="Arial" w:eastAsia="微软雅黑" w:hAnsi="Arial" w:cs="Arial"/>
                  <w:color w:val="0000FF"/>
                  <w:kern w:val="0"/>
                  <w:sz w:val="18"/>
                  <w:szCs w:val="18"/>
                  <w:u w:val="single"/>
                </w:rPr>
                <w:t>Form of Employee 2021 performance share units grant agreement promised under the Autoliv, Inc 1997 Stock Incentive Plan, as amended and restated, incorporated herein by reference to Exhibit 10.4 to the Quarterly Report on Form 10-Q (File No. 001-12933, filing date April 23, 2021).</w:t>
              </w:r>
            </w:hyperlink>
          </w:p>
        </w:tc>
      </w:tr>
      <w:tr w:rsidR="002F3D36" w:rsidRPr="002F3D36" w14:paraId="4FA3BBD7" w14:textId="77777777" w:rsidTr="002F3D36">
        <w:trPr>
          <w:tblCellSpacing w:w="15" w:type="dxa"/>
        </w:trPr>
        <w:tc>
          <w:tcPr>
            <w:tcW w:w="0" w:type="auto"/>
            <w:hideMark/>
          </w:tcPr>
          <w:p w14:paraId="25456FC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73DE701F" w14:textId="77777777" w:rsidR="002F3D36" w:rsidRPr="002F3D36" w:rsidRDefault="002F3D36" w:rsidP="002F3D36">
            <w:pPr>
              <w:widowControl/>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37804A00" w14:textId="77777777" w:rsidR="002F3D36" w:rsidRPr="002F3D36" w:rsidRDefault="002F3D36" w:rsidP="002F3D36">
            <w:pPr>
              <w:widowControl/>
              <w:jc w:val="left"/>
              <w:rPr>
                <w:rFonts w:ascii="Times New Roman" w:eastAsia="微软雅黑" w:hAnsi="Times New Roman" w:cs="Times New Roman"/>
                <w:kern w:val="0"/>
                <w:sz w:val="20"/>
                <w:szCs w:val="20"/>
              </w:rPr>
            </w:pPr>
            <w:r w:rsidRPr="002F3D36">
              <w:rPr>
                <w:rFonts w:ascii="Times New Roman" w:eastAsia="微软雅黑" w:hAnsi="Times New Roman" w:cs="Times New Roman"/>
                <w:kern w:val="0"/>
                <w:sz w:val="20"/>
                <w:szCs w:val="20"/>
              </w:rPr>
              <w:t> </w:t>
            </w:r>
          </w:p>
        </w:tc>
      </w:tr>
      <w:tr w:rsidR="002F3D36" w:rsidRPr="002F3D36" w14:paraId="13F42A3A" w14:textId="77777777" w:rsidTr="002F3D36">
        <w:trPr>
          <w:trHeight w:val="180"/>
          <w:tblCellSpacing w:w="15" w:type="dxa"/>
        </w:trPr>
        <w:tc>
          <w:tcPr>
            <w:tcW w:w="0" w:type="auto"/>
            <w:hideMark/>
          </w:tcPr>
          <w:p w14:paraId="5769F8C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10.43+</w:t>
            </w:r>
          </w:p>
        </w:tc>
        <w:tc>
          <w:tcPr>
            <w:tcW w:w="0" w:type="auto"/>
            <w:hideMark/>
          </w:tcPr>
          <w:p w14:paraId="1779C3AF" w14:textId="77777777" w:rsidR="002F3D36" w:rsidRPr="002F3D36" w:rsidRDefault="002F3D36" w:rsidP="002F3D36">
            <w:pPr>
              <w:widowControl/>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3554DECD" w14:textId="77777777" w:rsidR="002F3D36" w:rsidRPr="002F3D36" w:rsidRDefault="002F3D36" w:rsidP="002F3D36">
            <w:pPr>
              <w:widowControl/>
              <w:jc w:val="left"/>
              <w:rPr>
                <w:rFonts w:ascii="Times New Roman" w:eastAsia="微软雅黑" w:hAnsi="Times New Roman" w:cs="Times New Roman"/>
                <w:kern w:val="0"/>
                <w:sz w:val="18"/>
                <w:szCs w:val="18"/>
              </w:rPr>
            </w:pPr>
            <w:hyperlink r:id="rId86" w:history="1">
              <w:r w:rsidRPr="002F3D36">
                <w:rPr>
                  <w:rFonts w:ascii="Arial" w:eastAsia="微软雅黑" w:hAnsi="Arial" w:cs="Arial"/>
                  <w:color w:val="0000FF"/>
                  <w:kern w:val="0"/>
                  <w:sz w:val="18"/>
                  <w:szCs w:val="18"/>
                  <w:u w:val="single"/>
                </w:rPr>
                <w:t>Amendment No. 1, effective as of April 1, 2021, to Employment Agreement, effective March 18, 2019, by and between Autoliv Inc. and Christian Swahn incorporated herein by reference to Exhibit 10.5 to the Quarterly Report on Form 10-Q (File No. 001-12933, filing date April 23, 2021).</w:t>
              </w:r>
            </w:hyperlink>
          </w:p>
        </w:tc>
      </w:tr>
      <w:tr w:rsidR="002F3D36" w:rsidRPr="002F3D36" w14:paraId="01404EA5" w14:textId="77777777" w:rsidTr="002F3D36">
        <w:trPr>
          <w:tblCellSpacing w:w="15" w:type="dxa"/>
        </w:trPr>
        <w:tc>
          <w:tcPr>
            <w:tcW w:w="0" w:type="auto"/>
            <w:hideMark/>
          </w:tcPr>
          <w:p w14:paraId="1904BF0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6622103D" w14:textId="77777777" w:rsidR="002F3D36" w:rsidRPr="002F3D36" w:rsidRDefault="002F3D36" w:rsidP="002F3D36">
            <w:pPr>
              <w:widowControl/>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43D5EF0B" w14:textId="77777777" w:rsidR="002F3D36" w:rsidRPr="002F3D36" w:rsidRDefault="002F3D36" w:rsidP="002F3D36">
            <w:pPr>
              <w:widowControl/>
              <w:jc w:val="left"/>
              <w:rPr>
                <w:rFonts w:ascii="Times New Roman" w:eastAsia="微软雅黑" w:hAnsi="Times New Roman" w:cs="Times New Roman"/>
                <w:kern w:val="0"/>
                <w:sz w:val="20"/>
                <w:szCs w:val="20"/>
              </w:rPr>
            </w:pPr>
            <w:r w:rsidRPr="002F3D36">
              <w:rPr>
                <w:rFonts w:ascii="Times New Roman" w:eastAsia="微软雅黑" w:hAnsi="Times New Roman" w:cs="Times New Roman"/>
                <w:kern w:val="0"/>
                <w:sz w:val="20"/>
                <w:szCs w:val="20"/>
              </w:rPr>
              <w:t> </w:t>
            </w:r>
          </w:p>
        </w:tc>
      </w:tr>
      <w:tr w:rsidR="002F3D36" w:rsidRPr="002F3D36" w14:paraId="6B7628E4" w14:textId="77777777" w:rsidTr="002F3D36">
        <w:trPr>
          <w:trHeight w:val="180"/>
          <w:tblCellSpacing w:w="15" w:type="dxa"/>
        </w:trPr>
        <w:tc>
          <w:tcPr>
            <w:tcW w:w="0" w:type="auto"/>
            <w:hideMark/>
          </w:tcPr>
          <w:p w14:paraId="1B15B4A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10.44+</w:t>
            </w:r>
          </w:p>
        </w:tc>
        <w:tc>
          <w:tcPr>
            <w:tcW w:w="0" w:type="auto"/>
            <w:hideMark/>
          </w:tcPr>
          <w:p w14:paraId="2AC06B06" w14:textId="77777777" w:rsidR="002F3D36" w:rsidRPr="002F3D36" w:rsidRDefault="002F3D36" w:rsidP="002F3D36">
            <w:pPr>
              <w:widowControl/>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32D689ED" w14:textId="77777777" w:rsidR="002F3D36" w:rsidRPr="002F3D36" w:rsidRDefault="002F3D36" w:rsidP="002F3D36">
            <w:pPr>
              <w:widowControl/>
              <w:jc w:val="left"/>
              <w:rPr>
                <w:rFonts w:ascii="Times New Roman" w:eastAsia="微软雅黑" w:hAnsi="Times New Roman" w:cs="Times New Roman"/>
                <w:kern w:val="0"/>
                <w:sz w:val="18"/>
                <w:szCs w:val="18"/>
              </w:rPr>
            </w:pPr>
            <w:hyperlink r:id="rId87" w:history="1">
              <w:r w:rsidRPr="002F3D36">
                <w:rPr>
                  <w:rFonts w:ascii="Arial" w:eastAsia="微软雅黑" w:hAnsi="Arial" w:cs="Arial"/>
                  <w:color w:val="0000FF"/>
                  <w:kern w:val="0"/>
                  <w:sz w:val="18"/>
                  <w:szCs w:val="18"/>
                  <w:u w:val="single"/>
                </w:rPr>
                <w:t>Form of Non-Employee Directors 2021 restricted stock units grant agreement under Autoliv, Inc. 1997 Stock Incentive Plan, as amended and restated incorporated herein by reference to Exhibit 10.1 to the Quarterly Report on Form 10-Q (File No. 001-12933, filing date July 16, 2021).</w:t>
              </w:r>
            </w:hyperlink>
          </w:p>
        </w:tc>
      </w:tr>
      <w:tr w:rsidR="002F3D36" w:rsidRPr="002F3D36" w14:paraId="7FEB7B6A" w14:textId="77777777" w:rsidTr="002F3D36">
        <w:trPr>
          <w:tblCellSpacing w:w="15" w:type="dxa"/>
        </w:trPr>
        <w:tc>
          <w:tcPr>
            <w:tcW w:w="0" w:type="auto"/>
            <w:hideMark/>
          </w:tcPr>
          <w:p w14:paraId="2F0BA89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6D4F0DA7" w14:textId="77777777" w:rsidR="002F3D36" w:rsidRPr="002F3D36" w:rsidRDefault="002F3D36" w:rsidP="002F3D36">
            <w:pPr>
              <w:widowControl/>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0CCBC259" w14:textId="77777777" w:rsidR="002F3D36" w:rsidRPr="002F3D36" w:rsidRDefault="002F3D36" w:rsidP="002F3D36">
            <w:pPr>
              <w:widowControl/>
              <w:jc w:val="left"/>
              <w:rPr>
                <w:rFonts w:ascii="Times New Roman" w:eastAsia="微软雅黑" w:hAnsi="Times New Roman" w:cs="Times New Roman"/>
                <w:kern w:val="0"/>
                <w:sz w:val="20"/>
                <w:szCs w:val="20"/>
              </w:rPr>
            </w:pPr>
            <w:r w:rsidRPr="002F3D36">
              <w:rPr>
                <w:rFonts w:ascii="Times New Roman" w:eastAsia="微软雅黑" w:hAnsi="Times New Roman" w:cs="Times New Roman"/>
                <w:kern w:val="0"/>
                <w:sz w:val="20"/>
                <w:szCs w:val="20"/>
              </w:rPr>
              <w:t> </w:t>
            </w:r>
          </w:p>
        </w:tc>
      </w:tr>
      <w:tr w:rsidR="002F3D36" w:rsidRPr="002F3D36" w14:paraId="1131CE27" w14:textId="77777777" w:rsidTr="002F3D36">
        <w:trPr>
          <w:trHeight w:val="180"/>
          <w:tblCellSpacing w:w="15" w:type="dxa"/>
        </w:trPr>
        <w:tc>
          <w:tcPr>
            <w:tcW w:w="0" w:type="auto"/>
            <w:hideMark/>
          </w:tcPr>
          <w:p w14:paraId="07EA7C5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10.45+*</w:t>
            </w:r>
          </w:p>
        </w:tc>
        <w:tc>
          <w:tcPr>
            <w:tcW w:w="0" w:type="auto"/>
            <w:hideMark/>
          </w:tcPr>
          <w:p w14:paraId="49B189CC" w14:textId="77777777" w:rsidR="002F3D36" w:rsidRPr="002F3D36" w:rsidRDefault="002F3D36" w:rsidP="002F3D36">
            <w:pPr>
              <w:widowControl/>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3B002FAD" w14:textId="77777777" w:rsidR="002F3D36" w:rsidRPr="002F3D36" w:rsidRDefault="002F3D36" w:rsidP="002F3D36">
            <w:pPr>
              <w:widowControl/>
              <w:jc w:val="left"/>
              <w:rPr>
                <w:rFonts w:ascii="Times New Roman" w:eastAsia="微软雅黑" w:hAnsi="Times New Roman" w:cs="Times New Roman"/>
                <w:kern w:val="0"/>
                <w:sz w:val="18"/>
                <w:szCs w:val="18"/>
              </w:rPr>
            </w:pPr>
            <w:hyperlink r:id="rId88" w:history="1">
              <w:r w:rsidRPr="002F3D36">
                <w:rPr>
                  <w:rFonts w:ascii="Arial" w:eastAsia="微软雅黑" w:hAnsi="Arial" w:cs="Arial"/>
                  <w:color w:val="0000FF"/>
                  <w:kern w:val="0"/>
                  <w:sz w:val="18"/>
                  <w:szCs w:val="18"/>
                  <w:u w:val="single"/>
                </w:rPr>
                <w:t>Autoliv, Inc. Non-employee Director Compensation Policy, effective May 1, 2021.</w:t>
              </w:r>
            </w:hyperlink>
          </w:p>
        </w:tc>
      </w:tr>
      <w:tr w:rsidR="002F3D36" w:rsidRPr="002F3D36" w14:paraId="49DB488F" w14:textId="77777777" w:rsidTr="002F3D36">
        <w:trPr>
          <w:tblCellSpacing w:w="15" w:type="dxa"/>
        </w:trPr>
        <w:tc>
          <w:tcPr>
            <w:tcW w:w="0" w:type="auto"/>
            <w:hideMark/>
          </w:tcPr>
          <w:p w14:paraId="3EBE5A8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27A3B4E7" w14:textId="77777777" w:rsidR="002F3D36" w:rsidRPr="002F3D36" w:rsidRDefault="002F3D36" w:rsidP="002F3D36">
            <w:pPr>
              <w:widowControl/>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4E5FBCD0"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r>
      <w:tr w:rsidR="002F3D36" w:rsidRPr="002F3D36" w14:paraId="2461CF1E" w14:textId="77777777" w:rsidTr="002F3D36">
        <w:trPr>
          <w:trHeight w:val="180"/>
          <w:tblCellSpacing w:w="15" w:type="dxa"/>
        </w:trPr>
        <w:tc>
          <w:tcPr>
            <w:tcW w:w="0" w:type="auto"/>
            <w:hideMark/>
          </w:tcPr>
          <w:p w14:paraId="7C7B7D5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10.46+*</w:t>
            </w:r>
          </w:p>
        </w:tc>
        <w:tc>
          <w:tcPr>
            <w:tcW w:w="0" w:type="auto"/>
            <w:hideMark/>
          </w:tcPr>
          <w:p w14:paraId="2884B2A6" w14:textId="77777777" w:rsidR="002F3D36" w:rsidRPr="002F3D36" w:rsidRDefault="002F3D36" w:rsidP="002F3D36">
            <w:pPr>
              <w:widowControl/>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05C652C4" w14:textId="77777777" w:rsidR="002F3D36" w:rsidRPr="002F3D36" w:rsidRDefault="002F3D36" w:rsidP="002F3D36">
            <w:pPr>
              <w:widowControl/>
              <w:jc w:val="left"/>
              <w:rPr>
                <w:rFonts w:ascii="Times New Roman" w:eastAsia="微软雅黑" w:hAnsi="Times New Roman" w:cs="Times New Roman"/>
                <w:kern w:val="0"/>
                <w:sz w:val="18"/>
                <w:szCs w:val="18"/>
              </w:rPr>
            </w:pPr>
            <w:hyperlink r:id="rId89" w:history="1">
              <w:r w:rsidRPr="002F3D36">
                <w:rPr>
                  <w:rFonts w:ascii="Arial" w:eastAsia="微软雅黑" w:hAnsi="Arial" w:cs="Arial"/>
                  <w:color w:val="0000FF"/>
                  <w:kern w:val="0"/>
                  <w:sz w:val="18"/>
                  <w:szCs w:val="18"/>
                  <w:u w:val="single"/>
                </w:rPr>
                <w:t>Employment Agreement, dated December 14, 2021 and effective as of January 19, 2021, by and between Autoliv Inc. and Sng Yih.</w:t>
              </w:r>
            </w:hyperlink>
          </w:p>
        </w:tc>
      </w:tr>
      <w:tr w:rsidR="002F3D36" w:rsidRPr="002F3D36" w14:paraId="410B34F7" w14:textId="77777777" w:rsidTr="002F3D36">
        <w:trPr>
          <w:tblCellSpacing w:w="15" w:type="dxa"/>
        </w:trPr>
        <w:tc>
          <w:tcPr>
            <w:tcW w:w="0" w:type="auto"/>
            <w:hideMark/>
          </w:tcPr>
          <w:p w14:paraId="5753884A"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3AA06948" w14:textId="77777777" w:rsidR="002F3D36" w:rsidRPr="002F3D36" w:rsidRDefault="002F3D36" w:rsidP="002F3D36">
            <w:pPr>
              <w:widowControl/>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36F3C64C"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r>
      <w:tr w:rsidR="002F3D36" w:rsidRPr="002F3D36" w14:paraId="7298E472" w14:textId="77777777" w:rsidTr="002F3D36">
        <w:trPr>
          <w:trHeight w:val="180"/>
          <w:tblCellSpacing w:w="15" w:type="dxa"/>
        </w:trPr>
        <w:tc>
          <w:tcPr>
            <w:tcW w:w="0" w:type="auto"/>
            <w:hideMark/>
          </w:tcPr>
          <w:p w14:paraId="65FBBC0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21*</w:t>
            </w:r>
          </w:p>
        </w:tc>
        <w:tc>
          <w:tcPr>
            <w:tcW w:w="0" w:type="auto"/>
            <w:hideMark/>
          </w:tcPr>
          <w:p w14:paraId="05691949" w14:textId="77777777" w:rsidR="002F3D36" w:rsidRPr="002F3D36" w:rsidRDefault="002F3D36" w:rsidP="002F3D36">
            <w:pPr>
              <w:widowControl/>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2BFBB699" w14:textId="77777777" w:rsidR="002F3D36" w:rsidRPr="002F3D36" w:rsidRDefault="002F3D36" w:rsidP="002F3D36">
            <w:pPr>
              <w:widowControl/>
              <w:jc w:val="left"/>
              <w:rPr>
                <w:rFonts w:ascii="Times New Roman" w:eastAsia="微软雅黑" w:hAnsi="Times New Roman" w:cs="Times New Roman"/>
                <w:kern w:val="0"/>
                <w:sz w:val="18"/>
                <w:szCs w:val="18"/>
              </w:rPr>
            </w:pPr>
            <w:hyperlink r:id="rId90" w:history="1">
              <w:r w:rsidRPr="002F3D36">
                <w:rPr>
                  <w:rFonts w:ascii="Arial" w:eastAsia="微软雅黑" w:hAnsi="Arial" w:cs="Arial"/>
                  <w:color w:val="0000FF"/>
                  <w:kern w:val="0"/>
                  <w:sz w:val="18"/>
                  <w:szCs w:val="18"/>
                  <w:u w:val="single"/>
                </w:rPr>
                <w:t>Autoliv’s List of Subsidiaries.</w:t>
              </w:r>
            </w:hyperlink>
          </w:p>
        </w:tc>
      </w:tr>
      <w:tr w:rsidR="002F3D36" w:rsidRPr="002F3D36" w14:paraId="4F1469D5" w14:textId="77777777" w:rsidTr="002F3D36">
        <w:trPr>
          <w:tblCellSpacing w:w="15" w:type="dxa"/>
        </w:trPr>
        <w:tc>
          <w:tcPr>
            <w:tcW w:w="0" w:type="auto"/>
            <w:hideMark/>
          </w:tcPr>
          <w:p w14:paraId="6E80D396"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5F420A2A" w14:textId="77777777" w:rsidR="002F3D36" w:rsidRPr="002F3D36" w:rsidRDefault="002F3D36" w:rsidP="002F3D36">
            <w:pPr>
              <w:widowControl/>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038CE406"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r>
      <w:tr w:rsidR="002F3D36" w:rsidRPr="002F3D36" w14:paraId="5F158509" w14:textId="77777777" w:rsidTr="002F3D36">
        <w:trPr>
          <w:trHeight w:val="180"/>
          <w:tblCellSpacing w:w="15" w:type="dxa"/>
        </w:trPr>
        <w:tc>
          <w:tcPr>
            <w:tcW w:w="0" w:type="auto"/>
            <w:hideMark/>
          </w:tcPr>
          <w:p w14:paraId="5D2CFE4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23*</w:t>
            </w:r>
          </w:p>
        </w:tc>
        <w:tc>
          <w:tcPr>
            <w:tcW w:w="0" w:type="auto"/>
            <w:hideMark/>
          </w:tcPr>
          <w:p w14:paraId="2224955C" w14:textId="77777777" w:rsidR="002F3D36" w:rsidRPr="002F3D36" w:rsidRDefault="002F3D36" w:rsidP="002F3D36">
            <w:pPr>
              <w:widowControl/>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7082A58A" w14:textId="77777777" w:rsidR="002F3D36" w:rsidRPr="002F3D36" w:rsidRDefault="002F3D36" w:rsidP="002F3D36">
            <w:pPr>
              <w:widowControl/>
              <w:jc w:val="left"/>
              <w:rPr>
                <w:rFonts w:ascii="Times New Roman" w:eastAsia="微软雅黑" w:hAnsi="Times New Roman" w:cs="Times New Roman"/>
                <w:kern w:val="0"/>
                <w:sz w:val="18"/>
                <w:szCs w:val="18"/>
              </w:rPr>
            </w:pPr>
            <w:hyperlink r:id="rId91" w:history="1">
              <w:r w:rsidRPr="002F3D36">
                <w:rPr>
                  <w:rFonts w:ascii="Arial" w:eastAsia="微软雅黑" w:hAnsi="Arial" w:cs="Arial"/>
                  <w:color w:val="0000FF"/>
                  <w:kern w:val="0"/>
                  <w:sz w:val="18"/>
                  <w:szCs w:val="18"/>
                  <w:u w:val="single"/>
                </w:rPr>
                <w:t>Consent of Independent Registered Public Accounting Firm.</w:t>
              </w:r>
            </w:hyperlink>
          </w:p>
        </w:tc>
      </w:tr>
      <w:tr w:rsidR="002F3D36" w:rsidRPr="002F3D36" w14:paraId="034FB365" w14:textId="77777777" w:rsidTr="002F3D36">
        <w:trPr>
          <w:tblCellSpacing w:w="15" w:type="dxa"/>
        </w:trPr>
        <w:tc>
          <w:tcPr>
            <w:tcW w:w="0" w:type="auto"/>
            <w:hideMark/>
          </w:tcPr>
          <w:p w14:paraId="579D854E"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510FF5C6" w14:textId="77777777" w:rsidR="002F3D36" w:rsidRPr="002F3D36" w:rsidRDefault="002F3D36" w:rsidP="002F3D36">
            <w:pPr>
              <w:widowControl/>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6C54911B"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r>
      <w:tr w:rsidR="002F3D36" w:rsidRPr="002F3D36" w14:paraId="640DEEC4" w14:textId="77777777" w:rsidTr="002F3D36">
        <w:trPr>
          <w:trHeight w:val="180"/>
          <w:tblCellSpacing w:w="15" w:type="dxa"/>
        </w:trPr>
        <w:tc>
          <w:tcPr>
            <w:tcW w:w="0" w:type="auto"/>
            <w:hideMark/>
          </w:tcPr>
          <w:p w14:paraId="23A1E37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31.1*</w:t>
            </w:r>
          </w:p>
        </w:tc>
        <w:tc>
          <w:tcPr>
            <w:tcW w:w="0" w:type="auto"/>
            <w:hideMark/>
          </w:tcPr>
          <w:p w14:paraId="14A0016F" w14:textId="77777777" w:rsidR="002F3D36" w:rsidRPr="002F3D36" w:rsidRDefault="002F3D36" w:rsidP="002F3D36">
            <w:pPr>
              <w:widowControl/>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5963C874" w14:textId="77777777" w:rsidR="002F3D36" w:rsidRPr="002F3D36" w:rsidRDefault="002F3D36" w:rsidP="002F3D36">
            <w:pPr>
              <w:widowControl/>
              <w:jc w:val="left"/>
              <w:rPr>
                <w:rFonts w:ascii="Times New Roman" w:eastAsia="微软雅黑" w:hAnsi="Times New Roman" w:cs="Times New Roman"/>
                <w:kern w:val="0"/>
                <w:sz w:val="18"/>
                <w:szCs w:val="18"/>
              </w:rPr>
            </w:pPr>
            <w:hyperlink r:id="rId92" w:history="1">
              <w:r w:rsidRPr="002F3D36">
                <w:rPr>
                  <w:rFonts w:ascii="Arial" w:eastAsia="微软雅黑" w:hAnsi="Arial" w:cs="Arial"/>
                  <w:color w:val="0000FF"/>
                  <w:kern w:val="0"/>
                  <w:sz w:val="18"/>
                  <w:szCs w:val="18"/>
                  <w:u w:val="single"/>
                </w:rPr>
                <w:t>Certification of Chief Executive Officer, pursuant to Rule 13a-14(a) promulgated under the Securities Exchange Act of 1934, as amended.</w:t>
              </w:r>
            </w:hyperlink>
          </w:p>
        </w:tc>
      </w:tr>
      <w:tr w:rsidR="002F3D36" w:rsidRPr="002F3D36" w14:paraId="25BE90C1" w14:textId="77777777" w:rsidTr="002F3D36">
        <w:trPr>
          <w:tblCellSpacing w:w="15" w:type="dxa"/>
        </w:trPr>
        <w:tc>
          <w:tcPr>
            <w:tcW w:w="0" w:type="auto"/>
            <w:hideMark/>
          </w:tcPr>
          <w:p w14:paraId="058DD33D"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2CED6C34" w14:textId="77777777" w:rsidR="002F3D36" w:rsidRPr="002F3D36" w:rsidRDefault="002F3D36" w:rsidP="002F3D36">
            <w:pPr>
              <w:widowControl/>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2B5CE4B4"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r>
      <w:tr w:rsidR="002F3D36" w:rsidRPr="002F3D36" w14:paraId="6EA7302A" w14:textId="77777777" w:rsidTr="002F3D36">
        <w:trPr>
          <w:trHeight w:val="180"/>
          <w:tblCellSpacing w:w="15" w:type="dxa"/>
        </w:trPr>
        <w:tc>
          <w:tcPr>
            <w:tcW w:w="0" w:type="auto"/>
            <w:hideMark/>
          </w:tcPr>
          <w:p w14:paraId="1AC3FAE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31.2*</w:t>
            </w:r>
          </w:p>
        </w:tc>
        <w:tc>
          <w:tcPr>
            <w:tcW w:w="0" w:type="auto"/>
            <w:hideMark/>
          </w:tcPr>
          <w:p w14:paraId="6B7D51FF" w14:textId="77777777" w:rsidR="002F3D36" w:rsidRPr="002F3D36" w:rsidRDefault="002F3D36" w:rsidP="002F3D36">
            <w:pPr>
              <w:widowControl/>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41BF9AEC" w14:textId="77777777" w:rsidR="002F3D36" w:rsidRPr="002F3D36" w:rsidRDefault="002F3D36" w:rsidP="002F3D36">
            <w:pPr>
              <w:widowControl/>
              <w:jc w:val="left"/>
              <w:rPr>
                <w:rFonts w:ascii="Times New Roman" w:eastAsia="微软雅黑" w:hAnsi="Times New Roman" w:cs="Times New Roman"/>
                <w:kern w:val="0"/>
                <w:sz w:val="18"/>
                <w:szCs w:val="18"/>
              </w:rPr>
            </w:pPr>
            <w:hyperlink r:id="rId93" w:history="1">
              <w:r w:rsidRPr="002F3D36">
                <w:rPr>
                  <w:rFonts w:ascii="Arial" w:eastAsia="微软雅黑" w:hAnsi="Arial" w:cs="Arial"/>
                  <w:color w:val="0000FF"/>
                  <w:kern w:val="0"/>
                  <w:sz w:val="18"/>
                  <w:szCs w:val="18"/>
                  <w:u w:val="single"/>
                </w:rPr>
                <w:t>Certification of Chief Financial Officer, pursuant to Rule 13a-14(a) promulgated under the Securities Exchange Act of 1934, as amended.</w:t>
              </w:r>
            </w:hyperlink>
          </w:p>
        </w:tc>
      </w:tr>
      <w:tr w:rsidR="002F3D36" w:rsidRPr="002F3D36" w14:paraId="203E411D" w14:textId="77777777" w:rsidTr="002F3D36">
        <w:trPr>
          <w:tblCellSpacing w:w="15" w:type="dxa"/>
        </w:trPr>
        <w:tc>
          <w:tcPr>
            <w:tcW w:w="0" w:type="auto"/>
            <w:hideMark/>
          </w:tcPr>
          <w:p w14:paraId="1EEFB2B2"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6CA71ED1" w14:textId="77777777" w:rsidR="002F3D36" w:rsidRPr="002F3D36" w:rsidRDefault="002F3D36" w:rsidP="002F3D36">
            <w:pPr>
              <w:widowControl/>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6256350E"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r>
      <w:tr w:rsidR="002F3D36" w:rsidRPr="002F3D36" w14:paraId="34B51F21" w14:textId="77777777" w:rsidTr="002F3D36">
        <w:trPr>
          <w:trHeight w:val="180"/>
          <w:tblCellSpacing w:w="15" w:type="dxa"/>
        </w:trPr>
        <w:tc>
          <w:tcPr>
            <w:tcW w:w="0" w:type="auto"/>
            <w:hideMark/>
          </w:tcPr>
          <w:p w14:paraId="0F54C60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32.1*</w:t>
            </w:r>
          </w:p>
        </w:tc>
        <w:tc>
          <w:tcPr>
            <w:tcW w:w="0" w:type="auto"/>
            <w:hideMark/>
          </w:tcPr>
          <w:p w14:paraId="423D17B6" w14:textId="77777777" w:rsidR="002F3D36" w:rsidRPr="002F3D36" w:rsidRDefault="002F3D36" w:rsidP="002F3D36">
            <w:pPr>
              <w:widowControl/>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3CC38AEB" w14:textId="77777777" w:rsidR="002F3D36" w:rsidRPr="002F3D36" w:rsidRDefault="002F3D36" w:rsidP="002F3D36">
            <w:pPr>
              <w:widowControl/>
              <w:jc w:val="left"/>
              <w:rPr>
                <w:rFonts w:ascii="Times New Roman" w:eastAsia="微软雅黑" w:hAnsi="Times New Roman" w:cs="Times New Roman"/>
                <w:kern w:val="0"/>
                <w:sz w:val="18"/>
                <w:szCs w:val="18"/>
              </w:rPr>
            </w:pPr>
            <w:hyperlink r:id="rId94" w:history="1">
              <w:r w:rsidRPr="002F3D36">
                <w:rPr>
                  <w:rFonts w:ascii="Arial" w:eastAsia="微软雅黑" w:hAnsi="Arial" w:cs="Arial"/>
                  <w:color w:val="0000FF"/>
                  <w:kern w:val="0"/>
                  <w:sz w:val="18"/>
                  <w:szCs w:val="18"/>
                  <w:u w:val="single"/>
                </w:rPr>
                <w:t>Certification of Chief Executive Officer, pursuant to 18 U.S.C. Section 1350, as adopted pursuant to section 906 of the Sarbanes-Oxley Act of 2002.</w:t>
              </w:r>
            </w:hyperlink>
          </w:p>
        </w:tc>
      </w:tr>
      <w:tr w:rsidR="002F3D36" w:rsidRPr="002F3D36" w14:paraId="313C60E5" w14:textId="77777777" w:rsidTr="002F3D36">
        <w:trPr>
          <w:tblCellSpacing w:w="15" w:type="dxa"/>
        </w:trPr>
        <w:tc>
          <w:tcPr>
            <w:tcW w:w="0" w:type="auto"/>
            <w:hideMark/>
          </w:tcPr>
          <w:p w14:paraId="237812F3"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507BC593" w14:textId="77777777" w:rsidR="002F3D36" w:rsidRPr="002F3D36" w:rsidRDefault="002F3D36" w:rsidP="002F3D36">
            <w:pPr>
              <w:widowControl/>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37577550"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r>
      <w:tr w:rsidR="002F3D36" w:rsidRPr="002F3D36" w14:paraId="4DBDD770" w14:textId="77777777" w:rsidTr="002F3D36">
        <w:trPr>
          <w:trHeight w:val="180"/>
          <w:tblCellSpacing w:w="15" w:type="dxa"/>
        </w:trPr>
        <w:tc>
          <w:tcPr>
            <w:tcW w:w="0" w:type="auto"/>
            <w:hideMark/>
          </w:tcPr>
          <w:p w14:paraId="745DFB1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32.2*</w:t>
            </w:r>
          </w:p>
        </w:tc>
        <w:tc>
          <w:tcPr>
            <w:tcW w:w="0" w:type="auto"/>
            <w:hideMark/>
          </w:tcPr>
          <w:p w14:paraId="5475BF20" w14:textId="77777777" w:rsidR="002F3D36" w:rsidRPr="002F3D36" w:rsidRDefault="002F3D36" w:rsidP="002F3D36">
            <w:pPr>
              <w:widowControl/>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44320385" w14:textId="77777777" w:rsidR="002F3D36" w:rsidRPr="002F3D36" w:rsidRDefault="002F3D36" w:rsidP="002F3D36">
            <w:pPr>
              <w:widowControl/>
              <w:jc w:val="left"/>
              <w:rPr>
                <w:rFonts w:ascii="Times New Roman" w:eastAsia="微软雅黑" w:hAnsi="Times New Roman" w:cs="Times New Roman"/>
                <w:kern w:val="0"/>
                <w:sz w:val="18"/>
                <w:szCs w:val="18"/>
              </w:rPr>
            </w:pPr>
            <w:hyperlink r:id="rId95" w:history="1">
              <w:r w:rsidRPr="002F3D36">
                <w:rPr>
                  <w:rFonts w:ascii="Arial" w:eastAsia="微软雅黑" w:hAnsi="Arial" w:cs="Arial"/>
                  <w:color w:val="0000FF"/>
                  <w:kern w:val="0"/>
                  <w:sz w:val="18"/>
                  <w:szCs w:val="18"/>
                  <w:u w:val="single"/>
                </w:rPr>
                <w:t>Certification of Chief Financial Officer, pursuant to 18 U.S.C. Section 1350, as adopted pursuant to section 906 of the Sarbanes-Oxley Act of 2002.</w:t>
              </w:r>
            </w:hyperlink>
          </w:p>
        </w:tc>
      </w:tr>
      <w:tr w:rsidR="002F3D36" w:rsidRPr="002F3D36" w14:paraId="0B69EF6D" w14:textId="77777777" w:rsidTr="002F3D36">
        <w:trPr>
          <w:tblCellSpacing w:w="15" w:type="dxa"/>
        </w:trPr>
        <w:tc>
          <w:tcPr>
            <w:tcW w:w="0" w:type="auto"/>
            <w:hideMark/>
          </w:tcPr>
          <w:p w14:paraId="06FEC087"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762CB08A" w14:textId="77777777" w:rsidR="002F3D36" w:rsidRPr="002F3D36" w:rsidRDefault="002F3D36" w:rsidP="002F3D36">
            <w:pPr>
              <w:widowControl/>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2B7D927F"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r>
      <w:tr w:rsidR="002F3D36" w:rsidRPr="002F3D36" w14:paraId="2CE91EA5" w14:textId="77777777" w:rsidTr="002F3D36">
        <w:trPr>
          <w:trHeight w:val="180"/>
          <w:tblCellSpacing w:w="15" w:type="dxa"/>
        </w:trPr>
        <w:tc>
          <w:tcPr>
            <w:tcW w:w="0" w:type="auto"/>
            <w:hideMark/>
          </w:tcPr>
          <w:p w14:paraId="7A12E18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lastRenderedPageBreak/>
              <w:t>101.INS*</w:t>
            </w:r>
          </w:p>
        </w:tc>
        <w:tc>
          <w:tcPr>
            <w:tcW w:w="0" w:type="auto"/>
            <w:hideMark/>
          </w:tcPr>
          <w:p w14:paraId="41636D22" w14:textId="77777777" w:rsidR="002F3D36" w:rsidRPr="002F3D36" w:rsidRDefault="002F3D36" w:rsidP="002F3D36">
            <w:pPr>
              <w:widowControl/>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1E5E90E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Inline XBRL Instance Document – The instance document does not appear in the Interactive Date File because its XBRL tags are embedded within the inline XBRL document.</w:t>
            </w:r>
          </w:p>
        </w:tc>
      </w:tr>
      <w:tr w:rsidR="002F3D36" w:rsidRPr="002F3D36" w14:paraId="73C4AA41" w14:textId="77777777" w:rsidTr="002F3D36">
        <w:trPr>
          <w:tblCellSpacing w:w="15" w:type="dxa"/>
        </w:trPr>
        <w:tc>
          <w:tcPr>
            <w:tcW w:w="0" w:type="auto"/>
            <w:hideMark/>
          </w:tcPr>
          <w:p w14:paraId="0649730A"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4ACF0AF8" w14:textId="77777777" w:rsidR="002F3D36" w:rsidRPr="002F3D36" w:rsidRDefault="002F3D36" w:rsidP="002F3D36">
            <w:pPr>
              <w:widowControl/>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03E498C0"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Times New Roman" w:eastAsia="微软雅黑" w:hAnsi="Times New Roman" w:cs="Times New Roman"/>
                <w:kern w:val="0"/>
                <w:sz w:val="12"/>
                <w:szCs w:val="12"/>
              </w:rPr>
              <w:t> </w:t>
            </w:r>
          </w:p>
        </w:tc>
      </w:tr>
      <w:tr w:rsidR="002F3D36" w:rsidRPr="002F3D36" w14:paraId="014F81A1" w14:textId="77777777" w:rsidTr="002F3D36">
        <w:trPr>
          <w:trHeight w:val="180"/>
          <w:tblCellSpacing w:w="15" w:type="dxa"/>
        </w:trPr>
        <w:tc>
          <w:tcPr>
            <w:tcW w:w="0" w:type="auto"/>
            <w:hideMark/>
          </w:tcPr>
          <w:p w14:paraId="5AC47BC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101.SCH*</w:t>
            </w:r>
          </w:p>
        </w:tc>
        <w:tc>
          <w:tcPr>
            <w:tcW w:w="0" w:type="auto"/>
            <w:hideMark/>
          </w:tcPr>
          <w:p w14:paraId="3ECD0DA8" w14:textId="77777777" w:rsidR="002F3D36" w:rsidRPr="002F3D36" w:rsidRDefault="002F3D36" w:rsidP="002F3D36">
            <w:pPr>
              <w:widowControl/>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5B91BEB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Inline XBRL Taxonomy Extension Schema Document.</w:t>
            </w:r>
          </w:p>
        </w:tc>
      </w:tr>
      <w:tr w:rsidR="002F3D36" w:rsidRPr="002F3D36" w14:paraId="787E3B11" w14:textId="77777777" w:rsidTr="002F3D36">
        <w:trPr>
          <w:tblCellSpacing w:w="15" w:type="dxa"/>
        </w:trPr>
        <w:tc>
          <w:tcPr>
            <w:tcW w:w="0" w:type="auto"/>
            <w:hideMark/>
          </w:tcPr>
          <w:p w14:paraId="622CA19A"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65407FEA" w14:textId="77777777" w:rsidR="002F3D36" w:rsidRPr="002F3D36" w:rsidRDefault="002F3D36" w:rsidP="002F3D36">
            <w:pPr>
              <w:widowControl/>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767819AF"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r>
      <w:tr w:rsidR="002F3D36" w:rsidRPr="002F3D36" w14:paraId="548DD802" w14:textId="77777777" w:rsidTr="002F3D36">
        <w:trPr>
          <w:trHeight w:val="180"/>
          <w:tblCellSpacing w:w="15" w:type="dxa"/>
        </w:trPr>
        <w:tc>
          <w:tcPr>
            <w:tcW w:w="0" w:type="auto"/>
            <w:hideMark/>
          </w:tcPr>
          <w:p w14:paraId="1DACFBF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101.CAL*</w:t>
            </w:r>
          </w:p>
        </w:tc>
        <w:tc>
          <w:tcPr>
            <w:tcW w:w="0" w:type="auto"/>
            <w:hideMark/>
          </w:tcPr>
          <w:p w14:paraId="104B88F4" w14:textId="77777777" w:rsidR="002F3D36" w:rsidRPr="002F3D36" w:rsidRDefault="002F3D36" w:rsidP="002F3D36">
            <w:pPr>
              <w:widowControl/>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3CD1B80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Inline XBRL Taxonomy Extension Calculation Linkbase Document.</w:t>
            </w:r>
          </w:p>
        </w:tc>
      </w:tr>
      <w:tr w:rsidR="002F3D36" w:rsidRPr="002F3D36" w14:paraId="37C5E2E7" w14:textId="77777777" w:rsidTr="002F3D36">
        <w:trPr>
          <w:tblCellSpacing w:w="15" w:type="dxa"/>
        </w:trPr>
        <w:tc>
          <w:tcPr>
            <w:tcW w:w="0" w:type="auto"/>
            <w:hideMark/>
          </w:tcPr>
          <w:p w14:paraId="60A49B0B"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25DCD86E" w14:textId="77777777" w:rsidR="002F3D36" w:rsidRPr="002F3D36" w:rsidRDefault="002F3D36" w:rsidP="002F3D36">
            <w:pPr>
              <w:widowControl/>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2467A8DD"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r>
      <w:tr w:rsidR="002F3D36" w:rsidRPr="002F3D36" w14:paraId="4DFF2EEA" w14:textId="77777777" w:rsidTr="002F3D36">
        <w:trPr>
          <w:trHeight w:val="180"/>
          <w:tblCellSpacing w:w="15" w:type="dxa"/>
        </w:trPr>
        <w:tc>
          <w:tcPr>
            <w:tcW w:w="0" w:type="auto"/>
            <w:hideMark/>
          </w:tcPr>
          <w:p w14:paraId="3D9E8FB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101.DEF*</w:t>
            </w:r>
          </w:p>
        </w:tc>
        <w:tc>
          <w:tcPr>
            <w:tcW w:w="0" w:type="auto"/>
            <w:hideMark/>
          </w:tcPr>
          <w:p w14:paraId="06FCF4A5" w14:textId="77777777" w:rsidR="002F3D36" w:rsidRPr="002F3D36" w:rsidRDefault="002F3D36" w:rsidP="002F3D36">
            <w:pPr>
              <w:widowControl/>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31420D2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Inline XBRL Taxonomy Extension Definition Linkbase Document.</w:t>
            </w:r>
          </w:p>
        </w:tc>
      </w:tr>
      <w:tr w:rsidR="002F3D36" w:rsidRPr="002F3D36" w14:paraId="5F45C365" w14:textId="77777777" w:rsidTr="002F3D36">
        <w:trPr>
          <w:tblCellSpacing w:w="15" w:type="dxa"/>
        </w:trPr>
        <w:tc>
          <w:tcPr>
            <w:tcW w:w="0" w:type="auto"/>
            <w:hideMark/>
          </w:tcPr>
          <w:p w14:paraId="51B7A51E"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0D464F23" w14:textId="77777777" w:rsidR="002F3D36" w:rsidRPr="002F3D36" w:rsidRDefault="002F3D36" w:rsidP="002F3D36">
            <w:pPr>
              <w:widowControl/>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5D56A005"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r>
      <w:tr w:rsidR="002F3D36" w:rsidRPr="002F3D36" w14:paraId="1CA0D6D3" w14:textId="77777777" w:rsidTr="002F3D36">
        <w:trPr>
          <w:trHeight w:val="180"/>
          <w:tblCellSpacing w:w="15" w:type="dxa"/>
        </w:trPr>
        <w:tc>
          <w:tcPr>
            <w:tcW w:w="0" w:type="auto"/>
            <w:hideMark/>
          </w:tcPr>
          <w:p w14:paraId="1265E2E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101.LAB*</w:t>
            </w:r>
          </w:p>
        </w:tc>
        <w:tc>
          <w:tcPr>
            <w:tcW w:w="0" w:type="auto"/>
            <w:hideMark/>
          </w:tcPr>
          <w:p w14:paraId="69BE1F90" w14:textId="77777777" w:rsidR="002F3D36" w:rsidRPr="002F3D36" w:rsidRDefault="002F3D36" w:rsidP="002F3D36">
            <w:pPr>
              <w:widowControl/>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3DCDD63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Inline XBRL Taxonomy Extension Label Linkbase Document.</w:t>
            </w:r>
          </w:p>
        </w:tc>
      </w:tr>
      <w:tr w:rsidR="002F3D36" w:rsidRPr="002F3D36" w14:paraId="701EF8F2" w14:textId="77777777" w:rsidTr="002F3D36">
        <w:trPr>
          <w:tblCellSpacing w:w="15" w:type="dxa"/>
        </w:trPr>
        <w:tc>
          <w:tcPr>
            <w:tcW w:w="0" w:type="auto"/>
            <w:hideMark/>
          </w:tcPr>
          <w:p w14:paraId="615E2F5F"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754C3DBA" w14:textId="77777777" w:rsidR="002F3D36" w:rsidRPr="002F3D36" w:rsidRDefault="002F3D36" w:rsidP="002F3D36">
            <w:pPr>
              <w:widowControl/>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08E91032"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r>
      <w:tr w:rsidR="002F3D36" w:rsidRPr="002F3D36" w14:paraId="657BBE6F" w14:textId="77777777" w:rsidTr="002F3D36">
        <w:trPr>
          <w:trHeight w:val="180"/>
          <w:tblCellSpacing w:w="15" w:type="dxa"/>
        </w:trPr>
        <w:tc>
          <w:tcPr>
            <w:tcW w:w="0" w:type="auto"/>
            <w:hideMark/>
          </w:tcPr>
          <w:p w14:paraId="6F41514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101.PRE*</w:t>
            </w:r>
          </w:p>
        </w:tc>
        <w:tc>
          <w:tcPr>
            <w:tcW w:w="0" w:type="auto"/>
            <w:hideMark/>
          </w:tcPr>
          <w:p w14:paraId="37D6EF79" w14:textId="77777777" w:rsidR="002F3D36" w:rsidRPr="002F3D36" w:rsidRDefault="002F3D36" w:rsidP="002F3D36">
            <w:pPr>
              <w:widowControl/>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4BADCC1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Inline XBRL Taxonomy Extension Presentation Linkbase Document.</w:t>
            </w:r>
          </w:p>
        </w:tc>
      </w:tr>
      <w:tr w:rsidR="002F3D36" w:rsidRPr="002F3D36" w14:paraId="3D68CF3C" w14:textId="77777777" w:rsidTr="002F3D36">
        <w:trPr>
          <w:tblCellSpacing w:w="15" w:type="dxa"/>
        </w:trPr>
        <w:tc>
          <w:tcPr>
            <w:tcW w:w="0" w:type="auto"/>
            <w:hideMark/>
          </w:tcPr>
          <w:p w14:paraId="5745A2FB"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258A5E49" w14:textId="77777777" w:rsidR="002F3D36" w:rsidRPr="002F3D36" w:rsidRDefault="002F3D36" w:rsidP="002F3D36">
            <w:pPr>
              <w:widowControl/>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484FEDF6"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r>
      <w:tr w:rsidR="002F3D36" w:rsidRPr="002F3D36" w14:paraId="31A0AD2C" w14:textId="77777777" w:rsidTr="002F3D36">
        <w:trPr>
          <w:trHeight w:val="180"/>
          <w:tblCellSpacing w:w="15" w:type="dxa"/>
        </w:trPr>
        <w:tc>
          <w:tcPr>
            <w:tcW w:w="0" w:type="auto"/>
            <w:hideMark/>
          </w:tcPr>
          <w:p w14:paraId="78E2F49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104*</w:t>
            </w:r>
          </w:p>
        </w:tc>
        <w:tc>
          <w:tcPr>
            <w:tcW w:w="0" w:type="auto"/>
            <w:hideMark/>
          </w:tcPr>
          <w:p w14:paraId="35CEC6E9" w14:textId="77777777" w:rsidR="002F3D36" w:rsidRPr="002F3D36" w:rsidRDefault="002F3D36" w:rsidP="002F3D36">
            <w:pPr>
              <w:widowControl/>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58B1A20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Cover Page Interactive Data File (embedded within the inline XBRL document).</w:t>
            </w:r>
          </w:p>
        </w:tc>
      </w:tr>
    </w:tbl>
    <w:p w14:paraId="7C203C49"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24"/>
          <w:szCs w:val="24"/>
        </w:rPr>
        <w:t> </w:t>
      </w:r>
    </w:p>
    <w:p w14:paraId="7BB5AB69"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Filed herewith.</w:t>
      </w:r>
    </w:p>
    <w:p w14:paraId="037DD4C2"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Management contract or compensatory plan.</w:t>
      </w:r>
    </w:p>
    <w:p w14:paraId="0D57C277"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Confidential treatment requested as to portions of the exhibit. Confidential materials omitted and filed separately with the Securities and Exchange Commission.</w:t>
      </w:r>
    </w:p>
    <w:p w14:paraId="7ACBF43E" w14:textId="77777777" w:rsidR="002F3D36" w:rsidRPr="002F3D36" w:rsidRDefault="002F3D36" w:rsidP="002F3D36">
      <w:pPr>
        <w:widowControl/>
        <w:spacing w:before="240"/>
        <w:jc w:val="center"/>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96</w:t>
      </w:r>
    </w:p>
    <w:p w14:paraId="7D65E462" w14:textId="77777777" w:rsidR="002F3D36" w:rsidRPr="002F3D36" w:rsidRDefault="002F3D36" w:rsidP="002F3D36">
      <w:pPr>
        <w:widowControl/>
        <w:jc w:val="left"/>
        <w:rPr>
          <w:rFonts w:ascii="宋体" w:eastAsia="宋体" w:hAnsi="宋体" w:cs="宋体"/>
          <w:kern w:val="0"/>
          <w:sz w:val="24"/>
          <w:szCs w:val="24"/>
        </w:rPr>
      </w:pPr>
      <w:r w:rsidRPr="002F3D36">
        <w:rPr>
          <w:rFonts w:ascii="宋体" w:eastAsia="宋体" w:hAnsi="宋体" w:cs="宋体"/>
          <w:kern w:val="0"/>
          <w:sz w:val="24"/>
          <w:szCs w:val="24"/>
        </w:rPr>
        <w:pict w14:anchorId="2652F97B">
          <v:rect id="_x0000_i1123" style="width:0;height:1.5pt" o:hralign="center" o:hrstd="t" o:hrnoshade="t" o:hr="t" fillcolor="black" stroked="f"/>
        </w:pict>
      </w:r>
    </w:p>
    <w:p w14:paraId="48F7792A" w14:textId="77777777" w:rsidR="002F3D36" w:rsidRPr="002F3D36" w:rsidRDefault="002F3D36" w:rsidP="002F3D36">
      <w:pPr>
        <w:widowControl/>
        <w:spacing w:line="20" w:lineRule="atLeast"/>
        <w:jc w:val="left"/>
        <w:rPr>
          <w:rFonts w:ascii="Times New Roman" w:eastAsia="宋体" w:hAnsi="Times New Roman" w:cs="Times New Roman"/>
          <w:color w:val="000000"/>
          <w:kern w:val="0"/>
          <w:sz w:val="20"/>
          <w:szCs w:val="20"/>
        </w:rPr>
      </w:pPr>
      <w:r w:rsidRPr="002F3D36">
        <w:rPr>
          <w:rFonts w:ascii="Arial" w:eastAsia="宋体" w:hAnsi="Arial" w:cs="Arial"/>
          <w:color w:val="000000"/>
          <w:kern w:val="0"/>
          <w:sz w:val="2"/>
          <w:szCs w:val="2"/>
        </w:rPr>
        <w:t> </w:t>
      </w:r>
    </w:p>
    <w:p w14:paraId="58F019F2" w14:textId="77777777" w:rsidR="002F3D36" w:rsidRPr="002F3D36" w:rsidRDefault="002F3D36" w:rsidP="002F3D36">
      <w:pPr>
        <w:widowControl/>
        <w:jc w:val="left"/>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SIGNATURES</w:t>
      </w:r>
    </w:p>
    <w:p w14:paraId="0E204304"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Pursuant to the requirements of Section 13 or 15(d) of the Securities Exchange Act of 1934, the registrant has duly caused this report to be signed on its behalf by the undersigned, thereunto duly authorized, as of February 22, 2022.</w:t>
      </w:r>
    </w:p>
    <w:p w14:paraId="06B7ABBA"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w:t>
      </w:r>
    </w:p>
    <w:tbl>
      <w:tblPr>
        <w:tblW w:w="10101" w:type="dxa"/>
        <w:tblCellSpacing w:w="15" w:type="dxa"/>
        <w:tblCellMar>
          <w:top w:w="15" w:type="dxa"/>
          <w:left w:w="15" w:type="dxa"/>
          <w:bottom w:w="15" w:type="dxa"/>
          <w:right w:w="15" w:type="dxa"/>
        </w:tblCellMar>
        <w:tblLook w:val="04A0" w:firstRow="1" w:lastRow="0" w:firstColumn="1" w:lastColumn="0" w:noHBand="0" w:noVBand="1"/>
      </w:tblPr>
      <w:tblGrid>
        <w:gridCol w:w="869"/>
        <w:gridCol w:w="9232"/>
      </w:tblGrid>
      <w:tr w:rsidR="002F3D36" w:rsidRPr="002F3D36" w14:paraId="0BFFF457" w14:textId="77777777" w:rsidTr="002F3D36">
        <w:trPr>
          <w:tblCellSpacing w:w="15" w:type="dxa"/>
        </w:trPr>
        <w:tc>
          <w:tcPr>
            <w:tcW w:w="826" w:type="dxa"/>
            <w:vAlign w:val="center"/>
            <w:hideMark/>
          </w:tcPr>
          <w:p w14:paraId="4F43A5AF" w14:textId="77777777" w:rsidR="002F3D36" w:rsidRPr="002F3D36" w:rsidRDefault="002F3D36" w:rsidP="002F3D36">
            <w:pPr>
              <w:widowControl/>
              <w:jc w:val="left"/>
              <w:rPr>
                <w:rFonts w:ascii="Times New Roman" w:eastAsia="宋体" w:hAnsi="Times New Roman" w:cs="Times New Roman"/>
                <w:color w:val="000000"/>
                <w:kern w:val="0"/>
                <w:sz w:val="20"/>
                <w:szCs w:val="20"/>
              </w:rPr>
            </w:pPr>
          </w:p>
        </w:tc>
        <w:tc>
          <w:tcPr>
            <w:tcW w:w="9215" w:type="dxa"/>
            <w:vAlign w:val="center"/>
            <w:hideMark/>
          </w:tcPr>
          <w:p w14:paraId="7137FD5E" w14:textId="77777777" w:rsidR="002F3D36" w:rsidRPr="002F3D36" w:rsidRDefault="002F3D36" w:rsidP="002F3D36">
            <w:pPr>
              <w:widowControl/>
              <w:jc w:val="left"/>
              <w:rPr>
                <w:rFonts w:ascii="Times New Roman" w:eastAsia="Times New Roman" w:hAnsi="Times New Roman" w:cs="Times New Roman"/>
                <w:kern w:val="0"/>
                <w:sz w:val="20"/>
                <w:szCs w:val="20"/>
              </w:rPr>
            </w:pPr>
          </w:p>
        </w:tc>
      </w:tr>
      <w:tr w:rsidR="002F3D36" w:rsidRPr="002F3D36" w14:paraId="3510AE9D" w14:textId="77777777" w:rsidTr="002F3D36">
        <w:trPr>
          <w:trHeight w:val="180"/>
          <w:tblCellSpacing w:w="15" w:type="dxa"/>
        </w:trPr>
        <w:tc>
          <w:tcPr>
            <w:tcW w:w="0" w:type="auto"/>
            <w:gridSpan w:val="2"/>
            <w:vAlign w:val="bottom"/>
            <w:hideMark/>
          </w:tcPr>
          <w:p w14:paraId="754D646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AUTOLIV, INC.</w:t>
            </w:r>
          </w:p>
        </w:tc>
      </w:tr>
      <w:tr w:rsidR="002F3D36" w:rsidRPr="002F3D36" w14:paraId="25FB11AD" w14:textId="77777777" w:rsidTr="002F3D36">
        <w:trPr>
          <w:trHeight w:val="180"/>
          <w:tblCellSpacing w:w="15" w:type="dxa"/>
        </w:trPr>
        <w:tc>
          <w:tcPr>
            <w:tcW w:w="0" w:type="auto"/>
            <w:gridSpan w:val="2"/>
            <w:vAlign w:val="bottom"/>
            <w:hideMark/>
          </w:tcPr>
          <w:p w14:paraId="5C077AB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(Registrant)</w:t>
            </w:r>
          </w:p>
        </w:tc>
      </w:tr>
      <w:tr w:rsidR="002F3D36" w:rsidRPr="002F3D36" w14:paraId="12BC61BD" w14:textId="77777777" w:rsidTr="002F3D36">
        <w:trPr>
          <w:tblCellSpacing w:w="15" w:type="dxa"/>
        </w:trPr>
        <w:tc>
          <w:tcPr>
            <w:tcW w:w="0" w:type="auto"/>
            <w:gridSpan w:val="2"/>
            <w:vAlign w:val="bottom"/>
            <w:hideMark/>
          </w:tcPr>
          <w:p w14:paraId="2BE1DBDC"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r>
      <w:tr w:rsidR="002F3D36" w:rsidRPr="002F3D36" w14:paraId="6F0C8A0B" w14:textId="77777777" w:rsidTr="002F3D36">
        <w:trPr>
          <w:trHeight w:val="180"/>
          <w:tblCellSpacing w:w="15" w:type="dxa"/>
        </w:trPr>
        <w:tc>
          <w:tcPr>
            <w:tcW w:w="0" w:type="auto"/>
            <w:vAlign w:val="bottom"/>
            <w:hideMark/>
          </w:tcPr>
          <w:p w14:paraId="5FFE48D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By</w:t>
            </w:r>
          </w:p>
        </w:tc>
        <w:tc>
          <w:tcPr>
            <w:tcW w:w="0" w:type="auto"/>
            <w:tcBorders>
              <w:bottom w:val="single" w:sz="4" w:space="0" w:color="auto"/>
            </w:tcBorders>
            <w:vAlign w:val="bottom"/>
            <w:hideMark/>
          </w:tcPr>
          <w:p w14:paraId="393CDD8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/s/ Fredrik Westin</w:t>
            </w:r>
          </w:p>
        </w:tc>
      </w:tr>
      <w:tr w:rsidR="002F3D36" w:rsidRPr="002F3D36" w14:paraId="7833AD4B" w14:textId="77777777" w:rsidTr="002F3D36">
        <w:trPr>
          <w:trHeight w:val="180"/>
          <w:tblCellSpacing w:w="15" w:type="dxa"/>
        </w:trPr>
        <w:tc>
          <w:tcPr>
            <w:tcW w:w="0" w:type="auto"/>
            <w:vAlign w:val="bottom"/>
            <w:hideMark/>
          </w:tcPr>
          <w:p w14:paraId="4F18B2B2" w14:textId="77777777" w:rsidR="002F3D36" w:rsidRPr="002F3D36" w:rsidRDefault="002F3D36" w:rsidP="002F3D36">
            <w:pPr>
              <w:widowControl/>
              <w:jc w:val="left"/>
              <w:rPr>
                <w:rFonts w:ascii="Times New Roman" w:eastAsia="微软雅黑" w:hAnsi="Times New Roman" w:cs="Times New Roman"/>
                <w:kern w:val="0"/>
                <w:sz w:val="20"/>
                <w:szCs w:val="20"/>
              </w:rPr>
            </w:pPr>
            <w:r w:rsidRPr="002F3D36">
              <w:rPr>
                <w:rFonts w:ascii="Arial" w:eastAsia="微软雅黑" w:hAnsi="Arial" w:cs="Arial"/>
                <w:kern w:val="0"/>
                <w:sz w:val="20"/>
                <w:szCs w:val="20"/>
              </w:rPr>
              <w:t> </w:t>
            </w:r>
          </w:p>
        </w:tc>
        <w:tc>
          <w:tcPr>
            <w:tcW w:w="0" w:type="auto"/>
            <w:vAlign w:val="bottom"/>
            <w:hideMark/>
          </w:tcPr>
          <w:p w14:paraId="018C235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Fredrik Westin</w:t>
            </w:r>
          </w:p>
        </w:tc>
      </w:tr>
      <w:tr w:rsidR="002F3D36" w:rsidRPr="002F3D36" w14:paraId="27154A1A" w14:textId="77777777" w:rsidTr="002F3D36">
        <w:trPr>
          <w:trHeight w:val="180"/>
          <w:tblCellSpacing w:w="15" w:type="dxa"/>
        </w:trPr>
        <w:tc>
          <w:tcPr>
            <w:tcW w:w="0" w:type="auto"/>
            <w:vAlign w:val="bottom"/>
            <w:hideMark/>
          </w:tcPr>
          <w:p w14:paraId="718C126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vAlign w:val="bottom"/>
            <w:hideMark/>
          </w:tcPr>
          <w:p w14:paraId="25AADE0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Chief Financial Officer</w:t>
            </w:r>
          </w:p>
        </w:tc>
      </w:tr>
    </w:tbl>
    <w:p w14:paraId="76C895D1"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w:t>
      </w:r>
    </w:p>
    <w:p w14:paraId="082872FB" w14:textId="77777777" w:rsidR="002F3D36" w:rsidRPr="002F3D36" w:rsidRDefault="002F3D36" w:rsidP="002F3D36">
      <w:pPr>
        <w:widowControl/>
        <w:spacing w:before="6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Pursuant to the requirements of the Securities Exchange Act of 1934, this report has been signed below by the following persons on behalf of the registrant and in the capacities indicated, as of February 22, 2022.</w:t>
      </w:r>
    </w:p>
    <w:p w14:paraId="12CFCAFF"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w:t>
      </w:r>
    </w:p>
    <w:tbl>
      <w:tblPr>
        <w:tblW w:w="20614" w:type="dxa"/>
        <w:tblCellSpacing w:w="15" w:type="dxa"/>
        <w:tblCellMar>
          <w:top w:w="15" w:type="dxa"/>
          <w:left w:w="15" w:type="dxa"/>
          <w:bottom w:w="15" w:type="dxa"/>
          <w:right w:w="15" w:type="dxa"/>
        </w:tblCellMar>
        <w:tblLook w:val="04A0" w:firstRow="1" w:lastRow="0" w:firstColumn="1" w:lastColumn="0" w:noHBand="0" w:noVBand="1"/>
      </w:tblPr>
      <w:tblGrid>
        <w:gridCol w:w="10190"/>
        <w:gridCol w:w="637"/>
        <w:gridCol w:w="9787"/>
      </w:tblGrid>
      <w:tr w:rsidR="002F3D36" w:rsidRPr="002F3D36" w14:paraId="369D1843" w14:textId="77777777" w:rsidTr="002F3D36">
        <w:trPr>
          <w:tblCellSpacing w:w="15" w:type="dxa"/>
        </w:trPr>
        <w:tc>
          <w:tcPr>
            <w:tcW w:w="10160" w:type="dxa"/>
            <w:vAlign w:val="center"/>
            <w:hideMark/>
          </w:tcPr>
          <w:p w14:paraId="48AB5AE0" w14:textId="77777777" w:rsidR="002F3D36" w:rsidRPr="002F3D36" w:rsidRDefault="002F3D36" w:rsidP="002F3D36">
            <w:pPr>
              <w:widowControl/>
              <w:jc w:val="left"/>
              <w:rPr>
                <w:rFonts w:ascii="Times New Roman" w:eastAsia="宋体" w:hAnsi="Times New Roman" w:cs="Times New Roman"/>
                <w:color w:val="000000"/>
                <w:kern w:val="0"/>
                <w:sz w:val="20"/>
                <w:szCs w:val="20"/>
              </w:rPr>
            </w:pPr>
          </w:p>
        </w:tc>
        <w:tc>
          <w:tcPr>
            <w:tcW w:w="608" w:type="dxa"/>
            <w:vAlign w:val="center"/>
            <w:hideMark/>
          </w:tcPr>
          <w:p w14:paraId="70CA0CBA" w14:textId="77777777" w:rsidR="002F3D36" w:rsidRPr="002F3D36" w:rsidRDefault="002F3D36" w:rsidP="002F3D36">
            <w:pPr>
              <w:widowControl/>
              <w:jc w:val="left"/>
              <w:rPr>
                <w:rFonts w:ascii="Times New Roman" w:eastAsia="Times New Roman" w:hAnsi="Times New Roman" w:cs="Times New Roman"/>
                <w:kern w:val="0"/>
                <w:sz w:val="20"/>
                <w:szCs w:val="20"/>
              </w:rPr>
            </w:pPr>
          </w:p>
        </w:tc>
        <w:tc>
          <w:tcPr>
            <w:tcW w:w="9757" w:type="dxa"/>
            <w:vAlign w:val="center"/>
            <w:hideMark/>
          </w:tcPr>
          <w:p w14:paraId="1257351B" w14:textId="77777777" w:rsidR="002F3D36" w:rsidRPr="002F3D36" w:rsidRDefault="002F3D36" w:rsidP="002F3D36">
            <w:pPr>
              <w:widowControl/>
              <w:jc w:val="left"/>
              <w:rPr>
                <w:rFonts w:ascii="Times New Roman" w:eastAsia="Times New Roman" w:hAnsi="Times New Roman" w:cs="Times New Roman"/>
                <w:kern w:val="0"/>
                <w:sz w:val="20"/>
                <w:szCs w:val="20"/>
              </w:rPr>
            </w:pPr>
          </w:p>
        </w:tc>
      </w:tr>
      <w:tr w:rsidR="002F3D36" w:rsidRPr="002F3D36" w14:paraId="304C1F60" w14:textId="77777777" w:rsidTr="002F3D36">
        <w:trPr>
          <w:trHeight w:val="180"/>
          <w:tblCellSpacing w:w="15" w:type="dxa"/>
        </w:trPr>
        <w:tc>
          <w:tcPr>
            <w:tcW w:w="0" w:type="auto"/>
            <w:tcBorders>
              <w:bottom w:val="single" w:sz="4" w:space="0" w:color="auto"/>
            </w:tcBorders>
            <w:hideMark/>
          </w:tcPr>
          <w:p w14:paraId="43B898CF" w14:textId="77777777" w:rsidR="002F3D36" w:rsidRPr="002F3D36" w:rsidRDefault="002F3D36" w:rsidP="002F3D36">
            <w:pPr>
              <w:widowControl/>
              <w:jc w:val="center"/>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Title</w:t>
            </w:r>
          </w:p>
        </w:tc>
        <w:tc>
          <w:tcPr>
            <w:tcW w:w="0" w:type="auto"/>
            <w:hideMark/>
          </w:tcPr>
          <w:p w14:paraId="1BCB0834" w14:textId="77777777" w:rsidR="002F3D36" w:rsidRPr="002F3D36" w:rsidRDefault="002F3D36" w:rsidP="002F3D36">
            <w:pPr>
              <w:widowControl/>
              <w:jc w:val="center"/>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auto"/>
            </w:tcBorders>
            <w:hideMark/>
          </w:tcPr>
          <w:p w14:paraId="570685E9" w14:textId="77777777" w:rsidR="002F3D36" w:rsidRPr="002F3D36" w:rsidRDefault="002F3D36" w:rsidP="002F3D36">
            <w:pPr>
              <w:widowControl/>
              <w:jc w:val="center"/>
              <w:rPr>
                <w:rFonts w:ascii="Times New Roman" w:eastAsia="微软雅黑" w:hAnsi="Times New Roman" w:cs="Times New Roman"/>
                <w:kern w:val="0"/>
                <w:sz w:val="18"/>
                <w:szCs w:val="18"/>
              </w:rPr>
            </w:pPr>
            <w:r w:rsidRPr="002F3D36">
              <w:rPr>
                <w:rFonts w:ascii="Arial" w:eastAsia="微软雅黑" w:hAnsi="Arial" w:cs="Arial"/>
                <w:b/>
                <w:bCs/>
                <w:color w:val="000000"/>
                <w:kern w:val="0"/>
                <w:sz w:val="18"/>
                <w:szCs w:val="18"/>
              </w:rPr>
              <w:t>Name</w:t>
            </w:r>
          </w:p>
        </w:tc>
      </w:tr>
      <w:tr w:rsidR="002F3D36" w:rsidRPr="002F3D36" w14:paraId="2388A983" w14:textId="77777777" w:rsidTr="002F3D36">
        <w:trPr>
          <w:tblCellSpacing w:w="15" w:type="dxa"/>
        </w:trPr>
        <w:tc>
          <w:tcPr>
            <w:tcW w:w="0" w:type="auto"/>
            <w:hideMark/>
          </w:tcPr>
          <w:p w14:paraId="735C76A5"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lastRenderedPageBreak/>
              <w:t> </w:t>
            </w:r>
          </w:p>
        </w:tc>
        <w:tc>
          <w:tcPr>
            <w:tcW w:w="0" w:type="auto"/>
            <w:hideMark/>
          </w:tcPr>
          <w:p w14:paraId="3D4090CD"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70FFE1DC"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r>
      <w:tr w:rsidR="002F3D36" w:rsidRPr="002F3D36" w14:paraId="546DA7A1" w14:textId="77777777" w:rsidTr="002F3D36">
        <w:trPr>
          <w:trHeight w:val="180"/>
          <w:tblCellSpacing w:w="15" w:type="dxa"/>
        </w:trPr>
        <w:tc>
          <w:tcPr>
            <w:tcW w:w="0" w:type="auto"/>
            <w:hideMark/>
          </w:tcPr>
          <w:p w14:paraId="4CDBD25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Chairman of the Board of Directors</w:t>
            </w:r>
          </w:p>
        </w:tc>
        <w:tc>
          <w:tcPr>
            <w:tcW w:w="0" w:type="auto"/>
            <w:hideMark/>
          </w:tcPr>
          <w:p w14:paraId="282145F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auto"/>
            </w:tcBorders>
            <w:hideMark/>
          </w:tcPr>
          <w:p w14:paraId="1F8535C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/s/ Jan Carlson</w:t>
            </w:r>
          </w:p>
        </w:tc>
      </w:tr>
      <w:tr w:rsidR="002F3D36" w:rsidRPr="002F3D36" w14:paraId="37B88AE3" w14:textId="77777777" w:rsidTr="002F3D36">
        <w:trPr>
          <w:trHeight w:val="180"/>
          <w:tblCellSpacing w:w="15" w:type="dxa"/>
        </w:trPr>
        <w:tc>
          <w:tcPr>
            <w:tcW w:w="0" w:type="auto"/>
            <w:hideMark/>
          </w:tcPr>
          <w:p w14:paraId="0DC4A122" w14:textId="77777777" w:rsidR="002F3D36" w:rsidRPr="002F3D36" w:rsidRDefault="002F3D36" w:rsidP="002F3D36">
            <w:pPr>
              <w:widowControl/>
              <w:jc w:val="left"/>
              <w:rPr>
                <w:rFonts w:ascii="Times New Roman" w:eastAsia="微软雅黑" w:hAnsi="Times New Roman" w:cs="Times New Roman"/>
                <w:kern w:val="0"/>
                <w:sz w:val="20"/>
                <w:szCs w:val="20"/>
              </w:rPr>
            </w:pPr>
            <w:r w:rsidRPr="002F3D36">
              <w:rPr>
                <w:rFonts w:ascii="Arial" w:eastAsia="微软雅黑" w:hAnsi="Arial" w:cs="Arial"/>
                <w:kern w:val="0"/>
                <w:sz w:val="20"/>
                <w:szCs w:val="20"/>
              </w:rPr>
              <w:t> </w:t>
            </w:r>
          </w:p>
        </w:tc>
        <w:tc>
          <w:tcPr>
            <w:tcW w:w="0" w:type="auto"/>
            <w:hideMark/>
          </w:tcPr>
          <w:p w14:paraId="4B66606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318E35F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Jan Carlson</w:t>
            </w:r>
          </w:p>
        </w:tc>
      </w:tr>
      <w:tr w:rsidR="002F3D36" w:rsidRPr="002F3D36" w14:paraId="5CA8D59A" w14:textId="77777777" w:rsidTr="002F3D36">
        <w:trPr>
          <w:tblCellSpacing w:w="15" w:type="dxa"/>
        </w:trPr>
        <w:tc>
          <w:tcPr>
            <w:tcW w:w="0" w:type="auto"/>
            <w:hideMark/>
          </w:tcPr>
          <w:p w14:paraId="3DB4F79D"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628C1102"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327564CD"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r>
      <w:tr w:rsidR="002F3D36" w:rsidRPr="002F3D36" w14:paraId="66C6EAB9" w14:textId="77777777" w:rsidTr="002F3D36">
        <w:trPr>
          <w:trHeight w:val="180"/>
          <w:tblCellSpacing w:w="15" w:type="dxa"/>
        </w:trPr>
        <w:tc>
          <w:tcPr>
            <w:tcW w:w="0" w:type="auto"/>
            <w:hideMark/>
          </w:tcPr>
          <w:p w14:paraId="5417599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Chief Executive Officer and President (Principal Executive Officer)</w:t>
            </w:r>
          </w:p>
        </w:tc>
        <w:tc>
          <w:tcPr>
            <w:tcW w:w="0" w:type="auto"/>
            <w:hideMark/>
          </w:tcPr>
          <w:p w14:paraId="1ED4341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auto"/>
            </w:tcBorders>
            <w:hideMark/>
          </w:tcPr>
          <w:p w14:paraId="4DDE5DF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/s/ Mikael Bratt</w:t>
            </w:r>
          </w:p>
        </w:tc>
      </w:tr>
      <w:tr w:rsidR="002F3D36" w:rsidRPr="002F3D36" w14:paraId="3F80AF90" w14:textId="77777777" w:rsidTr="002F3D36">
        <w:trPr>
          <w:trHeight w:val="180"/>
          <w:tblCellSpacing w:w="15" w:type="dxa"/>
        </w:trPr>
        <w:tc>
          <w:tcPr>
            <w:tcW w:w="0" w:type="auto"/>
            <w:hideMark/>
          </w:tcPr>
          <w:p w14:paraId="7827A4E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and Director</w:t>
            </w:r>
          </w:p>
        </w:tc>
        <w:tc>
          <w:tcPr>
            <w:tcW w:w="0" w:type="auto"/>
            <w:hideMark/>
          </w:tcPr>
          <w:p w14:paraId="23EF239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2836204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Mikael Bratt</w:t>
            </w:r>
          </w:p>
        </w:tc>
      </w:tr>
      <w:tr w:rsidR="002F3D36" w:rsidRPr="002F3D36" w14:paraId="17F5D4E8" w14:textId="77777777" w:rsidTr="002F3D36">
        <w:trPr>
          <w:tblCellSpacing w:w="15" w:type="dxa"/>
        </w:trPr>
        <w:tc>
          <w:tcPr>
            <w:tcW w:w="0" w:type="auto"/>
            <w:hideMark/>
          </w:tcPr>
          <w:p w14:paraId="46DBFF81"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00E5C9B0"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0A7725E7"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r>
      <w:tr w:rsidR="002F3D36" w:rsidRPr="002F3D36" w14:paraId="27BF197D" w14:textId="77777777" w:rsidTr="002F3D36">
        <w:trPr>
          <w:trHeight w:val="180"/>
          <w:tblCellSpacing w:w="15" w:type="dxa"/>
        </w:trPr>
        <w:tc>
          <w:tcPr>
            <w:tcW w:w="0" w:type="auto"/>
            <w:hideMark/>
          </w:tcPr>
          <w:p w14:paraId="4CF579E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Chief Financial Officer</w:t>
            </w:r>
          </w:p>
        </w:tc>
        <w:tc>
          <w:tcPr>
            <w:tcW w:w="0" w:type="auto"/>
            <w:hideMark/>
          </w:tcPr>
          <w:p w14:paraId="0053265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auto"/>
            </w:tcBorders>
            <w:hideMark/>
          </w:tcPr>
          <w:p w14:paraId="10F1CFD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/s/ Fredrik Westin</w:t>
            </w:r>
          </w:p>
        </w:tc>
      </w:tr>
      <w:tr w:rsidR="002F3D36" w:rsidRPr="002F3D36" w14:paraId="3F0BB19B" w14:textId="77777777" w:rsidTr="002F3D36">
        <w:trPr>
          <w:trHeight w:val="180"/>
          <w:tblCellSpacing w:w="15" w:type="dxa"/>
        </w:trPr>
        <w:tc>
          <w:tcPr>
            <w:tcW w:w="0" w:type="auto"/>
            <w:hideMark/>
          </w:tcPr>
          <w:p w14:paraId="6941A2F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(Principal Financial and Principal Accounting Officer)</w:t>
            </w:r>
          </w:p>
        </w:tc>
        <w:tc>
          <w:tcPr>
            <w:tcW w:w="0" w:type="auto"/>
            <w:hideMark/>
          </w:tcPr>
          <w:p w14:paraId="16159F8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5695773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Fredrik Westin</w:t>
            </w:r>
          </w:p>
        </w:tc>
      </w:tr>
      <w:tr w:rsidR="002F3D36" w:rsidRPr="002F3D36" w14:paraId="5AEDA3EC" w14:textId="77777777" w:rsidTr="002F3D36">
        <w:trPr>
          <w:tblCellSpacing w:w="15" w:type="dxa"/>
        </w:trPr>
        <w:tc>
          <w:tcPr>
            <w:tcW w:w="0" w:type="auto"/>
            <w:hideMark/>
          </w:tcPr>
          <w:p w14:paraId="3EA9505D"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007CDD73"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51483A33"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r>
      <w:tr w:rsidR="002F3D36" w:rsidRPr="002F3D36" w14:paraId="36B47FC6" w14:textId="77777777" w:rsidTr="002F3D36">
        <w:trPr>
          <w:tblCellSpacing w:w="15" w:type="dxa"/>
        </w:trPr>
        <w:tc>
          <w:tcPr>
            <w:tcW w:w="0" w:type="auto"/>
            <w:hideMark/>
          </w:tcPr>
          <w:p w14:paraId="69B68187"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19940E5B"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5FF78BA1"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r>
      <w:tr w:rsidR="002F3D36" w:rsidRPr="002F3D36" w14:paraId="55048202" w14:textId="77777777" w:rsidTr="002F3D36">
        <w:trPr>
          <w:trHeight w:val="180"/>
          <w:tblCellSpacing w:w="15" w:type="dxa"/>
        </w:trPr>
        <w:tc>
          <w:tcPr>
            <w:tcW w:w="0" w:type="auto"/>
            <w:hideMark/>
          </w:tcPr>
          <w:p w14:paraId="4596921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Director</w:t>
            </w:r>
          </w:p>
        </w:tc>
        <w:tc>
          <w:tcPr>
            <w:tcW w:w="0" w:type="auto"/>
            <w:hideMark/>
          </w:tcPr>
          <w:p w14:paraId="3C6E666D"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tcBorders>
              <w:bottom w:val="single" w:sz="4" w:space="0" w:color="auto"/>
            </w:tcBorders>
            <w:hideMark/>
          </w:tcPr>
          <w:p w14:paraId="725C2BA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/s/ Laurie Brlas</w:t>
            </w:r>
          </w:p>
        </w:tc>
      </w:tr>
      <w:tr w:rsidR="002F3D36" w:rsidRPr="002F3D36" w14:paraId="289F7525" w14:textId="77777777" w:rsidTr="002F3D36">
        <w:trPr>
          <w:trHeight w:val="180"/>
          <w:tblCellSpacing w:w="15" w:type="dxa"/>
        </w:trPr>
        <w:tc>
          <w:tcPr>
            <w:tcW w:w="0" w:type="auto"/>
            <w:hideMark/>
          </w:tcPr>
          <w:p w14:paraId="28FC71CD"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77A68E99"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4BB98E9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Laurie Brlas</w:t>
            </w:r>
          </w:p>
        </w:tc>
      </w:tr>
      <w:tr w:rsidR="002F3D36" w:rsidRPr="002F3D36" w14:paraId="10A70BFD" w14:textId="77777777" w:rsidTr="002F3D36">
        <w:trPr>
          <w:tblCellSpacing w:w="15" w:type="dxa"/>
        </w:trPr>
        <w:tc>
          <w:tcPr>
            <w:tcW w:w="0" w:type="auto"/>
            <w:hideMark/>
          </w:tcPr>
          <w:p w14:paraId="085DDAD2"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13A05D9E"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0A343A23"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r>
      <w:tr w:rsidR="002F3D36" w:rsidRPr="002F3D36" w14:paraId="5358CFF2" w14:textId="77777777" w:rsidTr="002F3D36">
        <w:trPr>
          <w:trHeight w:val="180"/>
          <w:tblCellSpacing w:w="15" w:type="dxa"/>
        </w:trPr>
        <w:tc>
          <w:tcPr>
            <w:tcW w:w="0" w:type="auto"/>
            <w:hideMark/>
          </w:tcPr>
          <w:p w14:paraId="7383900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 xml:space="preserve">Director </w:t>
            </w:r>
          </w:p>
        </w:tc>
        <w:tc>
          <w:tcPr>
            <w:tcW w:w="0" w:type="auto"/>
            <w:hideMark/>
          </w:tcPr>
          <w:p w14:paraId="193908F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auto"/>
            </w:tcBorders>
            <w:hideMark/>
          </w:tcPr>
          <w:p w14:paraId="3C1A2DB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/s/ Hasse Johansson</w:t>
            </w:r>
          </w:p>
        </w:tc>
      </w:tr>
      <w:tr w:rsidR="002F3D36" w:rsidRPr="002F3D36" w14:paraId="64CA5D1F" w14:textId="77777777" w:rsidTr="002F3D36">
        <w:trPr>
          <w:trHeight w:val="180"/>
          <w:tblCellSpacing w:w="15" w:type="dxa"/>
        </w:trPr>
        <w:tc>
          <w:tcPr>
            <w:tcW w:w="0" w:type="auto"/>
            <w:hideMark/>
          </w:tcPr>
          <w:p w14:paraId="112E6A8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3CB9A14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386DBBC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Hasse Johansson</w:t>
            </w:r>
          </w:p>
        </w:tc>
      </w:tr>
      <w:tr w:rsidR="002F3D36" w:rsidRPr="002F3D36" w14:paraId="3438B9DD" w14:textId="77777777" w:rsidTr="002F3D36">
        <w:trPr>
          <w:tblCellSpacing w:w="15" w:type="dxa"/>
        </w:trPr>
        <w:tc>
          <w:tcPr>
            <w:tcW w:w="0" w:type="auto"/>
            <w:hideMark/>
          </w:tcPr>
          <w:p w14:paraId="42634A33"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76225B7E"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1F1CF03B"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r>
      <w:tr w:rsidR="002F3D36" w:rsidRPr="002F3D36" w14:paraId="62AFBEA0" w14:textId="77777777" w:rsidTr="002F3D36">
        <w:trPr>
          <w:trHeight w:val="180"/>
          <w:tblCellSpacing w:w="15" w:type="dxa"/>
        </w:trPr>
        <w:tc>
          <w:tcPr>
            <w:tcW w:w="0" w:type="auto"/>
            <w:hideMark/>
          </w:tcPr>
          <w:p w14:paraId="7F3F102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 xml:space="preserve">Director </w:t>
            </w:r>
          </w:p>
        </w:tc>
        <w:tc>
          <w:tcPr>
            <w:tcW w:w="0" w:type="auto"/>
            <w:hideMark/>
          </w:tcPr>
          <w:p w14:paraId="315A885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auto"/>
            </w:tcBorders>
            <w:hideMark/>
          </w:tcPr>
          <w:p w14:paraId="792D876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/s/ Leif Johansson</w:t>
            </w:r>
          </w:p>
        </w:tc>
      </w:tr>
      <w:tr w:rsidR="002F3D36" w:rsidRPr="002F3D36" w14:paraId="4F583B2D" w14:textId="77777777" w:rsidTr="002F3D36">
        <w:trPr>
          <w:trHeight w:val="180"/>
          <w:tblCellSpacing w:w="15" w:type="dxa"/>
        </w:trPr>
        <w:tc>
          <w:tcPr>
            <w:tcW w:w="0" w:type="auto"/>
            <w:hideMark/>
          </w:tcPr>
          <w:p w14:paraId="0B30DC11" w14:textId="77777777" w:rsidR="002F3D36" w:rsidRPr="002F3D36" w:rsidRDefault="002F3D36" w:rsidP="002F3D36">
            <w:pPr>
              <w:widowControl/>
              <w:jc w:val="center"/>
              <w:rPr>
                <w:rFonts w:ascii="Times New Roman" w:eastAsia="微软雅黑" w:hAnsi="Times New Roman" w:cs="Times New Roman"/>
                <w:kern w:val="0"/>
                <w:sz w:val="20"/>
                <w:szCs w:val="20"/>
              </w:rPr>
            </w:pPr>
            <w:r w:rsidRPr="002F3D36">
              <w:rPr>
                <w:rFonts w:ascii="Arial" w:eastAsia="微软雅黑" w:hAnsi="Arial" w:cs="Arial"/>
                <w:kern w:val="0"/>
                <w:sz w:val="20"/>
                <w:szCs w:val="20"/>
              </w:rPr>
              <w:t> </w:t>
            </w:r>
          </w:p>
        </w:tc>
        <w:tc>
          <w:tcPr>
            <w:tcW w:w="0" w:type="auto"/>
            <w:hideMark/>
          </w:tcPr>
          <w:p w14:paraId="6C7726C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32179FB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Leif Johansson</w:t>
            </w:r>
          </w:p>
        </w:tc>
      </w:tr>
      <w:tr w:rsidR="002F3D36" w:rsidRPr="002F3D36" w14:paraId="1F0D08E3" w14:textId="77777777" w:rsidTr="002F3D36">
        <w:trPr>
          <w:tblCellSpacing w:w="15" w:type="dxa"/>
        </w:trPr>
        <w:tc>
          <w:tcPr>
            <w:tcW w:w="0" w:type="auto"/>
            <w:hideMark/>
          </w:tcPr>
          <w:p w14:paraId="06E3108E"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4FFEDDF1"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7F9555E4"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r>
      <w:tr w:rsidR="002F3D36" w:rsidRPr="002F3D36" w14:paraId="6BBB53EF" w14:textId="77777777" w:rsidTr="002F3D36">
        <w:trPr>
          <w:trHeight w:val="180"/>
          <w:tblCellSpacing w:w="15" w:type="dxa"/>
        </w:trPr>
        <w:tc>
          <w:tcPr>
            <w:tcW w:w="0" w:type="auto"/>
            <w:hideMark/>
          </w:tcPr>
          <w:p w14:paraId="521AA61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 xml:space="preserve">Director </w:t>
            </w:r>
          </w:p>
        </w:tc>
        <w:tc>
          <w:tcPr>
            <w:tcW w:w="0" w:type="auto"/>
            <w:hideMark/>
          </w:tcPr>
          <w:p w14:paraId="6362679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auto"/>
            </w:tcBorders>
            <w:hideMark/>
          </w:tcPr>
          <w:p w14:paraId="512DF92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/s/ Franz-Josef Kortüm</w:t>
            </w:r>
          </w:p>
        </w:tc>
      </w:tr>
      <w:tr w:rsidR="002F3D36" w:rsidRPr="002F3D36" w14:paraId="584678C2" w14:textId="77777777" w:rsidTr="002F3D36">
        <w:trPr>
          <w:trHeight w:val="180"/>
          <w:tblCellSpacing w:w="15" w:type="dxa"/>
        </w:trPr>
        <w:tc>
          <w:tcPr>
            <w:tcW w:w="0" w:type="auto"/>
            <w:hideMark/>
          </w:tcPr>
          <w:p w14:paraId="0C8FD5B6" w14:textId="77777777" w:rsidR="002F3D36" w:rsidRPr="002F3D36" w:rsidRDefault="002F3D36" w:rsidP="002F3D36">
            <w:pPr>
              <w:widowControl/>
              <w:jc w:val="center"/>
              <w:rPr>
                <w:rFonts w:ascii="Times New Roman" w:eastAsia="微软雅黑" w:hAnsi="Times New Roman" w:cs="Times New Roman"/>
                <w:kern w:val="0"/>
                <w:sz w:val="20"/>
                <w:szCs w:val="20"/>
              </w:rPr>
            </w:pPr>
            <w:r w:rsidRPr="002F3D36">
              <w:rPr>
                <w:rFonts w:ascii="Arial" w:eastAsia="微软雅黑" w:hAnsi="Arial" w:cs="Arial"/>
                <w:kern w:val="0"/>
                <w:sz w:val="20"/>
                <w:szCs w:val="20"/>
              </w:rPr>
              <w:t> </w:t>
            </w:r>
          </w:p>
        </w:tc>
        <w:tc>
          <w:tcPr>
            <w:tcW w:w="0" w:type="auto"/>
            <w:hideMark/>
          </w:tcPr>
          <w:p w14:paraId="0506718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633DE35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Franz-Josef Kortüm</w:t>
            </w:r>
          </w:p>
        </w:tc>
      </w:tr>
      <w:tr w:rsidR="002F3D36" w:rsidRPr="002F3D36" w14:paraId="22D3105B" w14:textId="77777777" w:rsidTr="002F3D36">
        <w:trPr>
          <w:tblCellSpacing w:w="15" w:type="dxa"/>
        </w:trPr>
        <w:tc>
          <w:tcPr>
            <w:tcW w:w="0" w:type="auto"/>
            <w:hideMark/>
          </w:tcPr>
          <w:p w14:paraId="22939E9E" w14:textId="77777777" w:rsidR="002F3D36" w:rsidRPr="002F3D36" w:rsidRDefault="002F3D36" w:rsidP="002F3D36">
            <w:pPr>
              <w:widowControl/>
              <w:jc w:val="center"/>
              <w:rPr>
                <w:rFonts w:ascii="Times New Roman" w:eastAsia="微软雅黑" w:hAnsi="Times New Roman" w:cs="Times New Roman"/>
                <w:kern w:val="0"/>
                <w:sz w:val="20"/>
                <w:szCs w:val="20"/>
              </w:rPr>
            </w:pPr>
            <w:r w:rsidRPr="002F3D36">
              <w:rPr>
                <w:rFonts w:ascii="Arial" w:eastAsia="微软雅黑" w:hAnsi="Arial" w:cs="Arial"/>
                <w:kern w:val="0"/>
                <w:sz w:val="20"/>
                <w:szCs w:val="20"/>
              </w:rPr>
              <w:t> </w:t>
            </w:r>
          </w:p>
        </w:tc>
        <w:tc>
          <w:tcPr>
            <w:tcW w:w="0" w:type="auto"/>
            <w:hideMark/>
          </w:tcPr>
          <w:p w14:paraId="1438DBB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64516D1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41DD1F0F" w14:textId="77777777" w:rsidTr="002F3D36">
        <w:trPr>
          <w:trHeight w:val="180"/>
          <w:tblCellSpacing w:w="15" w:type="dxa"/>
        </w:trPr>
        <w:tc>
          <w:tcPr>
            <w:tcW w:w="0" w:type="auto"/>
            <w:hideMark/>
          </w:tcPr>
          <w:p w14:paraId="1627365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Director</w:t>
            </w:r>
          </w:p>
        </w:tc>
        <w:tc>
          <w:tcPr>
            <w:tcW w:w="0" w:type="auto"/>
            <w:hideMark/>
          </w:tcPr>
          <w:p w14:paraId="795CAC2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auto"/>
            </w:tcBorders>
            <w:hideMark/>
          </w:tcPr>
          <w:p w14:paraId="73453A5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/s/ Frédéric Lissalde</w:t>
            </w:r>
          </w:p>
        </w:tc>
      </w:tr>
      <w:tr w:rsidR="002F3D36" w:rsidRPr="002F3D36" w14:paraId="56C2749F" w14:textId="77777777" w:rsidTr="002F3D36">
        <w:trPr>
          <w:trHeight w:val="180"/>
          <w:tblCellSpacing w:w="15" w:type="dxa"/>
        </w:trPr>
        <w:tc>
          <w:tcPr>
            <w:tcW w:w="0" w:type="auto"/>
            <w:hideMark/>
          </w:tcPr>
          <w:p w14:paraId="5AFD667A" w14:textId="77777777" w:rsidR="002F3D36" w:rsidRPr="002F3D36" w:rsidRDefault="002F3D36" w:rsidP="002F3D36">
            <w:pPr>
              <w:widowControl/>
              <w:jc w:val="center"/>
              <w:rPr>
                <w:rFonts w:ascii="Times New Roman" w:eastAsia="微软雅黑" w:hAnsi="Times New Roman" w:cs="Times New Roman"/>
                <w:kern w:val="0"/>
                <w:sz w:val="20"/>
                <w:szCs w:val="20"/>
              </w:rPr>
            </w:pPr>
            <w:r w:rsidRPr="002F3D36">
              <w:rPr>
                <w:rFonts w:ascii="Arial" w:eastAsia="微软雅黑" w:hAnsi="Arial" w:cs="Arial"/>
                <w:kern w:val="0"/>
                <w:sz w:val="20"/>
                <w:szCs w:val="20"/>
              </w:rPr>
              <w:t> </w:t>
            </w:r>
          </w:p>
        </w:tc>
        <w:tc>
          <w:tcPr>
            <w:tcW w:w="0" w:type="auto"/>
            <w:hideMark/>
          </w:tcPr>
          <w:p w14:paraId="465142F7"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3682E61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Frédéric Lissalde</w:t>
            </w:r>
          </w:p>
        </w:tc>
      </w:tr>
      <w:tr w:rsidR="002F3D36" w:rsidRPr="002F3D36" w14:paraId="5F8D32C2" w14:textId="77777777" w:rsidTr="002F3D36">
        <w:trPr>
          <w:tblCellSpacing w:w="15" w:type="dxa"/>
        </w:trPr>
        <w:tc>
          <w:tcPr>
            <w:tcW w:w="0" w:type="auto"/>
            <w:hideMark/>
          </w:tcPr>
          <w:p w14:paraId="7D00D74B"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245048CA"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370540A1"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r>
      <w:tr w:rsidR="002F3D36" w:rsidRPr="002F3D36" w14:paraId="2C23C102" w14:textId="77777777" w:rsidTr="002F3D36">
        <w:trPr>
          <w:trHeight w:val="180"/>
          <w:tblCellSpacing w:w="15" w:type="dxa"/>
        </w:trPr>
        <w:tc>
          <w:tcPr>
            <w:tcW w:w="0" w:type="auto"/>
            <w:hideMark/>
          </w:tcPr>
          <w:p w14:paraId="46E1274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Director</w:t>
            </w:r>
          </w:p>
        </w:tc>
        <w:tc>
          <w:tcPr>
            <w:tcW w:w="0" w:type="auto"/>
            <w:hideMark/>
          </w:tcPr>
          <w:p w14:paraId="46AB95DF"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auto"/>
            </w:tcBorders>
            <w:hideMark/>
          </w:tcPr>
          <w:p w14:paraId="3FA15AC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/s/ Min Liu</w:t>
            </w:r>
          </w:p>
        </w:tc>
      </w:tr>
      <w:tr w:rsidR="002F3D36" w:rsidRPr="002F3D36" w14:paraId="05A0A9C0" w14:textId="77777777" w:rsidTr="002F3D36">
        <w:trPr>
          <w:trHeight w:val="180"/>
          <w:tblCellSpacing w:w="15" w:type="dxa"/>
        </w:trPr>
        <w:tc>
          <w:tcPr>
            <w:tcW w:w="0" w:type="auto"/>
            <w:hideMark/>
          </w:tcPr>
          <w:p w14:paraId="72B03F38"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6E762AD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4656A910"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Min Liu</w:t>
            </w:r>
          </w:p>
        </w:tc>
      </w:tr>
      <w:tr w:rsidR="002F3D36" w:rsidRPr="002F3D36" w14:paraId="2DD60100" w14:textId="77777777" w:rsidTr="002F3D36">
        <w:trPr>
          <w:tblCellSpacing w:w="15" w:type="dxa"/>
        </w:trPr>
        <w:tc>
          <w:tcPr>
            <w:tcW w:w="0" w:type="auto"/>
            <w:hideMark/>
          </w:tcPr>
          <w:p w14:paraId="7F9CE38B"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40D23F8F"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5CDD38B9"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r>
      <w:tr w:rsidR="002F3D36" w:rsidRPr="002F3D36" w14:paraId="3B21869C" w14:textId="77777777" w:rsidTr="002F3D36">
        <w:trPr>
          <w:trHeight w:val="180"/>
          <w:tblCellSpacing w:w="15" w:type="dxa"/>
        </w:trPr>
        <w:tc>
          <w:tcPr>
            <w:tcW w:w="0" w:type="auto"/>
            <w:hideMark/>
          </w:tcPr>
          <w:p w14:paraId="05F1372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 xml:space="preserve">Director </w:t>
            </w:r>
          </w:p>
        </w:tc>
        <w:tc>
          <w:tcPr>
            <w:tcW w:w="0" w:type="auto"/>
            <w:hideMark/>
          </w:tcPr>
          <w:p w14:paraId="11DD274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auto"/>
            </w:tcBorders>
            <w:hideMark/>
          </w:tcPr>
          <w:p w14:paraId="6C37FE3E"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/s/ Xiaozhi Liu</w:t>
            </w:r>
          </w:p>
        </w:tc>
      </w:tr>
      <w:tr w:rsidR="002F3D36" w:rsidRPr="002F3D36" w14:paraId="4D64B9BC" w14:textId="77777777" w:rsidTr="002F3D36">
        <w:trPr>
          <w:trHeight w:val="180"/>
          <w:tblCellSpacing w:w="15" w:type="dxa"/>
        </w:trPr>
        <w:tc>
          <w:tcPr>
            <w:tcW w:w="0" w:type="auto"/>
            <w:hideMark/>
          </w:tcPr>
          <w:p w14:paraId="1035F2B4" w14:textId="77777777" w:rsidR="002F3D36" w:rsidRPr="002F3D36" w:rsidRDefault="002F3D36" w:rsidP="002F3D36">
            <w:pPr>
              <w:widowControl/>
              <w:jc w:val="center"/>
              <w:rPr>
                <w:rFonts w:ascii="Times New Roman" w:eastAsia="微软雅黑" w:hAnsi="Times New Roman" w:cs="Times New Roman"/>
                <w:kern w:val="0"/>
                <w:sz w:val="20"/>
                <w:szCs w:val="20"/>
              </w:rPr>
            </w:pPr>
            <w:r w:rsidRPr="002F3D36">
              <w:rPr>
                <w:rFonts w:ascii="Arial" w:eastAsia="微软雅黑" w:hAnsi="Arial" w:cs="Arial"/>
                <w:kern w:val="0"/>
                <w:sz w:val="20"/>
                <w:szCs w:val="20"/>
              </w:rPr>
              <w:t> </w:t>
            </w:r>
          </w:p>
        </w:tc>
        <w:tc>
          <w:tcPr>
            <w:tcW w:w="0" w:type="auto"/>
            <w:hideMark/>
          </w:tcPr>
          <w:p w14:paraId="00ACA9AD"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7AF613D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Xiaozhi Liu</w:t>
            </w:r>
          </w:p>
        </w:tc>
      </w:tr>
      <w:tr w:rsidR="002F3D36" w:rsidRPr="002F3D36" w14:paraId="69D8C9EB" w14:textId="77777777" w:rsidTr="002F3D36">
        <w:trPr>
          <w:tblCellSpacing w:w="15" w:type="dxa"/>
        </w:trPr>
        <w:tc>
          <w:tcPr>
            <w:tcW w:w="0" w:type="auto"/>
            <w:hideMark/>
          </w:tcPr>
          <w:p w14:paraId="2C364C5F"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3A1CA1A4"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7771F534"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r>
      <w:tr w:rsidR="002F3D36" w:rsidRPr="002F3D36" w14:paraId="59D0D0FF" w14:textId="77777777" w:rsidTr="002F3D36">
        <w:trPr>
          <w:trHeight w:val="180"/>
          <w:tblCellSpacing w:w="15" w:type="dxa"/>
        </w:trPr>
        <w:tc>
          <w:tcPr>
            <w:tcW w:w="0" w:type="auto"/>
            <w:hideMark/>
          </w:tcPr>
          <w:p w14:paraId="3CC72A4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 xml:space="preserve">Director </w:t>
            </w:r>
          </w:p>
        </w:tc>
        <w:tc>
          <w:tcPr>
            <w:tcW w:w="0" w:type="auto"/>
            <w:hideMark/>
          </w:tcPr>
          <w:p w14:paraId="3FAE44A1"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auto"/>
            </w:tcBorders>
            <w:hideMark/>
          </w:tcPr>
          <w:p w14:paraId="1B8BB5F9"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/s/ Martin Lundstedt</w:t>
            </w:r>
          </w:p>
        </w:tc>
      </w:tr>
      <w:tr w:rsidR="002F3D36" w:rsidRPr="002F3D36" w14:paraId="1B88B14E" w14:textId="77777777" w:rsidTr="002F3D36">
        <w:trPr>
          <w:trHeight w:val="180"/>
          <w:tblCellSpacing w:w="15" w:type="dxa"/>
        </w:trPr>
        <w:tc>
          <w:tcPr>
            <w:tcW w:w="0" w:type="auto"/>
            <w:hideMark/>
          </w:tcPr>
          <w:p w14:paraId="3AEEA1AD" w14:textId="77777777" w:rsidR="002F3D36" w:rsidRPr="002F3D36" w:rsidRDefault="002F3D36" w:rsidP="002F3D36">
            <w:pPr>
              <w:widowControl/>
              <w:jc w:val="center"/>
              <w:rPr>
                <w:rFonts w:ascii="Times New Roman" w:eastAsia="微软雅黑" w:hAnsi="Times New Roman" w:cs="Times New Roman"/>
                <w:kern w:val="0"/>
                <w:sz w:val="20"/>
                <w:szCs w:val="20"/>
              </w:rPr>
            </w:pPr>
            <w:r w:rsidRPr="002F3D36">
              <w:rPr>
                <w:rFonts w:ascii="Arial" w:eastAsia="微软雅黑" w:hAnsi="Arial" w:cs="Arial"/>
                <w:kern w:val="0"/>
                <w:sz w:val="20"/>
                <w:szCs w:val="20"/>
              </w:rPr>
              <w:t> </w:t>
            </w:r>
          </w:p>
        </w:tc>
        <w:tc>
          <w:tcPr>
            <w:tcW w:w="0" w:type="auto"/>
            <w:hideMark/>
          </w:tcPr>
          <w:p w14:paraId="6FBD37E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49173CE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Martin Lundstedt</w:t>
            </w:r>
          </w:p>
        </w:tc>
      </w:tr>
      <w:tr w:rsidR="002F3D36" w:rsidRPr="002F3D36" w14:paraId="51A4A38D" w14:textId="77777777" w:rsidTr="002F3D36">
        <w:trPr>
          <w:tblCellSpacing w:w="15" w:type="dxa"/>
        </w:trPr>
        <w:tc>
          <w:tcPr>
            <w:tcW w:w="0" w:type="auto"/>
            <w:hideMark/>
          </w:tcPr>
          <w:p w14:paraId="6606BE12"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2BB6B658"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c>
          <w:tcPr>
            <w:tcW w:w="0" w:type="auto"/>
            <w:hideMark/>
          </w:tcPr>
          <w:p w14:paraId="1B7E26D6" w14:textId="77777777" w:rsidR="002F3D36" w:rsidRPr="002F3D36" w:rsidRDefault="002F3D36" w:rsidP="002F3D36">
            <w:pPr>
              <w:widowControl/>
              <w:jc w:val="left"/>
              <w:rPr>
                <w:rFonts w:ascii="Times New Roman" w:eastAsia="微软雅黑" w:hAnsi="Times New Roman" w:cs="Times New Roman"/>
                <w:kern w:val="0"/>
                <w:sz w:val="12"/>
                <w:szCs w:val="12"/>
              </w:rPr>
            </w:pPr>
            <w:r w:rsidRPr="002F3D36">
              <w:rPr>
                <w:rFonts w:ascii="Arial" w:eastAsia="微软雅黑" w:hAnsi="Arial" w:cs="Arial"/>
                <w:kern w:val="0"/>
                <w:sz w:val="12"/>
                <w:szCs w:val="12"/>
              </w:rPr>
              <w:t> </w:t>
            </w:r>
          </w:p>
        </w:tc>
      </w:tr>
      <w:tr w:rsidR="002F3D36" w:rsidRPr="002F3D36" w14:paraId="66E36DDB" w14:textId="77777777" w:rsidTr="002F3D36">
        <w:trPr>
          <w:trHeight w:val="180"/>
          <w:tblCellSpacing w:w="15" w:type="dxa"/>
        </w:trPr>
        <w:tc>
          <w:tcPr>
            <w:tcW w:w="0" w:type="auto"/>
            <w:hideMark/>
          </w:tcPr>
          <w:p w14:paraId="342340D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 xml:space="preserve">Director </w:t>
            </w:r>
          </w:p>
        </w:tc>
        <w:tc>
          <w:tcPr>
            <w:tcW w:w="0" w:type="auto"/>
            <w:hideMark/>
          </w:tcPr>
          <w:p w14:paraId="477AA802"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tcBorders>
              <w:bottom w:val="single" w:sz="4" w:space="0" w:color="auto"/>
            </w:tcBorders>
            <w:hideMark/>
          </w:tcPr>
          <w:p w14:paraId="478C27E6"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/s/ Thaddeus Senko</w:t>
            </w:r>
          </w:p>
        </w:tc>
      </w:tr>
      <w:tr w:rsidR="002F3D36" w:rsidRPr="002F3D36" w14:paraId="58564A92" w14:textId="77777777" w:rsidTr="002F3D36">
        <w:trPr>
          <w:trHeight w:val="180"/>
          <w:tblCellSpacing w:w="15" w:type="dxa"/>
        </w:trPr>
        <w:tc>
          <w:tcPr>
            <w:tcW w:w="0" w:type="auto"/>
            <w:hideMark/>
          </w:tcPr>
          <w:p w14:paraId="3DFA5974" w14:textId="77777777" w:rsidR="002F3D36" w:rsidRPr="002F3D36" w:rsidRDefault="002F3D36" w:rsidP="002F3D36">
            <w:pPr>
              <w:widowControl/>
              <w:jc w:val="center"/>
              <w:rPr>
                <w:rFonts w:ascii="Times New Roman" w:eastAsia="微软雅黑" w:hAnsi="Times New Roman" w:cs="Times New Roman"/>
                <w:kern w:val="0"/>
                <w:sz w:val="20"/>
                <w:szCs w:val="20"/>
              </w:rPr>
            </w:pPr>
            <w:r w:rsidRPr="002F3D36">
              <w:rPr>
                <w:rFonts w:ascii="Arial" w:eastAsia="微软雅黑" w:hAnsi="Arial" w:cs="Arial"/>
                <w:kern w:val="0"/>
                <w:sz w:val="20"/>
                <w:szCs w:val="20"/>
              </w:rPr>
              <w:t> </w:t>
            </w:r>
          </w:p>
        </w:tc>
        <w:tc>
          <w:tcPr>
            <w:tcW w:w="0" w:type="auto"/>
            <w:hideMark/>
          </w:tcPr>
          <w:p w14:paraId="48468A63"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5537CA3C"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color w:val="000000"/>
                <w:kern w:val="0"/>
                <w:sz w:val="18"/>
                <w:szCs w:val="18"/>
              </w:rPr>
              <w:t>Thaddeus Senko</w:t>
            </w:r>
          </w:p>
        </w:tc>
      </w:tr>
      <w:tr w:rsidR="002F3D36" w:rsidRPr="002F3D36" w14:paraId="17C81EA2" w14:textId="77777777" w:rsidTr="002F3D36">
        <w:trPr>
          <w:tblCellSpacing w:w="15" w:type="dxa"/>
        </w:trPr>
        <w:tc>
          <w:tcPr>
            <w:tcW w:w="0" w:type="auto"/>
            <w:hideMark/>
          </w:tcPr>
          <w:p w14:paraId="017796AA" w14:textId="77777777" w:rsidR="002F3D36" w:rsidRPr="002F3D36" w:rsidRDefault="002F3D36" w:rsidP="002F3D36">
            <w:pPr>
              <w:widowControl/>
              <w:jc w:val="center"/>
              <w:rPr>
                <w:rFonts w:ascii="Times New Roman" w:eastAsia="微软雅黑" w:hAnsi="Times New Roman" w:cs="Times New Roman"/>
                <w:kern w:val="0"/>
                <w:sz w:val="20"/>
                <w:szCs w:val="20"/>
              </w:rPr>
            </w:pPr>
            <w:r w:rsidRPr="002F3D36">
              <w:rPr>
                <w:rFonts w:ascii="Arial" w:eastAsia="微软雅黑" w:hAnsi="Arial" w:cs="Arial"/>
                <w:kern w:val="0"/>
                <w:sz w:val="20"/>
                <w:szCs w:val="20"/>
              </w:rPr>
              <w:lastRenderedPageBreak/>
              <w:t> </w:t>
            </w:r>
          </w:p>
        </w:tc>
        <w:tc>
          <w:tcPr>
            <w:tcW w:w="0" w:type="auto"/>
            <w:hideMark/>
          </w:tcPr>
          <w:p w14:paraId="63DBA024"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7B9B819B"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r w:rsidR="002F3D36" w:rsidRPr="002F3D36" w14:paraId="025381DA" w14:textId="77777777" w:rsidTr="002F3D36">
        <w:trPr>
          <w:tblCellSpacing w:w="15" w:type="dxa"/>
        </w:trPr>
        <w:tc>
          <w:tcPr>
            <w:tcW w:w="0" w:type="auto"/>
            <w:hideMark/>
          </w:tcPr>
          <w:p w14:paraId="734BE21F" w14:textId="77777777" w:rsidR="002F3D36" w:rsidRPr="002F3D36" w:rsidRDefault="002F3D36" w:rsidP="002F3D36">
            <w:pPr>
              <w:widowControl/>
              <w:jc w:val="center"/>
              <w:rPr>
                <w:rFonts w:ascii="Times New Roman" w:eastAsia="微软雅黑" w:hAnsi="Times New Roman" w:cs="Times New Roman"/>
                <w:kern w:val="0"/>
                <w:sz w:val="20"/>
                <w:szCs w:val="20"/>
              </w:rPr>
            </w:pPr>
            <w:r w:rsidRPr="002F3D36">
              <w:rPr>
                <w:rFonts w:ascii="Arial" w:eastAsia="微软雅黑" w:hAnsi="Arial" w:cs="Arial"/>
                <w:kern w:val="0"/>
                <w:sz w:val="20"/>
                <w:szCs w:val="20"/>
              </w:rPr>
              <w:t> </w:t>
            </w:r>
          </w:p>
        </w:tc>
        <w:tc>
          <w:tcPr>
            <w:tcW w:w="0" w:type="auto"/>
            <w:hideMark/>
          </w:tcPr>
          <w:p w14:paraId="412EC515"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c>
          <w:tcPr>
            <w:tcW w:w="0" w:type="auto"/>
            <w:hideMark/>
          </w:tcPr>
          <w:p w14:paraId="3A4BA05A" w14:textId="77777777" w:rsidR="002F3D36" w:rsidRPr="002F3D36" w:rsidRDefault="002F3D36" w:rsidP="002F3D36">
            <w:pPr>
              <w:widowControl/>
              <w:jc w:val="left"/>
              <w:rPr>
                <w:rFonts w:ascii="Times New Roman" w:eastAsia="微软雅黑" w:hAnsi="Times New Roman" w:cs="Times New Roman"/>
                <w:kern w:val="0"/>
                <w:sz w:val="18"/>
                <w:szCs w:val="18"/>
              </w:rPr>
            </w:pPr>
            <w:r w:rsidRPr="002F3D36">
              <w:rPr>
                <w:rFonts w:ascii="Arial" w:eastAsia="微软雅黑" w:hAnsi="Arial" w:cs="Arial"/>
                <w:kern w:val="0"/>
                <w:sz w:val="18"/>
                <w:szCs w:val="18"/>
              </w:rPr>
              <w:t> </w:t>
            </w:r>
          </w:p>
        </w:tc>
      </w:tr>
    </w:tbl>
    <w:p w14:paraId="58A943E9" w14:textId="77777777" w:rsidR="002F3D36" w:rsidRPr="002F3D36" w:rsidRDefault="002F3D36" w:rsidP="002F3D36">
      <w:pPr>
        <w:widowControl/>
        <w:rPr>
          <w:rFonts w:ascii="Times New Roman" w:eastAsia="宋体" w:hAnsi="Times New Roman" w:cs="Times New Roman"/>
          <w:color w:val="000000"/>
          <w:kern w:val="0"/>
          <w:sz w:val="20"/>
          <w:szCs w:val="20"/>
        </w:rPr>
      </w:pPr>
      <w:r w:rsidRPr="002F3D36">
        <w:rPr>
          <w:rFonts w:ascii="Times New Roman" w:eastAsia="宋体" w:hAnsi="Times New Roman" w:cs="Times New Roman"/>
          <w:color w:val="000000"/>
          <w:kern w:val="0"/>
          <w:sz w:val="20"/>
          <w:szCs w:val="20"/>
        </w:rPr>
        <w:t> </w:t>
      </w:r>
    </w:p>
    <w:p w14:paraId="709F38EE" w14:textId="77777777" w:rsidR="002F3D36" w:rsidRPr="002F3D36" w:rsidRDefault="002F3D36" w:rsidP="002F3D36">
      <w:pPr>
        <w:widowControl/>
        <w:spacing w:before="240"/>
        <w:jc w:val="center"/>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97</w:t>
      </w:r>
    </w:p>
    <w:p w14:paraId="2757F9E6" w14:textId="77777777" w:rsidR="002F3D36" w:rsidRPr="002F3D36" w:rsidRDefault="002F3D36" w:rsidP="002F3D36">
      <w:pPr>
        <w:widowControl/>
        <w:jc w:val="left"/>
        <w:rPr>
          <w:rFonts w:ascii="宋体" w:eastAsia="宋体" w:hAnsi="宋体" w:cs="宋体"/>
          <w:kern w:val="0"/>
          <w:sz w:val="24"/>
          <w:szCs w:val="24"/>
        </w:rPr>
      </w:pPr>
      <w:r w:rsidRPr="002F3D36">
        <w:rPr>
          <w:rFonts w:ascii="宋体" w:eastAsia="宋体" w:hAnsi="宋体" w:cs="宋体"/>
          <w:kern w:val="0"/>
          <w:sz w:val="24"/>
          <w:szCs w:val="24"/>
        </w:rPr>
        <w:pict w14:anchorId="583997C2">
          <v:rect id="_x0000_i1124" style="width:0;height:1.5pt" o:hralign="center" o:hrstd="t" o:hrnoshade="t" o:hr="t" fillcolor="black" stroked="f"/>
        </w:pict>
      </w:r>
    </w:p>
    <w:p w14:paraId="751AB4B5" w14:textId="77777777" w:rsidR="002F3D36" w:rsidRPr="002F3D36" w:rsidRDefault="002F3D36" w:rsidP="002F3D36">
      <w:pPr>
        <w:widowControl/>
        <w:spacing w:line="20" w:lineRule="atLeast"/>
        <w:jc w:val="left"/>
        <w:rPr>
          <w:rFonts w:ascii="Times New Roman" w:eastAsia="宋体" w:hAnsi="Times New Roman" w:cs="Times New Roman"/>
          <w:color w:val="000000"/>
          <w:kern w:val="0"/>
          <w:sz w:val="20"/>
          <w:szCs w:val="20"/>
        </w:rPr>
      </w:pPr>
      <w:r w:rsidRPr="002F3D36">
        <w:rPr>
          <w:rFonts w:ascii="Arial" w:eastAsia="宋体" w:hAnsi="Arial" w:cs="Arial"/>
          <w:color w:val="000000"/>
          <w:kern w:val="0"/>
          <w:sz w:val="2"/>
          <w:szCs w:val="2"/>
        </w:rPr>
        <w:t> </w:t>
      </w:r>
    </w:p>
    <w:p w14:paraId="1C9380E3" w14:textId="77777777" w:rsidR="002F3D36" w:rsidRPr="002F3D36" w:rsidRDefault="002F3D36" w:rsidP="002F3D36">
      <w:pPr>
        <w:widowControl/>
        <w:spacing w:before="10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22"/>
          <w:shd w:val="clear" w:color="auto" w:fill="FFFFFF"/>
        </w:rPr>
        <w:t>Glossary and Definitions</w:t>
      </w:r>
    </w:p>
    <w:p w14:paraId="61C44520"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shd w:val="clear" w:color="auto" w:fill="FFFFFF"/>
        </w:rPr>
        <w:t>In this report, the following company or industry specific terms and abbreviations are used:</w:t>
      </w:r>
    </w:p>
    <w:p w14:paraId="419CD376"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BCC</w:t>
      </w:r>
    </w:p>
    <w:p w14:paraId="386932DB"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Best Cost Country.</w:t>
      </w:r>
    </w:p>
    <w:p w14:paraId="36D0BEFF"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CASH CONVERSION</w:t>
      </w:r>
    </w:p>
    <w:p w14:paraId="013C0266"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shd w:val="clear" w:color="auto" w:fill="FFFFFF"/>
        </w:rPr>
        <w:t>Free ca</w:t>
      </w:r>
      <w:r w:rsidRPr="002F3D36">
        <w:rPr>
          <w:rFonts w:ascii="Arial" w:eastAsia="宋体" w:hAnsi="Arial" w:cs="Arial"/>
          <w:color w:val="000000"/>
          <w:kern w:val="0"/>
          <w:sz w:val="20"/>
          <w:szCs w:val="20"/>
        </w:rPr>
        <w:t>sh flow in relation to net income.</w:t>
      </w:r>
    </w:p>
    <w:p w14:paraId="7634BAA6"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shd w:val="clear" w:color="auto" w:fill="FFFFFF"/>
        </w:rPr>
        <w:t>CAPITAL EMPLOYED</w:t>
      </w:r>
    </w:p>
    <w:p w14:paraId="5FE969F7"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shd w:val="clear" w:color="auto" w:fill="FFFFFF"/>
        </w:rPr>
        <w:t>Total equity and net debt (net cash).</w:t>
      </w:r>
    </w:p>
    <w:p w14:paraId="18931142"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shd w:val="clear" w:color="auto" w:fill="FFFFFF"/>
        </w:rPr>
        <w:t>CAPITAL EXPENDITURES</w:t>
      </w:r>
    </w:p>
    <w:p w14:paraId="5D09D35D"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shd w:val="clear" w:color="auto" w:fill="FFFFFF"/>
        </w:rPr>
        <w:t>Investments in property, plant and equipment.</w:t>
      </w:r>
    </w:p>
    <w:p w14:paraId="5CFE6E13"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shd w:val="clear" w:color="auto" w:fill="FFFFFF"/>
        </w:rPr>
        <w:t>CAPITAL TURN-OVER RATE</w:t>
      </w:r>
    </w:p>
    <w:p w14:paraId="27D1C032"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shd w:val="clear" w:color="auto" w:fill="FFFFFF"/>
        </w:rPr>
        <w:t>Annual sales in relation to average capital employed.</w:t>
      </w:r>
    </w:p>
    <w:p w14:paraId="34C70A38"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shd w:val="clear" w:color="auto" w:fill="FFFFFF"/>
        </w:rPr>
        <w:t>CPV</w:t>
      </w:r>
    </w:p>
    <w:p w14:paraId="52DFC7D5"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shd w:val="clear" w:color="auto" w:fill="FFFFFF"/>
        </w:rPr>
        <w:t>Content Per Vehicle, i.e. value of the safety products in a vehicle.</w:t>
      </w:r>
    </w:p>
    <w:p w14:paraId="6E0206C6"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DEVELOPED MARKETS</w:t>
      </w:r>
    </w:p>
    <w:p w14:paraId="5ECAD64F"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Includes North America, Western Europe, Japan and South Korea</w:t>
      </w:r>
    </w:p>
    <w:p w14:paraId="268C829F"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shd w:val="clear" w:color="auto" w:fill="FFFFFF"/>
        </w:rPr>
        <w:t>EARNINGS PER SHARE</w:t>
      </w:r>
    </w:p>
    <w:p w14:paraId="777BD324"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shd w:val="clear" w:color="auto" w:fill="FFFFFF"/>
        </w:rPr>
        <w:t>Net income attributable to controlling interest relative to weighted average number of shares (net of treasury shares) assuming dilution and basic, respectively.</w:t>
      </w:r>
    </w:p>
    <w:p w14:paraId="646013EC"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shd w:val="clear" w:color="auto" w:fill="FFFFFF"/>
        </w:rPr>
        <w:t>EBIT</w:t>
      </w:r>
    </w:p>
    <w:p w14:paraId="54E92AB6"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shd w:val="clear" w:color="auto" w:fill="FFFFFF"/>
        </w:rPr>
        <w:t>Earnings before interest and taxes.</w:t>
      </w:r>
    </w:p>
    <w:p w14:paraId="10186A20"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shd w:val="clear" w:color="auto" w:fill="FFFFFF"/>
        </w:rPr>
        <w:t>EBITDA</w:t>
      </w:r>
    </w:p>
    <w:p w14:paraId="13AC1795"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shd w:val="clear" w:color="auto" w:fill="FFFFFF"/>
        </w:rPr>
        <w:lastRenderedPageBreak/>
        <w:t>Earnings before interest, taxes, depreciation, and amortization</w:t>
      </w:r>
    </w:p>
    <w:p w14:paraId="4C116D52"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shd w:val="clear" w:color="auto" w:fill="FFFFFF"/>
        </w:rPr>
        <w:t>FREE CASH FLOW</w:t>
      </w:r>
    </w:p>
    <w:p w14:paraId="539BB37C"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shd w:val="clear" w:color="auto" w:fill="FFFFFF"/>
        </w:rPr>
        <w:t>Cash flows from operating activities less capital expenditures, net.</w:t>
      </w:r>
    </w:p>
    <w:p w14:paraId="17418DF1"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shd w:val="clear" w:color="auto" w:fill="FFFFFF"/>
        </w:rPr>
        <w:t>GROSS MARGIN</w:t>
      </w:r>
    </w:p>
    <w:p w14:paraId="48EF0D9F"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shd w:val="clear" w:color="auto" w:fill="FFFFFF"/>
        </w:rPr>
        <w:t>Gross profit relative to sales.</w:t>
      </w:r>
    </w:p>
    <w:p w14:paraId="15EA7A03" w14:textId="77777777" w:rsidR="002F3D36" w:rsidRPr="002F3D36" w:rsidRDefault="002F3D36" w:rsidP="002F3D36">
      <w:pPr>
        <w:widowControl/>
        <w:jc w:val="left"/>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 </w:t>
      </w:r>
    </w:p>
    <w:p w14:paraId="5F57721F" w14:textId="77777777" w:rsidR="002F3D36" w:rsidRPr="002F3D36" w:rsidRDefault="002F3D36" w:rsidP="002F3D36">
      <w:pPr>
        <w:widowControl/>
        <w:spacing w:before="16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GROWTH MARKETS</w:t>
      </w:r>
    </w:p>
    <w:p w14:paraId="38C1EF78"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Includes all markets except North America, Western Europe, Japan and South Korea.</w:t>
      </w:r>
    </w:p>
    <w:p w14:paraId="030CB121"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shd w:val="clear" w:color="auto" w:fill="FFFFFF"/>
        </w:rPr>
        <w:t>HEADCOUNT</w:t>
      </w:r>
    </w:p>
    <w:p w14:paraId="18F3ECFF"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shd w:val="clear" w:color="auto" w:fill="FFFFFF"/>
        </w:rPr>
        <w:t>Employees plus temporary personnel.</w:t>
      </w:r>
    </w:p>
    <w:p w14:paraId="60D7BA58"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INVENTORY OUTSTANDING IN RELATION TO SALES</w:t>
      </w:r>
    </w:p>
    <w:p w14:paraId="4F14AC4B"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shd w:val="clear" w:color="auto" w:fill="FFFFFF"/>
        </w:rPr>
        <w:t>Outstanding inventory relative to annualized fourth quarter sales.</w:t>
      </w:r>
    </w:p>
    <w:p w14:paraId="6722896B" w14:textId="77777777" w:rsidR="002F3D36" w:rsidRPr="002F3D36" w:rsidRDefault="002F3D36" w:rsidP="002F3D36">
      <w:pPr>
        <w:widowControl/>
        <w:spacing w:before="240"/>
        <w:jc w:val="center"/>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98</w:t>
      </w:r>
    </w:p>
    <w:p w14:paraId="32FEB559" w14:textId="77777777" w:rsidR="002F3D36" w:rsidRPr="002F3D36" w:rsidRDefault="002F3D36" w:rsidP="002F3D36">
      <w:pPr>
        <w:widowControl/>
        <w:jc w:val="left"/>
        <w:rPr>
          <w:rFonts w:ascii="宋体" w:eastAsia="宋体" w:hAnsi="宋体" w:cs="宋体"/>
          <w:kern w:val="0"/>
          <w:sz w:val="24"/>
          <w:szCs w:val="24"/>
        </w:rPr>
      </w:pPr>
      <w:r w:rsidRPr="002F3D36">
        <w:rPr>
          <w:rFonts w:ascii="宋体" w:eastAsia="宋体" w:hAnsi="宋体" w:cs="宋体"/>
          <w:kern w:val="0"/>
          <w:sz w:val="24"/>
          <w:szCs w:val="24"/>
        </w:rPr>
        <w:pict w14:anchorId="347FD088">
          <v:rect id="_x0000_i1125" style="width:0;height:1.5pt" o:hralign="center" o:hrstd="t" o:hrnoshade="t" o:hr="t" fillcolor="black" stroked="f"/>
        </w:pict>
      </w:r>
    </w:p>
    <w:p w14:paraId="707FEB40" w14:textId="77777777" w:rsidR="002F3D36" w:rsidRPr="002F3D36" w:rsidRDefault="002F3D36" w:rsidP="002F3D36">
      <w:pPr>
        <w:widowControl/>
        <w:spacing w:line="20" w:lineRule="atLeast"/>
        <w:jc w:val="left"/>
        <w:rPr>
          <w:rFonts w:ascii="Times New Roman" w:eastAsia="宋体" w:hAnsi="Times New Roman" w:cs="Times New Roman"/>
          <w:color w:val="000000"/>
          <w:kern w:val="0"/>
          <w:sz w:val="20"/>
          <w:szCs w:val="20"/>
        </w:rPr>
      </w:pPr>
      <w:r w:rsidRPr="002F3D36">
        <w:rPr>
          <w:rFonts w:ascii="Arial" w:eastAsia="宋体" w:hAnsi="Arial" w:cs="Arial"/>
          <w:color w:val="000000"/>
          <w:kern w:val="0"/>
          <w:sz w:val="2"/>
          <w:szCs w:val="2"/>
        </w:rPr>
        <w:t> </w:t>
      </w:r>
    </w:p>
    <w:p w14:paraId="7670E0DF"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LEVERAGE RATIO</w:t>
      </w:r>
    </w:p>
    <w:p w14:paraId="636FB722"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shd w:val="clear" w:color="auto" w:fill="FFFFFF"/>
        </w:rPr>
        <w:t>Debt per the Policy (Net debt adjusted for pension liabilities) in relation to EBITDA per the Policy (Adjusted EBITDA) (Earnings Before Interest, Taxes, Depreciation and Amortization, other non-operating items, net, income from equity method investments and capacity alignments), see Item 7 for a calculation of this non-U.S. GAAP measure.</w:t>
      </w:r>
    </w:p>
    <w:p w14:paraId="4FD17163"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shd w:val="clear" w:color="auto" w:fill="FFFFFF"/>
        </w:rPr>
        <w:t>LMPU</w:t>
      </w:r>
    </w:p>
    <w:p w14:paraId="30F7BB3B"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shd w:val="clear" w:color="auto" w:fill="FFFFFF"/>
        </w:rPr>
        <w:t>Labor minutes per produced unit.</w:t>
      </w:r>
    </w:p>
    <w:p w14:paraId="2AD69F3A"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shd w:val="clear" w:color="auto" w:fill="FFFFFF"/>
        </w:rPr>
        <w:t>LVP</w:t>
      </w:r>
    </w:p>
    <w:p w14:paraId="06A730EA"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shd w:val="clear" w:color="auto" w:fill="FFFFFF"/>
        </w:rPr>
        <w:t>Light vehicle production of light motor vehicles with a gross weight of up to 3.5 metric tons.</w:t>
      </w:r>
    </w:p>
    <w:p w14:paraId="570C475D"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i/>
          <w:iCs/>
          <w:color w:val="000000"/>
          <w:kern w:val="0"/>
          <w:sz w:val="18"/>
          <w:szCs w:val="18"/>
          <w:shd w:val="clear" w:color="auto" w:fill="FFFFFF"/>
        </w:rPr>
        <w:t>This 10-K includes content supplied by IHS Markit Automotive; Copyright © Light Vehicle Production Forecast, January 2022. All rights reserved. IHS Markit is a global supplier of independent industry information. The permission to use IHS Markit copyrighted reports, data and information does not constitute an endorsement or approval by IHS Markit of the manner, format, context, content, conclusion, opinion or viewpoint in which IHS Markit reports, data and information or its derivations are used or referenced herein.</w:t>
      </w:r>
    </w:p>
    <w:p w14:paraId="0D1AAA22"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shd w:val="clear" w:color="auto" w:fill="FFFFFF"/>
        </w:rPr>
        <w:t>NET DEBT</w:t>
      </w:r>
    </w:p>
    <w:p w14:paraId="52FD8AAE"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shd w:val="clear" w:color="auto" w:fill="FFFFFF"/>
        </w:rPr>
        <w:lastRenderedPageBreak/>
        <w:t>Short and long-term debt including debt-related derivatives less cash and cash equivalents, see Non-U.S. GAAP Performance Measures in Item 7 for a reconciliation of this non-U.S. GAAP measure.</w:t>
      </w:r>
    </w:p>
    <w:p w14:paraId="63BE151E"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shd w:val="clear" w:color="auto" w:fill="FFFFFF"/>
        </w:rPr>
        <w:t>NET DEBT TO CAPITALIZATION</w:t>
      </w:r>
    </w:p>
    <w:p w14:paraId="0E3D0CEC"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shd w:val="clear" w:color="auto" w:fill="FFFFFF"/>
        </w:rPr>
        <w:t>Net debt in relation to total equity (including non-controlling interest) and net debt.</w:t>
      </w:r>
    </w:p>
    <w:p w14:paraId="57257839"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shd w:val="clear" w:color="auto" w:fill="FFFFFF"/>
        </w:rPr>
        <w:t>NUMBER OF EMPLOYEES</w:t>
      </w:r>
    </w:p>
    <w:p w14:paraId="53820F47"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shd w:val="clear" w:color="auto" w:fill="FFFFFF"/>
        </w:rPr>
        <w:t>Employees with a continuous employment agreement, recalculated to full time equivalent heads.</w:t>
      </w:r>
    </w:p>
    <w:p w14:paraId="3F90F833"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shd w:val="clear" w:color="auto" w:fill="FFFFFF"/>
        </w:rPr>
        <w:t>OEM</w:t>
      </w:r>
    </w:p>
    <w:p w14:paraId="378E9B76"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shd w:val="clear" w:color="auto" w:fill="FFFFFF"/>
        </w:rPr>
        <w:t>Original Equipment Manufacturer referring to customers assembling new vehicles.</w:t>
      </w:r>
    </w:p>
    <w:p w14:paraId="74EEDD06"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shd w:val="clear" w:color="auto" w:fill="FFFFFF"/>
        </w:rPr>
        <w:t>OPERATING MARGIN</w:t>
      </w:r>
    </w:p>
    <w:p w14:paraId="0AA2233F"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shd w:val="clear" w:color="auto" w:fill="FFFFFF"/>
        </w:rPr>
        <w:t>Operating income relative to sales.</w:t>
      </w:r>
    </w:p>
    <w:p w14:paraId="092EE94E"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shd w:val="clear" w:color="auto" w:fill="FFFFFF"/>
        </w:rPr>
        <w:t>OPERATING WORKING CAPITAL</w:t>
      </w:r>
    </w:p>
    <w:p w14:paraId="67B8F866"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shd w:val="clear" w:color="auto" w:fill="FFFFFF"/>
        </w:rPr>
        <w:t>Current assets excluding cash and cash equivalents less current liabilities excluding short-term debt. Any current derivatives reported in current assets and current liabilities related to net debt are excluded from operating working capital. See Non-U.S. GAAP Performance Measures in Item 7 for reconciliation of this non-U.S. GAAP measure.</w:t>
      </w:r>
    </w:p>
    <w:p w14:paraId="3E1E618F"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shd w:val="clear" w:color="auto" w:fill="FFFFFF"/>
        </w:rPr>
        <w:t>OUR MARKET</w:t>
      </w:r>
    </w:p>
    <w:p w14:paraId="2E917222"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shd w:val="clear" w:color="auto" w:fill="FFFFFF"/>
        </w:rPr>
        <w:t>Our products include seatbelts, airbags and steering wheels.</w:t>
      </w:r>
      <w:r w:rsidRPr="002F3D36">
        <w:rPr>
          <w:rFonts w:ascii="Arial" w:eastAsia="宋体" w:hAnsi="Arial" w:cs="Arial"/>
          <w:color w:val="000000"/>
          <w:kern w:val="0"/>
          <w:sz w:val="18"/>
          <w:szCs w:val="18"/>
        </w:rPr>
        <w:t xml:space="preserve"> </w:t>
      </w:r>
    </w:p>
    <w:p w14:paraId="1CD44B42"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PAYABLES OUTSTANDING IN RELATION TO SALES</w:t>
      </w:r>
    </w:p>
    <w:p w14:paraId="1757F2B4"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Outstanding payables relative to annualized fourth quarter sales.</w:t>
      </w:r>
    </w:p>
    <w:p w14:paraId="2406A10F"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PRETAX MARGIN</w:t>
      </w:r>
    </w:p>
    <w:p w14:paraId="2D5D82BC"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Income before taxes relative to sales.</w:t>
      </w:r>
    </w:p>
    <w:p w14:paraId="776D284E"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RECEIVABLES OUTSTANDING IN RELATION TO SALES</w:t>
      </w:r>
    </w:p>
    <w:p w14:paraId="31B03983"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Outstanding receivables relative to annualized fourth quarter sales.</w:t>
      </w:r>
    </w:p>
    <w:p w14:paraId="509B361F"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RETURN ON CAPITAL EMPLOYED</w:t>
      </w:r>
    </w:p>
    <w:p w14:paraId="6D7833CD"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Operating income and equity in earnings of affiliates, relative to average capital employed.</w:t>
      </w:r>
    </w:p>
    <w:p w14:paraId="376838EF" w14:textId="77777777" w:rsidR="002F3D36" w:rsidRPr="002F3D36" w:rsidRDefault="002F3D36" w:rsidP="002F3D36">
      <w:pPr>
        <w:widowControl/>
        <w:spacing w:before="240"/>
        <w:jc w:val="center"/>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99</w:t>
      </w:r>
    </w:p>
    <w:p w14:paraId="345CED3C" w14:textId="77777777" w:rsidR="002F3D36" w:rsidRPr="002F3D36" w:rsidRDefault="002F3D36" w:rsidP="002F3D36">
      <w:pPr>
        <w:widowControl/>
        <w:jc w:val="left"/>
        <w:rPr>
          <w:rFonts w:ascii="宋体" w:eastAsia="宋体" w:hAnsi="宋体" w:cs="宋体"/>
          <w:kern w:val="0"/>
          <w:sz w:val="24"/>
          <w:szCs w:val="24"/>
        </w:rPr>
      </w:pPr>
      <w:r w:rsidRPr="002F3D36">
        <w:rPr>
          <w:rFonts w:ascii="宋体" w:eastAsia="宋体" w:hAnsi="宋体" w:cs="宋体"/>
          <w:kern w:val="0"/>
          <w:sz w:val="24"/>
          <w:szCs w:val="24"/>
        </w:rPr>
        <w:pict w14:anchorId="266FD031">
          <v:rect id="_x0000_i1126" style="width:0;height:1.5pt" o:hralign="center" o:hrstd="t" o:hrnoshade="t" o:hr="t" fillcolor="black" stroked="f"/>
        </w:pict>
      </w:r>
    </w:p>
    <w:p w14:paraId="6C05EA6A" w14:textId="77777777" w:rsidR="002F3D36" w:rsidRPr="002F3D36" w:rsidRDefault="002F3D36" w:rsidP="002F3D36">
      <w:pPr>
        <w:widowControl/>
        <w:spacing w:line="20" w:lineRule="atLeast"/>
        <w:jc w:val="left"/>
        <w:rPr>
          <w:rFonts w:ascii="Times New Roman" w:eastAsia="宋体" w:hAnsi="Times New Roman" w:cs="Times New Roman"/>
          <w:color w:val="000000"/>
          <w:kern w:val="0"/>
          <w:sz w:val="20"/>
          <w:szCs w:val="20"/>
        </w:rPr>
      </w:pPr>
      <w:r w:rsidRPr="002F3D36">
        <w:rPr>
          <w:rFonts w:ascii="Arial" w:eastAsia="宋体" w:hAnsi="Arial" w:cs="Arial"/>
          <w:color w:val="000000"/>
          <w:kern w:val="0"/>
          <w:sz w:val="2"/>
          <w:szCs w:val="2"/>
        </w:rPr>
        <w:t> </w:t>
      </w:r>
    </w:p>
    <w:p w14:paraId="39FED99F"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lastRenderedPageBreak/>
        <w:t>RETURN ON TOTAL EQUITY</w:t>
      </w:r>
    </w:p>
    <w:p w14:paraId="00EF7F02"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Net income relative to average total equity.</w:t>
      </w:r>
    </w:p>
    <w:p w14:paraId="7EE825D2"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ROA</w:t>
      </w:r>
    </w:p>
    <w:p w14:paraId="2AFFEF0A"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Rest of Asia includes all Asian countries except China and Japan.</w:t>
      </w:r>
    </w:p>
    <w:p w14:paraId="37821A7D"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TOTAL EQUITY RATIO</w:t>
      </w:r>
    </w:p>
    <w:p w14:paraId="153F0EAC"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Total equity relative to total assets.</w:t>
      </w:r>
    </w:p>
    <w:p w14:paraId="2F22871F" w14:textId="77777777" w:rsidR="002F3D36" w:rsidRPr="002F3D36" w:rsidRDefault="002F3D36" w:rsidP="002F3D36">
      <w:pPr>
        <w:widowControl/>
        <w:spacing w:before="340"/>
        <w:rPr>
          <w:rFonts w:ascii="Times New Roman" w:eastAsia="宋体" w:hAnsi="Times New Roman" w:cs="Times New Roman"/>
          <w:color w:val="000000"/>
          <w:kern w:val="0"/>
          <w:sz w:val="20"/>
          <w:szCs w:val="20"/>
        </w:rPr>
      </w:pPr>
      <w:r w:rsidRPr="002F3D36">
        <w:rPr>
          <w:rFonts w:ascii="Arial" w:eastAsia="宋体" w:hAnsi="Arial" w:cs="Arial"/>
          <w:b/>
          <w:bCs/>
          <w:color w:val="000000"/>
          <w:kern w:val="0"/>
          <w:sz w:val="18"/>
          <w:szCs w:val="18"/>
        </w:rPr>
        <w:t>TRADE WORKING CAPITAL</w:t>
      </w:r>
    </w:p>
    <w:p w14:paraId="5AA6714C" w14:textId="77777777" w:rsidR="002F3D36" w:rsidRPr="002F3D36" w:rsidRDefault="002F3D36" w:rsidP="002F3D36">
      <w:pPr>
        <w:widowControl/>
        <w:spacing w:before="120"/>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shd w:val="clear" w:color="auto" w:fill="FFFFFF"/>
        </w:rPr>
        <w:t>Outstanding receivables and outstanding inventory less outstanding payables.</w:t>
      </w:r>
    </w:p>
    <w:p w14:paraId="3E5563ED" w14:textId="77777777" w:rsidR="002F3D36" w:rsidRPr="002F3D36" w:rsidRDefault="002F3D36" w:rsidP="002F3D36">
      <w:pPr>
        <w:widowControl/>
        <w:spacing w:before="240"/>
        <w:jc w:val="center"/>
        <w:rPr>
          <w:rFonts w:ascii="Times New Roman" w:eastAsia="宋体" w:hAnsi="Times New Roman" w:cs="Times New Roman"/>
          <w:color w:val="000000"/>
          <w:kern w:val="0"/>
          <w:sz w:val="20"/>
          <w:szCs w:val="20"/>
        </w:rPr>
      </w:pPr>
      <w:r w:rsidRPr="002F3D36">
        <w:rPr>
          <w:rFonts w:ascii="Arial" w:eastAsia="宋体" w:hAnsi="Arial" w:cs="Arial"/>
          <w:color w:val="000000"/>
          <w:kern w:val="0"/>
          <w:sz w:val="18"/>
          <w:szCs w:val="18"/>
        </w:rPr>
        <w:t>100</w:t>
      </w:r>
    </w:p>
    <w:p w14:paraId="6CE7437A" w14:textId="77777777" w:rsidR="002F3D36" w:rsidRPr="002F3D36" w:rsidRDefault="002F3D36" w:rsidP="002F3D36">
      <w:pPr>
        <w:widowControl/>
        <w:jc w:val="left"/>
        <w:rPr>
          <w:rFonts w:ascii="宋体" w:eastAsia="宋体" w:hAnsi="宋体" w:cs="宋体"/>
          <w:kern w:val="0"/>
          <w:sz w:val="24"/>
          <w:szCs w:val="24"/>
        </w:rPr>
      </w:pPr>
      <w:r w:rsidRPr="002F3D36">
        <w:rPr>
          <w:rFonts w:ascii="宋体" w:eastAsia="宋体" w:hAnsi="宋体" w:cs="宋体"/>
          <w:kern w:val="0"/>
          <w:sz w:val="24"/>
          <w:szCs w:val="24"/>
        </w:rPr>
        <w:pict w14:anchorId="2A92B906">
          <v:rect id="_x0000_i1127" style="width:0;height:1.5pt" o:hralign="center" o:hrstd="t" o:hrnoshade="t" o:hr="t" fillcolor="black" stroked="f"/>
        </w:pict>
      </w:r>
    </w:p>
    <w:p w14:paraId="5A6E91CA" w14:textId="77777777" w:rsidR="00D821B2" w:rsidRPr="00C53840" w:rsidRDefault="00D821B2" w:rsidP="00C53840"/>
    <w:sectPr w:rsidR="00D821B2" w:rsidRPr="00C538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47893" w14:textId="77777777" w:rsidR="004E78E3" w:rsidRDefault="004E78E3" w:rsidP="002F3D36">
      <w:r>
        <w:separator/>
      </w:r>
    </w:p>
  </w:endnote>
  <w:endnote w:type="continuationSeparator" w:id="0">
    <w:p w14:paraId="14E7DB58" w14:textId="77777777" w:rsidR="004E78E3" w:rsidRDefault="004E78E3" w:rsidP="002F3D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E13E13" w14:textId="77777777" w:rsidR="004E78E3" w:rsidRDefault="004E78E3" w:rsidP="002F3D36">
      <w:r>
        <w:separator/>
      </w:r>
    </w:p>
  </w:footnote>
  <w:footnote w:type="continuationSeparator" w:id="0">
    <w:p w14:paraId="2BDC7540" w14:textId="77777777" w:rsidR="004E78E3" w:rsidRDefault="004E78E3" w:rsidP="002F3D3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840"/>
    <w:rsid w:val="002F3D36"/>
    <w:rsid w:val="004E78E3"/>
    <w:rsid w:val="00C53840"/>
    <w:rsid w:val="00D821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05038B"/>
  <w15:chartTrackingRefBased/>
  <w15:docId w15:val="{7F39F5C4-18A8-4F29-B508-1824421B3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F3D3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F3D36"/>
    <w:rPr>
      <w:sz w:val="18"/>
      <w:szCs w:val="18"/>
    </w:rPr>
  </w:style>
  <w:style w:type="paragraph" w:styleId="a5">
    <w:name w:val="footer"/>
    <w:basedOn w:val="a"/>
    <w:link w:val="a6"/>
    <w:uiPriority w:val="99"/>
    <w:unhideWhenUsed/>
    <w:rsid w:val="002F3D36"/>
    <w:pPr>
      <w:tabs>
        <w:tab w:val="center" w:pos="4153"/>
        <w:tab w:val="right" w:pos="8306"/>
      </w:tabs>
      <w:snapToGrid w:val="0"/>
      <w:jc w:val="left"/>
    </w:pPr>
    <w:rPr>
      <w:sz w:val="18"/>
      <w:szCs w:val="18"/>
    </w:rPr>
  </w:style>
  <w:style w:type="character" w:customStyle="1" w:styleId="a6">
    <w:name w:val="页脚 字符"/>
    <w:basedOn w:val="a0"/>
    <w:link w:val="a5"/>
    <w:uiPriority w:val="99"/>
    <w:rsid w:val="002F3D36"/>
    <w:rPr>
      <w:sz w:val="18"/>
      <w:szCs w:val="18"/>
    </w:rPr>
  </w:style>
  <w:style w:type="paragraph" w:customStyle="1" w:styleId="msonormal0">
    <w:name w:val="msonormal"/>
    <w:basedOn w:val="a"/>
    <w:rsid w:val="002F3D36"/>
    <w:pPr>
      <w:widowControl/>
      <w:spacing w:before="100" w:beforeAutospacing="1" w:after="100" w:afterAutospacing="1"/>
      <w:jc w:val="left"/>
    </w:pPr>
    <w:rPr>
      <w:rFonts w:ascii="宋体" w:eastAsia="宋体" w:hAnsi="宋体" w:cs="宋体"/>
      <w:kern w:val="0"/>
      <w:sz w:val="24"/>
      <w:szCs w:val="24"/>
    </w:rPr>
  </w:style>
  <w:style w:type="paragraph" w:styleId="a7">
    <w:name w:val="Normal (Web)"/>
    <w:basedOn w:val="a"/>
    <w:uiPriority w:val="99"/>
    <w:semiHidden/>
    <w:unhideWhenUsed/>
    <w:rsid w:val="002F3D36"/>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2F3D36"/>
    <w:rPr>
      <w:color w:val="0000FF"/>
      <w:u w:val="single"/>
    </w:rPr>
  </w:style>
  <w:style w:type="character" w:styleId="a9">
    <w:name w:val="FollowedHyperlink"/>
    <w:basedOn w:val="a0"/>
    <w:uiPriority w:val="99"/>
    <w:semiHidden/>
    <w:unhideWhenUsed/>
    <w:rsid w:val="002F3D36"/>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6096675">
      <w:bodyDiv w:val="1"/>
      <w:marLeft w:val="0"/>
      <w:marRight w:val="0"/>
      <w:marTop w:val="0"/>
      <w:marBottom w:val="0"/>
      <w:divBdr>
        <w:top w:val="none" w:sz="0" w:space="0" w:color="auto"/>
        <w:left w:val="none" w:sz="0" w:space="0" w:color="auto"/>
        <w:bottom w:val="none" w:sz="0" w:space="0" w:color="auto"/>
        <w:right w:val="none" w:sz="0" w:space="0" w:color="auto"/>
      </w:divBdr>
      <w:divsChild>
        <w:div w:id="1598757774">
          <w:marLeft w:val="0"/>
          <w:marRight w:val="0"/>
          <w:marTop w:val="0"/>
          <w:marBottom w:val="0"/>
          <w:divBdr>
            <w:top w:val="none" w:sz="0" w:space="0" w:color="auto"/>
            <w:left w:val="none" w:sz="0" w:space="0" w:color="auto"/>
            <w:bottom w:val="none" w:sz="0" w:space="0" w:color="auto"/>
            <w:right w:val="none" w:sz="0" w:space="0" w:color="auto"/>
          </w:divBdr>
        </w:div>
        <w:div w:id="1723795252">
          <w:marLeft w:val="933"/>
          <w:marRight w:val="0"/>
          <w:marTop w:val="120"/>
          <w:marBottom w:val="0"/>
          <w:divBdr>
            <w:top w:val="none" w:sz="0" w:space="0" w:color="auto"/>
            <w:left w:val="none" w:sz="0" w:space="0" w:color="auto"/>
            <w:bottom w:val="none" w:sz="0" w:space="0" w:color="auto"/>
            <w:right w:val="none" w:sz="0" w:space="0" w:color="auto"/>
          </w:divBdr>
          <w:divsChild>
            <w:div w:id="199171737">
              <w:marLeft w:val="0"/>
              <w:marRight w:val="0"/>
              <w:marTop w:val="0"/>
              <w:marBottom w:val="0"/>
              <w:divBdr>
                <w:top w:val="none" w:sz="0" w:space="0" w:color="auto"/>
                <w:left w:val="none" w:sz="0" w:space="0" w:color="auto"/>
                <w:bottom w:val="none" w:sz="0" w:space="0" w:color="auto"/>
                <w:right w:val="none" w:sz="0" w:space="0" w:color="auto"/>
              </w:divBdr>
            </w:div>
          </w:divsChild>
        </w:div>
        <w:div w:id="164975141">
          <w:marLeft w:val="933"/>
          <w:marRight w:val="0"/>
          <w:marTop w:val="120"/>
          <w:marBottom w:val="0"/>
          <w:divBdr>
            <w:top w:val="none" w:sz="0" w:space="0" w:color="auto"/>
            <w:left w:val="none" w:sz="0" w:space="0" w:color="auto"/>
            <w:bottom w:val="none" w:sz="0" w:space="0" w:color="auto"/>
            <w:right w:val="none" w:sz="0" w:space="0" w:color="auto"/>
          </w:divBdr>
          <w:divsChild>
            <w:div w:id="1700812993">
              <w:marLeft w:val="0"/>
              <w:marRight w:val="0"/>
              <w:marTop w:val="0"/>
              <w:marBottom w:val="0"/>
              <w:divBdr>
                <w:top w:val="none" w:sz="0" w:space="0" w:color="auto"/>
                <w:left w:val="none" w:sz="0" w:space="0" w:color="auto"/>
                <w:bottom w:val="none" w:sz="0" w:space="0" w:color="auto"/>
                <w:right w:val="none" w:sz="0" w:space="0" w:color="auto"/>
              </w:divBdr>
            </w:div>
          </w:divsChild>
        </w:div>
        <w:div w:id="1880236445">
          <w:marLeft w:val="935"/>
          <w:marRight w:val="0"/>
          <w:marTop w:val="120"/>
          <w:marBottom w:val="0"/>
          <w:divBdr>
            <w:top w:val="none" w:sz="0" w:space="0" w:color="auto"/>
            <w:left w:val="none" w:sz="0" w:space="0" w:color="auto"/>
            <w:bottom w:val="none" w:sz="0" w:space="0" w:color="auto"/>
            <w:right w:val="none" w:sz="0" w:space="0" w:color="auto"/>
          </w:divBdr>
          <w:divsChild>
            <w:div w:id="1683975085">
              <w:marLeft w:val="0"/>
              <w:marRight w:val="0"/>
              <w:marTop w:val="0"/>
              <w:marBottom w:val="0"/>
              <w:divBdr>
                <w:top w:val="none" w:sz="0" w:space="0" w:color="auto"/>
                <w:left w:val="none" w:sz="0" w:space="0" w:color="auto"/>
                <w:bottom w:val="none" w:sz="0" w:space="0" w:color="auto"/>
                <w:right w:val="none" w:sz="0" w:space="0" w:color="auto"/>
              </w:divBdr>
            </w:div>
          </w:divsChild>
        </w:div>
        <w:div w:id="1233196821">
          <w:marLeft w:val="935"/>
          <w:marRight w:val="0"/>
          <w:marTop w:val="120"/>
          <w:marBottom w:val="0"/>
          <w:divBdr>
            <w:top w:val="none" w:sz="0" w:space="0" w:color="auto"/>
            <w:left w:val="none" w:sz="0" w:space="0" w:color="auto"/>
            <w:bottom w:val="none" w:sz="0" w:space="0" w:color="auto"/>
            <w:right w:val="none" w:sz="0" w:space="0" w:color="auto"/>
          </w:divBdr>
          <w:divsChild>
            <w:div w:id="187374149">
              <w:marLeft w:val="0"/>
              <w:marRight w:val="0"/>
              <w:marTop w:val="0"/>
              <w:marBottom w:val="0"/>
              <w:divBdr>
                <w:top w:val="none" w:sz="0" w:space="0" w:color="auto"/>
                <w:left w:val="none" w:sz="0" w:space="0" w:color="auto"/>
                <w:bottom w:val="none" w:sz="0" w:space="0" w:color="auto"/>
                <w:right w:val="none" w:sz="0" w:space="0" w:color="auto"/>
              </w:divBdr>
            </w:div>
          </w:divsChild>
        </w:div>
        <w:div w:id="1386680961">
          <w:marLeft w:val="935"/>
          <w:marRight w:val="0"/>
          <w:marTop w:val="120"/>
          <w:marBottom w:val="0"/>
          <w:divBdr>
            <w:top w:val="none" w:sz="0" w:space="0" w:color="auto"/>
            <w:left w:val="none" w:sz="0" w:space="0" w:color="auto"/>
            <w:bottom w:val="none" w:sz="0" w:space="0" w:color="auto"/>
            <w:right w:val="none" w:sz="0" w:space="0" w:color="auto"/>
          </w:divBdr>
          <w:divsChild>
            <w:div w:id="163017591">
              <w:marLeft w:val="0"/>
              <w:marRight w:val="0"/>
              <w:marTop w:val="0"/>
              <w:marBottom w:val="0"/>
              <w:divBdr>
                <w:top w:val="none" w:sz="0" w:space="0" w:color="auto"/>
                <w:left w:val="none" w:sz="0" w:space="0" w:color="auto"/>
                <w:bottom w:val="none" w:sz="0" w:space="0" w:color="auto"/>
                <w:right w:val="none" w:sz="0" w:space="0" w:color="auto"/>
              </w:divBdr>
            </w:div>
          </w:divsChild>
        </w:div>
        <w:div w:id="38208914">
          <w:marLeft w:val="935"/>
          <w:marRight w:val="0"/>
          <w:marTop w:val="120"/>
          <w:marBottom w:val="0"/>
          <w:divBdr>
            <w:top w:val="none" w:sz="0" w:space="0" w:color="auto"/>
            <w:left w:val="none" w:sz="0" w:space="0" w:color="auto"/>
            <w:bottom w:val="none" w:sz="0" w:space="0" w:color="auto"/>
            <w:right w:val="none" w:sz="0" w:space="0" w:color="auto"/>
          </w:divBdr>
          <w:divsChild>
            <w:div w:id="1767995210">
              <w:marLeft w:val="0"/>
              <w:marRight w:val="0"/>
              <w:marTop w:val="0"/>
              <w:marBottom w:val="0"/>
              <w:divBdr>
                <w:top w:val="none" w:sz="0" w:space="0" w:color="auto"/>
                <w:left w:val="none" w:sz="0" w:space="0" w:color="auto"/>
                <w:bottom w:val="none" w:sz="0" w:space="0" w:color="auto"/>
                <w:right w:val="none" w:sz="0" w:space="0" w:color="auto"/>
              </w:divBdr>
            </w:div>
          </w:divsChild>
        </w:div>
        <w:div w:id="2059429598">
          <w:marLeft w:val="935"/>
          <w:marRight w:val="0"/>
          <w:marTop w:val="120"/>
          <w:marBottom w:val="0"/>
          <w:divBdr>
            <w:top w:val="none" w:sz="0" w:space="0" w:color="auto"/>
            <w:left w:val="none" w:sz="0" w:space="0" w:color="auto"/>
            <w:bottom w:val="none" w:sz="0" w:space="0" w:color="auto"/>
            <w:right w:val="none" w:sz="0" w:space="0" w:color="auto"/>
          </w:divBdr>
          <w:divsChild>
            <w:div w:id="1182281608">
              <w:marLeft w:val="0"/>
              <w:marRight w:val="0"/>
              <w:marTop w:val="0"/>
              <w:marBottom w:val="0"/>
              <w:divBdr>
                <w:top w:val="none" w:sz="0" w:space="0" w:color="auto"/>
                <w:left w:val="none" w:sz="0" w:space="0" w:color="auto"/>
                <w:bottom w:val="none" w:sz="0" w:space="0" w:color="auto"/>
                <w:right w:val="none" w:sz="0" w:space="0" w:color="auto"/>
              </w:divBdr>
            </w:div>
          </w:divsChild>
        </w:div>
        <w:div w:id="2143425436">
          <w:marLeft w:val="935"/>
          <w:marRight w:val="0"/>
          <w:marTop w:val="120"/>
          <w:marBottom w:val="0"/>
          <w:divBdr>
            <w:top w:val="none" w:sz="0" w:space="0" w:color="auto"/>
            <w:left w:val="none" w:sz="0" w:space="0" w:color="auto"/>
            <w:bottom w:val="none" w:sz="0" w:space="0" w:color="auto"/>
            <w:right w:val="none" w:sz="0" w:space="0" w:color="auto"/>
          </w:divBdr>
          <w:divsChild>
            <w:div w:id="2015108592">
              <w:marLeft w:val="0"/>
              <w:marRight w:val="0"/>
              <w:marTop w:val="0"/>
              <w:marBottom w:val="0"/>
              <w:divBdr>
                <w:top w:val="none" w:sz="0" w:space="0" w:color="auto"/>
                <w:left w:val="none" w:sz="0" w:space="0" w:color="auto"/>
                <w:bottom w:val="none" w:sz="0" w:space="0" w:color="auto"/>
                <w:right w:val="none" w:sz="0" w:space="0" w:color="auto"/>
              </w:divBdr>
            </w:div>
          </w:divsChild>
        </w:div>
        <w:div w:id="206528613">
          <w:marLeft w:val="935"/>
          <w:marRight w:val="0"/>
          <w:marTop w:val="120"/>
          <w:marBottom w:val="0"/>
          <w:divBdr>
            <w:top w:val="none" w:sz="0" w:space="0" w:color="auto"/>
            <w:left w:val="none" w:sz="0" w:space="0" w:color="auto"/>
            <w:bottom w:val="none" w:sz="0" w:space="0" w:color="auto"/>
            <w:right w:val="none" w:sz="0" w:space="0" w:color="auto"/>
          </w:divBdr>
          <w:divsChild>
            <w:div w:id="1316375387">
              <w:marLeft w:val="0"/>
              <w:marRight w:val="0"/>
              <w:marTop w:val="0"/>
              <w:marBottom w:val="0"/>
              <w:divBdr>
                <w:top w:val="none" w:sz="0" w:space="0" w:color="auto"/>
                <w:left w:val="none" w:sz="0" w:space="0" w:color="auto"/>
                <w:bottom w:val="none" w:sz="0" w:space="0" w:color="auto"/>
                <w:right w:val="none" w:sz="0" w:space="0" w:color="auto"/>
              </w:divBdr>
            </w:div>
          </w:divsChild>
        </w:div>
        <w:div w:id="419716055">
          <w:marLeft w:val="935"/>
          <w:marRight w:val="0"/>
          <w:marTop w:val="120"/>
          <w:marBottom w:val="0"/>
          <w:divBdr>
            <w:top w:val="none" w:sz="0" w:space="0" w:color="auto"/>
            <w:left w:val="none" w:sz="0" w:space="0" w:color="auto"/>
            <w:bottom w:val="none" w:sz="0" w:space="0" w:color="auto"/>
            <w:right w:val="none" w:sz="0" w:space="0" w:color="auto"/>
          </w:divBdr>
          <w:divsChild>
            <w:div w:id="1249726170">
              <w:marLeft w:val="0"/>
              <w:marRight w:val="0"/>
              <w:marTop w:val="0"/>
              <w:marBottom w:val="0"/>
              <w:divBdr>
                <w:top w:val="none" w:sz="0" w:space="0" w:color="auto"/>
                <w:left w:val="none" w:sz="0" w:space="0" w:color="auto"/>
                <w:bottom w:val="none" w:sz="0" w:space="0" w:color="auto"/>
                <w:right w:val="none" w:sz="0" w:space="0" w:color="auto"/>
              </w:divBdr>
            </w:div>
          </w:divsChild>
        </w:div>
        <w:div w:id="1694527844">
          <w:marLeft w:val="935"/>
          <w:marRight w:val="0"/>
          <w:marTop w:val="120"/>
          <w:marBottom w:val="0"/>
          <w:divBdr>
            <w:top w:val="none" w:sz="0" w:space="0" w:color="auto"/>
            <w:left w:val="none" w:sz="0" w:space="0" w:color="auto"/>
            <w:bottom w:val="none" w:sz="0" w:space="0" w:color="auto"/>
            <w:right w:val="none" w:sz="0" w:space="0" w:color="auto"/>
          </w:divBdr>
          <w:divsChild>
            <w:div w:id="1927372756">
              <w:marLeft w:val="0"/>
              <w:marRight w:val="0"/>
              <w:marTop w:val="0"/>
              <w:marBottom w:val="0"/>
              <w:divBdr>
                <w:top w:val="none" w:sz="0" w:space="0" w:color="auto"/>
                <w:left w:val="none" w:sz="0" w:space="0" w:color="auto"/>
                <w:bottom w:val="none" w:sz="0" w:space="0" w:color="auto"/>
                <w:right w:val="none" w:sz="0" w:space="0" w:color="auto"/>
              </w:divBdr>
            </w:div>
          </w:divsChild>
        </w:div>
        <w:div w:id="1896044575">
          <w:marLeft w:val="935"/>
          <w:marRight w:val="0"/>
          <w:marTop w:val="120"/>
          <w:marBottom w:val="0"/>
          <w:divBdr>
            <w:top w:val="none" w:sz="0" w:space="0" w:color="auto"/>
            <w:left w:val="none" w:sz="0" w:space="0" w:color="auto"/>
            <w:bottom w:val="none" w:sz="0" w:space="0" w:color="auto"/>
            <w:right w:val="none" w:sz="0" w:space="0" w:color="auto"/>
          </w:divBdr>
          <w:divsChild>
            <w:div w:id="652296413">
              <w:marLeft w:val="0"/>
              <w:marRight w:val="0"/>
              <w:marTop w:val="0"/>
              <w:marBottom w:val="0"/>
              <w:divBdr>
                <w:top w:val="none" w:sz="0" w:space="0" w:color="auto"/>
                <w:left w:val="none" w:sz="0" w:space="0" w:color="auto"/>
                <w:bottom w:val="none" w:sz="0" w:space="0" w:color="auto"/>
                <w:right w:val="none" w:sz="0" w:space="0" w:color="auto"/>
              </w:divBdr>
            </w:div>
          </w:divsChild>
        </w:div>
        <w:div w:id="1624849339">
          <w:marLeft w:val="935"/>
          <w:marRight w:val="0"/>
          <w:marTop w:val="120"/>
          <w:marBottom w:val="0"/>
          <w:divBdr>
            <w:top w:val="none" w:sz="0" w:space="0" w:color="auto"/>
            <w:left w:val="none" w:sz="0" w:space="0" w:color="auto"/>
            <w:bottom w:val="none" w:sz="0" w:space="0" w:color="auto"/>
            <w:right w:val="none" w:sz="0" w:space="0" w:color="auto"/>
          </w:divBdr>
          <w:divsChild>
            <w:div w:id="1429696879">
              <w:marLeft w:val="0"/>
              <w:marRight w:val="0"/>
              <w:marTop w:val="0"/>
              <w:marBottom w:val="0"/>
              <w:divBdr>
                <w:top w:val="none" w:sz="0" w:space="0" w:color="auto"/>
                <w:left w:val="none" w:sz="0" w:space="0" w:color="auto"/>
                <w:bottom w:val="none" w:sz="0" w:space="0" w:color="auto"/>
                <w:right w:val="none" w:sz="0" w:space="0" w:color="auto"/>
              </w:divBdr>
            </w:div>
          </w:divsChild>
        </w:div>
        <w:div w:id="1239169827">
          <w:marLeft w:val="935"/>
          <w:marRight w:val="0"/>
          <w:marTop w:val="120"/>
          <w:marBottom w:val="0"/>
          <w:divBdr>
            <w:top w:val="none" w:sz="0" w:space="0" w:color="auto"/>
            <w:left w:val="none" w:sz="0" w:space="0" w:color="auto"/>
            <w:bottom w:val="none" w:sz="0" w:space="0" w:color="auto"/>
            <w:right w:val="none" w:sz="0" w:space="0" w:color="auto"/>
          </w:divBdr>
          <w:divsChild>
            <w:div w:id="39212330">
              <w:marLeft w:val="0"/>
              <w:marRight w:val="0"/>
              <w:marTop w:val="0"/>
              <w:marBottom w:val="0"/>
              <w:divBdr>
                <w:top w:val="none" w:sz="0" w:space="0" w:color="auto"/>
                <w:left w:val="none" w:sz="0" w:space="0" w:color="auto"/>
                <w:bottom w:val="none" w:sz="0" w:space="0" w:color="auto"/>
                <w:right w:val="none" w:sz="0" w:space="0" w:color="auto"/>
              </w:divBdr>
            </w:div>
          </w:divsChild>
        </w:div>
        <w:div w:id="1798404306">
          <w:marLeft w:val="0"/>
          <w:marRight w:val="0"/>
          <w:marTop w:val="0"/>
          <w:marBottom w:val="0"/>
          <w:divBdr>
            <w:top w:val="none" w:sz="0" w:space="0" w:color="auto"/>
            <w:left w:val="none" w:sz="0" w:space="0" w:color="auto"/>
            <w:bottom w:val="none" w:sz="0" w:space="0" w:color="auto"/>
            <w:right w:val="none" w:sz="0" w:space="0" w:color="auto"/>
          </w:divBdr>
          <w:divsChild>
            <w:div w:id="1681932295">
              <w:marLeft w:val="0"/>
              <w:marRight w:val="0"/>
              <w:marTop w:val="0"/>
              <w:marBottom w:val="0"/>
              <w:divBdr>
                <w:top w:val="none" w:sz="0" w:space="0" w:color="auto"/>
                <w:left w:val="none" w:sz="0" w:space="0" w:color="auto"/>
                <w:bottom w:val="none" w:sz="0" w:space="0" w:color="auto"/>
                <w:right w:val="none" w:sz="0" w:space="0" w:color="auto"/>
              </w:divBdr>
            </w:div>
            <w:div w:id="285161083">
              <w:marLeft w:val="935"/>
              <w:marRight w:val="0"/>
              <w:marTop w:val="120"/>
              <w:marBottom w:val="0"/>
              <w:divBdr>
                <w:top w:val="none" w:sz="0" w:space="0" w:color="auto"/>
                <w:left w:val="none" w:sz="0" w:space="0" w:color="auto"/>
                <w:bottom w:val="none" w:sz="0" w:space="0" w:color="auto"/>
                <w:right w:val="none" w:sz="0" w:space="0" w:color="auto"/>
              </w:divBdr>
              <w:divsChild>
                <w:div w:id="1686635747">
                  <w:marLeft w:val="0"/>
                  <w:marRight w:val="0"/>
                  <w:marTop w:val="0"/>
                  <w:marBottom w:val="0"/>
                  <w:divBdr>
                    <w:top w:val="none" w:sz="0" w:space="0" w:color="auto"/>
                    <w:left w:val="none" w:sz="0" w:space="0" w:color="auto"/>
                    <w:bottom w:val="none" w:sz="0" w:space="0" w:color="auto"/>
                    <w:right w:val="none" w:sz="0" w:space="0" w:color="auto"/>
                  </w:divBdr>
                </w:div>
              </w:divsChild>
            </w:div>
            <w:div w:id="981886811">
              <w:marLeft w:val="935"/>
              <w:marRight w:val="0"/>
              <w:marTop w:val="120"/>
              <w:marBottom w:val="0"/>
              <w:divBdr>
                <w:top w:val="none" w:sz="0" w:space="0" w:color="auto"/>
                <w:left w:val="none" w:sz="0" w:space="0" w:color="auto"/>
                <w:bottom w:val="none" w:sz="0" w:space="0" w:color="auto"/>
                <w:right w:val="none" w:sz="0" w:space="0" w:color="auto"/>
              </w:divBdr>
              <w:divsChild>
                <w:div w:id="791705997">
                  <w:marLeft w:val="0"/>
                  <w:marRight w:val="0"/>
                  <w:marTop w:val="0"/>
                  <w:marBottom w:val="0"/>
                  <w:divBdr>
                    <w:top w:val="none" w:sz="0" w:space="0" w:color="auto"/>
                    <w:left w:val="none" w:sz="0" w:space="0" w:color="auto"/>
                    <w:bottom w:val="none" w:sz="0" w:space="0" w:color="auto"/>
                    <w:right w:val="none" w:sz="0" w:space="0" w:color="auto"/>
                  </w:divBdr>
                </w:div>
              </w:divsChild>
            </w:div>
            <w:div w:id="540367089">
              <w:marLeft w:val="935"/>
              <w:marRight w:val="0"/>
              <w:marTop w:val="120"/>
              <w:marBottom w:val="0"/>
              <w:divBdr>
                <w:top w:val="none" w:sz="0" w:space="0" w:color="auto"/>
                <w:left w:val="none" w:sz="0" w:space="0" w:color="auto"/>
                <w:bottom w:val="none" w:sz="0" w:space="0" w:color="auto"/>
                <w:right w:val="none" w:sz="0" w:space="0" w:color="auto"/>
              </w:divBdr>
              <w:divsChild>
                <w:div w:id="1020087596">
                  <w:marLeft w:val="0"/>
                  <w:marRight w:val="0"/>
                  <w:marTop w:val="0"/>
                  <w:marBottom w:val="0"/>
                  <w:divBdr>
                    <w:top w:val="none" w:sz="0" w:space="0" w:color="auto"/>
                    <w:left w:val="none" w:sz="0" w:space="0" w:color="auto"/>
                    <w:bottom w:val="none" w:sz="0" w:space="0" w:color="auto"/>
                    <w:right w:val="none" w:sz="0" w:space="0" w:color="auto"/>
                  </w:divBdr>
                </w:div>
              </w:divsChild>
            </w:div>
            <w:div w:id="1165054911">
              <w:marLeft w:val="0"/>
              <w:marRight w:val="0"/>
              <w:marTop w:val="0"/>
              <w:marBottom w:val="0"/>
              <w:divBdr>
                <w:top w:val="none" w:sz="0" w:space="0" w:color="auto"/>
                <w:left w:val="none" w:sz="0" w:space="0" w:color="auto"/>
                <w:bottom w:val="none" w:sz="0" w:space="0" w:color="auto"/>
                <w:right w:val="none" w:sz="0" w:space="0" w:color="auto"/>
              </w:divBdr>
            </w:div>
          </w:divsChild>
        </w:div>
        <w:div w:id="297883881">
          <w:marLeft w:val="0"/>
          <w:marRight w:val="0"/>
          <w:marTop w:val="0"/>
          <w:marBottom w:val="0"/>
          <w:divBdr>
            <w:top w:val="none" w:sz="0" w:space="0" w:color="auto"/>
            <w:left w:val="none" w:sz="0" w:space="0" w:color="auto"/>
            <w:bottom w:val="none" w:sz="0" w:space="0" w:color="auto"/>
            <w:right w:val="none" w:sz="0" w:space="0" w:color="auto"/>
          </w:divBdr>
          <w:divsChild>
            <w:div w:id="839275228">
              <w:marLeft w:val="0"/>
              <w:marRight w:val="0"/>
              <w:marTop w:val="0"/>
              <w:marBottom w:val="0"/>
              <w:divBdr>
                <w:top w:val="none" w:sz="0" w:space="0" w:color="auto"/>
                <w:left w:val="none" w:sz="0" w:space="0" w:color="auto"/>
                <w:bottom w:val="none" w:sz="0" w:space="0" w:color="auto"/>
                <w:right w:val="none" w:sz="0" w:space="0" w:color="auto"/>
              </w:divBdr>
            </w:div>
            <w:div w:id="1818641512">
              <w:marLeft w:val="0"/>
              <w:marRight w:val="0"/>
              <w:marTop w:val="0"/>
              <w:marBottom w:val="0"/>
              <w:divBdr>
                <w:top w:val="none" w:sz="0" w:space="0" w:color="auto"/>
                <w:left w:val="none" w:sz="0" w:space="0" w:color="auto"/>
                <w:bottom w:val="none" w:sz="0" w:space="0" w:color="auto"/>
                <w:right w:val="none" w:sz="0" w:space="0" w:color="auto"/>
              </w:divBdr>
            </w:div>
            <w:div w:id="1626735387">
              <w:marLeft w:val="0"/>
              <w:marRight w:val="0"/>
              <w:marTop w:val="0"/>
              <w:marBottom w:val="0"/>
              <w:divBdr>
                <w:top w:val="none" w:sz="0" w:space="0" w:color="auto"/>
                <w:left w:val="none" w:sz="0" w:space="0" w:color="auto"/>
                <w:bottom w:val="none" w:sz="0" w:space="0" w:color="auto"/>
                <w:right w:val="none" w:sz="0" w:space="0" w:color="auto"/>
              </w:divBdr>
            </w:div>
            <w:div w:id="814951353">
              <w:marLeft w:val="0"/>
              <w:marRight w:val="0"/>
              <w:marTop w:val="0"/>
              <w:marBottom w:val="0"/>
              <w:divBdr>
                <w:top w:val="none" w:sz="0" w:space="0" w:color="auto"/>
                <w:left w:val="none" w:sz="0" w:space="0" w:color="auto"/>
                <w:bottom w:val="none" w:sz="0" w:space="0" w:color="auto"/>
                <w:right w:val="none" w:sz="0" w:space="0" w:color="auto"/>
              </w:divBdr>
            </w:div>
            <w:div w:id="1828130912">
              <w:marLeft w:val="0"/>
              <w:marRight w:val="0"/>
              <w:marTop w:val="0"/>
              <w:marBottom w:val="0"/>
              <w:divBdr>
                <w:top w:val="none" w:sz="0" w:space="0" w:color="auto"/>
                <w:left w:val="none" w:sz="0" w:space="0" w:color="auto"/>
                <w:bottom w:val="none" w:sz="0" w:space="0" w:color="auto"/>
                <w:right w:val="none" w:sz="0" w:space="0" w:color="auto"/>
              </w:divBdr>
            </w:div>
            <w:div w:id="924532229">
              <w:marLeft w:val="0"/>
              <w:marRight w:val="0"/>
              <w:marTop w:val="0"/>
              <w:marBottom w:val="0"/>
              <w:divBdr>
                <w:top w:val="none" w:sz="0" w:space="0" w:color="auto"/>
                <w:left w:val="none" w:sz="0" w:space="0" w:color="auto"/>
                <w:bottom w:val="none" w:sz="0" w:space="0" w:color="auto"/>
                <w:right w:val="none" w:sz="0" w:space="0" w:color="auto"/>
              </w:divBdr>
            </w:div>
            <w:div w:id="1535383924">
              <w:marLeft w:val="0"/>
              <w:marRight w:val="0"/>
              <w:marTop w:val="0"/>
              <w:marBottom w:val="0"/>
              <w:divBdr>
                <w:top w:val="none" w:sz="0" w:space="0" w:color="auto"/>
                <w:left w:val="none" w:sz="0" w:space="0" w:color="auto"/>
                <w:bottom w:val="none" w:sz="0" w:space="0" w:color="auto"/>
                <w:right w:val="none" w:sz="0" w:space="0" w:color="auto"/>
              </w:divBdr>
            </w:div>
            <w:div w:id="2099712077">
              <w:marLeft w:val="0"/>
              <w:marRight w:val="0"/>
              <w:marTop w:val="0"/>
              <w:marBottom w:val="0"/>
              <w:divBdr>
                <w:top w:val="none" w:sz="0" w:space="0" w:color="auto"/>
                <w:left w:val="none" w:sz="0" w:space="0" w:color="auto"/>
                <w:bottom w:val="none" w:sz="0" w:space="0" w:color="auto"/>
                <w:right w:val="none" w:sz="0" w:space="0" w:color="auto"/>
              </w:divBdr>
            </w:div>
            <w:div w:id="1468015287">
              <w:marLeft w:val="0"/>
              <w:marRight w:val="0"/>
              <w:marTop w:val="0"/>
              <w:marBottom w:val="0"/>
              <w:divBdr>
                <w:top w:val="none" w:sz="0" w:space="0" w:color="auto"/>
                <w:left w:val="none" w:sz="0" w:space="0" w:color="auto"/>
                <w:bottom w:val="none" w:sz="0" w:space="0" w:color="auto"/>
                <w:right w:val="none" w:sz="0" w:space="0" w:color="auto"/>
              </w:divBdr>
            </w:div>
            <w:div w:id="1242836562">
              <w:marLeft w:val="0"/>
              <w:marRight w:val="0"/>
              <w:marTop w:val="0"/>
              <w:marBottom w:val="0"/>
              <w:divBdr>
                <w:top w:val="none" w:sz="0" w:space="0" w:color="auto"/>
                <w:left w:val="none" w:sz="0" w:space="0" w:color="auto"/>
                <w:bottom w:val="none" w:sz="0" w:space="0" w:color="auto"/>
                <w:right w:val="none" w:sz="0" w:space="0" w:color="auto"/>
              </w:divBdr>
            </w:div>
            <w:div w:id="121466080">
              <w:marLeft w:val="0"/>
              <w:marRight w:val="0"/>
              <w:marTop w:val="0"/>
              <w:marBottom w:val="0"/>
              <w:divBdr>
                <w:top w:val="none" w:sz="0" w:space="0" w:color="auto"/>
                <w:left w:val="none" w:sz="0" w:space="0" w:color="auto"/>
                <w:bottom w:val="none" w:sz="0" w:space="0" w:color="auto"/>
                <w:right w:val="none" w:sz="0" w:space="0" w:color="auto"/>
              </w:divBdr>
            </w:div>
            <w:div w:id="1814834152">
              <w:marLeft w:val="0"/>
              <w:marRight w:val="0"/>
              <w:marTop w:val="0"/>
              <w:marBottom w:val="0"/>
              <w:divBdr>
                <w:top w:val="none" w:sz="0" w:space="0" w:color="auto"/>
                <w:left w:val="none" w:sz="0" w:space="0" w:color="auto"/>
                <w:bottom w:val="none" w:sz="0" w:space="0" w:color="auto"/>
                <w:right w:val="none" w:sz="0" w:space="0" w:color="auto"/>
              </w:divBdr>
            </w:div>
            <w:div w:id="1730112865">
              <w:marLeft w:val="0"/>
              <w:marRight w:val="0"/>
              <w:marTop w:val="0"/>
              <w:marBottom w:val="0"/>
              <w:divBdr>
                <w:top w:val="none" w:sz="0" w:space="0" w:color="auto"/>
                <w:left w:val="none" w:sz="0" w:space="0" w:color="auto"/>
                <w:bottom w:val="none" w:sz="0" w:space="0" w:color="auto"/>
                <w:right w:val="none" w:sz="0" w:space="0" w:color="auto"/>
              </w:divBdr>
            </w:div>
            <w:div w:id="1192107374">
              <w:marLeft w:val="0"/>
              <w:marRight w:val="0"/>
              <w:marTop w:val="0"/>
              <w:marBottom w:val="0"/>
              <w:divBdr>
                <w:top w:val="none" w:sz="0" w:space="0" w:color="auto"/>
                <w:left w:val="none" w:sz="0" w:space="0" w:color="auto"/>
                <w:bottom w:val="none" w:sz="0" w:space="0" w:color="auto"/>
                <w:right w:val="none" w:sz="0" w:space="0" w:color="auto"/>
              </w:divBdr>
            </w:div>
            <w:div w:id="383874167">
              <w:marLeft w:val="0"/>
              <w:marRight w:val="0"/>
              <w:marTop w:val="0"/>
              <w:marBottom w:val="0"/>
              <w:divBdr>
                <w:top w:val="none" w:sz="0" w:space="0" w:color="auto"/>
                <w:left w:val="none" w:sz="0" w:space="0" w:color="auto"/>
                <w:bottom w:val="none" w:sz="0" w:space="0" w:color="auto"/>
                <w:right w:val="none" w:sz="0" w:space="0" w:color="auto"/>
              </w:divBdr>
            </w:div>
            <w:div w:id="346565619">
              <w:marLeft w:val="0"/>
              <w:marRight w:val="0"/>
              <w:marTop w:val="0"/>
              <w:marBottom w:val="0"/>
              <w:divBdr>
                <w:top w:val="none" w:sz="0" w:space="0" w:color="auto"/>
                <w:left w:val="none" w:sz="0" w:space="0" w:color="auto"/>
                <w:bottom w:val="none" w:sz="0" w:space="0" w:color="auto"/>
                <w:right w:val="none" w:sz="0" w:space="0" w:color="auto"/>
              </w:divBdr>
            </w:div>
            <w:div w:id="518469972">
              <w:marLeft w:val="0"/>
              <w:marRight w:val="0"/>
              <w:marTop w:val="0"/>
              <w:marBottom w:val="0"/>
              <w:divBdr>
                <w:top w:val="none" w:sz="0" w:space="0" w:color="auto"/>
                <w:left w:val="none" w:sz="0" w:space="0" w:color="auto"/>
                <w:bottom w:val="none" w:sz="0" w:space="0" w:color="auto"/>
                <w:right w:val="none" w:sz="0" w:space="0" w:color="auto"/>
              </w:divBdr>
            </w:div>
            <w:div w:id="1694645232">
              <w:marLeft w:val="0"/>
              <w:marRight w:val="0"/>
              <w:marTop w:val="0"/>
              <w:marBottom w:val="0"/>
              <w:divBdr>
                <w:top w:val="none" w:sz="0" w:space="0" w:color="auto"/>
                <w:left w:val="none" w:sz="0" w:space="0" w:color="auto"/>
                <w:bottom w:val="none" w:sz="0" w:space="0" w:color="auto"/>
                <w:right w:val="none" w:sz="0" w:space="0" w:color="auto"/>
              </w:divBdr>
            </w:div>
            <w:div w:id="1896700504">
              <w:marLeft w:val="0"/>
              <w:marRight w:val="0"/>
              <w:marTop w:val="0"/>
              <w:marBottom w:val="0"/>
              <w:divBdr>
                <w:top w:val="none" w:sz="0" w:space="0" w:color="auto"/>
                <w:left w:val="none" w:sz="0" w:space="0" w:color="auto"/>
                <w:bottom w:val="none" w:sz="0" w:space="0" w:color="auto"/>
                <w:right w:val="none" w:sz="0" w:space="0" w:color="auto"/>
              </w:divBdr>
            </w:div>
            <w:div w:id="2034575287">
              <w:marLeft w:val="0"/>
              <w:marRight w:val="0"/>
              <w:marTop w:val="0"/>
              <w:marBottom w:val="0"/>
              <w:divBdr>
                <w:top w:val="none" w:sz="0" w:space="0" w:color="auto"/>
                <w:left w:val="none" w:sz="0" w:space="0" w:color="auto"/>
                <w:bottom w:val="none" w:sz="0" w:space="0" w:color="auto"/>
                <w:right w:val="none" w:sz="0" w:space="0" w:color="auto"/>
              </w:divBdr>
            </w:div>
            <w:div w:id="791170402">
              <w:marLeft w:val="0"/>
              <w:marRight w:val="0"/>
              <w:marTop w:val="0"/>
              <w:marBottom w:val="0"/>
              <w:divBdr>
                <w:top w:val="none" w:sz="0" w:space="0" w:color="auto"/>
                <w:left w:val="none" w:sz="0" w:space="0" w:color="auto"/>
                <w:bottom w:val="none" w:sz="0" w:space="0" w:color="auto"/>
                <w:right w:val="none" w:sz="0" w:space="0" w:color="auto"/>
              </w:divBdr>
            </w:div>
            <w:div w:id="1390498136">
              <w:marLeft w:val="0"/>
              <w:marRight w:val="0"/>
              <w:marTop w:val="0"/>
              <w:marBottom w:val="0"/>
              <w:divBdr>
                <w:top w:val="none" w:sz="0" w:space="0" w:color="auto"/>
                <w:left w:val="none" w:sz="0" w:space="0" w:color="auto"/>
                <w:bottom w:val="none" w:sz="0" w:space="0" w:color="auto"/>
                <w:right w:val="none" w:sz="0" w:space="0" w:color="auto"/>
              </w:divBdr>
            </w:div>
            <w:div w:id="983973969">
              <w:marLeft w:val="0"/>
              <w:marRight w:val="0"/>
              <w:marTop w:val="0"/>
              <w:marBottom w:val="0"/>
              <w:divBdr>
                <w:top w:val="none" w:sz="0" w:space="0" w:color="auto"/>
                <w:left w:val="none" w:sz="0" w:space="0" w:color="auto"/>
                <w:bottom w:val="none" w:sz="0" w:space="0" w:color="auto"/>
                <w:right w:val="none" w:sz="0" w:space="0" w:color="auto"/>
              </w:divBdr>
            </w:div>
            <w:div w:id="119350655">
              <w:marLeft w:val="0"/>
              <w:marRight w:val="0"/>
              <w:marTop w:val="0"/>
              <w:marBottom w:val="0"/>
              <w:divBdr>
                <w:top w:val="none" w:sz="0" w:space="0" w:color="auto"/>
                <w:left w:val="none" w:sz="0" w:space="0" w:color="auto"/>
                <w:bottom w:val="none" w:sz="0" w:space="0" w:color="auto"/>
                <w:right w:val="none" w:sz="0" w:space="0" w:color="auto"/>
              </w:divBdr>
            </w:div>
          </w:divsChild>
        </w:div>
        <w:div w:id="1219824375">
          <w:marLeft w:val="0"/>
          <w:marRight w:val="0"/>
          <w:marTop w:val="0"/>
          <w:marBottom w:val="0"/>
          <w:divBdr>
            <w:top w:val="none" w:sz="0" w:space="0" w:color="auto"/>
            <w:left w:val="none" w:sz="0" w:space="0" w:color="auto"/>
            <w:bottom w:val="none" w:sz="0" w:space="0" w:color="auto"/>
            <w:right w:val="none" w:sz="0" w:space="0" w:color="auto"/>
          </w:divBdr>
          <w:divsChild>
            <w:div w:id="971666735">
              <w:marLeft w:val="0"/>
              <w:marRight w:val="0"/>
              <w:marTop w:val="0"/>
              <w:marBottom w:val="0"/>
              <w:divBdr>
                <w:top w:val="none" w:sz="0" w:space="0" w:color="auto"/>
                <w:left w:val="none" w:sz="0" w:space="0" w:color="auto"/>
                <w:bottom w:val="none" w:sz="0" w:space="0" w:color="auto"/>
                <w:right w:val="none" w:sz="0" w:space="0" w:color="auto"/>
              </w:divBdr>
            </w:div>
            <w:div w:id="1615822496">
              <w:marLeft w:val="0"/>
              <w:marRight w:val="0"/>
              <w:marTop w:val="0"/>
              <w:marBottom w:val="0"/>
              <w:divBdr>
                <w:top w:val="none" w:sz="0" w:space="0" w:color="auto"/>
                <w:left w:val="none" w:sz="0" w:space="0" w:color="auto"/>
                <w:bottom w:val="none" w:sz="0" w:space="0" w:color="auto"/>
                <w:right w:val="none" w:sz="0" w:space="0" w:color="auto"/>
              </w:divBdr>
            </w:div>
            <w:div w:id="1712069068">
              <w:marLeft w:val="0"/>
              <w:marRight w:val="0"/>
              <w:marTop w:val="0"/>
              <w:marBottom w:val="0"/>
              <w:divBdr>
                <w:top w:val="none" w:sz="0" w:space="0" w:color="auto"/>
                <w:left w:val="none" w:sz="0" w:space="0" w:color="auto"/>
                <w:bottom w:val="none" w:sz="0" w:space="0" w:color="auto"/>
                <w:right w:val="none" w:sz="0" w:space="0" w:color="auto"/>
              </w:divBdr>
            </w:div>
          </w:divsChild>
        </w:div>
        <w:div w:id="1144350720">
          <w:marLeft w:val="0"/>
          <w:marRight w:val="0"/>
          <w:marTop w:val="0"/>
          <w:marBottom w:val="0"/>
          <w:divBdr>
            <w:top w:val="none" w:sz="0" w:space="0" w:color="auto"/>
            <w:left w:val="none" w:sz="0" w:space="0" w:color="auto"/>
            <w:bottom w:val="none" w:sz="0" w:space="0" w:color="auto"/>
            <w:right w:val="none" w:sz="0" w:space="0" w:color="auto"/>
          </w:divBdr>
          <w:divsChild>
            <w:div w:id="789470538">
              <w:marLeft w:val="0"/>
              <w:marRight w:val="0"/>
              <w:marTop w:val="0"/>
              <w:marBottom w:val="0"/>
              <w:divBdr>
                <w:top w:val="none" w:sz="0" w:space="0" w:color="auto"/>
                <w:left w:val="none" w:sz="0" w:space="0" w:color="auto"/>
                <w:bottom w:val="none" w:sz="0" w:space="0" w:color="auto"/>
                <w:right w:val="none" w:sz="0" w:space="0" w:color="auto"/>
              </w:divBdr>
            </w:div>
            <w:div w:id="777335025">
              <w:marLeft w:val="0"/>
              <w:marRight w:val="0"/>
              <w:marTop w:val="0"/>
              <w:marBottom w:val="0"/>
              <w:divBdr>
                <w:top w:val="none" w:sz="0" w:space="0" w:color="auto"/>
                <w:left w:val="none" w:sz="0" w:space="0" w:color="auto"/>
                <w:bottom w:val="none" w:sz="0" w:space="0" w:color="auto"/>
                <w:right w:val="none" w:sz="0" w:space="0" w:color="auto"/>
              </w:divBdr>
            </w:div>
            <w:div w:id="1948459388">
              <w:marLeft w:val="0"/>
              <w:marRight w:val="0"/>
              <w:marTop w:val="0"/>
              <w:marBottom w:val="0"/>
              <w:divBdr>
                <w:top w:val="none" w:sz="0" w:space="0" w:color="auto"/>
                <w:left w:val="none" w:sz="0" w:space="0" w:color="auto"/>
                <w:bottom w:val="none" w:sz="0" w:space="0" w:color="auto"/>
                <w:right w:val="none" w:sz="0" w:space="0" w:color="auto"/>
              </w:divBdr>
            </w:div>
            <w:div w:id="921380581">
              <w:marLeft w:val="0"/>
              <w:marRight w:val="0"/>
              <w:marTop w:val="0"/>
              <w:marBottom w:val="0"/>
              <w:divBdr>
                <w:top w:val="none" w:sz="0" w:space="0" w:color="auto"/>
                <w:left w:val="none" w:sz="0" w:space="0" w:color="auto"/>
                <w:bottom w:val="none" w:sz="0" w:space="0" w:color="auto"/>
                <w:right w:val="none" w:sz="0" w:space="0" w:color="auto"/>
              </w:divBdr>
            </w:div>
          </w:divsChild>
        </w:div>
        <w:div w:id="962155265">
          <w:marLeft w:val="0"/>
          <w:marRight w:val="0"/>
          <w:marTop w:val="0"/>
          <w:marBottom w:val="0"/>
          <w:divBdr>
            <w:top w:val="none" w:sz="0" w:space="0" w:color="auto"/>
            <w:left w:val="none" w:sz="0" w:space="0" w:color="auto"/>
            <w:bottom w:val="none" w:sz="0" w:space="0" w:color="auto"/>
            <w:right w:val="none" w:sz="0" w:space="0" w:color="auto"/>
          </w:divBdr>
          <w:divsChild>
            <w:div w:id="984548985">
              <w:marLeft w:val="0"/>
              <w:marRight w:val="0"/>
              <w:marTop w:val="0"/>
              <w:marBottom w:val="0"/>
              <w:divBdr>
                <w:top w:val="none" w:sz="0" w:space="0" w:color="auto"/>
                <w:left w:val="none" w:sz="0" w:space="0" w:color="auto"/>
                <w:bottom w:val="none" w:sz="0" w:space="0" w:color="auto"/>
                <w:right w:val="none" w:sz="0" w:space="0" w:color="auto"/>
              </w:divBdr>
            </w:div>
            <w:div w:id="723676639">
              <w:marLeft w:val="0"/>
              <w:marRight w:val="0"/>
              <w:marTop w:val="0"/>
              <w:marBottom w:val="0"/>
              <w:divBdr>
                <w:top w:val="none" w:sz="0" w:space="0" w:color="auto"/>
                <w:left w:val="none" w:sz="0" w:space="0" w:color="auto"/>
                <w:bottom w:val="none" w:sz="0" w:space="0" w:color="auto"/>
                <w:right w:val="none" w:sz="0" w:space="0" w:color="auto"/>
              </w:divBdr>
            </w:div>
            <w:div w:id="182137070">
              <w:marLeft w:val="0"/>
              <w:marRight w:val="0"/>
              <w:marTop w:val="0"/>
              <w:marBottom w:val="0"/>
              <w:divBdr>
                <w:top w:val="none" w:sz="0" w:space="0" w:color="auto"/>
                <w:left w:val="none" w:sz="0" w:space="0" w:color="auto"/>
                <w:bottom w:val="none" w:sz="0" w:space="0" w:color="auto"/>
                <w:right w:val="none" w:sz="0" w:space="0" w:color="auto"/>
              </w:divBdr>
            </w:div>
            <w:div w:id="1329212571">
              <w:marLeft w:val="0"/>
              <w:marRight w:val="0"/>
              <w:marTop w:val="0"/>
              <w:marBottom w:val="0"/>
              <w:divBdr>
                <w:top w:val="none" w:sz="0" w:space="0" w:color="auto"/>
                <w:left w:val="none" w:sz="0" w:space="0" w:color="auto"/>
                <w:bottom w:val="none" w:sz="0" w:space="0" w:color="auto"/>
                <w:right w:val="none" w:sz="0" w:space="0" w:color="auto"/>
              </w:divBdr>
            </w:div>
            <w:div w:id="1972056331">
              <w:marLeft w:val="0"/>
              <w:marRight w:val="0"/>
              <w:marTop w:val="0"/>
              <w:marBottom w:val="0"/>
              <w:divBdr>
                <w:top w:val="none" w:sz="0" w:space="0" w:color="auto"/>
                <w:left w:val="none" w:sz="0" w:space="0" w:color="auto"/>
                <w:bottom w:val="none" w:sz="0" w:space="0" w:color="auto"/>
                <w:right w:val="none" w:sz="0" w:space="0" w:color="auto"/>
              </w:divBdr>
            </w:div>
            <w:div w:id="764493583">
              <w:marLeft w:val="0"/>
              <w:marRight w:val="0"/>
              <w:marTop w:val="0"/>
              <w:marBottom w:val="0"/>
              <w:divBdr>
                <w:top w:val="none" w:sz="0" w:space="0" w:color="auto"/>
                <w:left w:val="none" w:sz="0" w:space="0" w:color="auto"/>
                <w:bottom w:val="none" w:sz="0" w:space="0" w:color="auto"/>
                <w:right w:val="none" w:sz="0" w:space="0" w:color="auto"/>
              </w:divBdr>
            </w:div>
          </w:divsChild>
        </w:div>
        <w:div w:id="579942962">
          <w:marLeft w:val="0"/>
          <w:marRight w:val="0"/>
          <w:marTop w:val="0"/>
          <w:marBottom w:val="0"/>
          <w:divBdr>
            <w:top w:val="none" w:sz="0" w:space="0" w:color="auto"/>
            <w:left w:val="none" w:sz="0" w:space="0" w:color="auto"/>
            <w:bottom w:val="none" w:sz="0" w:space="0" w:color="auto"/>
            <w:right w:val="none" w:sz="0" w:space="0" w:color="auto"/>
          </w:divBdr>
          <w:divsChild>
            <w:div w:id="2137290564">
              <w:marLeft w:val="0"/>
              <w:marRight w:val="0"/>
              <w:marTop w:val="0"/>
              <w:marBottom w:val="0"/>
              <w:divBdr>
                <w:top w:val="none" w:sz="0" w:space="0" w:color="auto"/>
                <w:left w:val="none" w:sz="0" w:space="0" w:color="auto"/>
                <w:bottom w:val="none" w:sz="0" w:space="0" w:color="auto"/>
                <w:right w:val="none" w:sz="0" w:space="0" w:color="auto"/>
              </w:divBdr>
            </w:div>
          </w:divsChild>
        </w:div>
        <w:div w:id="1750928602">
          <w:marLeft w:val="0"/>
          <w:marRight w:val="0"/>
          <w:marTop w:val="0"/>
          <w:marBottom w:val="0"/>
          <w:divBdr>
            <w:top w:val="none" w:sz="0" w:space="0" w:color="auto"/>
            <w:left w:val="none" w:sz="0" w:space="0" w:color="auto"/>
            <w:bottom w:val="none" w:sz="0" w:space="0" w:color="auto"/>
            <w:right w:val="none" w:sz="0" w:space="0" w:color="auto"/>
          </w:divBdr>
          <w:divsChild>
            <w:div w:id="618335235">
              <w:marLeft w:val="0"/>
              <w:marRight w:val="0"/>
              <w:marTop w:val="0"/>
              <w:marBottom w:val="0"/>
              <w:divBdr>
                <w:top w:val="none" w:sz="0" w:space="0" w:color="auto"/>
                <w:left w:val="none" w:sz="0" w:space="0" w:color="auto"/>
                <w:bottom w:val="none" w:sz="0" w:space="0" w:color="auto"/>
                <w:right w:val="none" w:sz="0" w:space="0" w:color="auto"/>
              </w:divBdr>
            </w:div>
          </w:divsChild>
        </w:div>
        <w:div w:id="903293496">
          <w:marLeft w:val="0"/>
          <w:marRight w:val="0"/>
          <w:marTop w:val="0"/>
          <w:marBottom w:val="0"/>
          <w:divBdr>
            <w:top w:val="none" w:sz="0" w:space="0" w:color="auto"/>
            <w:left w:val="none" w:sz="0" w:space="0" w:color="auto"/>
            <w:bottom w:val="none" w:sz="0" w:space="0" w:color="auto"/>
            <w:right w:val="none" w:sz="0" w:space="0" w:color="auto"/>
          </w:divBdr>
          <w:divsChild>
            <w:div w:id="666246561">
              <w:marLeft w:val="0"/>
              <w:marRight w:val="0"/>
              <w:marTop w:val="0"/>
              <w:marBottom w:val="0"/>
              <w:divBdr>
                <w:top w:val="none" w:sz="0" w:space="0" w:color="auto"/>
                <w:left w:val="none" w:sz="0" w:space="0" w:color="auto"/>
                <w:bottom w:val="none" w:sz="0" w:space="0" w:color="auto"/>
                <w:right w:val="none" w:sz="0" w:space="0" w:color="auto"/>
              </w:divBdr>
            </w:div>
          </w:divsChild>
        </w:div>
        <w:div w:id="1675642293">
          <w:marLeft w:val="0"/>
          <w:marRight w:val="0"/>
          <w:marTop w:val="0"/>
          <w:marBottom w:val="0"/>
          <w:divBdr>
            <w:top w:val="none" w:sz="0" w:space="0" w:color="auto"/>
            <w:left w:val="none" w:sz="0" w:space="0" w:color="auto"/>
            <w:bottom w:val="none" w:sz="0" w:space="0" w:color="auto"/>
            <w:right w:val="none" w:sz="0" w:space="0" w:color="auto"/>
          </w:divBdr>
          <w:divsChild>
            <w:div w:id="1456682910">
              <w:marLeft w:val="0"/>
              <w:marRight w:val="0"/>
              <w:marTop w:val="0"/>
              <w:marBottom w:val="0"/>
              <w:divBdr>
                <w:top w:val="none" w:sz="0" w:space="0" w:color="auto"/>
                <w:left w:val="none" w:sz="0" w:space="0" w:color="auto"/>
                <w:bottom w:val="none" w:sz="0" w:space="0" w:color="auto"/>
                <w:right w:val="none" w:sz="0" w:space="0" w:color="auto"/>
              </w:divBdr>
            </w:div>
            <w:div w:id="1495339899">
              <w:marLeft w:val="0"/>
              <w:marRight w:val="0"/>
              <w:marTop w:val="0"/>
              <w:marBottom w:val="0"/>
              <w:divBdr>
                <w:top w:val="none" w:sz="0" w:space="0" w:color="auto"/>
                <w:left w:val="none" w:sz="0" w:space="0" w:color="auto"/>
                <w:bottom w:val="none" w:sz="0" w:space="0" w:color="auto"/>
                <w:right w:val="none" w:sz="0" w:space="0" w:color="auto"/>
              </w:divBdr>
            </w:div>
          </w:divsChild>
        </w:div>
        <w:div w:id="1500119718">
          <w:marLeft w:val="0"/>
          <w:marRight w:val="0"/>
          <w:marTop w:val="0"/>
          <w:marBottom w:val="0"/>
          <w:divBdr>
            <w:top w:val="none" w:sz="0" w:space="0" w:color="auto"/>
            <w:left w:val="none" w:sz="0" w:space="0" w:color="auto"/>
            <w:bottom w:val="none" w:sz="0" w:space="0" w:color="auto"/>
            <w:right w:val="none" w:sz="0" w:space="0" w:color="auto"/>
          </w:divBdr>
          <w:divsChild>
            <w:div w:id="54092574">
              <w:marLeft w:val="0"/>
              <w:marRight w:val="0"/>
              <w:marTop w:val="0"/>
              <w:marBottom w:val="0"/>
              <w:divBdr>
                <w:top w:val="none" w:sz="0" w:space="0" w:color="auto"/>
                <w:left w:val="none" w:sz="0" w:space="0" w:color="auto"/>
                <w:bottom w:val="none" w:sz="0" w:space="0" w:color="auto"/>
                <w:right w:val="none" w:sz="0" w:space="0" w:color="auto"/>
              </w:divBdr>
            </w:div>
            <w:div w:id="1893496926">
              <w:marLeft w:val="0"/>
              <w:marRight w:val="0"/>
              <w:marTop w:val="0"/>
              <w:marBottom w:val="0"/>
              <w:divBdr>
                <w:top w:val="none" w:sz="0" w:space="0" w:color="auto"/>
                <w:left w:val="none" w:sz="0" w:space="0" w:color="auto"/>
                <w:bottom w:val="none" w:sz="0" w:space="0" w:color="auto"/>
                <w:right w:val="none" w:sz="0" w:space="0" w:color="auto"/>
              </w:divBdr>
            </w:div>
          </w:divsChild>
        </w:div>
        <w:div w:id="2123765813">
          <w:marLeft w:val="0"/>
          <w:marRight w:val="0"/>
          <w:marTop w:val="0"/>
          <w:marBottom w:val="0"/>
          <w:divBdr>
            <w:top w:val="none" w:sz="0" w:space="0" w:color="auto"/>
            <w:left w:val="none" w:sz="0" w:space="0" w:color="auto"/>
            <w:bottom w:val="none" w:sz="0" w:space="0" w:color="auto"/>
            <w:right w:val="none" w:sz="0" w:space="0" w:color="auto"/>
          </w:divBdr>
          <w:divsChild>
            <w:div w:id="206063371">
              <w:marLeft w:val="0"/>
              <w:marRight w:val="0"/>
              <w:marTop w:val="0"/>
              <w:marBottom w:val="0"/>
              <w:divBdr>
                <w:top w:val="none" w:sz="0" w:space="0" w:color="auto"/>
                <w:left w:val="none" w:sz="0" w:space="0" w:color="auto"/>
                <w:bottom w:val="none" w:sz="0" w:space="0" w:color="auto"/>
                <w:right w:val="none" w:sz="0" w:space="0" w:color="auto"/>
              </w:divBdr>
            </w:div>
          </w:divsChild>
        </w:div>
        <w:div w:id="977536347">
          <w:marLeft w:val="0"/>
          <w:marRight w:val="0"/>
          <w:marTop w:val="0"/>
          <w:marBottom w:val="0"/>
          <w:divBdr>
            <w:top w:val="none" w:sz="0" w:space="0" w:color="auto"/>
            <w:left w:val="none" w:sz="0" w:space="0" w:color="auto"/>
            <w:bottom w:val="none" w:sz="0" w:space="0" w:color="auto"/>
            <w:right w:val="none" w:sz="0" w:space="0" w:color="auto"/>
          </w:divBdr>
          <w:divsChild>
            <w:div w:id="1956059950">
              <w:marLeft w:val="0"/>
              <w:marRight w:val="0"/>
              <w:marTop w:val="0"/>
              <w:marBottom w:val="0"/>
              <w:divBdr>
                <w:top w:val="none" w:sz="0" w:space="0" w:color="auto"/>
                <w:left w:val="none" w:sz="0" w:space="0" w:color="auto"/>
                <w:bottom w:val="none" w:sz="0" w:space="0" w:color="auto"/>
                <w:right w:val="none" w:sz="0" w:space="0" w:color="auto"/>
              </w:divBdr>
            </w:div>
          </w:divsChild>
        </w:div>
        <w:div w:id="1848399125">
          <w:marLeft w:val="0"/>
          <w:marRight w:val="0"/>
          <w:marTop w:val="0"/>
          <w:marBottom w:val="0"/>
          <w:divBdr>
            <w:top w:val="none" w:sz="0" w:space="0" w:color="auto"/>
            <w:left w:val="none" w:sz="0" w:space="0" w:color="auto"/>
            <w:bottom w:val="none" w:sz="0" w:space="0" w:color="auto"/>
            <w:right w:val="none" w:sz="0" w:space="0" w:color="auto"/>
          </w:divBdr>
          <w:divsChild>
            <w:div w:id="942423954">
              <w:marLeft w:val="0"/>
              <w:marRight w:val="0"/>
              <w:marTop w:val="0"/>
              <w:marBottom w:val="0"/>
              <w:divBdr>
                <w:top w:val="none" w:sz="0" w:space="0" w:color="auto"/>
                <w:left w:val="none" w:sz="0" w:space="0" w:color="auto"/>
                <w:bottom w:val="none" w:sz="0" w:space="0" w:color="auto"/>
                <w:right w:val="none" w:sz="0" w:space="0" w:color="auto"/>
              </w:divBdr>
            </w:div>
          </w:divsChild>
        </w:div>
        <w:div w:id="7754065">
          <w:marLeft w:val="0"/>
          <w:marRight w:val="0"/>
          <w:marTop w:val="0"/>
          <w:marBottom w:val="0"/>
          <w:divBdr>
            <w:top w:val="none" w:sz="0" w:space="0" w:color="auto"/>
            <w:left w:val="none" w:sz="0" w:space="0" w:color="auto"/>
            <w:bottom w:val="none" w:sz="0" w:space="0" w:color="auto"/>
            <w:right w:val="none" w:sz="0" w:space="0" w:color="auto"/>
          </w:divBdr>
          <w:divsChild>
            <w:div w:id="508984846">
              <w:marLeft w:val="0"/>
              <w:marRight w:val="0"/>
              <w:marTop w:val="0"/>
              <w:marBottom w:val="0"/>
              <w:divBdr>
                <w:top w:val="none" w:sz="0" w:space="0" w:color="auto"/>
                <w:left w:val="none" w:sz="0" w:space="0" w:color="auto"/>
                <w:bottom w:val="none" w:sz="0" w:space="0" w:color="auto"/>
                <w:right w:val="none" w:sz="0" w:space="0" w:color="auto"/>
              </w:divBdr>
            </w:div>
            <w:div w:id="1616252943">
              <w:marLeft w:val="0"/>
              <w:marRight w:val="0"/>
              <w:marTop w:val="0"/>
              <w:marBottom w:val="0"/>
              <w:divBdr>
                <w:top w:val="none" w:sz="0" w:space="0" w:color="auto"/>
                <w:left w:val="none" w:sz="0" w:space="0" w:color="auto"/>
                <w:bottom w:val="none" w:sz="0" w:space="0" w:color="auto"/>
                <w:right w:val="none" w:sz="0" w:space="0" w:color="auto"/>
              </w:divBdr>
            </w:div>
            <w:div w:id="367726479">
              <w:marLeft w:val="0"/>
              <w:marRight w:val="0"/>
              <w:marTop w:val="0"/>
              <w:marBottom w:val="0"/>
              <w:divBdr>
                <w:top w:val="none" w:sz="0" w:space="0" w:color="auto"/>
                <w:left w:val="none" w:sz="0" w:space="0" w:color="auto"/>
                <w:bottom w:val="none" w:sz="0" w:space="0" w:color="auto"/>
                <w:right w:val="none" w:sz="0" w:space="0" w:color="auto"/>
              </w:divBdr>
            </w:div>
          </w:divsChild>
        </w:div>
        <w:div w:id="1729257698">
          <w:marLeft w:val="0"/>
          <w:marRight w:val="0"/>
          <w:marTop w:val="0"/>
          <w:marBottom w:val="0"/>
          <w:divBdr>
            <w:top w:val="none" w:sz="0" w:space="0" w:color="auto"/>
            <w:left w:val="none" w:sz="0" w:space="0" w:color="auto"/>
            <w:bottom w:val="none" w:sz="0" w:space="0" w:color="auto"/>
            <w:right w:val="none" w:sz="0" w:space="0" w:color="auto"/>
          </w:divBdr>
          <w:divsChild>
            <w:div w:id="178591131">
              <w:marLeft w:val="0"/>
              <w:marRight w:val="0"/>
              <w:marTop w:val="0"/>
              <w:marBottom w:val="0"/>
              <w:divBdr>
                <w:top w:val="none" w:sz="0" w:space="0" w:color="auto"/>
                <w:left w:val="none" w:sz="0" w:space="0" w:color="auto"/>
                <w:bottom w:val="none" w:sz="0" w:space="0" w:color="auto"/>
                <w:right w:val="none" w:sz="0" w:space="0" w:color="auto"/>
              </w:divBdr>
            </w:div>
          </w:divsChild>
        </w:div>
        <w:div w:id="811949904">
          <w:marLeft w:val="0"/>
          <w:marRight w:val="0"/>
          <w:marTop w:val="0"/>
          <w:marBottom w:val="0"/>
          <w:divBdr>
            <w:top w:val="none" w:sz="0" w:space="0" w:color="auto"/>
            <w:left w:val="none" w:sz="0" w:space="0" w:color="auto"/>
            <w:bottom w:val="none" w:sz="0" w:space="0" w:color="auto"/>
            <w:right w:val="none" w:sz="0" w:space="0" w:color="auto"/>
          </w:divBdr>
          <w:divsChild>
            <w:div w:id="842360672">
              <w:marLeft w:val="0"/>
              <w:marRight w:val="0"/>
              <w:marTop w:val="0"/>
              <w:marBottom w:val="0"/>
              <w:divBdr>
                <w:top w:val="none" w:sz="0" w:space="0" w:color="auto"/>
                <w:left w:val="none" w:sz="0" w:space="0" w:color="auto"/>
                <w:bottom w:val="none" w:sz="0" w:space="0" w:color="auto"/>
                <w:right w:val="none" w:sz="0" w:space="0" w:color="auto"/>
              </w:divBdr>
              <w:divsChild>
                <w:div w:id="1396395456">
                  <w:marLeft w:val="0"/>
                  <w:marRight w:val="0"/>
                  <w:marTop w:val="0"/>
                  <w:marBottom w:val="0"/>
                  <w:divBdr>
                    <w:top w:val="none" w:sz="0" w:space="0" w:color="auto"/>
                    <w:left w:val="none" w:sz="0" w:space="0" w:color="auto"/>
                    <w:bottom w:val="none" w:sz="0" w:space="0" w:color="auto"/>
                    <w:right w:val="none" w:sz="0" w:space="0" w:color="auto"/>
                  </w:divBdr>
                </w:div>
              </w:divsChild>
            </w:div>
            <w:div w:id="211775140">
              <w:marLeft w:val="0"/>
              <w:marRight w:val="0"/>
              <w:marTop w:val="0"/>
              <w:marBottom w:val="0"/>
              <w:divBdr>
                <w:top w:val="none" w:sz="0" w:space="0" w:color="auto"/>
                <w:left w:val="none" w:sz="0" w:space="0" w:color="auto"/>
                <w:bottom w:val="none" w:sz="0" w:space="0" w:color="auto"/>
                <w:right w:val="none" w:sz="0" w:space="0" w:color="auto"/>
              </w:divBdr>
            </w:div>
            <w:div w:id="813178758">
              <w:marLeft w:val="0"/>
              <w:marRight w:val="0"/>
              <w:marTop w:val="0"/>
              <w:marBottom w:val="0"/>
              <w:divBdr>
                <w:top w:val="none" w:sz="0" w:space="0" w:color="auto"/>
                <w:left w:val="none" w:sz="0" w:space="0" w:color="auto"/>
                <w:bottom w:val="none" w:sz="0" w:space="0" w:color="auto"/>
                <w:right w:val="none" w:sz="0" w:space="0" w:color="auto"/>
              </w:divBdr>
            </w:div>
            <w:div w:id="632442520">
              <w:marLeft w:val="0"/>
              <w:marRight w:val="0"/>
              <w:marTop w:val="0"/>
              <w:marBottom w:val="0"/>
              <w:divBdr>
                <w:top w:val="none" w:sz="0" w:space="0" w:color="auto"/>
                <w:left w:val="none" w:sz="0" w:space="0" w:color="auto"/>
                <w:bottom w:val="none" w:sz="0" w:space="0" w:color="auto"/>
                <w:right w:val="none" w:sz="0" w:space="0" w:color="auto"/>
              </w:divBdr>
            </w:div>
          </w:divsChild>
        </w:div>
        <w:div w:id="930548528">
          <w:marLeft w:val="0"/>
          <w:marRight w:val="0"/>
          <w:marTop w:val="0"/>
          <w:marBottom w:val="0"/>
          <w:divBdr>
            <w:top w:val="none" w:sz="0" w:space="0" w:color="auto"/>
            <w:left w:val="none" w:sz="0" w:space="0" w:color="auto"/>
            <w:bottom w:val="none" w:sz="0" w:space="0" w:color="auto"/>
            <w:right w:val="none" w:sz="0" w:space="0" w:color="auto"/>
          </w:divBdr>
        </w:div>
        <w:div w:id="1168204873">
          <w:marLeft w:val="0"/>
          <w:marRight w:val="0"/>
          <w:marTop w:val="0"/>
          <w:marBottom w:val="0"/>
          <w:divBdr>
            <w:top w:val="none" w:sz="0" w:space="0" w:color="auto"/>
            <w:left w:val="none" w:sz="0" w:space="0" w:color="auto"/>
            <w:bottom w:val="none" w:sz="0" w:space="0" w:color="auto"/>
            <w:right w:val="none" w:sz="0" w:space="0" w:color="auto"/>
          </w:divBdr>
          <w:divsChild>
            <w:div w:id="161773195">
              <w:marLeft w:val="0"/>
              <w:marRight w:val="0"/>
              <w:marTop w:val="0"/>
              <w:marBottom w:val="0"/>
              <w:divBdr>
                <w:top w:val="none" w:sz="0" w:space="0" w:color="auto"/>
                <w:left w:val="none" w:sz="0" w:space="0" w:color="auto"/>
                <w:bottom w:val="none" w:sz="0" w:space="0" w:color="auto"/>
                <w:right w:val="none" w:sz="0" w:space="0" w:color="auto"/>
              </w:divBdr>
            </w:div>
            <w:div w:id="1101873092">
              <w:marLeft w:val="0"/>
              <w:marRight w:val="0"/>
              <w:marTop w:val="0"/>
              <w:marBottom w:val="0"/>
              <w:divBdr>
                <w:top w:val="none" w:sz="0" w:space="0" w:color="auto"/>
                <w:left w:val="none" w:sz="0" w:space="0" w:color="auto"/>
                <w:bottom w:val="none" w:sz="0" w:space="0" w:color="auto"/>
                <w:right w:val="none" w:sz="0" w:space="0" w:color="auto"/>
              </w:divBdr>
            </w:div>
            <w:div w:id="2058551474">
              <w:marLeft w:val="0"/>
              <w:marRight w:val="0"/>
              <w:marTop w:val="0"/>
              <w:marBottom w:val="0"/>
              <w:divBdr>
                <w:top w:val="none" w:sz="0" w:space="0" w:color="auto"/>
                <w:left w:val="none" w:sz="0" w:space="0" w:color="auto"/>
                <w:bottom w:val="none" w:sz="0" w:space="0" w:color="auto"/>
                <w:right w:val="none" w:sz="0" w:space="0" w:color="auto"/>
              </w:divBdr>
            </w:div>
            <w:div w:id="1376083661">
              <w:marLeft w:val="0"/>
              <w:marRight w:val="0"/>
              <w:marTop w:val="0"/>
              <w:marBottom w:val="0"/>
              <w:divBdr>
                <w:top w:val="none" w:sz="0" w:space="0" w:color="auto"/>
                <w:left w:val="none" w:sz="0" w:space="0" w:color="auto"/>
                <w:bottom w:val="none" w:sz="0" w:space="0" w:color="auto"/>
                <w:right w:val="none" w:sz="0" w:space="0" w:color="auto"/>
              </w:divBdr>
            </w:div>
            <w:div w:id="417289525">
              <w:marLeft w:val="0"/>
              <w:marRight w:val="0"/>
              <w:marTop w:val="0"/>
              <w:marBottom w:val="0"/>
              <w:divBdr>
                <w:top w:val="none" w:sz="0" w:space="0" w:color="auto"/>
                <w:left w:val="none" w:sz="0" w:space="0" w:color="auto"/>
                <w:bottom w:val="none" w:sz="0" w:space="0" w:color="auto"/>
                <w:right w:val="none" w:sz="0" w:space="0" w:color="auto"/>
              </w:divBdr>
            </w:div>
            <w:div w:id="715810871">
              <w:marLeft w:val="0"/>
              <w:marRight w:val="0"/>
              <w:marTop w:val="0"/>
              <w:marBottom w:val="0"/>
              <w:divBdr>
                <w:top w:val="none" w:sz="0" w:space="0" w:color="auto"/>
                <w:left w:val="none" w:sz="0" w:space="0" w:color="auto"/>
                <w:bottom w:val="none" w:sz="0" w:space="0" w:color="auto"/>
                <w:right w:val="none" w:sz="0" w:space="0" w:color="auto"/>
              </w:divBdr>
            </w:div>
            <w:div w:id="679746097">
              <w:marLeft w:val="0"/>
              <w:marRight w:val="0"/>
              <w:marTop w:val="0"/>
              <w:marBottom w:val="0"/>
              <w:divBdr>
                <w:top w:val="none" w:sz="0" w:space="0" w:color="auto"/>
                <w:left w:val="none" w:sz="0" w:space="0" w:color="auto"/>
                <w:bottom w:val="none" w:sz="0" w:space="0" w:color="auto"/>
                <w:right w:val="none" w:sz="0" w:space="0" w:color="auto"/>
              </w:divBdr>
            </w:div>
            <w:div w:id="1065907552">
              <w:marLeft w:val="0"/>
              <w:marRight w:val="0"/>
              <w:marTop w:val="0"/>
              <w:marBottom w:val="0"/>
              <w:divBdr>
                <w:top w:val="none" w:sz="0" w:space="0" w:color="auto"/>
                <w:left w:val="none" w:sz="0" w:space="0" w:color="auto"/>
                <w:bottom w:val="none" w:sz="0" w:space="0" w:color="auto"/>
                <w:right w:val="none" w:sz="0" w:space="0" w:color="auto"/>
              </w:divBdr>
            </w:div>
            <w:div w:id="2036999066">
              <w:marLeft w:val="0"/>
              <w:marRight w:val="0"/>
              <w:marTop w:val="0"/>
              <w:marBottom w:val="0"/>
              <w:divBdr>
                <w:top w:val="none" w:sz="0" w:space="0" w:color="auto"/>
                <w:left w:val="none" w:sz="0" w:space="0" w:color="auto"/>
                <w:bottom w:val="none" w:sz="0" w:space="0" w:color="auto"/>
                <w:right w:val="none" w:sz="0" w:space="0" w:color="auto"/>
              </w:divBdr>
            </w:div>
            <w:div w:id="164172183">
              <w:marLeft w:val="0"/>
              <w:marRight w:val="0"/>
              <w:marTop w:val="0"/>
              <w:marBottom w:val="0"/>
              <w:divBdr>
                <w:top w:val="none" w:sz="0" w:space="0" w:color="auto"/>
                <w:left w:val="none" w:sz="0" w:space="0" w:color="auto"/>
                <w:bottom w:val="none" w:sz="0" w:space="0" w:color="auto"/>
                <w:right w:val="none" w:sz="0" w:space="0" w:color="auto"/>
              </w:divBdr>
            </w:div>
            <w:div w:id="1913158579">
              <w:marLeft w:val="0"/>
              <w:marRight w:val="0"/>
              <w:marTop w:val="0"/>
              <w:marBottom w:val="0"/>
              <w:divBdr>
                <w:top w:val="none" w:sz="0" w:space="0" w:color="auto"/>
                <w:left w:val="none" w:sz="0" w:space="0" w:color="auto"/>
                <w:bottom w:val="none" w:sz="0" w:space="0" w:color="auto"/>
                <w:right w:val="none" w:sz="0" w:space="0" w:color="auto"/>
              </w:divBdr>
            </w:div>
            <w:div w:id="1827894459">
              <w:marLeft w:val="0"/>
              <w:marRight w:val="0"/>
              <w:marTop w:val="0"/>
              <w:marBottom w:val="0"/>
              <w:divBdr>
                <w:top w:val="none" w:sz="0" w:space="0" w:color="auto"/>
                <w:left w:val="none" w:sz="0" w:space="0" w:color="auto"/>
                <w:bottom w:val="none" w:sz="0" w:space="0" w:color="auto"/>
                <w:right w:val="none" w:sz="0" w:space="0" w:color="auto"/>
              </w:divBdr>
            </w:div>
            <w:div w:id="1928297389">
              <w:marLeft w:val="0"/>
              <w:marRight w:val="0"/>
              <w:marTop w:val="0"/>
              <w:marBottom w:val="0"/>
              <w:divBdr>
                <w:top w:val="none" w:sz="0" w:space="0" w:color="auto"/>
                <w:left w:val="none" w:sz="0" w:space="0" w:color="auto"/>
                <w:bottom w:val="none" w:sz="0" w:space="0" w:color="auto"/>
                <w:right w:val="none" w:sz="0" w:space="0" w:color="auto"/>
              </w:divBdr>
            </w:div>
          </w:divsChild>
        </w:div>
        <w:div w:id="1351494712">
          <w:marLeft w:val="0"/>
          <w:marRight w:val="0"/>
          <w:marTop w:val="0"/>
          <w:marBottom w:val="0"/>
          <w:divBdr>
            <w:top w:val="none" w:sz="0" w:space="0" w:color="auto"/>
            <w:left w:val="none" w:sz="0" w:space="0" w:color="auto"/>
            <w:bottom w:val="none" w:sz="0" w:space="0" w:color="auto"/>
            <w:right w:val="none" w:sz="0" w:space="0" w:color="auto"/>
          </w:divBdr>
          <w:divsChild>
            <w:div w:id="4405114">
              <w:marLeft w:val="0"/>
              <w:marRight w:val="0"/>
              <w:marTop w:val="0"/>
              <w:marBottom w:val="0"/>
              <w:divBdr>
                <w:top w:val="none" w:sz="0" w:space="0" w:color="auto"/>
                <w:left w:val="none" w:sz="0" w:space="0" w:color="auto"/>
                <w:bottom w:val="none" w:sz="0" w:space="0" w:color="auto"/>
                <w:right w:val="none" w:sz="0" w:space="0" w:color="auto"/>
              </w:divBdr>
            </w:div>
          </w:divsChild>
        </w:div>
        <w:div w:id="406850864">
          <w:marLeft w:val="0"/>
          <w:marRight w:val="0"/>
          <w:marTop w:val="0"/>
          <w:marBottom w:val="0"/>
          <w:divBdr>
            <w:top w:val="none" w:sz="0" w:space="0" w:color="auto"/>
            <w:left w:val="none" w:sz="0" w:space="0" w:color="auto"/>
            <w:bottom w:val="none" w:sz="0" w:space="0" w:color="auto"/>
            <w:right w:val="none" w:sz="0" w:space="0" w:color="auto"/>
          </w:divBdr>
          <w:divsChild>
            <w:div w:id="699210798">
              <w:marLeft w:val="0"/>
              <w:marRight w:val="0"/>
              <w:marTop w:val="0"/>
              <w:marBottom w:val="0"/>
              <w:divBdr>
                <w:top w:val="none" w:sz="0" w:space="0" w:color="auto"/>
                <w:left w:val="none" w:sz="0" w:space="0" w:color="auto"/>
                <w:bottom w:val="none" w:sz="0" w:space="0" w:color="auto"/>
                <w:right w:val="none" w:sz="0" w:space="0" w:color="auto"/>
              </w:divBdr>
            </w:div>
            <w:div w:id="563104092">
              <w:marLeft w:val="0"/>
              <w:marRight w:val="0"/>
              <w:marTop w:val="0"/>
              <w:marBottom w:val="0"/>
              <w:divBdr>
                <w:top w:val="none" w:sz="0" w:space="0" w:color="auto"/>
                <w:left w:val="none" w:sz="0" w:space="0" w:color="auto"/>
                <w:bottom w:val="none" w:sz="0" w:space="0" w:color="auto"/>
                <w:right w:val="none" w:sz="0" w:space="0" w:color="auto"/>
              </w:divBdr>
            </w:div>
            <w:div w:id="477112710">
              <w:marLeft w:val="0"/>
              <w:marRight w:val="0"/>
              <w:marTop w:val="0"/>
              <w:marBottom w:val="0"/>
              <w:divBdr>
                <w:top w:val="none" w:sz="0" w:space="0" w:color="auto"/>
                <w:left w:val="none" w:sz="0" w:space="0" w:color="auto"/>
                <w:bottom w:val="none" w:sz="0" w:space="0" w:color="auto"/>
                <w:right w:val="none" w:sz="0" w:space="0" w:color="auto"/>
              </w:divBdr>
            </w:div>
          </w:divsChild>
        </w:div>
        <w:div w:id="2031106111">
          <w:marLeft w:val="0"/>
          <w:marRight w:val="0"/>
          <w:marTop w:val="0"/>
          <w:marBottom w:val="0"/>
          <w:divBdr>
            <w:top w:val="none" w:sz="0" w:space="0" w:color="auto"/>
            <w:left w:val="none" w:sz="0" w:space="0" w:color="auto"/>
            <w:bottom w:val="none" w:sz="0" w:space="0" w:color="auto"/>
            <w:right w:val="none" w:sz="0" w:space="0" w:color="auto"/>
          </w:divBdr>
          <w:divsChild>
            <w:div w:id="1374846427">
              <w:marLeft w:val="0"/>
              <w:marRight w:val="0"/>
              <w:marTop w:val="0"/>
              <w:marBottom w:val="0"/>
              <w:divBdr>
                <w:top w:val="none" w:sz="0" w:space="0" w:color="auto"/>
                <w:left w:val="none" w:sz="0" w:space="0" w:color="auto"/>
                <w:bottom w:val="none" w:sz="0" w:space="0" w:color="auto"/>
                <w:right w:val="none" w:sz="0" w:space="0" w:color="auto"/>
              </w:divBdr>
            </w:div>
          </w:divsChild>
        </w:div>
        <w:div w:id="1511291896">
          <w:marLeft w:val="0"/>
          <w:marRight w:val="0"/>
          <w:marTop w:val="0"/>
          <w:marBottom w:val="0"/>
          <w:divBdr>
            <w:top w:val="none" w:sz="0" w:space="0" w:color="auto"/>
            <w:left w:val="none" w:sz="0" w:space="0" w:color="auto"/>
            <w:bottom w:val="none" w:sz="0" w:space="0" w:color="auto"/>
            <w:right w:val="none" w:sz="0" w:space="0" w:color="auto"/>
          </w:divBdr>
        </w:div>
        <w:div w:id="711343416">
          <w:marLeft w:val="935"/>
          <w:marRight w:val="0"/>
          <w:marTop w:val="120"/>
          <w:marBottom w:val="0"/>
          <w:divBdr>
            <w:top w:val="none" w:sz="0" w:space="0" w:color="auto"/>
            <w:left w:val="none" w:sz="0" w:space="0" w:color="auto"/>
            <w:bottom w:val="none" w:sz="0" w:space="0" w:color="auto"/>
            <w:right w:val="none" w:sz="0" w:space="0" w:color="auto"/>
          </w:divBdr>
          <w:divsChild>
            <w:div w:id="2032879729">
              <w:marLeft w:val="0"/>
              <w:marRight w:val="0"/>
              <w:marTop w:val="0"/>
              <w:marBottom w:val="0"/>
              <w:divBdr>
                <w:top w:val="none" w:sz="0" w:space="0" w:color="auto"/>
                <w:left w:val="none" w:sz="0" w:space="0" w:color="auto"/>
                <w:bottom w:val="none" w:sz="0" w:space="0" w:color="auto"/>
                <w:right w:val="none" w:sz="0" w:space="0" w:color="auto"/>
              </w:divBdr>
            </w:div>
          </w:divsChild>
        </w:div>
        <w:div w:id="747077320">
          <w:marLeft w:val="935"/>
          <w:marRight w:val="0"/>
          <w:marTop w:val="120"/>
          <w:marBottom w:val="0"/>
          <w:divBdr>
            <w:top w:val="none" w:sz="0" w:space="0" w:color="auto"/>
            <w:left w:val="none" w:sz="0" w:space="0" w:color="auto"/>
            <w:bottom w:val="none" w:sz="0" w:space="0" w:color="auto"/>
            <w:right w:val="none" w:sz="0" w:space="0" w:color="auto"/>
          </w:divBdr>
          <w:divsChild>
            <w:div w:id="829371704">
              <w:marLeft w:val="0"/>
              <w:marRight w:val="0"/>
              <w:marTop w:val="0"/>
              <w:marBottom w:val="0"/>
              <w:divBdr>
                <w:top w:val="none" w:sz="0" w:space="0" w:color="auto"/>
                <w:left w:val="none" w:sz="0" w:space="0" w:color="auto"/>
                <w:bottom w:val="none" w:sz="0" w:space="0" w:color="auto"/>
                <w:right w:val="none" w:sz="0" w:space="0" w:color="auto"/>
              </w:divBdr>
            </w:div>
          </w:divsChild>
        </w:div>
        <w:div w:id="1778284744">
          <w:marLeft w:val="935"/>
          <w:marRight w:val="0"/>
          <w:marTop w:val="120"/>
          <w:marBottom w:val="0"/>
          <w:divBdr>
            <w:top w:val="none" w:sz="0" w:space="0" w:color="auto"/>
            <w:left w:val="none" w:sz="0" w:space="0" w:color="auto"/>
            <w:bottom w:val="none" w:sz="0" w:space="0" w:color="auto"/>
            <w:right w:val="none" w:sz="0" w:space="0" w:color="auto"/>
          </w:divBdr>
          <w:divsChild>
            <w:div w:id="1836070114">
              <w:marLeft w:val="0"/>
              <w:marRight w:val="0"/>
              <w:marTop w:val="0"/>
              <w:marBottom w:val="0"/>
              <w:divBdr>
                <w:top w:val="none" w:sz="0" w:space="0" w:color="auto"/>
                <w:left w:val="none" w:sz="0" w:space="0" w:color="auto"/>
                <w:bottom w:val="none" w:sz="0" w:space="0" w:color="auto"/>
                <w:right w:val="none" w:sz="0" w:space="0" w:color="auto"/>
              </w:divBdr>
            </w:div>
          </w:divsChild>
        </w:div>
        <w:div w:id="401605108">
          <w:marLeft w:val="0"/>
          <w:marRight w:val="0"/>
          <w:marTop w:val="0"/>
          <w:marBottom w:val="0"/>
          <w:divBdr>
            <w:top w:val="none" w:sz="0" w:space="0" w:color="auto"/>
            <w:left w:val="none" w:sz="0" w:space="0" w:color="auto"/>
            <w:bottom w:val="none" w:sz="0" w:space="0" w:color="auto"/>
            <w:right w:val="none" w:sz="0" w:space="0" w:color="auto"/>
          </w:divBdr>
        </w:div>
        <w:div w:id="144124470">
          <w:marLeft w:val="0"/>
          <w:marRight w:val="0"/>
          <w:marTop w:val="0"/>
          <w:marBottom w:val="0"/>
          <w:divBdr>
            <w:top w:val="none" w:sz="0" w:space="0" w:color="auto"/>
            <w:left w:val="none" w:sz="0" w:space="0" w:color="auto"/>
            <w:bottom w:val="none" w:sz="0" w:space="0" w:color="auto"/>
            <w:right w:val="none" w:sz="0" w:space="0" w:color="auto"/>
          </w:divBdr>
        </w:div>
        <w:div w:id="1526213382">
          <w:marLeft w:val="0"/>
          <w:marRight w:val="0"/>
          <w:marTop w:val="0"/>
          <w:marBottom w:val="0"/>
          <w:divBdr>
            <w:top w:val="none" w:sz="0" w:space="0" w:color="auto"/>
            <w:left w:val="none" w:sz="0" w:space="0" w:color="auto"/>
            <w:bottom w:val="none" w:sz="0" w:space="0" w:color="auto"/>
            <w:right w:val="none" w:sz="0" w:space="0" w:color="auto"/>
          </w:divBdr>
        </w:div>
        <w:div w:id="465441132">
          <w:marLeft w:val="0"/>
          <w:marRight w:val="0"/>
          <w:marTop w:val="120"/>
          <w:marBottom w:val="0"/>
          <w:divBdr>
            <w:top w:val="none" w:sz="0" w:space="0" w:color="auto"/>
            <w:left w:val="none" w:sz="0" w:space="0" w:color="auto"/>
            <w:bottom w:val="none" w:sz="0" w:space="0" w:color="auto"/>
            <w:right w:val="none" w:sz="0" w:space="0" w:color="auto"/>
          </w:divBdr>
          <w:divsChild>
            <w:div w:id="375154999">
              <w:marLeft w:val="0"/>
              <w:marRight w:val="0"/>
              <w:marTop w:val="0"/>
              <w:marBottom w:val="0"/>
              <w:divBdr>
                <w:top w:val="none" w:sz="0" w:space="0" w:color="auto"/>
                <w:left w:val="none" w:sz="0" w:space="0" w:color="auto"/>
                <w:bottom w:val="none" w:sz="0" w:space="0" w:color="auto"/>
                <w:right w:val="none" w:sz="0" w:space="0" w:color="auto"/>
              </w:divBdr>
            </w:div>
          </w:divsChild>
        </w:div>
        <w:div w:id="101726398">
          <w:marLeft w:val="0"/>
          <w:marRight w:val="0"/>
          <w:marTop w:val="120"/>
          <w:marBottom w:val="0"/>
          <w:divBdr>
            <w:top w:val="none" w:sz="0" w:space="0" w:color="auto"/>
            <w:left w:val="none" w:sz="0" w:space="0" w:color="auto"/>
            <w:bottom w:val="none" w:sz="0" w:space="0" w:color="auto"/>
            <w:right w:val="none" w:sz="0" w:space="0" w:color="auto"/>
          </w:divBdr>
          <w:divsChild>
            <w:div w:id="1507204785">
              <w:marLeft w:val="0"/>
              <w:marRight w:val="0"/>
              <w:marTop w:val="0"/>
              <w:marBottom w:val="0"/>
              <w:divBdr>
                <w:top w:val="none" w:sz="0" w:space="0" w:color="auto"/>
                <w:left w:val="none" w:sz="0" w:space="0" w:color="auto"/>
                <w:bottom w:val="none" w:sz="0" w:space="0" w:color="auto"/>
                <w:right w:val="none" w:sz="0" w:space="0" w:color="auto"/>
              </w:divBdr>
            </w:div>
          </w:divsChild>
        </w:div>
        <w:div w:id="762455278">
          <w:marLeft w:val="933"/>
          <w:marRight w:val="0"/>
          <w:marTop w:val="120"/>
          <w:marBottom w:val="0"/>
          <w:divBdr>
            <w:top w:val="none" w:sz="0" w:space="0" w:color="auto"/>
            <w:left w:val="none" w:sz="0" w:space="0" w:color="auto"/>
            <w:bottom w:val="none" w:sz="0" w:space="0" w:color="auto"/>
            <w:right w:val="none" w:sz="0" w:space="0" w:color="auto"/>
          </w:divBdr>
          <w:divsChild>
            <w:div w:id="1730686093">
              <w:marLeft w:val="0"/>
              <w:marRight w:val="0"/>
              <w:marTop w:val="0"/>
              <w:marBottom w:val="0"/>
              <w:divBdr>
                <w:top w:val="none" w:sz="0" w:space="0" w:color="auto"/>
                <w:left w:val="none" w:sz="0" w:space="0" w:color="auto"/>
                <w:bottom w:val="none" w:sz="0" w:space="0" w:color="auto"/>
                <w:right w:val="none" w:sz="0" w:space="0" w:color="auto"/>
              </w:divBdr>
            </w:div>
          </w:divsChild>
        </w:div>
        <w:div w:id="223150188">
          <w:marLeft w:val="933"/>
          <w:marRight w:val="0"/>
          <w:marTop w:val="120"/>
          <w:marBottom w:val="0"/>
          <w:divBdr>
            <w:top w:val="none" w:sz="0" w:space="0" w:color="auto"/>
            <w:left w:val="none" w:sz="0" w:space="0" w:color="auto"/>
            <w:bottom w:val="none" w:sz="0" w:space="0" w:color="auto"/>
            <w:right w:val="none" w:sz="0" w:space="0" w:color="auto"/>
          </w:divBdr>
          <w:divsChild>
            <w:div w:id="1155026166">
              <w:marLeft w:val="0"/>
              <w:marRight w:val="0"/>
              <w:marTop w:val="0"/>
              <w:marBottom w:val="0"/>
              <w:divBdr>
                <w:top w:val="none" w:sz="0" w:space="0" w:color="auto"/>
                <w:left w:val="none" w:sz="0" w:space="0" w:color="auto"/>
                <w:bottom w:val="none" w:sz="0" w:space="0" w:color="auto"/>
                <w:right w:val="none" w:sz="0" w:space="0" w:color="auto"/>
              </w:divBdr>
            </w:div>
          </w:divsChild>
        </w:div>
        <w:div w:id="1334065507">
          <w:marLeft w:val="933"/>
          <w:marRight w:val="0"/>
          <w:marTop w:val="120"/>
          <w:marBottom w:val="0"/>
          <w:divBdr>
            <w:top w:val="none" w:sz="0" w:space="0" w:color="auto"/>
            <w:left w:val="none" w:sz="0" w:space="0" w:color="auto"/>
            <w:bottom w:val="none" w:sz="0" w:space="0" w:color="auto"/>
            <w:right w:val="none" w:sz="0" w:space="0" w:color="auto"/>
          </w:divBdr>
          <w:divsChild>
            <w:div w:id="1216503306">
              <w:marLeft w:val="0"/>
              <w:marRight w:val="0"/>
              <w:marTop w:val="0"/>
              <w:marBottom w:val="0"/>
              <w:divBdr>
                <w:top w:val="none" w:sz="0" w:space="0" w:color="auto"/>
                <w:left w:val="none" w:sz="0" w:space="0" w:color="auto"/>
                <w:bottom w:val="none" w:sz="0" w:space="0" w:color="auto"/>
                <w:right w:val="none" w:sz="0" w:space="0" w:color="auto"/>
              </w:divBdr>
            </w:div>
          </w:divsChild>
        </w:div>
        <w:div w:id="383483704">
          <w:marLeft w:val="933"/>
          <w:marRight w:val="0"/>
          <w:marTop w:val="120"/>
          <w:marBottom w:val="0"/>
          <w:divBdr>
            <w:top w:val="none" w:sz="0" w:space="0" w:color="auto"/>
            <w:left w:val="none" w:sz="0" w:space="0" w:color="auto"/>
            <w:bottom w:val="none" w:sz="0" w:space="0" w:color="auto"/>
            <w:right w:val="none" w:sz="0" w:space="0" w:color="auto"/>
          </w:divBdr>
          <w:divsChild>
            <w:div w:id="584191141">
              <w:marLeft w:val="0"/>
              <w:marRight w:val="0"/>
              <w:marTop w:val="0"/>
              <w:marBottom w:val="0"/>
              <w:divBdr>
                <w:top w:val="none" w:sz="0" w:space="0" w:color="auto"/>
                <w:left w:val="none" w:sz="0" w:space="0" w:color="auto"/>
                <w:bottom w:val="none" w:sz="0" w:space="0" w:color="auto"/>
                <w:right w:val="none" w:sz="0" w:space="0" w:color="auto"/>
              </w:divBdr>
            </w:div>
          </w:divsChild>
        </w:div>
        <w:div w:id="1218396738">
          <w:marLeft w:val="933"/>
          <w:marRight w:val="0"/>
          <w:marTop w:val="120"/>
          <w:marBottom w:val="0"/>
          <w:divBdr>
            <w:top w:val="none" w:sz="0" w:space="0" w:color="auto"/>
            <w:left w:val="none" w:sz="0" w:space="0" w:color="auto"/>
            <w:bottom w:val="none" w:sz="0" w:space="0" w:color="auto"/>
            <w:right w:val="none" w:sz="0" w:space="0" w:color="auto"/>
          </w:divBdr>
          <w:divsChild>
            <w:div w:id="783118609">
              <w:marLeft w:val="0"/>
              <w:marRight w:val="0"/>
              <w:marTop w:val="0"/>
              <w:marBottom w:val="0"/>
              <w:divBdr>
                <w:top w:val="none" w:sz="0" w:space="0" w:color="auto"/>
                <w:left w:val="none" w:sz="0" w:space="0" w:color="auto"/>
                <w:bottom w:val="none" w:sz="0" w:space="0" w:color="auto"/>
                <w:right w:val="none" w:sz="0" w:space="0" w:color="auto"/>
              </w:divBdr>
            </w:div>
          </w:divsChild>
        </w:div>
        <w:div w:id="1951282782">
          <w:marLeft w:val="933"/>
          <w:marRight w:val="0"/>
          <w:marTop w:val="120"/>
          <w:marBottom w:val="0"/>
          <w:divBdr>
            <w:top w:val="none" w:sz="0" w:space="0" w:color="auto"/>
            <w:left w:val="none" w:sz="0" w:space="0" w:color="auto"/>
            <w:bottom w:val="none" w:sz="0" w:space="0" w:color="auto"/>
            <w:right w:val="none" w:sz="0" w:space="0" w:color="auto"/>
          </w:divBdr>
          <w:divsChild>
            <w:div w:id="2102295881">
              <w:marLeft w:val="0"/>
              <w:marRight w:val="0"/>
              <w:marTop w:val="0"/>
              <w:marBottom w:val="0"/>
              <w:divBdr>
                <w:top w:val="none" w:sz="0" w:space="0" w:color="auto"/>
                <w:left w:val="none" w:sz="0" w:space="0" w:color="auto"/>
                <w:bottom w:val="none" w:sz="0" w:space="0" w:color="auto"/>
                <w:right w:val="none" w:sz="0" w:space="0" w:color="auto"/>
              </w:divBdr>
            </w:div>
          </w:divsChild>
        </w:div>
        <w:div w:id="816998489">
          <w:marLeft w:val="933"/>
          <w:marRight w:val="0"/>
          <w:marTop w:val="120"/>
          <w:marBottom w:val="0"/>
          <w:divBdr>
            <w:top w:val="none" w:sz="0" w:space="0" w:color="auto"/>
            <w:left w:val="none" w:sz="0" w:space="0" w:color="auto"/>
            <w:bottom w:val="none" w:sz="0" w:space="0" w:color="auto"/>
            <w:right w:val="none" w:sz="0" w:space="0" w:color="auto"/>
          </w:divBdr>
          <w:divsChild>
            <w:div w:id="1352760070">
              <w:marLeft w:val="0"/>
              <w:marRight w:val="0"/>
              <w:marTop w:val="0"/>
              <w:marBottom w:val="0"/>
              <w:divBdr>
                <w:top w:val="none" w:sz="0" w:space="0" w:color="auto"/>
                <w:left w:val="none" w:sz="0" w:space="0" w:color="auto"/>
                <w:bottom w:val="none" w:sz="0" w:space="0" w:color="auto"/>
                <w:right w:val="none" w:sz="0" w:space="0" w:color="auto"/>
              </w:divBdr>
            </w:div>
          </w:divsChild>
        </w:div>
        <w:div w:id="1186406698">
          <w:marLeft w:val="0"/>
          <w:marRight w:val="0"/>
          <w:marTop w:val="120"/>
          <w:marBottom w:val="0"/>
          <w:divBdr>
            <w:top w:val="none" w:sz="0" w:space="0" w:color="auto"/>
            <w:left w:val="none" w:sz="0" w:space="0" w:color="auto"/>
            <w:bottom w:val="none" w:sz="0" w:space="0" w:color="auto"/>
            <w:right w:val="none" w:sz="0" w:space="0" w:color="auto"/>
          </w:divBdr>
          <w:divsChild>
            <w:div w:id="983050908">
              <w:marLeft w:val="0"/>
              <w:marRight w:val="0"/>
              <w:marTop w:val="0"/>
              <w:marBottom w:val="0"/>
              <w:divBdr>
                <w:top w:val="none" w:sz="0" w:space="0" w:color="auto"/>
                <w:left w:val="none" w:sz="0" w:space="0" w:color="auto"/>
                <w:bottom w:val="none" w:sz="0" w:space="0" w:color="auto"/>
                <w:right w:val="none" w:sz="0" w:space="0" w:color="auto"/>
              </w:divBdr>
            </w:div>
          </w:divsChild>
        </w:div>
        <w:div w:id="1776516663">
          <w:marLeft w:val="0"/>
          <w:marRight w:val="0"/>
          <w:marTop w:val="120"/>
          <w:marBottom w:val="0"/>
          <w:divBdr>
            <w:top w:val="none" w:sz="0" w:space="0" w:color="auto"/>
            <w:left w:val="none" w:sz="0" w:space="0" w:color="auto"/>
            <w:bottom w:val="none" w:sz="0" w:space="0" w:color="auto"/>
            <w:right w:val="none" w:sz="0" w:space="0" w:color="auto"/>
          </w:divBdr>
          <w:divsChild>
            <w:div w:id="120502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file:///D:\TMP\finance-docx\AUTOLIV\AUTOLIV-21.12.31-10-K.html" TargetMode="External"/><Relationship Id="rId21" Type="http://schemas.openxmlformats.org/officeDocument/2006/relationships/hyperlink" Target="file:///D:\TMP\finance-docx\AUTOLIV\AUTOLIV-21.12.31-10-K.html" TargetMode="External"/><Relationship Id="rId42" Type="http://schemas.openxmlformats.org/officeDocument/2006/relationships/hyperlink" Target="https://www.sec.gov/Archives/edgar/data/1034670/000156459021020223/alv-ex415_273.htm" TargetMode="External"/><Relationship Id="rId47" Type="http://schemas.openxmlformats.org/officeDocument/2006/relationships/hyperlink" Target="https://www.sec.gov/Archives/edgar/data/1034670/000119312511043338/dex1024.htm" TargetMode="External"/><Relationship Id="rId63" Type="http://schemas.openxmlformats.org/officeDocument/2006/relationships/hyperlink" Target="https://www.sec.gov/Archives/edgar/data/1034670/000156459018017723/alv-ex1012_321.htm" TargetMode="External"/><Relationship Id="rId68" Type="http://schemas.openxmlformats.org/officeDocument/2006/relationships/hyperlink" Target="https://www.sec.gov/Archives/edgar/data/1034670/000156459019025291/alv-ex102_241.htm" TargetMode="External"/><Relationship Id="rId84" Type="http://schemas.openxmlformats.org/officeDocument/2006/relationships/hyperlink" Target="https://www.sec.gov/Archives/edgar/data/1034670/000156459021020223/alv-ex103_270.htm" TargetMode="External"/><Relationship Id="rId89" Type="http://schemas.openxmlformats.org/officeDocument/2006/relationships/hyperlink" Target="file:///D:\TMP\finance-docx\AUTOLIV\alv-ex10_46.htm" TargetMode="External"/><Relationship Id="rId16" Type="http://schemas.openxmlformats.org/officeDocument/2006/relationships/hyperlink" Target="file:///D:\TMP\finance-docx\AUTOLIV\AUTOLIV-21.12.31-10-K.html" TargetMode="External"/><Relationship Id="rId11" Type="http://schemas.openxmlformats.org/officeDocument/2006/relationships/hyperlink" Target="file:///D:\TMP\finance-docx\AUTOLIV\AUTOLIV-21.12.31-10-K.html" TargetMode="External"/><Relationship Id="rId32" Type="http://schemas.openxmlformats.org/officeDocument/2006/relationships/hyperlink" Target="https://www.sec.gov/Archives/edgar/data/1034670/000119312509067376/dex41.htm" TargetMode="External"/><Relationship Id="rId37" Type="http://schemas.openxmlformats.org/officeDocument/2006/relationships/hyperlink" Target="https://www.sec.gov/Archives/edgar/data/1034670/000156459018017723/alv-ex46_329.htm" TargetMode="External"/><Relationship Id="rId53" Type="http://schemas.openxmlformats.org/officeDocument/2006/relationships/hyperlink" Target="https://www.sec.gov/Archives/edgar/data/1034670/000119312515053479/d820512dex1036.htm" TargetMode="External"/><Relationship Id="rId58" Type="http://schemas.openxmlformats.org/officeDocument/2006/relationships/hyperlink" Target="https://www.sec.gov/Archives/edgar/data/1034670/000156459017007704/alv-ex105_151.htm" TargetMode="External"/><Relationship Id="rId74" Type="http://schemas.openxmlformats.org/officeDocument/2006/relationships/hyperlink" Target="https://www.sec.gov/Archives/edgar/data/1034670/000156459020005667/alv-ex1058_498.htm" TargetMode="External"/><Relationship Id="rId79" Type="http://schemas.openxmlformats.org/officeDocument/2006/relationships/hyperlink" Target="https://www.sec.gov/Archives/edgar/data/1034670/000156459020032551/alv-ex103_82.htm" TargetMode="External"/><Relationship Id="rId5" Type="http://schemas.openxmlformats.org/officeDocument/2006/relationships/endnotes" Target="endnotes.xml"/><Relationship Id="rId90" Type="http://schemas.openxmlformats.org/officeDocument/2006/relationships/hyperlink" Target="file:///D:\TMP\finance-docx\AUTOLIV\alv-ex21.htm" TargetMode="External"/><Relationship Id="rId95" Type="http://schemas.openxmlformats.org/officeDocument/2006/relationships/hyperlink" Target="file:///D:\TMP\finance-docx\AUTOLIV\alv-ex32_2.htm" TargetMode="External"/><Relationship Id="rId22" Type="http://schemas.openxmlformats.org/officeDocument/2006/relationships/hyperlink" Target="file:///D:\TMP\finance-docx\AUTOLIV\AUTOLIV-21.12.31-10-K.html" TargetMode="External"/><Relationship Id="rId27" Type="http://schemas.openxmlformats.org/officeDocument/2006/relationships/hyperlink" Target="file:///D:\TMP\finance-docx\AUTOLIV\AUTOLIV-21.12.31-10-K.html" TargetMode="External"/><Relationship Id="rId43" Type="http://schemas.openxmlformats.org/officeDocument/2006/relationships/hyperlink" Target="https://www.sec.gov/Archives/edgar/data/1034670/000156459021006803/alv-ex413_739.htm" TargetMode="External"/><Relationship Id="rId48" Type="http://schemas.openxmlformats.org/officeDocument/2006/relationships/hyperlink" Target="https://www.sec.gov/Archives/edgar/data/1034670/000119312512117495/d316612dex11.htm" TargetMode="External"/><Relationship Id="rId64" Type="http://schemas.openxmlformats.org/officeDocument/2006/relationships/hyperlink" Target="https://www.sec.gov/Archives/edgar/data/1034670/000156459018017723/alv-ex1014_320.htm" TargetMode="External"/><Relationship Id="rId69" Type="http://schemas.openxmlformats.org/officeDocument/2006/relationships/hyperlink" Target="https://www.sec.gov/Archives/edgar/data/1034670/000156459019037855/alv-ex103_268.htm" TargetMode="External"/><Relationship Id="rId80" Type="http://schemas.openxmlformats.org/officeDocument/2006/relationships/hyperlink" Target="https://www.sec.gov/Archives/edgar/data/1034670/000156459020032551/alv-ex104_83.htm" TargetMode="External"/><Relationship Id="rId85" Type="http://schemas.openxmlformats.org/officeDocument/2006/relationships/hyperlink" Target="https://www.sec.gov/Archives/edgar/data/1034670/000156459021020223/alv-ex104_271.htm" TargetMode="External"/><Relationship Id="rId3" Type="http://schemas.openxmlformats.org/officeDocument/2006/relationships/webSettings" Target="webSettings.xml"/><Relationship Id="rId12" Type="http://schemas.openxmlformats.org/officeDocument/2006/relationships/hyperlink" Target="file:///D:\TMP\finance-docx\AUTOLIV\AUTOLIV-21.12.31-10-K.html" TargetMode="External"/><Relationship Id="rId17" Type="http://schemas.openxmlformats.org/officeDocument/2006/relationships/hyperlink" Target="file:///D:\TMP\finance-docx\AUTOLIV\AUTOLIV-21.12.31-10-K.html" TargetMode="External"/><Relationship Id="rId25" Type="http://schemas.openxmlformats.org/officeDocument/2006/relationships/hyperlink" Target="file:///D:\TMP\finance-docx\AUTOLIV\AUTOLIV-21.12.31-10-K.html" TargetMode="External"/><Relationship Id="rId33" Type="http://schemas.openxmlformats.org/officeDocument/2006/relationships/hyperlink" Target="https://www.sec.gov/Archives/edgar/data/1034670/000119312512117495/d316612dex41.htm" TargetMode="External"/><Relationship Id="rId38" Type="http://schemas.openxmlformats.org/officeDocument/2006/relationships/hyperlink" Target="https://www.sec.gov/Archives/edgar/data/0001034670/000156459019013244/alv-ex47_609.htm" TargetMode="External"/><Relationship Id="rId46" Type="http://schemas.openxmlformats.org/officeDocument/2006/relationships/hyperlink" Target="https://www.sec.gov/Archives/edgar/data/1034670/000119312510164685/dex1022.htm" TargetMode="External"/><Relationship Id="rId59" Type="http://schemas.openxmlformats.org/officeDocument/2006/relationships/hyperlink" Target="https://www.sec.gov/Archives/edgar/data/1733186/000119312518182424/d550335dex101.htm" TargetMode="External"/><Relationship Id="rId67" Type="http://schemas.openxmlformats.org/officeDocument/2006/relationships/hyperlink" Target="https://www.sec.gov/Archives/edgar/data/1034670/000156459019013244/alv-ex103_334.htm" TargetMode="External"/><Relationship Id="rId20" Type="http://schemas.openxmlformats.org/officeDocument/2006/relationships/hyperlink" Target="file:///D:\TMP\finance-docx\AUTOLIV\AUTOLIV-21.12.31-10-K.html" TargetMode="External"/><Relationship Id="rId41" Type="http://schemas.openxmlformats.org/officeDocument/2006/relationships/hyperlink" Target="https://www.sec.gov/Archives/edgar/data/1034670/000156459021020223/alv-ex414_272.htm" TargetMode="External"/><Relationship Id="rId54" Type="http://schemas.openxmlformats.org/officeDocument/2006/relationships/hyperlink" Target="https://www.sec.gov/Archives/edgar/data/0001034670/000156459018017723/alv-ex45_318.htm" TargetMode="External"/><Relationship Id="rId62" Type="http://schemas.openxmlformats.org/officeDocument/2006/relationships/hyperlink" Target="https://www.sec.gov/Archives/edgar/data/1034670/000156459018017723/alv-ex108_325.htm" TargetMode="External"/><Relationship Id="rId70" Type="http://schemas.openxmlformats.org/officeDocument/2006/relationships/hyperlink" Target="https://www.sec.gov/Archives/edgar/data/1034670/000156459019037855/alv-ex104_266.htm" TargetMode="External"/><Relationship Id="rId75" Type="http://schemas.openxmlformats.org/officeDocument/2006/relationships/hyperlink" Target="https://www.sec.gov/Archives/edgar/data/1034670/000156459020018358/alv-ex105_499.htm" TargetMode="External"/><Relationship Id="rId83" Type="http://schemas.openxmlformats.org/officeDocument/2006/relationships/hyperlink" Target="https://www.sec.gov/Archives/edgar/data/1034670/000156459021020223/alv-ex102_185.htm" TargetMode="External"/><Relationship Id="rId88" Type="http://schemas.openxmlformats.org/officeDocument/2006/relationships/hyperlink" Target="file:///D:\TMP\finance-docx\AUTOLIV\alv-ex10_45.htm" TargetMode="External"/><Relationship Id="rId91" Type="http://schemas.openxmlformats.org/officeDocument/2006/relationships/hyperlink" Target="file:///D:\TMP\finance-docx\AUTOLIV\alv-ex23.htm" TargetMode="External"/><Relationship Id="rId9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file:///D:\TMP\finance-docx\AUTOLIV\AUTOLIV-21.12.31-10-K.html" TargetMode="External"/><Relationship Id="rId15" Type="http://schemas.openxmlformats.org/officeDocument/2006/relationships/hyperlink" Target="file:///D:\TMP\finance-docx\AUTOLIV\AUTOLIV-21.12.31-10-K.html" TargetMode="External"/><Relationship Id="rId23" Type="http://schemas.openxmlformats.org/officeDocument/2006/relationships/hyperlink" Target="file:///D:\TMP\finance-docx\AUTOLIV\AUTOLIV-21.12.31-10-K.html" TargetMode="External"/><Relationship Id="rId28" Type="http://schemas.openxmlformats.org/officeDocument/2006/relationships/hyperlink" Target="file:///D:\TMP\finance-docx\AUTOLIV\AUTOLIV-21.12.31-10-K.html" TargetMode="External"/><Relationship Id="rId36" Type="http://schemas.openxmlformats.org/officeDocument/2006/relationships/hyperlink" Target="https://www.sec.gov/Archives/edgar/data/1034670/000156459018017723/alv-ex45_318.htm" TargetMode="External"/><Relationship Id="rId49" Type="http://schemas.openxmlformats.org/officeDocument/2006/relationships/hyperlink" Target="https://www.sec.gov/Archives/edgar/data/1034670/000119312512308325/d365819dex1029.htm" TargetMode="External"/><Relationship Id="rId57" Type="http://schemas.openxmlformats.org/officeDocument/2006/relationships/hyperlink" Target="https://www.sec.gov/Archives/edgar/data/1034670/000156459017007704/alv-ex104_152.htm" TargetMode="External"/><Relationship Id="rId10" Type="http://schemas.openxmlformats.org/officeDocument/2006/relationships/hyperlink" Target="file:///D:\TMP\finance-docx\AUTOLIV\AUTOLIV-21.12.31-10-K.html" TargetMode="External"/><Relationship Id="rId31" Type="http://schemas.openxmlformats.org/officeDocument/2006/relationships/hyperlink" Target="https://www.sec.gov/Archives/edgar/data/1034670/000119312515407851/d32830dex31.htm" TargetMode="External"/><Relationship Id="rId44" Type="http://schemas.openxmlformats.org/officeDocument/2006/relationships/hyperlink" Target="https://www.sec.gov/Archives/edgar/data/1034670/000119312509060021/ddef14a.htm" TargetMode="External"/><Relationship Id="rId52" Type="http://schemas.openxmlformats.org/officeDocument/2006/relationships/hyperlink" Target="https://www.sec.gov/Archives/edgar/data/1034670/000119312514158776/d694785dex46.htm" TargetMode="External"/><Relationship Id="rId60" Type="http://schemas.openxmlformats.org/officeDocument/2006/relationships/hyperlink" Target="https://www.sec.gov/Archives/edgar/data/1733186/000119312518182424/d550335dex102.htm" TargetMode="External"/><Relationship Id="rId65" Type="http://schemas.openxmlformats.org/officeDocument/2006/relationships/hyperlink" Target="https://www.sec.gov/Archives/edgar/data/1034670/000119312519061070/d713641dex101.htm" TargetMode="External"/><Relationship Id="rId73" Type="http://schemas.openxmlformats.org/officeDocument/2006/relationships/hyperlink" Target="https://www.sec.gov/Archives/edgar/data/1034670/000156459020005667/alv-ex1056_501.htm" TargetMode="External"/><Relationship Id="rId78" Type="http://schemas.openxmlformats.org/officeDocument/2006/relationships/hyperlink" Target="https://www.sec.gov/Archives/edgar/data/1034670/000156459020032551/alv-ex102_81.htm" TargetMode="External"/><Relationship Id="rId81" Type="http://schemas.openxmlformats.org/officeDocument/2006/relationships/hyperlink" Target="https://www.sec.gov/Archives/edgar/data/1034670/000156459020047361/alv-ex102_366.htm" TargetMode="External"/><Relationship Id="rId86" Type="http://schemas.openxmlformats.org/officeDocument/2006/relationships/hyperlink" Target="https://www.sec.gov/Archives/edgar/data/1034670/000156459021020223/alv-ex105_380.htm" TargetMode="External"/><Relationship Id="rId94" Type="http://schemas.openxmlformats.org/officeDocument/2006/relationships/hyperlink" Target="file:///D:\TMP\finance-docx\AUTOLIV\alv-ex32_1.htm" TargetMode="External"/><Relationship Id="rId4" Type="http://schemas.openxmlformats.org/officeDocument/2006/relationships/footnotes" Target="footnotes.xml"/><Relationship Id="rId9" Type="http://schemas.openxmlformats.org/officeDocument/2006/relationships/hyperlink" Target="file:///D:\TMP\finance-docx\AUTOLIV\AUTOLIV-21.12.31-10-K.html" TargetMode="External"/><Relationship Id="rId13" Type="http://schemas.openxmlformats.org/officeDocument/2006/relationships/hyperlink" Target="file:///D:\TMP\finance-docx\AUTOLIV\AUTOLIV-21.12.31-10-K.html" TargetMode="External"/><Relationship Id="rId18" Type="http://schemas.openxmlformats.org/officeDocument/2006/relationships/hyperlink" Target="file:///D:\TMP\finance-docx\AUTOLIV\AUTOLIV-21.12.31-10-K.html" TargetMode="External"/><Relationship Id="rId39" Type="http://schemas.openxmlformats.org/officeDocument/2006/relationships/hyperlink" Target="https://www.sec.gov/Archives/edgar/data/1034670/000156459020018358/alv-ex410_441.htm" TargetMode="External"/><Relationship Id="rId34" Type="http://schemas.openxmlformats.org/officeDocument/2006/relationships/hyperlink" Target="https://www.sec.gov/Archives/edgar/data/1034670/000119312514158776/d694785dex46.htm" TargetMode="External"/><Relationship Id="rId50" Type="http://schemas.openxmlformats.org/officeDocument/2006/relationships/hyperlink" Target="https://www.sec.gov/Archives/edgar/data/1034670/000119312513409481/d604235dex101.htm" TargetMode="External"/><Relationship Id="rId55" Type="http://schemas.openxmlformats.org/officeDocument/2006/relationships/hyperlink" Target="https://www.sec.gov/Archives/edgar/data/1034670/000156459016026325/alv-ex101_142.htm" TargetMode="External"/><Relationship Id="rId76" Type="http://schemas.openxmlformats.org/officeDocument/2006/relationships/hyperlink" Target="https://www.sec.gov/Archives/edgar/data/1034670/000156459020018358/alv-ex106_498.htm" TargetMode="External"/><Relationship Id="rId97" Type="http://schemas.openxmlformats.org/officeDocument/2006/relationships/theme" Target="theme/theme1.xml"/><Relationship Id="rId7" Type="http://schemas.openxmlformats.org/officeDocument/2006/relationships/hyperlink" Target="file:///D:\TMP\finance-docx\AUTOLIV\AUTOLIV-21.12.31-10-K.html" TargetMode="External"/><Relationship Id="rId71" Type="http://schemas.openxmlformats.org/officeDocument/2006/relationships/hyperlink" Target="https://www.sec.gov/Archives/edgar/data/1034670/000156459019037855/alv-ex105_267.htm" TargetMode="External"/><Relationship Id="rId92" Type="http://schemas.openxmlformats.org/officeDocument/2006/relationships/hyperlink" Target="file:///D:\TMP\finance-docx\AUTOLIV\alv-ex31_1.htm" TargetMode="External"/><Relationship Id="rId2" Type="http://schemas.openxmlformats.org/officeDocument/2006/relationships/settings" Target="settings.xml"/><Relationship Id="rId29" Type="http://schemas.openxmlformats.org/officeDocument/2006/relationships/hyperlink" Target="https://www.sec.gov/Archives/edgar/data/1034670/000119312518210536/d855919dex21.htm" TargetMode="External"/><Relationship Id="rId24" Type="http://schemas.openxmlformats.org/officeDocument/2006/relationships/hyperlink" Target="file:///D:\TMP\finance-docx\AUTOLIV\AUTOLIV-21.12.31-10-K.html" TargetMode="External"/><Relationship Id="rId40" Type="http://schemas.openxmlformats.org/officeDocument/2006/relationships/hyperlink" Target="https://www.sec.gov/Archives/edgar/data/1034670/000156459021020223/alv-ex413_274.htm" TargetMode="External"/><Relationship Id="rId45" Type="http://schemas.openxmlformats.org/officeDocument/2006/relationships/hyperlink" Target="https://www.sec.gov/Archives/edgar/data/1034670/000119312510164685/dex1021.htm" TargetMode="External"/><Relationship Id="rId66" Type="http://schemas.openxmlformats.org/officeDocument/2006/relationships/hyperlink" Target="https://www.sec.gov/Archives/edgar/data/1034670/000156459019013244/alv-ex102_333.htm" TargetMode="External"/><Relationship Id="rId87" Type="http://schemas.openxmlformats.org/officeDocument/2006/relationships/hyperlink" Target="https://www.sec.gov/Archives/edgar/data/1034670/000095017021000464/alv-20210630ex10_1.htm" TargetMode="External"/><Relationship Id="rId61" Type="http://schemas.openxmlformats.org/officeDocument/2006/relationships/hyperlink" Target="https://www.sec.gov/Archives/edgar/data/1034670/000156459018017723/alv-ex104_501.htm" TargetMode="External"/><Relationship Id="rId82" Type="http://schemas.openxmlformats.org/officeDocument/2006/relationships/hyperlink" Target="https://www.sec.gov/Archives/edgar/data/1034670/000156459021020223/alv-ex101_32.htm" TargetMode="External"/><Relationship Id="rId19" Type="http://schemas.openxmlformats.org/officeDocument/2006/relationships/hyperlink" Target="file:///D:\TMP\finance-docx\AUTOLIV\AUTOLIV-21.12.31-10-K.html" TargetMode="External"/><Relationship Id="rId14" Type="http://schemas.openxmlformats.org/officeDocument/2006/relationships/hyperlink" Target="file:///D:\TMP\finance-docx\AUTOLIV\AUTOLIV-21.12.31-10-K.html" TargetMode="External"/><Relationship Id="rId30" Type="http://schemas.openxmlformats.org/officeDocument/2006/relationships/hyperlink" Target="https://www.sec.gov/Archives/edgar/data/1034670/000119312515141900/d896012dex31.htm" TargetMode="External"/><Relationship Id="rId35" Type="http://schemas.openxmlformats.org/officeDocument/2006/relationships/hyperlink" Target="https://www.sec.gov/Archives/edgar/data/1034670/000156459018017723/alv-ex44_502.htm" TargetMode="External"/><Relationship Id="rId56" Type="http://schemas.openxmlformats.org/officeDocument/2006/relationships/hyperlink" Target="https://www.sec.gov/Archives/edgar/data/1034670/000156459017007704/alv-ex102_154.htm" TargetMode="External"/><Relationship Id="rId77" Type="http://schemas.openxmlformats.org/officeDocument/2006/relationships/hyperlink" Target="https://www.sec.gov/Archives/edgar/data/1034670/000156459020032551/alv-ex101_300.htm" TargetMode="External"/><Relationship Id="rId8" Type="http://schemas.openxmlformats.org/officeDocument/2006/relationships/hyperlink" Target="file:///D:\TMP\finance-docx\AUTOLIV\AUTOLIV-21.12.31-10-K.html" TargetMode="External"/><Relationship Id="rId51" Type="http://schemas.openxmlformats.org/officeDocument/2006/relationships/hyperlink" Target="https://www.sec.gov/Archives/edgar/data/1034670/000119312513409481/d604235dex102.htm" TargetMode="External"/><Relationship Id="rId72" Type="http://schemas.openxmlformats.org/officeDocument/2006/relationships/hyperlink" Target="https://www.sec.gov/Archives/edgar/data/1034670/000156459019037855/alv-ex106_270.htm" TargetMode="External"/><Relationship Id="rId93" Type="http://schemas.openxmlformats.org/officeDocument/2006/relationships/hyperlink" Target="file:///D:\TMP\finance-docx\AUTOLIV\alv-ex31_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147</Pages>
  <Words>62809</Words>
  <Characters>358016</Characters>
  <Application>Microsoft Office Word</Application>
  <DocSecurity>0</DocSecurity>
  <Lines>2983</Lines>
  <Paragraphs>839</Paragraphs>
  <ScaleCrop>false</ScaleCrop>
  <Company/>
  <LinksUpToDate>false</LinksUpToDate>
  <CharactersWithSpaces>419986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 Yue (FA Talent)</dc:creator>
  <cp:keywords/>
  <dc:description/>
  <cp:lastModifiedBy>Chongjian Yue (FA Talent)</cp:lastModifiedBy>
  <cp:revision>2</cp:revision>
  <dcterms:created xsi:type="dcterms:W3CDTF">2023-04-06T06:08:00Z</dcterms:created>
  <dcterms:modified xsi:type="dcterms:W3CDTF">2023-04-06T09:06:00Z</dcterms:modified>
</cp:coreProperties>
</file>