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FAC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67EA6DC0"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4"/>
          <w:szCs w:val="24"/>
        </w:rPr>
        <w:t>UNITED STATES</w:t>
      </w:r>
    </w:p>
    <w:p w14:paraId="27815271"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4"/>
          <w:szCs w:val="24"/>
        </w:rPr>
        <w:t>SECURITIES AND EXCHANGE COMMISSION</w:t>
      </w:r>
    </w:p>
    <w:p w14:paraId="27447DE9"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Washington, D.C. 20549</w:t>
      </w:r>
    </w:p>
    <w:p w14:paraId="099F2AB7" w14:textId="77777777" w:rsidR="004B2A77" w:rsidRPr="004B2A77" w:rsidRDefault="004B2A77" w:rsidP="004B2A77">
      <w:pPr>
        <w:widowControl/>
        <w:spacing w:before="12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4"/>
          <w:szCs w:val="24"/>
        </w:rPr>
        <w:t>FORM 10-K</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18"/>
        <w:gridCol w:w="19896"/>
      </w:tblGrid>
      <w:tr w:rsidR="004B2A77" w:rsidRPr="004B2A77" w14:paraId="34FE6785" w14:textId="77777777" w:rsidTr="004B2A77">
        <w:trPr>
          <w:tblCellSpacing w:w="15" w:type="dxa"/>
        </w:trPr>
        <w:tc>
          <w:tcPr>
            <w:tcW w:w="674" w:type="dxa"/>
            <w:vAlign w:val="center"/>
            <w:hideMark/>
          </w:tcPr>
          <w:p w14:paraId="3A36648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9881" w:type="dxa"/>
            <w:vAlign w:val="center"/>
            <w:hideMark/>
          </w:tcPr>
          <w:p w14:paraId="53BA8147"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8BF73A5" w14:textId="77777777" w:rsidTr="004B2A77">
        <w:trPr>
          <w:trHeight w:val="160"/>
          <w:tblCellSpacing w:w="15" w:type="dxa"/>
        </w:trPr>
        <w:tc>
          <w:tcPr>
            <w:tcW w:w="0" w:type="auto"/>
            <w:hideMark/>
          </w:tcPr>
          <w:p w14:paraId="1ED63448"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Segoe UI Symbol" w:eastAsia="微软雅黑" w:hAnsi="Segoe UI Symbol" w:cs="Segoe UI Symbol"/>
                <w:color w:val="000000"/>
                <w:kern w:val="0"/>
                <w:sz w:val="16"/>
                <w:szCs w:val="16"/>
              </w:rPr>
              <w:t>☒</w:t>
            </w:r>
          </w:p>
        </w:tc>
        <w:tc>
          <w:tcPr>
            <w:tcW w:w="0" w:type="auto"/>
            <w:hideMark/>
          </w:tcPr>
          <w:p w14:paraId="1AA07544" w14:textId="77777777" w:rsidR="004B2A77" w:rsidRPr="004B2A77" w:rsidRDefault="004B2A77" w:rsidP="004B2A77">
            <w:pPr>
              <w:widowControl/>
              <w:spacing w:before="120"/>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ANNUAL REPORT PURSUANT TO SECTION 13 OR 15(d) OF THE SECURITIES EXCHANGE ACT OF 1934</w:t>
            </w:r>
          </w:p>
        </w:tc>
      </w:tr>
    </w:tbl>
    <w:p w14:paraId="03C42E6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1835C8E4"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For the fiscal year ended December 31, 2022</w:t>
      </w:r>
    </w:p>
    <w:p w14:paraId="62689CA1"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624DC978"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or</w:t>
      </w:r>
    </w:p>
    <w:p w14:paraId="5D36D988"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18"/>
        <w:gridCol w:w="19896"/>
      </w:tblGrid>
      <w:tr w:rsidR="004B2A77" w:rsidRPr="004B2A77" w14:paraId="18CF7556" w14:textId="77777777" w:rsidTr="004B2A77">
        <w:trPr>
          <w:tblCellSpacing w:w="15" w:type="dxa"/>
        </w:trPr>
        <w:tc>
          <w:tcPr>
            <w:tcW w:w="674" w:type="dxa"/>
            <w:vAlign w:val="center"/>
            <w:hideMark/>
          </w:tcPr>
          <w:p w14:paraId="1C44278D"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9881" w:type="dxa"/>
            <w:vAlign w:val="center"/>
            <w:hideMark/>
          </w:tcPr>
          <w:p w14:paraId="7DAE0A56"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25A8B3C" w14:textId="77777777" w:rsidTr="004B2A77">
        <w:trPr>
          <w:trHeight w:val="160"/>
          <w:tblCellSpacing w:w="15" w:type="dxa"/>
        </w:trPr>
        <w:tc>
          <w:tcPr>
            <w:tcW w:w="0" w:type="auto"/>
            <w:hideMark/>
          </w:tcPr>
          <w:p w14:paraId="69D533E4"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Segoe UI Symbol" w:eastAsia="微软雅黑" w:hAnsi="Segoe UI Symbol" w:cs="Segoe UI Symbol"/>
                <w:color w:val="000000"/>
                <w:kern w:val="0"/>
                <w:sz w:val="16"/>
                <w:szCs w:val="16"/>
              </w:rPr>
              <w:t>☐</w:t>
            </w:r>
          </w:p>
        </w:tc>
        <w:tc>
          <w:tcPr>
            <w:tcW w:w="0" w:type="auto"/>
            <w:hideMark/>
          </w:tcPr>
          <w:p w14:paraId="33348EE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TRANSITION REPORT PURSUANT TO SECTION 13 OR 15(d) OF THE SECURITIES EXCHANGE ACT OF 1934</w:t>
            </w:r>
          </w:p>
        </w:tc>
      </w:tr>
    </w:tbl>
    <w:p w14:paraId="669C3E6F"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131406AA"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6"/>
          <w:szCs w:val="16"/>
        </w:rPr>
        <w:t>For the transition period from _________ to _________</w:t>
      </w:r>
    </w:p>
    <w:p w14:paraId="0250662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6"/>
          <w:szCs w:val="6"/>
        </w:rPr>
        <w:t> </w:t>
      </w:r>
    </w:p>
    <w:p w14:paraId="616C8B96"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6"/>
          <w:szCs w:val="6"/>
        </w:rPr>
        <w:t> </w:t>
      </w:r>
    </w:p>
    <w:p w14:paraId="1C33DF06"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Commission file number: </w:t>
      </w:r>
      <w:r w:rsidRPr="004B2A77">
        <w:rPr>
          <w:rFonts w:ascii="Arial" w:eastAsia="宋体" w:hAnsi="Arial" w:cs="Arial"/>
          <w:b/>
          <w:bCs/>
          <w:color w:val="000000"/>
          <w:kern w:val="0"/>
          <w:sz w:val="18"/>
          <w:szCs w:val="18"/>
          <w:u w:val="single"/>
        </w:rPr>
        <w:t>001-12933</w:t>
      </w:r>
    </w:p>
    <w:p w14:paraId="0CFFB862" w14:textId="77777777" w:rsidR="004B2A77" w:rsidRPr="004B2A77" w:rsidRDefault="004B2A77" w:rsidP="004B2A77">
      <w:pPr>
        <w:widowControl/>
        <w:spacing w:before="12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30"/>
          <w:szCs w:val="30"/>
        </w:rPr>
        <w:t>AUTOLIV, INC.</w:t>
      </w:r>
    </w:p>
    <w:p w14:paraId="49513ADA"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(Exact name of registrant as specified in its charter)</w:t>
      </w:r>
    </w:p>
    <w:p w14:paraId="4C4BA05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307"/>
        <w:gridCol w:w="10307"/>
      </w:tblGrid>
      <w:tr w:rsidR="004B2A77" w:rsidRPr="004B2A77" w14:paraId="63080FEB" w14:textId="77777777" w:rsidTr="004B2A77">
        <w:trPr>
          <w:tblCellSpacing w:w="15" w:type="dxa"/>
        </w:trPr>
        <w:tc>
          <w:tcPr>
            <w:tcW w:w="10277" w:type="dxa"/>
            <w:vAlign w:val="center"/>
            <w:hideMark/>
          </w:tcPr>
          <w:p w14:paraId="0C5275E9"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0277" w:type="dxa"/>
            <w:vAlign w:val="center"/>
            <w:hideMark/>
          </w:tcPr>
          <w:p w14:paraId="52821262"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BA62B47" w14:textId="77777777" w:rsidTr="004B2A77">
        <w:trPr>
          <w:trHeight w:val="180"/>
          <w:tblCellSpacing w:w="15" w:type="dxa"/>
        </w:trPr>
        <w:tc>
          <w:tcPr>
            <w:tcW w:w="0" w:type="auto"/>
            <w:shd w:val="clear" w:color="auto" w:fill="FFFFFF"/>
            <w:tcMar>
              <w:top w:w="14" w:type="dxa"/>
              <w:left w:w="15" w:type="dxa"/>
              <w:bottom w:w="15" w:type="dxa"/>
              <w:right w:w="14" w:type="dxa"/>
            </w:tcMar>
            <w:hideMark/>
          </w:tcPr>
          <w:p w14:paraId="47578DCD"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Delaware</w:t>
            </w:r>
          </w:p>
        </w:tc>
        <w:tc>
          <w:tcPr>
            <w:tcW w:w="0" w:type="auto"/>
            <w:shd w:val="clear" w:color="auto" w:fill="FFFFFF"/>
            <w:tcMar>
              <w:top w:w="14" w:type="dxa"/>
              <w:left w:w="15" w:type="dxa"/>
              <w:bottom w:w="15" w:type="dxa"/>
              <w:right w:w="14" w:type="dxa"/>
            </w:tcMar>
            <w:hideMark/>
          </w:tcPr>
          <w:p w14:paraId="04E7CCBD"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51-0378542</w:t>
            </w:r>
          </w:p>
        </w:tc>
      </w:tr>
      <w:tr w:rsidR="004B2A77" w:rsidRPr="004B2A77" w14:paraId="7EC12610" w14:textId="77777777" w:rsidTr="004B2A77">
        <w:trPr>
          <w:trHeight w:val="140"/>
          <w:tblCellSpacing w:w="15" w:type="dxa"/>
        </w:trPr>
        <w:tc>
          <w:tcPr>
            <w:tcW w:w="0" w:type="auto"/>
            <w:shd w:val="clear" w:color="auto" w:fill="FFFFFF"/>
            <w:tcMar>
              <w:top w:w="14" w:type="dxa"/>
              <w:left w:w="15" w:type="dxa"/>
              <w:bottom w:w="15" w:type="dxa"/>
              <w:right w:w="14" w:type="dxa"/>
            </w:tcMar>
            <w:hideMark/>
          </w:tcPr>
          <w:p w14:paraId="40D71A9C"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(State or other jurisdiction of</w:t>
            </w:r>
          </w:p>
          <w:p w14:paraId="1724A805"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incorporation or organization)</w:t>
            </w:r>
          </w:p>
        </w:tc>
        <w:tc>
          <w:tcPr>
            <w:tcW w:w="0" w:type="auto"/>
            <w:shd w:val="clear" w:color="auto" w:fill="FFFFFF"/>
            <w:tcMar>
              <w:top w:w="14" w:type="dxa"/>
              <w:left w:w="15" w:type="dxa"/>
              <w:bottom w:w="15" w:type="dxa"/>
              <w:right w:w="14" w:type="dxa"/>
            </w:tcMar>
            <w:hideMark/>
          </w:tcPr>
          <w:p w14:paraId="744E7705"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(I.R.S. Employer</w:t>
            </w:r>
          </w:p>
          <w:p w14:paraId="0138E54B"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Identification No.)</w:t>
            </w:r>
          </w:p>
        </w:tc>
      </w:tr>
    </w:tbl>
    <w:p w14:paraId="52DE406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337"/>
        <w:gridCol w:w="10277"/>
      </w:tblGrid>
      <w:tr w:rsidR="004B2A77" w:rsidRPr="004B2A77" w14:paraId="12FEC44D" w14:textId="77777777" w:rsidTr="004B2A77">
        <w:trPr>
          <w:tblCellSpacing w:w="15" w:type="dxa"/>
        </w:trPr>
        <w:tc>
          <w:tcPr>
            <w:tcW w:w="10306" w:type="dxa"/>
            <w:vAlign w:val="center"/>
            <w:hideMark/>
          </w:tcPr>
          <w:p w14:paraId="3358A554"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0249" w:type="dxa"/>
            <w:vAlign w:val="center"/>
            <w:hideMark/>
          </w:tcPr>
          <w:p w14:paraId="6ACB440E"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407DF9A" w14:textId="77777777" w:rsidTr="004B2A77">
        <w:trPr>
          <w:trHeight w:val="180"/>
          <w:tblCellSpacing w:w="15" w:type="dxa"/>
        </w:trPr>
        <w:tc>
          <w:tcPr>
            <w:tcW w:w="0" w:type="auto"/>
            <w:hideMark/>
          </w:tcPr>
          <w:p w14:paraId="52BD7126"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Klarabergsviadukten 70, Section B7,</w:t>
            </w:r>
          </w:p>
        </w:tc>
        <w:tc>
          <w:tcPr>
            <w:tcW w:w="0" w:type="auto"/>
            <w:hideMark/>
          </w:tcPr>
          <w:p w14:paraId="48AA9AF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439F64D8" w14:textId="77777777" w:rsidTr="004B2A77">
        <w:trPr>
          <w:trHeight w:val="180"/>
          <w:tblCellSpacing w:w="15" w:type="dxa"/>
        </w:trPr>
        <w:tc>
          <w:tcPr>
            <w:tcW w:w="0" w:type="auto"/>
            <w:hideMark/>
          </w:tcPr>
          <w:p w14:paraId="4D1A0A09"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Box 70381,</w:t>
            </w:r>
          </w:p>
        </w:tc>
        <w:tc>
          <w:tcPr>
            <w:tcW w:w="0" w:type="auto"/>
            <w:hideMark/>
          </w:tcPr>
          <w:p w14:paraId="7AFFD51B"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SE-107 24</w:t>
            </w:r>
          </w:p>
        </w:tc>
      </w:tr>
      <w:tr w:rsidR="004B2A77" w:rsidRPr="004B2A77" w14:paraId="27FC6257" w14:textId="77777777" w:rsidTr="004B2A77">
        <w:trPr>
          <w:trHeight w:val="180"/>
          <w:tblCellSpacing w:w="15" w:type="dxa"/>
        </w:trPr>
        <w:tc>
          <w:tcPr>
            <w:tcW w:w="0" w:type="auto"/>
            <w:hideMark/>
          </w:tcPr>
          <w:p w14:paraId="54EC8C02"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Stockholm, Sweden</w:t>
            </w:r>
          </w:p>
        </w:tc>
        <w:tc>
          <w:tcPr>
            <w:tcW w:w="0" w:type="auto"/>
            <w:hideMark/>
          </w:tcPr>
          <w:p w14:paraId="11C404E4"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(Zip Code)</w:t>
            </w:r>
          </w:p>
        </w:tc>
      </w:tr>
      <w:tr w:rsidR="004B2A77" w:rsidRPr="004B2A77" w14:paraId="7E7CD283" w14:textId="77777777" w:rsidTr="004B2A77">
        <w:trPr>
          <w:trHeight w:val="140"/>
          <w:tblCellSpacing w:w="15" w:type="dxa"/>
        </w:trPr>
        <w:tc>
          <w:tcPr>
            <w:tcW w:w="0" w:type="auto"/>
            <w:hideMark/>
          </w:tcPr>
          <w:p w14:paraId="18557056"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(Address of principal executive offices)</w:t>
            </w:r>
          </w:p>
        </w:tc>
        <w:tc>
          <w:tcPr>
            <w:tcW w:w="0" w:type="auto"/>
            <w:hideMark/>
          </w:tcPr>
          <w:p w14:paraId="20C346B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bl>
    <w:p w14:paraId="15A4EB5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72E55D44"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+46 8 587 20 600 </w:t>
      </w:r>
    </w:p>
    <w:p w14:paraId="6437F2C9"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4"/>
          <w:szCs w:val="14"/>
        </w:rPr>
        <w:t>(Registrant’s telephone number, including area code)</w:t>
      </w:r>
    </w:p>
    <w:p w14:paraId="5169F73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8"/>
          <w:szCs w:val="8"/>
        </w:rPr>
        <w:t> </w:t>
      </w:r>
    </w:p>
    <w:p w14:paraId="693EC06A"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Securities registered pursuant to Section 12(b) of the Act:</w:t>
      </w:r>
    </w:p>
    <w:p w14:paraId="276899D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219"/>
        <w:gridCol w:w="234"/>
        <w:gridCol w:w="3708"/>
        <w:gridCol w:w="234"/>
        <w:gridCol w:w="8219"/>
      </w:tblGrid>
      <w:tr w:rsidR="004B2A77" w:rsidRPr="004B2A77" w14:paraId="618E49BC" w14:textId="77777777" w:rsidTr="004B2A77">
        <w:trPr>
          <w:tblCellSpacing w:w="15" w:type="dxa"/>
        </w:trPr>
        <w:tc>
          <w:tcPr>
            <w:tcW w:w="8186" w:type="dxa"/>
            <w:vAlign w:val="center"/>
            <w:hideMark/>
          </w:tcPr>
          <w:p w14:paraId="72E3C10C"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4" w:type="dxa"/>
            <w:vAlign w:val="center"/>
            <w:hideMark/>
          </w:tcPr>
          <w:p w14:paraId="2671DCA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683" w:type="dxa"/>
            <w:vAlign w:val="center"/>
            <w:hideMark/>
          </w:tcPr>
          <w:p w14:paraId="792BA14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19D7F99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8186" w:type="dxa"/>
            <w:vAlign w:val="center"/>
            <w:hideMark/>
          </w:tcPr>
          <w:p w14:paraId="0D8FD295"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30B202A" w14:textId="77777777" w:rsidTr="004B2A77">
        <w:trPr>
          <w:trHeight w:val="140"/>
          <w:tblCellSpacing w:w="15" w:type="dxa"/>
        </w:trPr>
        <w:tc>
          <w:tcPr>
            <w:tcW w:w="0" w:type="auto"/>
            <w:tcBorders>
              <w:bottom w:val="single" w:sz="4" w:space="0" w:color="auto"/>
            </w:tcBorders>
            <w:shd w:val="clear" w:color="auto" w:fill="FFFFFF"/>
            <w:tcMar>
              <w:top w:w="14" w:type="dxa"/>
              <w:left w:w="15" w:type="dxa"/>
              <w:bottom w:w="15" w:type="dxa"/>
              <w:right w:w="14" w:type="dxa"/>
            </w:tcMar>
            <w:hideMark/>
          </w:tcPr>
          <w:p w14:paraId="2AAFA690"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Title of each class:</w:t>
            </w:r>
          </w:p>
        </w:tc>
        <w:tc>
          <w:tcPr>
            <w:tcW w:w="0" w:type="auto"/>
            <w:shd w:val="clear" w:color="auto" w:fill="FFFFFF"/>
            <w:hideMark/>
          </w:tcPr>
          <w:p w14:paraId="2F95A00E"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kern w:val="0"/>
                <w:sz w:val="14"/>
                <w:szCs w:val="14"/>
              </w:rPr>
              <w:t> </w:t>
            </w:r>
          </w:p>
        </w:tc>
        <w:tc>
          <w:tcPr>
            <w:tcW w:w="0" w:type="auto"/>
            <w:tcBorders>
              <w:bottom w:val="single" w:sz="4" w:space="0" w:color="auto"/>
            </w:tcBorders>
            <w:shd w:val="clear" w:color="auto" w:fill="FFFFFF"/>
            <w:hideMark/>
          </w:tcPr>
          <w:p w14:paraId="1A2A0657"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Trading Symbol(s):</w:t>
            </w:r>
          </w:p>
        </w:tc>
        <w:tc>
          <w:tcPr>
            <w:tcW w:w="0" w:type="auto"/>
            <w:shd w:val="clear" w:color="auto" w:fill="FFFFFF"/>
            <w:hideMark/>
          </w:tcPr>
          <w:p w14:paraId="5941F57F" w14:textId="77777777" w:rsidR="004B2A77" w:rsidRPr="004B2A77" w:rsidRDefault="004B2A77" w:rsidP="004B2A77">
            <w:pPr>
              <w:widowControl/>
              <w:jc w:val="left"/>
              <w:rPr>
                <w:rFonts w:ascii="Times New Roman" w:eastAsia="微软雅黑" w:hAnsi="Times New Roman" w:cs="Times New Roman"/>
                <w:kern w:val="0"/>
                <w:sz w:val="14"/>
                <w:szCs w:val="14"/>
              </w:rPr>
            </w:pPr>
            <w:r w:rsidRPr="004B2A77">
              <w:rPr>
                <w:rFonts w:ascii="Arial" w:eastAsia="微软雅黑" w:hAnsi="Arial" w:cs="Arial"/>
                <w:kern w:val="0"/>
                <w:sz w:val="14"/>
                <w:szCs w:val="14"/>
              </w:rPr>
              <w:t> </w:t>
            </w:r>
          </w:p>
        </w:tc>
        <w:tc>
          <w:tcPr>
            <w:tcW w:w="0" w:type="auto"/>
            <w:tcBorders>
              <w:bottom w:val="single" w:sz="4" w:space="0" w:color="auto"/>
            </w:tcBorders>
            <w:shd w:val="clear" w:color="auto" w:fill="FFFFFF"/>
            <w:tcMar>
              <w:top w:w="14" w:type="dxa"/>
              <w:left w:w="15" w:type="dxa"/>
              <w:bottom w:w="15" w:type="dxa"/>
              <w:right w:w="14" w:type="dxa"/>
            </w:tcMar>
            <w:hideMark/>
          </w:tcPr>
          <w:p w14:paraId="5273E453" w14:textId="77777777" w:rsidR="004B2A77" w:rsidRPr="004B2A77" w:rsidRDefault="004B2A77" w:rsidP="004B2A77">
            <w:pPr>
              <w:widowControl/>
              <w:jc w:val="center"/>
              <w:rPr>
                <w:rFonts w:ascii="Times New Roman" w:eastAsia="微软雅黑" w:hAnsi="Times New Roman" w:cs="Times New Roman"/>
                <w:kern w:val="0"/>
                <w:sz w:val="14"/>
                <w:szCs w:val="14"/>
              </w:rPr>
            </w:pPr>
            <w:r w:rsidRPr="004B2A77">
              <w:rPr>
                <w:rFonts w:ascii="Arial" w:eastAsia="微软雅黑" w:hAnsi="Arial" w:cs="Arial"/>
                <w:b/>
                <w:bCs/>
                <w:color w:val="000000"/>
                <w:kern w:val="0"/>
                <w:sz w:val="14"/>
                <w:szCs w:val="14"/>
              </w:rPr>
              <w:t>Name of each exchange on which registered:</w:t>
            </w:r>
          </w:p>
        </w:tc>
      </w:tr>
      <w:tr w:rsidR="004B2A77" w:rsidRPr="004B2A77" w14:paraId="320992D4" w14:textId="77777777" w:rsidTr="004B2A77">
        <w:trPr>
          <w:trHeight w:val="180"/>
          <w:tblCellSpacing w:w="15" w:type="dxa"/>
        </w:trPr>
        <w:tc>
          <w:tcPr>
            <w:tcW w:w="0" w:type="auto"/>
            <w:shd w:val="clear" w:color="auto" w:fill="FFFFFF"/>
            <w:tcMar>
              <w:top w:w="14" w:type="dxa"/>
              <w:left w:w="15" w:type="dxa"/>
              <w:bottom w:w="15" w:type="dxa"/>
              <w:right w:w="14" w:type="dxa"/>
            </w:tcMar>
            <w:hideMark/>
          </w:tcPr>
          <w:p w14:paraId="1CDDC733"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Common Stock (par value $1.00 per share)</w:t>
            </w:r>
          </w:p>
        </w:tc>
        <w:tc>
          <w:tcPr>
            <w:tcW w:w="0" w:type="auto"/>
            <w:shd w:val="clear" w:color="auto" w:fill="FFFFFF"/>
            <w:hideMark/>
          </w:tcPr>
          <w:p w14:paraId="032F9E23"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54D25771"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ALV</w:t>
            </w:r>
          </w:p>
        </w:tc>
        <w:tc>
          <w:tcPr>
            <w:tcW w:w="0" w:type="auto"/>
            <w:shd w:val="clear" w:color="auto" w:fill="FFFFFF"/>
            <w:hideMark/>
          </w:tcPr>
          <w:p w14:paraId="247162C5"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tcMar>
              <w:top w:w="14" w:type="dxa"/>
              <w:left w:w="15" w:type="dxa"/>
              <w:bottom w:w="15" w:type="dxa"/>
              <w:right w:w="14" w:type="dxa"/>
            </w:tcMar>
            <w:hideMark/>
          </w:tcPr>
          <w:p w14:paraId="2CE6EC72"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New York Stock Exchange</w:t>
            </w:r>
          </w:p>
        </w:tc>
      </w:tr>
    </w:tbl>
    <w:p w14:paraId="3452987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5FAF278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Indicate by check mark if the registrant is a well-known seasoned issuer, as defined in Rule 405 of the Securities Act. Yes </w:t>
      </w:r>
      <w:r w:rsidRPr="004B2A77">
        <w:rPr>
          <w:rFonts w:ascii="Segoe UI Symbol" w:eastAsia="宋体" w:hAnsi="Segoe UI Symbol" w:cs="Segoe UI Symbol"/>
          <w:color w:val="000000"/>
          <w:kern w:val="0"/>
          <w:sz w:val="16"/>
          <w:szCs w:val="16"/>
        </w:rPr>
        <w:t>☒</w:t>
      </w:r>
      <w:r w:rsidRPr="004B2A77">
        <w:rPr>
          <w:rFonts w:ascii="Arial" w:eastAsia="宋体" w:hAnsi="Arial" w:cs="Arial"/>
          <w:color w:val="000000"/>
          <w:kern w:val="0"/>
          <w:sz w:val="16"/>
          <w:szCs w:val="16"/>
        </w:rPr>
        <w:t xml:space="preserve"> No </w:t>
      </w:r>
      <w:r w:rsidRPr="004B2A77">
        <w:rPr>
          <w:rFonts w:ascii="Segoe UI Symbol" w:eastAsia="宋体" w:hAnsi="Segoe UI Symbol" w:cs="Segoe UI Symbol"/>
          <w:color w:val="000000"/>
          <w:kern w:val="0"/>
          <w:sz w:val="16"/>
          <w:szCs w:val="16"/>
        </w:rPr>
        <w:t>☐</w:t>
      </w:r>
    </w:p>
    <w:p w14:paraId="5D8D39C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lastRenderedPageBreak/>
        <w:t> </w:t>
      </w:r>
    </w:p>
    <w:p w14:paraId="0DEE037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Indicate by check mark if the registrant is not required to file reports pursuant to Section 13 or Section 15(d) of the Act. Yes </w:t>
      </w:r>
      <w:r w:rsidRPr="004B2A77">
        <w:rPr>
          <w:rFonts w:ascii="Segoe UI Symbol" w:eastAsia="宋体" w:hAnsi="Segoe UI Symbol" w:cs="Segoe UI Symbol"/>
          <w:color w:val="000000"/>
          <w:kern w:val="0"/>
          <w:sz w:val="16"/>
          <w:szCs w:val="16"/>
        </w:rPr>
        <w:t>☐</w:t>
      </w:r>
      <w:r w:rsidRPr="004B2A77">
        <w:rPr>
          <w:rFonts w:ascii="Arial" w:eastAsia="宋体" w:hAnsi="Arial" w:cs="Arial"/>
          <w:color w:val="000000"/>
          <w:kern w:val="0"/>
          <w:sz w:val="16"/>
          <w:szCs w:val="16"/>
        </w:rPr>
        <w:t xml:space="preserve"> No </w:t>
      </w:r>
      <w:r w:rsidRPr="004B2A77">
        <w:rPr>
          <w:rFonts w:ascii="Segoe UI Symbol" w:eastAsia="宋体" w:hAnsi="Segoe UI Symbol" w:cs="Segoe UI Symbol"/>
          <w:color w:val="000000"/>
          <w:kern w:val="0"/>
          <w:sz w:val="16"/>
          <w:szCs w:val="16"/>
        </w:rPr>
        <w:t>☒</w:t>
      </w:r>
    </w:p>
    <w:p w14:paraId="7F0808A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7241DF3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4B2A77">
        <w:rPr>
          <w:rFonts w:ascii="Segoe UI Symbol" w:eastAsia="宋体" w:hAnsi="Segoe UI Symbol" w:cs="Segoe UI Symbol"/>
          <w:color w:val="000000"/>
          <w:kern w:val="0"/>
          <w:sz w:val="16"/>
          <w:szCs w:val="16"/>
        </w:rPr>
        <w:t>☒</w:t>
      </w:r>
      <w:r w:rsidRPr="004B2A77">
        <w:rPr>
          <w:rFonts w:ascii="Arial" w:eastAsia="宋体" w:hAnsi="Arial" w:cs="Arial"/>
          <w:color w:val="000000"/>
          <w:kern w:val="0"/>
          <w:sz w:val="16"/>
          <w:szCs w:val="16"/>
        </w:rPr>
        <w:t xml:space="preserve"> No: </w:t>
      </w:r>
      <w:r w:rsidRPr="004B2A77">
        <w:rPr>
          <w:rFonts w:ascii="Segoe UI Symbol" w:eastAsia="宋体" w:hAnsi="Segoe UI Symbol" w:cs="Segoe UI Symbol"/>
          <w:color w:val="000000"/>
          <w:kern w:val="0"/>
          <w:sz w:val="16"/>
          <w:szCs w:val="16"/>
        </w:rPr>
        <w:t>☐</w:t>
      </w:r>
    </w:p>
    <w:p w14:paraId="641E13E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70ED8E2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Indicate by check mark whether the registrant has submitted electronically every Interactive Data File required to be submitted pursuant to Rule 405 of Regulation S-T (§ 232.405 of this chapter) during the preceding 12 months (or for such shorter period that the registrant was required to submit such files). Yes: </w:t>
      </w:r>
      <w:r w:rsidRPr="004B2A77">
        <w:rPr>
          <w:rFonts w:ascii="Segoe UI Symbol" w:eastAsia="宋体" w:hAnsi="Segoe UI Symbol" w:cs="Segoe UI Symbol"/>
          <w:color w:val="000000"/>
          <w:kern w:val="0"/>
          <w:sz w:val="16"/>
          <w:szCs w:val="16"/>
        </w:rPr>
        <w:t>☒</w:t>
      </w:r>
      <w:r w:rsidRPr="004B2A77">
        <w:rPr>
          <w:rFonts w:ascii="Arial" w:eastAsia="宋体" w:hAnsi="Arial" w:cs="Arial"/>
          <w:color w:val="000000"/>
          <w:kern w:val="0"/>
          <w:sz w:val="16"/>
          <w:szCs w:val="16"/>
        </w:rPr>
        <w:t xml:space="preserve"> No: </w:t>
      </w:r>
      <w:r w:rsidRPr="004B2A77">
        <w:rPr>
          <w:rFonts w:ascii="Segoe UI Symbol" w:eastAsia="宋体" w:hAnsi="Segoe UI Symbol" w:cs="Segoe UI Symbol"/>
          <w:color w:val="000000"/>
          <w:kern w:val="0"/>
          <w:sz w:val="16"/>
          <w:szCs w:val="16"/>
        </w:rPr>
        <w:t>☐</w:t>
      </w:r>
    </w:p>
    <w:p w14:paraId="6473723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3BF09DB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Indicate by check mark whether the registrant is a large accelerated filer, an accelerated filer, a non-accelerated filer, smaller reporting company or an emerging growth company. See the definitions of “large accelerated filer,” “accelerated filer,” “smaller reporting company” and “emerging growth company” in Rule 12b-2 of the Exchange Act.</w:t>
      </w:r>
    </w:p>
    <w:p w14:paraId="18E030A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5061"/>
        <w:gridCol w:w="234"/>
        <w:gridCol w:w="9970"/>
        <w:gridCol w:w="262"/>
        <w:gridCol w:w="4411"/>
        <w:gridCol w:w="234"/>
        <w:gridCol w:w="442"/>
      </w:tblGrid>
      <w:tr w:rsidR="004B2A77" w:rsidRPr="004B2A77" w14:paraId="2A1A1111" w14:textId="77777777" w:rsidTr="004B2A77">
        <w:trPr>
          <w:tblCellSpacing w:w="15" w:type="dxa"/>
        </w:trPr>
        <w:tc>
          <w:tcPr>
            <w:tcW w:w="5024" w:type="dxa"/>
            <w:vAlign w:val="center"/>
            <w:hideMark/>
          </w:tcPr>
          <w:p w14:paraId="6BB66993"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4" w:type="dxa"/>
            <w:vAlign w:val="center"/>
            <w:hideMark/>
          </w:tcPr>
          <w:p w14:paraId="4FFD2B7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957" w:type="dxa"/>
            <w:vAlign w:val="center"/>
            <w:hideMark/>
          </w:tcPr>
          <w:p w14:paraId="3E79E9E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2" w:type="dxa"/>
            <w:vAlign w:val="center"/>
            <w:hideMark/>
          </w:tcPr>
          <w:p w14:paraId="660FCD3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387" w:type="dxa"/>
            <w:vAlign w:val="center"/>
            <w:hideMark/>
          </w:tcPr>
          <w:p w14:paraId="07407F9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506B77B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97" w:type="dxa"/>
            <w:vAlign w:val="center"/>
            <w:hideMark/>
          </w:tcPr>
          <w:p w14:paraId="45DC28E7"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ABC129F" w14:textId="77777777" w:rsidTr="004B2A77">
        <w:trPr>
          <w:trHeight w:val="202"/>
          <w:tblCellSpacing w:w="15" w:type="dxa"/>
        </w:trPr>
        <w:tc>
          <w:tcPr>
            <w:tcW w:w="0" w:type="auto"/>
            <w:tcMar>
              <w:top w:w="14" w:type="dxa"/>
              <w:left w:w="15" w:type="dxa"/>
              <w:bottom w:w="15" w:type="dxa"/>
              <w:right w:w="14" w:type="dxa"/>
            </w:tcMar>
            <w:hideMark/>
          </w:tcPr>
          <w:p w14:paraId="450D8946" w14:textId="77777777" w:rsidR="004B2A77" w:rsidRPr="004B2A77" w:rsidRDefault="004B2A77" w:rsidP="004B2A77">
            <w:pPr>
              <w:widowControl/>
              <w:spacing w:after="40"/>
              <w:jc w:val="left"/>
              <w:rPr>
                <w:rFonts w:ascii="Times New Roman" w:eastAsia="微软雅黑" w:hAnsi="Times New Roman" w:cs="Times New Roman"/>
                <w:kern w:val="0"/>
                <w:sz w:val="20"/>
                <w:szCs w:val="20"/>
              </w:rPr>
            </w:pPr>
            <w:r w:rsidRPr="004B2A77">
              <w:rPr>
                <w:rFonts w:ascii="Arial" w:eastAsia="微软雅黑" w:hAnsi="Arial" w:cs="Arial"/>
                <w:color w:val="000000"/>
                <w:kern w:val="0"/>
                <w:sz w:val="16"/>
                <w:szCs w:val="16"/>
              </w:rPr>
              <w:t>Large accelerated filer</w:t>
            </w:r>
          </w:p>
        </w:tc>
        <w:tc>
          <w:tcPr>
            <w:tcW w:w="0" w:type="auto"/>
            <w:tcMar>
              <w:top w:w="14" w:type="dxa"/>
              <w:left w:w="15" w:type="dxa"/>
              <w:bottom w:w="15" w:type="dxa"/>
              <w:right w:w="14" w:type="dxa"/>
            </w:tcMar>
            <w:hideMark/>
          </w:tcPr>
          <w:p w14:paraId="335822F0"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 </w:t>
            </w:r>
          </w:p>
        </w:tc>
        <w:tc>
          <w:tcPr>
            <w:tcW w:w="0" w:type="auto"/>
            <w:tcMar>
              <w:top w:w="14" w:type="dxa"/>
              <w:left w:w="15" w:type="dxa"/>
              <w:bottom w:w="15" w:type="dxa"/>
              <w:right w:w="14" w:type="dxa"/>
            </w:tcMar>
            <w:hideMark/>
          </w:tcPr>
          <w:p w14:paraId="5741293A"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Segoe UI Symbol" w:eastAsia="微软雅黑" w:hAnsi="Segoe UI Symbol" w:cs="Segoe UI Symbol"/>
                <w:color w:val="000000"/>
                <w:kern w:val="0"/>
                <w:sz w:val="16"/>
                <w:szCs w:val="16"/>
              </w:rPr>
              <w:t>☒</w:t>
            </w:r>
          </w:p>
        </w:tc>
        <w:tc>
          <w:tcPr>
            <w:tcW w:w="0" w:type="auto"/>
            <w:tcMar>
              <w:top w:w="14" w:type="dxa"/>
              <w:left w:w="15" w:type="dxa"/>
              <w:bottom w:w="15" w:type="dxa"/>
              <w:right w:w="14" w:type="dxa"/>
            </w:tcMar>
            <w:hideMark/>
          </w:tcPr>
          <w:p w14:paraId="79D78051"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 </w:t>
            </w:r>
          </w:p>
        </w:tc>
        <w:tc>
          <w:tcPr>
            <w:tcW w:w="0" w:type="auto"/>
            <w:tcMar>
              <w:top w:w="14" w:type="dxa"/>
              <w:left w:w="15" w:type="dxa"/>
              <w:bottom w:w="15" w:type="dxa"/>
              <w:right w:w="14" w:type="dxa"/>
            </w:tcMar>
            <w:hideMark/>
          </w:tcPr>
          <w:p w14:paraId="5B6292FE"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Accelerated filer</w:t>
            </w:r>
          </w:p>
        </w:tc>
        <w:tc>
          <w:tcPr>
            <w:tcW w:w="0" w:type="auto"/>
            <w:tcMar>
              <w:top w:w="14" w:type="dxa"/>
              <w:left w:w="15" w:type="dxa"/>
              <w:bottom w:w="15" w:type="dxa"/>
              <w:right w:w="14" w:type="dxa"/>
            </w:tcMar>
            <w:hideMark/>
          </w:tcPr>
          <w:p w14:paraId="6FAE05F1"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 </w:t>
            </w:r>
          </w:p>
        </w:tc>
        <w:tc>
          <w:tcPr>
            <w:tcW w:w="0" w:type="auto"/>
            <w:tcMar>
              <w:top w:w="14" w:type="dxa"/>
              <w:left w:w="15" w:type="dxa"/>
              <w:bottom w:w="15" w:type="dxa"/>
              <w:right w:w="14" w:type="dxa"/>
            </w:tcMar>
            <w:hideMark/>
          </w:tcPr>
          <w:p w14:paraId="0226EF6E"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Segoe UI Symbol" w:eastAsia="微软雅黑" w:hAnsi="Segoe UI Symbol" w:cs="Segoe UI Symbol"/>
                <w:color w:val="000000"/>
                <w:kern w:val="0"/>
                <w:sz w:val="16"/>
                <w:szCs w:val="16"/>
              </w:rPr>
              <w:t>☐</w:t>
            </w:r>
          </w:p>
        </w:tc>
      </w:tr>
      <w:tr w:rsidR="004B2A77" w:rsidRPr="004B2A77" w14:paraId="018B209E" w14:textId="77777777" w:rsidTr="004B2A77">
        <w:trPr>
          <w:trHeight w:val="160"/>
          <w:tblCellSpacing w:w="15" w:type="dxa"/>
        </w:trPr>
        <w:tc>
          <w:tcPr>
            <w:tcW w:w="0" w:type="auto"/>
            <w:tcMar>
              <w:top w:w="14" w:type="dxa"/>
              <w:left w:w="15" w:type="dxa"/>
              <w:bottom w:w="15" w:type="dxa"/>
              <w:right w:w="14" w:type="dxa"/>
            </w:tcMar>
            <w:hideMark/>
          </w:tcPr>
          <w:p w14:paraId="0C23386E"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Non-accelerated filer</w:t>
            </w:r>
          </w:p>
        </w:tc>
        <w:tc>
          <w:tcPr>
            <w:tcW w:w="0" w:type="auto"/>
            <w:tcMar>
              <w:top w:w="14" w:type="dxa"/>
              <w:left w:w="15" w:type="dxa"/>
              <w:bottom w:w="15" w:type="dxa"/>
              <w:right w:w="14" w:type="dxa"/>
            </w:tcMar>
            <w:hideMark/>
          </w:tcPr>
          <w:p w14:paraId="3E389633"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 </w:t>
            </w:r>
          </w:p>
        </w:tc>
        <w:tc>
          <w:tcPr>
            <w:tcW w:w="0" w:type="auto"/>
            <w:tcMar>
              <w:top w:w="14" w:type="dxa"/>
              <w:left w:w="15" w:type="dxa"/>
              <w:bottom w:w="15" w:type="dxa"/>
              <w:right w:w="14" w:type="dxa"/>
            </w:tcMar>
            <w:hideMark/>
          </w:tcPr>
          <w:p w14:paraId="1BE6EBE2"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Segoe UI Symbol" w:eastAsia="微软雅黑" w:hAnsi="Segoe UI Symbol" w:cs="Segoe UI Symbol"/>
                <w:color w:val="000000"/>
                <w:kern w:val="0"/>
                <w:sz w:val="16"/>
                <w:szCs w:val="16"/>
              </w:rPr>
              <w:t>☐</w:t>
            </w:r>
          </w:p>
        </w:tc>
        <w:tc>
          <w:tcPr>
            <w:tcW w:w="0" w:type="auto"/>
            <w:tcMar>
              <w:top w:w="14" w:type="dxa"/>
              <w:left w:w="15" w:type="dxa"/>
              <w:bottom w:w="15" w:type="dxa"/>
              <w:right w:w="14" w:type="dxa"/>
            </w:tcMar>
            <w:hideMark/>
          </w:tcPr>
          <w:p w14:paraId="04F41047"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 </w:t>
            </w:r>
          </w:p>
        </w:tc>
        <w:tc>
          <w:tcPr>
            <w:tcW w:w="0" w:type="auto"/>
            <w:tcMar>
              <w:top w:w="14" w:type="dxa"/>
              <w:left w:w="15" w:type="dxa"/>
              <w:bottom w:w="15" w:type="dxa"/>
              <w:right w:w="14" w:type="dxa"/>
            </w:tcMar>
            <w:hideMark/>
          </w:tcPr>
          <w:p w14:paraId="222118BC"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Smaller reporting company</w:t>
            </w:r>
          </w:p>
        </w:tc>
        <w:tc>
          <w:tcPr>
            <w:tcW w:w="0" w:type="auto"/>
            <w:tcMar>
              <w:top w:w="14" w:type="dxa"/>
              <w:left w:w="15" w:type="dxa"/>
              <w:bottom w:w="15" w:type="dxa"/>
              <w:right w:w="14" w:type="dxa"/>
            </w:tcMar>
            <w:hideMark/>
          </w:tcPr>
          <w:p w14:paraId="6ABEACD3" w14:textId="77777777" w:rsidR="004B2A77" w:rsidRPr="004B2A77" w:rsidRDefault="004B2A77" w:rsidP="004B2A77">
            <w:pPr>
              <w:widowControl/>
              <w:spacing w:after="40"/>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 </w:t>
            </w:r>
          </w:p>
        </w:tc>
        <w:tc>
          <w:tcPr>
            <w:tcW w:w="0" w:type="auto"/>
            <w:tcMar>
              <w:top w:w="14" w:type="dxa"/>
              <w:left w:w="15" w:type="dxa"/>
              <w:bottom w:w="15" w:type="dxa"/>
              <w:right w:w="14" w:type="dxa"/>
            </w:tcMar>
            <w:hideMark/>
          </w:tcPr>
          <w:p w14:paraId="2FF91443" w14:textId="77777777" w:rsidR="004B2A77" w:rsidRPr="004B2A77" w:rsidRDefault="004B2A77" w:rsidP="004B2A77">
            <w:pPr>
              <w:widowControl/>
              <w:spacing w:after="40"/>
              <w:jc w:val="left"/>
              <w:rPr>
                <w:rFonts w:ascii="Times New Roman" w:eastAsia="微软雅黑" w:hAnsi="Times New Roman" w:cs="Times New Roman"/>
                <w:kern w:val="0"/>
                <w:sz w:val="20"/>
                <w:szCs w:val="20"/>
              </w:rPr>
            </w:pPr>
            <w:r w:rsidRPr="004B2A77">
              <w:rPr>
                <w:rFonts w:ascii="Segoe UI Symbol" w:eastAsia="微软雅黑" w:hAnsi="Segoe UI Symbol" w:cs="Segoe UI Symbol"/>
                <w:color w:val="000000"/>
                <w:kern w:val="0"/>
                <w:sz w:val="16"/>
                <w:szCs w:val="16"/>
              </w:rPr>
              <w:t>☐</w:t>
            </w:r>
          </w:p>
        </w:tc>
      </w:tr>
      <w:tr w:rsidR="004B2A77" w:rsidRPr="004B2A77" w14:paraId="02EB2C76" w14:textId="77777777" w:rsidTr="004B2A77">
        <w:trPr>
          <w:trHeight w:val="160"/>
          <w:tblCellSpacing w:w="15" w:type="dxa"/>
        </w:trPr>
        <w:tc>
          <w:tcPr>
            <w:tcW w:w="0" w:type="auto"/>
            <w:tcMar>
              <w:top w:w="14" w:type="dxa"/>
              <w:left w:w="15" w:type="dxa"/>
              <w:bottom w:w="15" w:type="dxa"/>
              <w:right w:w="14" w:type="dxa"/>
            </w:tcMar>
            <w:hideMark/>
          </w:tcPr>
          <w:p w14:paraId="516EEB72"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Emerging growth company</w:t>
            </w:r>
          </w:p>
        </w:tc>
        <w:tc>
          <w:tcPr>
            <w:tcW w:w="0" w:type="auto"/>
            <w:tcMar>
              <w:top w:w="14" w:type="dxa"/>
              <w:left w:w="15" w:type="dxa"/>
              <w:bottom w:w="15" w:type="dxa"/>
              <w:right w:w="14" w:type="dxa"/>
            </w:tcMar>
            <w:hideMark/>
          </w:tcPr>
          <w:p w14:paraId="274B4809"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Mar>
              <w:top w:w="14" w:type="dxa"/>
              <w:left w:w="15" w:type="dxa"/>
              <w:bottom w:w="15" w:type="dxa"/>
              <w:right w:w="14" w:type="dxa"/>
            </w:tcMar>
            <w:hideMark/>
          </w:tcPr>
          <w:p w14:paraId="0E175B7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Segoe UI Symbol" w:eastAsia="微软雅黑" w:hAnsi="Segoe UI Symbol" w:cs="Segoe UI Symbol"/>
                <w:color w:val="000000"/>
                <w:kern w:val="0"/>
                <w:sz w:val="16"/>
                <w:szCs w:val="16"/>
              </w:rPr>
              <w:t>☐</w:t>
            </w:r>
          </w:p>
        </w:tc>
        <w:tc>
          <w:tcPr>
            <w:tcW w:w="0" w:type="auto"/>
            <w:tcMar>
              <w:top w:w="14" w:type="dxa"/>
              <w:left w:w="15" w:type="dxa"/>
              <w:bottom w:w="15" w:type="dxa"/>
              <w:right w:w="14" w:type="dxa"/>
            </w:tcMar>
            <w:hideMark/>
          </w:tcPr>
          <w:p w14:paraId="311D723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Mar>
              <w:top w:w="14" w:type="dxa"/>
              <w:left w:w="15" w:type="dxa"/>
              <w:bottom w:w="15" w:type="dxa"/>
              <w:right w:w="14" w:type="dxa"/>
            </w:tcMar>
            <w:hideMark/>
          </w:tcPr>
          <w:p w14:paraId="51B2D350"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Mar>
              <w:top w:w="14" w:type="dxa"/>
              <w:left w:w="15" w:type="dxa"/>
              <w:bottom w:w="15" w:type="dxa"/>
              <w:right w:w="14" w:type="dxa"/>
            </w:tcMar>
            <w:hideMark/>
          </w:tcPr>
          <w:p w14:paraId="54617429"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Mar>
              <w:top w:w="14" w:type="dxa"/>
              <w:left w:w="15" w:type="dxa"/>
              <w:bottom w:w="15" w:type="dxa"/>
              <w:right w:w="14" w:type="dxa"/>
            </w:tcMar>
            <w:hideMark/>
          </w:tcPr>
          <w:p w14:paraId="39B22967"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bl>
    <w:p w14:paraId="13156EC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3846AB5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If an emerging growth company, indicate by check mark if the registrant has elected not to use the extended transition period for complying with any new or revised financial accounting standards pursuant to Section 13(a) of the Exchange Act. </w:t>
      </w:r>
      <w:r w:rsidRPr="004B2A77">
        <w:rPr>
          <w:rFonts w:ascii="Segoe UI Symbol" w:eastAsia="宋体" w:hAnsi="Segoe UI Symbol" w:cs="Segoe UI Symbol"/>
          <w:color w:val="000000"/>
          <w:kern w:val="0"/>
          <w:sz w:val="16"/>
          <w:szCs w:val="16"/>
        </w:rPr>
        <w:t>☐</w:t>
      </w:r>
    </w:p>
    <w:p w14:paraId="0A27450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1F8FE80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Indicate by check mark whether the registrant has filed a report on and attestation to its management’s assessment of the effectiveness of its internal control over financial reporting under Section 404(b) of the Sarbanes-Oxley Act (15 U.S.C. 7262 (b)) by the registered public accounting firm that prepared or issued its audit report. </w:t>
      </w:r>
      <w:r w:rsidRPr="004B2A77">
        <w:rPr>
          <w:rFonts w:ascii="Segoe UI Symbol" w:eastAsia="宋体" w:hAnsi="Segoe UI Symbol" w:cs="Segoe UI Symbol"/>
          <w:color w:val="000000"/>
          <w:kern w:val="0"/>
          <w:sz w:val="16"/>
          <w:szCs w:val="16"/>
        </w:rPr>
        <w:t>☒</w:t>
      </w:r>
    </w:p>
    <w:p w14:paraId="6EC4F6C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153C573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If securities are registered pursuant to Section 12(b) of the Act, indicate by check mark whether the financial statements of the registrant included in the filing reflect the correction of an error to previously issued financial statements. </w:t>
      </w:r>
      <w:r w:rsidRPr="004B2A77">
        <w:rPr>
          <w:rFonts w:ascii="Segoe UI Symbol" w:eastAsia="宋体" w:hAnsi="Segoe UI Symbol" w:cs="Segoe UI Symbol"/>
          <w:color w:val="000000"/>
          <w:kern w:val="0"/>
          <w:sz w:val="16"/>
          <w:szCs w:val="16"/>
        </w:rPr>
        <w:t>☐</w:t>
      </w:r>
    </w:p>
    <w:p w14:paraId="46EB66F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w:t>
      </w:r>
    </w:p>
    <w:p w14:paraId="4FD93D1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Indicate by check mark whether any of those error corrections are restatements that required a recovery analysis of incentive-based compensation received by any of the registrant’s executive oﬃcers during the relevant recovery period pursuant to §240.10D-1(b). </w:t>
      </w:r>
      <w:r w:rsidRPr="004B2A77">
        <w:rPr>
          <w:rFonts w:ascii="Segoe UI Symbol" w:eastAsia="宋体" w:hAnsi="Segoe UI Symbol" w:cs="Segoe UI Symbol"/>
          <w:color w:val="000000"/>
          <w:kern w:val="0"/>
          <w:sz w:val="16"/>
          <w:szCs w:val="16"/>
        </w:rPr>
        <w:t>☐</w:t>
      </w:r>
    </w:p>
    <w:p w14:paraId="5C085EE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482DF12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Indicate by check mark whether the registrant is a shell company (as defined in Rule 12b-2 of the Act). Yes: </w:t>
      </w:r>
      <w:r w:rsidRPr="004B2A77">
        <w:rPr>
          <w:rFonts w:ascii="Segoe UI Symbol" w:eastAsia="宋体" w:hAnsi="Segoe UI Symbol" w:cs="Segoe UI Symbol"/>
          <w:color w:val="000000"/>
          <w:kern w:val="0"/>
          <w:sz w:val="16"/>
          <w:szCs w:val="16"/>
        </w:rPr>
        <w:t>☐</w:t>
      </w:r>
      <w:r w:rsidRPr="004B2A77">
        <w:rPr>
          <w:rFonts w:ascii="Arial" w:eastAsia="宋体" w:hAnsi="Arial" w:cs="Arial"/>
          <w:color w:val="000000"/>
          <w:kern w:val="0"/>
          <w:sz w:val="16"/>
          <w:szCs w:val="16"/>
        </w:rPr>
        <w:t xml:space="preserve"> No: </w:t>
      </w:r>
      <w:r w:rsidRPr="004B2A77">
        <w:rPr>
          <w:rFonts w:ascii="Segoe UI Symbol" w:eastAsia="宋体" w:hAnsi="Segoe UI Symbol" w:cs="Segoe UI Symbol"/>
          <w:color w:val="000000"/>
          <w:kern w:val="0"/>
          <w:sz w:val="16"/>
          <w:szCs w:val="16"/>
        </w:rPr>
        <w:t>☒</w:t>
      </w:r>
    </w:p>
    <w:p w14:paraId="25893D3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1CFE048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The aggregate market value of the voting and non-voting common equity of Autoliv, Inc. held by non-affiliates as of the last business day of the second fiscal quarter of 2022 amounted to $6,233 million.</w:t>
      </w:r>
    </w:p>
    <w:p w14:paraId="57FF921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029381C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Number of shares of Common Stock outstanding as of February 8, 2023: 86,189,790.</w:t>
      </w:r>
    </w:p>
    <w:p w14:paraId="6FE65C7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73767C1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Auditor Firm Id: 1433 Auditor Name: Ernst &amp; Young AB Auditor Location: Stockholm, Sweden</w:t>
      </w:r>
    </w:p>
    <w:p w14:paraId="2383E2D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lastRenderedPageBreak/>
        <w:t> </w:t>
      </w:r>
    </w:p>
    <w:p w14:paraId="15A118A9"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w:t>
      </w:r>
    </w:p>
    <w:p w14:paraId="603BCFBA"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6"/>
          <w:szCs w:val="16"/>
        </w:rPr>
        <w:t>DOCUMENTS INCORPORATED BY REFERENCE</w:t>
      </w:r>
    </w:p>
    <w:p w14:paraId="719D059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2FEC1E5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Portions of the registrant’s definitive Proxy Statement for the annual stockholders’ meeting to be held on May 11, 2023, to be dated on or around March 23, 2023 (the “2023 Proxy Statement”), are incorporated by reference into Part III of this Annual Report on Form 10-K. The 2023 Proxy Statement will be filed with the U.S. Securities and Exchange Commission within 120 days after December 31, 2022.</w:t>
      </w:r>
    </w:p>
    <w:p w14:paraId="1055ABB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41A9E58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DD70F30"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0BBF306">
          <v:rect id="_x0000_i1025" style="width:0;height:1.5pt" o:hralign="center" o:hrstd="t" o:hrnoshade="t" o:hr="t" fillcolor="black" stroked="f"/>
        </w:pict>
      </w:r>
    </w:p>
    <w:p w14:paraId="2E6E5F2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B465122"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AUTOLIV, INC.</w:t>
      </w:r>
    </w:p>
    <w:p w14:paraId="33A374FF"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Index</w:t>
      </w:r>
    </w:p>
    <w:p w14:paraId="20CC26D7"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615"/>
        <w:gridCol w:w="475"/>
        <w:gridCol w:w="17276"/>
        <w:gridCol w:w="1248"/>
      </w:tblGrid>
      <w:tr w:rsidR="004B2A77" w:rsidRPr="004B2A77" w14:paraId="5D3050B8" w14:textId="77777777" w:rsidTr="004B2A77">
        <w:trPr>
          <w:tblCellSpacing w:w="15" w:type="dxa"/>
        </w:trPr>
        <w:tc>
          <w:tcPr>
            <w:tcW w:w="1571" w:type="dxa"/>
            <w:vAlign w:val="center"/>
            <w:hideMark/>
          </w:tcPr>
          <w:p w14:paraId="52FAD587"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446" w:type="dxa"/>
            <w:vAlign w:val="center"/>
            <w:hideMark/>
          </w:tcPr>
          <w:p w14:paraId="7BDE8A8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273" w:type="dxa"/>
            <w:vAlign w:val="center"/>
            <w:hideMark/>
          </w:tcPr>
          <w:p w14:paraId="23768D1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5" w:type="dxa"/>
            <w:vAlign w:val="center"/>
            <w:hideMark/>
          </w:tcPr>
          <w:p w14:paraId="160F1F4B"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F55D1D0" w14:textId="77777777" w:rsidTr="004B2A77">
        <w:trPr>
          <w:trHeight w:val="180"/>
          <w:tblCellSpacing w:w="15" w:type="dxa"/>
        </w:trPr>
        <w:tc>
          <w:tcPr>
            <w:tcW w:w="0" w:type="auto"/>
            <w:gridSpan w:val="4"/>
            <w:hideMark/>
          </w:tcPr>
          <w:p w14:paraId="21957FD5" w14:textId="77777777" w:rsidR="004B2A77" w:rsidRPr="004B2A77" w:rsidRDefault="004B2A77" w:rsidP="004B2A77">
            <w:pPr>
              <w:widowControl/>
              <w:jc w:val="center"/>
              <w:rPr>
                <w:rFonts w:ascii="Times New Roman" w:eastAsia="微软雅黑" w:hAnsi="Times New Roman" w:cs="Times New Roman"/>
                <w:kern w:val="0"/>
                <w:sz w:val="18"/>
                <w:szCs w:val="18"/>
              </w:rPr>
            </w:pPr>
            <w:hyperlink r:id="rId6" w:anchor="part_i" w:history="1">
              <w:r w:rsidRPr="004B2A77">
                <w:rPr>
                  <w:rFonts w:ascii="Arial" w:eastAsia="微软雅黑" w:hAnsi="Arial" w:cs="Arial"/>
                  <w:b/>
                  <w:bCs/>
                  <w:color w:val="0000FF"/>
                  <w:kern w:val="0"/>
                  <w:sz w:val="18"/>
                  <w:szCs w:val="18"/>
                  <w:u w:val="single"/>
                </w:rPr>
                <w:t>PART I</w:t>
              </w:r>
            </w:hyperlink>
          </w:p>
        </w:tc>
      </w:tr>
      <w:tr w:rsidR="004B2A77" w:rsidRPr="004B2A77" w14:paraId="58593C06" w14:textId="77777777" w:rsidTr="004B2A77">
        <w:trPr>
          <w:tblCellSpacing w:w="15" w:type="dxa"/>
        </w:trPr>
        <w:tc>
          <w:tcPr>
            <w:tcW w:w="0" w:type="auto"/>
            <w:hideMark/>
          </w:tcPr>
          <w:p w14:paraId="1A5F04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4A438B9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1C4FB7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9504AF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780566B" w14:textId="77777777" w:rsidTr="004B2A77">
        <w:trPr>
          <w:trHeight w:val="180"/>
          <w:tblCellSpacing w:w="15" w:type="dxa"/>
        </w:trPr>
        <w:tc>
          <w:tcPr>
            <w:tcW w:w="0" w:type="auto"/>
            <w:hideMark/>
          </w:tcPr>
          <w:p w14:paraId="72609E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w:t>
            </w:r>
          </w:p>
        </w:tc>
        <w:tc>
          <w:tcPr>
            <w:tcW w:w="0" w:type="auto"/>
            <w:hideMark/>
          </w:tcPr>
          <w:p w14:paraId="7FBCCCE5"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090D6A66"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 w:anchor="item_1_business" w:history="1">
              <w:r w:rsidRPr="004B2A77">
                <w:rPr>
                  <w:rFonts w:ascii="Arial" w:eastAsia="微软雅黑" w:hAnsi="Arial" w:cs="Arial"/>
                  <w:color w:val="0000FF"/>
                  <w:kern w:val="0"/>
                  <w:sz w:val="18"/>
                  <w:szCs w:val="18"/>
                  <w:u w:val="single"/>
                </w:rPr>
                <w:t>Business</w:t>
              </w:r>
            </w:hyperlink>
          </w:p>
        </w:tc>
        <w:tc>
          <w:tcPr>
            <w:tcW w:w="0" w:type="auto"/>
            <w:hideMark/>
          </w:tcPr>
          <w:p w14:paraId="62B7929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r>
      <w:tr w:rsidR="004B2A77" w:rsidRPr="004B2A77" w14:paraId="5CEE0CEB" w14:textId="77777777" w:rsidTr="004B2A77">
        <w:trPr>
          <w:trHeight w:val="180"/>
          <w:tblCellSpacing w:w="15" w:type="dxa"/>
        </w:trPr>
        <w:tc>
          <w:tcPr>
            <w:tcW w:w="0" w:type="auto"/>
            <w:hideMark/>
          </w:tcPr>
          <w:p w14:paraId="518028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1A.</w:t>
            </w:r>
          </w:p>
        </w:tc>
        <w:tc>
          <w:tcPr>
            <w:tcW w:w="0" w:type="auto"/>
            <w:hideMark/>
          </w:tcPr>
          <w:p w14:paraId="3C98EA9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516CCA9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 w:anchor="item_1a_risk_factors" w:history="1">
              <w:r w:rsidRPr="004B2A77">
                <w:rPr>
                  <w:rFonts w:ascii="Arial" w:eastAsia="微软雅黑" w:hAnsi="Arial" w:cs="Arial"/>
                  <w:color w:val="0000FF"/>
                  <w:kern w:val="0"/>
                  <w:sz w:val="18"/>
                  <w:szCs w:val="18"/>
                  <w:u w:val="single"/>
                </w:rPr>
                <w:t>Risk Factors</w:t>
              </w:r>
            </w:hyperlink>
          </w:p>
        </w:tc>
        <w:tc>
          <w:tcPr>
            <w:tcW w:w="0" w:type="auto"/>
            <w:hideMark/>
          </w:tcPr>
          <w:p w14:paraId="55A603D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w:t>
            </w:r>
          </w:p>
        </w:tc>
      </w:tr>
      <w:tr w:rsidR="004B2A77" w:rsidRPr="004B2A77" w14:paraId="4CFFD61C" w14:textId="77777777" w:rsidTr="004B2A77">
        <w:trPr>
          <w:trHeight w:val="180"/>
          <w:tblCellSpacing w:w="15" w:type="dxa"/>
        </w:trPr>
        <w:tc>
          <w:tcPr>
            <w:tcW w:w="0" w:type="auto"/>
            <w:hideMark/>
          </w:tcPr>
          <w:p w14:paraId="33728D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1B.</w:t>
            </w:r>
          </w:p>
        </w:tc>
        <w:tc>
          <w:tcPr>
            <w:tcW w:w="0" w:type="auto"/>
            <w:hideMark/>
          </w:tcPr>
          <w:p w14:paraId="4CBCA9C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CC9EC7D"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9" w:anchor="item_1b_unresolved_staff_comments" w:history="1">
              <w:r w:rsidRPr="004B2A77">
                <w:rPr>
                  <w:rFonts w:ascii="Arial" w:eastAsia="微软雅黑" w:hAnsi="Arial" w:cs="Arial"/>
                  <w:color w:val="0000FF"/>
                  <w:kern w:val="0"/>
                  <w:sz w:val="18"/>
                  <w:szCs w:val="18"/>
                  <w:u w:val="single"/>
                </w:rPr>
                <w:t>Unresolved Staff Comments</w:t>
              </w:r>
            </w:hyperlink>
          </w:p>
        </w:tc>
        <w:tc>
          <w:tcPr>
            <w:tcW w:w="0" w:type="auto"/>
            <w:hideMark/>
          </w:tcPr>
          <w:p w14:paraId="6982764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23</w:t>
            </w:r>
          </w:p>
        </w:tc>
      </w:tr>
      <w:tr w:rsidR="004B2A77" w:rsidRPr="004B2A77" w14:paraId="5C47C672" w14:textId="77777777" w:rsidTr="004B2A77">
        <w:trPr>
          <w:trHeight w:val="180"/>
          <w:tblCellSpacing w:w="15" w:type="dxa"/>
        </w:trPr>
        <w:tc>
          <w:tcPr>
            <w:tcW w:w="0" w:type="auto"/>
            <w:hideMark/>
          </w:tcPr>
          <w:p w14:paraId="0DC5CD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2.</w:t>
            </w:r>
          </w:p>
        </w:tc>
        <w:tc>
          <w:tcPr>
            <w:tcW w:w="0" w:type="auto"/>
            <w:hideMark/>
          </w:tcPr>
          <w:p w14:paraId="787BFFE7"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48154C6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0" w:anchor="item_2_properties" w:history="1">
              <w:r w:rsidRPr="004B2A77">
                <w:rPr>
                  <w:rFonts w:ascii="Arial" w:eastAsia="微软雅黑" w:hAnsi="Arial" w:cs="Arial"/>
                  <w:color w:val="0000FF"/>
                  <w:kern w:val="0"/>
                  <w:sz w:val="18"/>
                  <w:szCs w:val="18"/>
                  <w:u w:val="single"/>
                </w:rPr>
                <w:t>Properties</w:t>
              </w:r>
            </w:hyperlink>
          </w:p>
        </w:tc>
        <w:tc>
          <w:tcPr>
            <w:tcW w:w="0" w:type="auto"/>
            <w:hideMark/>
          </w:tcPr>
          <w:p w14:paraId="7422208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24</w:t>
            </w:r>
          </w:p>
        </w:tc>
      </w:tr>
      <w:tr w:rsidR="004B2A77" w:rsidRPr="004B2A77" w14:paraId="22F14463" w14:textId="77777777" w:rsidTr="004B2A77">
        <w:trPr>
          <w:trHeight w:val="180"/>
          <w:tblCellSpacing w:w="15" w:type="dxa"/>
        </w:trPr>
        <w:tc>
          <w:tcPr>
            <w:tcW w:w="0" w:type="auto"/>
            <w:hideMark/>
          </w:tcPr>
          <w:p w14:paraId="4894DB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3.</w:t>
            </w:r>
          </w:p>
        </w:tc>
        <w:tc>
          <w:tcPr>
            <w:tcW w:w="0" w:type="auto"/>
            <w:hideMark/>
          </w:tcPr>
          <w:p w14:paraId="11BF5AE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50DFC18"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1" w:anchor="item_3_legal_proceedings" w:history="1">
              <w:r w:rsidRPr="004B2A77">
                <w:rPr>
                  <w:rFonts w:ascii="Arial" w:eastAsia="微软雅黑" w:hAnsi="Arial" w:cs="Arial"/>
                  <w:color w:val="0000FF"/>
                  <w:kern w:val="0"/>
                  <w:sz w:val="18"/>
                  <w:szCs w:val="18"/>
                  <w:u w:val="single"/>
                </w:rPr>
                <w:t>Legal Proceedings</w:t>
              </w:r>
            </w:hyperlink>
          </w:p>
        </w:tc>
        <w:tc>
          <w:tcPr>
            <w:tcW w:w="0" w:type="auto"/>
            <w:hideMark/>
          </w:tcPr>
          <w:p w14:paraId="348D11D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27</w:t>
            </w:r>
          </w:p>
        </w:tc>
      </w:tr>
      <w:tr w:rsidR="004B2A77" w:rsidRPr="004B2A77" w14:paraId="208BFBE8" w14:textId="77777777" w:rsidTr="004B2A77">
        <w:trPr>
          <w:trHeight w:val="180"/>
          <w:tblCellSpacing w:w="15" w:type="dxa"/>
        </w:trPr>
        <w:tc>
          <w:tcPr>
            <w:tcW w:w="0" w:type="auto"/>
            <w:hideMark/>
          </w:tcPr>
          <w:p w14:paraId="1CD94C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4.</w:t>
            </w:r>
          </w:p>
        </w:tc>
        <w:tc>
          <w:tcPr>
            <w:tcW w:w="0" w:type="auto"/>
            <w:hideMark/>
          </w:tcPr>
          <w:p w14:paraId="5747708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AB3E046"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2" w:anchor="item_4_mine_safety_disclosures" w:history="1">
              <w:r w:rsidRPr="004B2A77">
                <w:rPr>
                  <w:rFonts w:ascii="Arial" w:eastAsia="微软雅黑" w:hAnsi="Arial" w:cs="Arial"/>
                  <w:color w:val="0000FF"/>
                  <w:kern w:val="0"/>
                  <w:sz w:val="18"/>
                  <w:szCs w:val="18"/>
                  <w:u w:val="single"/>
                </w:rPr>
                <w:t>Mine Safety Disclosures</w:t>
              </w:r>
            </w:hyperlink>
          </w:p>
        </w:tc>
        <w:tc>
          <w:tcPr>
            <w:tcW w:w="0" w:type="auto"/>
            <w:hideMark/>
          </w:tcPr>
          <w:p w14:paraId="11AFCE5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27</w:t>
            </w:r>
          </w:p>
        </w:tc>
      </w:tr>
      <w:tr w:rsidR="004B2A77" w:rsidRPr="004B2A77" w14:paraId="72B42D8E" w14:textId="77777777" w:rsidTr="004B2A77">
        <w:trPr>
          <w:tblCellSpacing w:w="15" w:type="dxa"/>
        </w:trPr>
        <w:tc>
          <w:tcPr>
            <w:tcW w:w="0" w:type="auto"/>
            <w:hideMark/>
          </w:tcPr>
          <w:p w14:paraId="354BC960"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7793667"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4028CEAE"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788DCB1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31F3987F" w14:textId="77777777" w:rsidTr="004B2A77">
        <w:trPr>
          <w:trHeight w:val="180"/>
          <w:tblCellSpacing w:w="15" w:type="dxa"/>
        </w:trPr>
        <w:tc>
          <w:tcPr>
            <w:tcW w:w="0" w:type="auto"/>
            <w:gridSpan w:val="4"/>
            <w:hideMark/>
          </w:tcPr>
          <w:p w14:paraId="05448D76" w14:textId="77777777" w:rsidR="004B2A77" w:rsidRPr="004B2A77" w:rsidRDefault="004B2A77" w:rsidP="004B2A77">
            <w:pPr>
              <w:widowControl/>
              <w:jc w:val="center"/>
              <w:rPr>
                <w:rFonts w:ascii="Times New Roman" w:eastAsia="微软雅黑" w:hAnsi="Times New Roman" w:cs="Times New Roman"/>
                <w:kern w:val="0"/>
                <w:sz w:val="18"/>
                <w:szCs w:val="18"/>
              </w:rPr>
            </w:pPr>
            <w:hyperlink r:id="rId13" w:anchor="part_ii" w:history="1">
              <w:r w:rsidRPr="004B2A77">
                <w:rPr>
                  <w:rFonts w:ascii="Arial" w:eastAsia="微软雅黑" w:hAnsi="Arial" w:cs="Arial"/>
                  <w:b/>
                  <w:bCs/>
                  <w:color w:val="0000FF"/>
                  <w:kern w:val="0"/>
                  <w:sz w:val="18"/>
                  <w:szCs w:val="18"/>
                  <w:u w:val="single"/>
                </w:rPr>
                <w:t>PART II</w:t>
              </w:r>
            </w:hyperlink>
          </w:p>
        </w:tc>
      </w:tr>
      <w:tr w:rsidR="004B2A77" w:rsidRPr="004B2A77" w14:paraId="30997708" w14:textId="77777777" w:rsidTr="004B2A77">
        <w:trPr>
          <w:tblCellSpacing w:w="15" w:type="dxa"/>
        </w:trPr>
        <w:tc>
          <w:tcPr>
            <w:tcW w:w="0" w:type="auto"/>
            <w:hideMark/>
          </w:tcPr>
          <w:p w14:paraId="692E158E"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27FDC520"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4D801C9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46D6918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68A353B2" w14:textId="77777777" w:rsidTr="004B2A77">
        <w:trPr>
          <w:trHeight w:val="180"/>
          <w:tblCellSpacing w:w="15" w:type="dxa"/>
        </w:trPr>
        <w:tc>
          <w:tcPr>
            <w:tcW w:w="0" w:type="auto"/>
            <w:hideMark/>
          </w:tcPr>
          <w:p w14:paraId="0A782D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 xml:space="preserve">Item 5. </w:t>
            </w:r>
          </w:p>
        </w:tc>
        <w:tc>
          <w:tcPr>
            <w:tcW w:w="0" w:type="auto"/>
            <w:hideMark/>
          </w:tcPr>
          <w:p w14:paraId="3F88688C"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F1F9A73"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4" w:anchor="item_5_market_for_registrants_common_equ" w:history="1">
              <w:r w:rsidRPr="004B2A77">
                <w:rPr>
                  <w:rFonts w:ascii="Arial" w:eastAsia="微软雅黑" w:hAnsi="Arial" w:cs="Arial"/>
                  <w:color w:val="0000FF"/>
                  <w:kern w:val="0"/>
                  <w:sz w:val="18"/>
                  <w:szCs w:val="18"/>
                  <w:u w:val="single"/>
                </w:rPr>
                <w:t>Market for Registrant’s Common Equity, Related Stockholder Matters and Issuer Purchases of Equity Securities</w:t>
              </w:r>
            </w:hyperlink>
          </w:p>
        </w:tc>
        <w:tc>
          <w:tcPr>
            <w:tcW w:w="0" w:type="auto"/>
            <w:hideMark/>
          </w:tcPr>
          <w:p w14:paraId="2A75149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28</w:t>
            </w:r>
          </w:p>
        </w:tc>
      </w:tr>
      <w:tr w:rsidR="004B2A77" w:rsidRPr="004B2A77" w14:paraId="718D1866" w14:textId="77777777" w:rsidTr="004B2A77">
        <w:trPr>
          <w:trHeight w:val="180"/>
          <w:tblCellSpacing w:w="15" w:type="dxa"/>
        </w:trPr>
        <w:tc>
          <w:tcPr>
            <w:tcW w:w="0" w:type="auto"/>
            <w:hideMark/>
          </w:tcPr>
          <w:p w14:paraId="5CCEBD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 xml:space="preserve">Item 6. </w:t>
            </w:r>
          </w:p>
        </w:tc>
        <w:tc>
          <w:tcPr>
            <w:tcW w:w="0" w:type="auto"/>
            <w:hideMark/>
          </w:tcPr>
          <w:p w14:paraId="023604C5"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D61A3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FF"/>
                <w:kern w:val="0"/>
                <w:sz w:val="18"/>
                <w:szCs w:val="18"/>
              </w:rPr>
              <w:t>[Reserved]</w:t>
            </w:r>
          </w:p>
        </w:tc>
        <w:tc>
          <w:tcPr>
            <w:tcW w:w="0" w:type="auto"/>
            <w:hideMark/>
          </w:tcPr>
          <w:p w14:paraId="55CB411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Times New Roman" w:eastAsia="微软雅黑" w:hAnsi="Times New Roman" w:cs="Times New Roman"/>
                <w:kern w:val="0"/>
                <w:sz w:val="20"/>
                <w:szCs w:val="20"/>
              </w:rPr>
              <w:t> </w:t>
            </w:r>
          </w:p>
        </w:tc>
      </w:tr>
      <w:tr w:rsidR="004B2A77" w:rsidRPr="004B2A77" w14:paraId="55B5375A" w14:textId="77777777" w:rsidTr="004B2A77">
        <w:trPr>
          <w:trHeight w:val="180"/>
          <w:tblCellSpacing w:w="15" w:type="dxa"/>
        </w:trPr>
        <w:tc>
          <w:tcPr>
            <w:tcW w:w="0" w:type="auto"/>
            <w:hideMark/>
          </w:tcPr>
          <w:p w14:paraId="4CEDE3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 xml:space="preserve">Item 7. </w:t>
            </w:r>
          </w:p>
        </w:tc>
        <w:tc>
          <w:tcPr>
            <w:tcW w:w="0" w:type="auto"/>
            <w:hideMark/>
          </w:tcPr>
          <w:p w14:paraId="5D38263F"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4E203952"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5" w:anchor="item_7_managements_discussion_analysis_f" w:history="1">
              <w:r w:rsidRPr="004B2A77">
                <w:rPr>
                  <w:rFonts w:ascii="Arial" w:eastAsia="微软雅黑" w:hAnsi="Arial" w:cs="Arial"/>
                  <w:color w:val="0000FF"/>
                  <w:kern w:val="0"/>
                  <w:sz w:val="18"/>
                  <w:szCs w:val="18"/>
                  <w:u w:val="single"/>
                </w:rPr>
                <w:t>Management’s Discussion and Analysis of Financial Condition and Results of Operations</w:t>
              </w:r>
            </w:hyperlink>
          </w:p>
        </w:tc>
        <w:tc>
          <w:tcPr>
            <w:tcW w:w="0" w:type="auto"/>
            <w:hideMark/>
          </w:tcPr>
          <w:p w14:paraId="4543D0F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31</w:t>
            </w:r>
          </w:p>
        </w:tc>
      </w:tr>
      <w:tr w:rsidR="004B2A77" w:rsidRPr="004B2A77" w14:paraId="5CD95015" w14:textId="77777777" w:rsidTr="004B2A77">
        <w:trPr>
          <w:trHeight w:val="180"/>
          <w:tblCellSpacing w:w="15" w:type="dxa"/>
        </w:trPr>
        <w:tc>
          <w:tcPr>
            <w:tcW w:w="0" w:type="auto"/>
            <w:hideMark/>
          </w:tcPr>
          <w:p w14:paraId="24194F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7A.</w:t>
            </w:r>
          </w:p>
        </w:tc>
        <w:tc>
          <w:tcPr>
            <w:tcW w:w="0" w:type="auto"/>
            <w:hideMark/>
          </w:tcPr>
          <w:p w14:paraId="7A094A0F"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516B2180"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6" w:anchor="item_7a_quantitative_qualitative_disclos" w:history="1">
              <w:r w:rsidRPr="004B2A77">
                <w:rPr>
                  <w:rFonts w:ascii="Arial" w:eastAsia="微软雅黑" w:hAnsi="Arial" w:cs="Arial"/>
                  <w:color w:val="0000FF"/>
                  <w:kern w:val="0"/>
                  <w:sz w:val="18"/>
                  <w:szCs w:val="18"/>
                  <w:u w:val="single"/>
                </w:rPr>
                <w:t>Quantitative and Qualitative Disclosures about Market Risk</w:t>
              </w:r>
            </w:hyperlink>
          </w:p>
        </w:tc>
        <w:tc>
          <w:tcPr>
            <w:tcW w:w="0" w:type="auto"/>
            <w:hideMark/>
          </w:tcPr>
          <w:p w14:paraId="15F115A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50</w:t>
            </w:r>
          </w:p>
        </w:tc>
      </w:tr>
      <w:tr w:rsidR="004B2A77" w:rsidRPr="004B2A77" w14:paraId="0E91DF6B" w14:textId="77777777" w:rsidTr="004B2A77">
        <w:trPr>
          <w:trHeight w:val="180"/>
          <w:tblCellSpacing w:w="15" w:type="dxa"/>
        </w:trPr>
        <w:tc>
          <w:tcPr>
            <w:tcW w:w="0" w:type="auto"/>
            <w:hideMark/>
          </w:tcPr>
          <w:p w14:paraId="17E225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 xml:space="preserve">Item 8. </w:t>
            </w:r>
          </w:p>
        </w:tc>
        <w:tc>
          <w:tcPr>
            <w:tcW w:w="0" w:type="auto"/>
            <w:hideMark/>
          </w:tcPr>
          <w:p w14:paraId="59BF9A80"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2697122B"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7" w:anchor="item_8_financial_statements_supplementar" w:history="1">
              <w:r w:rsidRPr="004B2A77">
                <w:rPr>
                  <w:rFonts w:ascii="Arial" w:eastAsia="微软雅黑" w:hAnsi="Arial" w:cs="Arial"/>
                  <w:color w:val="0000FF"/>
                  <w:kern w:val="0"/>
                  <w:sz w:val="18"/>
                  <w:szCs w:val="18"/>
                  <w:u w:val="single"/>
                </w:rPr>
                <w:t>Financial Statements and Supplementary Data</w:t>
              </w:r>
            </w:hyperlink>
          </w:p>
        </w:tc>
        <w:tc>
          <w:tcPr>
            <w:tcW w:w="0" w:type="auto"/>
            <w:hideMark/>
          </w:tcPr>
          <w:p w14:paraId="0CA0C42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52</w:t>
            </w:r>
          </w:p>
        </w:tc>
      </w:tr>
      <w:tr w:rsidR="004B2A77" w:rsidRPr="004B2A77" w14:paraId="738C5D16" w14:textId="77777777" w:rsidTr="004B2A77">
        <w:trPr>
          <w:trHeight w:val="180"/>
          <w:tblCellSpacing w:w="15" w:type="dxa"/>
        </w:trPr>
        <w:tc>
          <w:tcPr>
            <w:tcW w:w="0" w:type="auto"/>
            <w:hideMark/>
          </w:tcPr>
          <w:p w14:paraId="0D34B7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 xml:space="preserve">Item 9. </w:t>
            </w:r>
          </w:p>
        </w:tc>
        <w:tc>
          <w:tcPr>
            <w:tcW w:w="0" w:type="auto"/>
            <w:hideMark/>
          </w:tcPr>
          <w:p w14:paraId="3A7B3811"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2422B7CC"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8" w:anchor="item_9_changes_in_disagreements_with_acc" w:history="1">
              <w:r w:rsidRPr="004B2A77">
                <w:rPr>
                  <w:rFonts w:ascii="Arial" w:eastAsia="微软雅黑" w:hAnsi="Arial" w:cs="Arial"/>
                  <w:color w:val="0000FF"/>
                  <w:kern w:val="0"/>
                  <w:sz w:val="18"/>
                  <w:szCs w:val="18"/>
                  <w:u w:val="single"/>
                </w:rPr>
                <w:t>Changes in and Disagreements with Accountants on Accounting and Financial Disclosure</w:t>
              </w:r>
            </w:hyperlink>
          </w:p>
        </w:tc>
        <w:tc>
          <w:tcPr>
            <w:tcW w:w="0" w:type="auto"/>
            <w:hideMark/>
          </w:tcPr>
          <w:p w14:paraId="62F1DBD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90</w:t>
            </w:r>
          </w:p>
        </w:tc>
      </w:tr>
      <w:tr w:rsidR="004B2A77" w:rsidRPr="004B2A77" w14:paraId="4AEAA936" w14:textId="77777777" w:rsidTr="004B2A77">
        <w:trPr>
          <w:trHeight w:val="180"/>
          <w:tblCellSpacing w:w="15" w:type="dxa"/>
        </w:trPr>
        <w:tc>
          <w:tcPr>
            <w:tcW w:w="0" w:type="auto"/>
            <w:hideMark/>
          </w:tcPr>
          <w:p w14:paraId="6ADC10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9A.</w:t>
            </w:r>
          </w:p>
        </w:tc>
        <w:tc>
          <w:tcPr>
            <w:tcW w:w="0" w:type="auto"/>
            <w:hideMark/>
          </w:tcPr>
          <w:p w14:paraId="177F386A"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06A3FD6C"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19" w:anchor="item_9a_controls_procedures" w:history="1">
              <w:r w:rsidRPr="004B2A77">
                <w:rPr>
                  <w:rFonts w:ascii="Arial" w:eastAsia="微软雅黑" w:hAnsi="Arial" w:cs="Arial"/>
                  <w:color w:val="0000FF"/>
                  <w:kern w:val="0"/>
                  <w:sz w:val="18"/>
                  <w:szCs w:val="18"/>
                  <w:u w:val="single"/>
                </w:rPr>
                <w:t>Controls and Procedures</w:t>
              </w:r>
            </w:hyperlink>
          </w:p>
        </w:tc>
        <w:tc>
          <w:tcPr>
            <w:tcW w:w="0" w:type="auto"/>
            <w:hideMark/>
          </w:tcPr>
          <w:p w14:paraId="5C3DD39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90</w:t>
            </w:r>
          </w:p>
        </w:tc>
      </w:tr>
      <w:tr w:rsidR="004B2A77" w:rsidRPr="004B2A77" w14:paraId="3C709D3D" w14:textId="77777777" w:rsidTr="004B2A77">
        <w:trPr>
          <w:trHeight w:val="180"/>
          <w:tblCellSpacing w:w="15" w:type="dxa"/>
        </w:trPr>
        <w:tc>
          <w:tcPr>
            <w:tcW w:w="0" w:type="auto"/>
            <w:hideMark/>
          </w:tcPr>
          <w:p w14:paraId="276A4B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9B.</w:t>
            </w:r>
          </w:p>
        </w:tc>
        <w:tc>
          <w:tcPr>
            <w:tcW w:w="0" w:type="auto"/>
            <w:hideMark/>
          </w:tcPr>
          <w:p w14:paraId="33D74B72"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5762E07"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20" w:anchor="item_9b_or_information" w:history="1">
              <w:r w:rsidRPr="004B2A77">
                <w:rPr>
                  <w:rFonts w:ascii="Arial" w:eastAsia="微软雅黑" w:hAnsi="Arial" w:cs="Arial"/>
                  <w:color w:val="0000FF"/>
                  <w:kern w:val="0"/>
                  <w:sz w:val="18"/>
                  <w:szCs w:val="18"/>
                  <w:u w:val="single"/>
                </w:rPr>
                <w:t>Other Information</w:t>
              </w:r>
            </w:hyperlink>
          </w:p>
        </w:tc>
        <w:tc>
          <w:tcPr>
            <w:tcW w:w="0" w:type="auto"/>
            <w:hideMark/>
          </w:tcPr>
          <w:p w14:paraId="01D0A5A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90</w:t>
            </w:r>
          </w:p>
        </w:tc>
      </w:tr>
      <w:tr w:rsidR="004B2A77" w:rsidRPr="004B2A77" w14:paraId="41C2EEF6" w14:textId="77777777" w:rsidTr="004B2A77">
        <w:trPr>
          <w:tblCellSpacing w:w="15" w:type="dxa"/>
        </w:trPr>
        <w:tc>
          <w:tcPr>
            <w:tcW w:w="0" w:type="auto"/>
            <w:hideMark/>
          </w:tcPr>
          <w:p w14:paraId="474CFA43"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F29C9A8"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12A32C2"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AEA18B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787BF9AB" w14:textId="77777777" w:rsidTr="004B2A77">
        <w:trPr>
          <w:trHeight w:val="180"/>
          <w:tblCellSpacing w:w="15" w:type="dxa"/>
        </w:trPr>
        <w:tc>
          <w:tcPr>
            <w:tcW w:w="0" w:type="auto"/>
            <w:gridSpan w:val="4"/>
            <w:hideMark/>
          </w:tcPr>
          <w:p w14:paraId="6E561BF8" w14:textId="77777777" w:rsidR="004B2A77" w:rsidRPr="004B2A77" w:rsidRDefault="004B2A77" w:rsidP="004B2A77">
            <w:pPr>
              <w:widowControl/>
              <w:jc w:val="center"/>
              <w:rPr>
                <w:rFonts w:ascii="Times New Roman" w:eastAsia="微软雅黑" w:hAnsi="Times New Roman" w:cs="Times New Roman"/>
                <w:kern w:val="0"/>
                <w:sz w:val="18"/>
                <w:szCs w:val="18"/>
              </w:rPr>
            </w:pPr>
            <w:hyperlink r:id="rId21" w:anchor="part_iii" w:history="1">
              <w:r w:rsidRPr="004B2A77">
                <w:rPr>
                  <w:rFonts w:ascii="Arial" w:eastAsia="微软雅黑" w:hAnsi="Arial" w:cs="Arial"/>
                  <w:b/>
                  <w:bCs/>
                  <w:color w:val="0000FF"/>
                  <w:kern w:val="0"/>
                  <w:sz w:val="18"/>
                  <w:szCs w:val="18"/>
                  <w:u w:val="single"/>
                </w:rPr>
                <w:t>PART III</w:t>
              </w:r>
            </w:hyperlink>
          </w:p>
        </w:tc>
      </w:tr>
      <w:tr w:rsidR="004B2A77" w:rsidRPr="004B2A77" w14:paraId="1E292F1A" w14:textId="77777777" w:rsidTr="004B2A77">
        <w:trPr>
          <w:tblCellSpacing w:w="15" w:type="dxa"/>
        </w:trPr>
        <w:tc>
          <w:tcPr>
            <w:tcW w:w="0" w:type="auto"/>
            <w:hideMark/>
          </w:tcPr>
          <w:p w14:paraId="472609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194C7714"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2580EAF9"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5DC3087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2A9D51D7" w14:textId="77777777" w:rsidTr="004B2A77">
        <w:trPr>
          <w:trHeight w:val="180"/>
          <w:tblCellSpacing w:w="15" w:type="dxa"/>
        </w:trPr>
        <w:tc>
          <w:tcPr>
            <w:tcW w:w="0" w:type="auto"/>
            <w:hideMark/>
          </w:tcPr>
          <w:p w14:paraId="2D00B8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10.</w:t>
            </w:r>
          </w:p>
        </w:tc>
        <w:tc>
          <w:tcPr>
            <w:tcW w:w="0" w:type="auto"/>
            <w:hideMark/>
          </w:tcPr>
          <w:p w14:paraId="0FBEB82A"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22ABEA5E"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22" w:anchor="item_10_directors_executive_ficers_corpo" w:history="1">
              <w:r w:rsidRPr="004B2A77">
                <w:rPr>
                  <w:rFonts w:ascii="Arial" w:eastAsia="微软雅黑" w:hAnsi="Arial" w:cs="Arial"/>
                  <w:color w:val="0000FF"/>
                  <w:kern w:val="0"/>
                  <w:sz w:val="18"/>
                  <w:szCs w:val="18"/>
                  <w:u w:val="single"/>
                </w:rPr>
                <w:t>Directors, Executive Officers and Corporate Governance</w:t>
              </w:r>
            </w:hyperlink>
          </w:p>
        </w:tc>
        <w:tc>
          <w:tcPr>
            <w:tcW w:w="0" w:type="auto"/>
            <w:hideMark/>
          </w:tcPr>
          <w:p w14:paraId="384ADA1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91</w:t>
            </w:r>
          </w:p>
        </w:tc>
      </w:tr>
      <w:tr w:rsidR="004B2A77" w:rsidRPr="004B2A77" w14:paraId="739E3292" w14:textId="77777777" w:rsidTr="004B2A77">
        <w:trPr>
          <w:trHeight w:val="180"/>
          <w:tblCellSpacing w:w="15" w:type="dxa"/>
        </w:trPr>
        <w:tc>
          <w:tcPr>
            <w:tcW w:w="0" w:type="auto"/>
            <w:hideMark/>
          </w:tcPr>
          <w:p w14:paraId="705962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11.</w:t>
            </w:r>
          </w:p>
        </w:tc>
        <w:tc>
          <w:tcPr>
            <w:tcW w:w="0" w:type="auto"/>
            <w:hideMark/>
          </w:tcPr>
          <w:p w14:paraId="3020ACDC"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70944A9C"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23" w:anchor="item_11_executive_compensation" w:history="1">
              <w:r w:rsidRPr="004B2A77">
                <w:rPr>
                  <w:rFonts w:ascii="Arial" w:eastAsia="微软雅黑" w:hAnsi="Arial" w:cs="Arial"/>
                  <w:color w:val="0000FF"/>
                  <w:kern w:val="0"/>
                  <w:sz w:val="18"/>
                  <w:szCs w:val="18"/>
                  <w:u w:val="single"/>
                </w:rPr>
                <w:t>Executive Compensation</w:t>
              </w:r>
            </w:hyperlink>
          </w:p>
        </w:tc>
        <w:tc>
          <w:tcPr>
            <w:tcW w:w="0" w:type="auto"/>
            <w:hideMark/>
          </w:tcPr>
          <w:p w14:paraId="03FF48F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91</w:t>
            </w:r>
          </w:p>
        </w:tc>
      </w:tr>
      <w:tr w:rsidR="004B2A77" w:rsidRPr="004B2A77" w14:paraId="2CA00B80" w14:textId="77777777" w:rsidTr="004B2A77">
        <w:trPr>
          <w:trHeight w:val="180"/>
          <w:tblCellSpacing w:w="15" w:type="dxa"/>
        </w:trPr>
        <w:tc>
          <w:tcPr>
            <w:tcW w:w="0" w:type="auto"/>
            <w:hideMark/>
          </w:tcPr>
          <w:p w14:paraId="1706EF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lastRenderedPageBreak/>
              <w:t>Item 12.</w:t>
            </w:r>
          </w:p>
        </w:tc>
        <w:tc>
          <w:tcPr>
            <w:tcW w:w="0" w:type="auto"/>
            <w:hideMark/>
          </w:tcPr>
          <w:p w14:paraId="002DEA8E"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7C8BEC33"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24" w:anchor="item_12_security_ownership_certain_benef" w:history="1">
              <w:r w:rsidRPr="004B2A77">
                <w:rPr>
                  <w:rFonts w:ascii="Arial" w:eastAsia="微软雅黑" w:hAnsi="Arial" w:cs="Arial"/>
                  <w:color w:val="0000FF"/>
                  <w:kern w:val="0"/>
                  <w:sz w:val="18"/>
                  <w:szCs w:val="18"/>
                  <w:u w:val="single"/>
                </w:rPr>
                <w:t>Security Ownership of Certain Beneficial Owners and Management and Related Stockholder Matters</w:t>
              </w:r>
            </w:hyperlink>
          </w:p>
        </w:tc>
        <w:tc>
          <w:tcPr>
            <w:tcW w:w="0" w:type="auto"/>
            <w:hideMark/>
          </w:tcPr>
          <w:p w14:paraId="1EF15D9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91</w:t>
            </w:r>
          </w:p>
        </w:tc>
      </w:tr>
      <w:tr w:rsidR="004B2A77" w:rsidRPr="004B2A77" w14:paraId="78D554F6" w14:textId="77777777" w:rsidTr="004B2A77">
        <w:trPr>
          <w:trHeight w:val="180"/>
          <w:tblCellSpacing w:w="15" w:type="dxa"/>
        </w:trPr>
        <w:tc>
          <w:tcPr>
            <w:tcW w:w="0" w:type="auto"/>
            <w:hideMark/>
          </w:tcPr>
          <w:p w14:paraId="12E5F6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13.</w:t>
            </w:r>
          </w:p>
        </w:tc>
        <w:tc>
          <w:tcPr>
            <w:tcW w:w="0" w:type="auto"/>
            <w:hideMark/>
          </w:tcPr>
          <w:p w14:paraId="1B27E3A3"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454A600"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25" w:anchor="item_13_certain_relationships_related_tr" w:history="1">
              <w:r w:rsidRPr="004B2A77">
                <w:rPr>
                  <w:rFonts w:ascii="Arial" w:eastAsia="微软雅黑" w:hAnsi="Arial" w:cs="Arial"/>
                  <w:color w:val="0000FF"/>
                  <w:kern w:val="0"/>
                  <w:sz w:val="18"/>
                  <w:szCs w:val="18"/>
                  <w:u w:val="single"/>
                </w:rPr>
                <w:t>Certain Relationships and Related Transactions, and Director Independence</w:t>
              </w:r>
            </w:hyperlink>
          </w:p>
        </w:tc>
        <w:tc>
          <w:tcPr>
            <w:tcW w:w="0" w:type="auto"/>
            <w:hideMark/>
          </w:tcPr>
          <w:p w14:paraId="1E713A4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91</w:t>
            </w:r>
          </w:p>
        </w:tc>
      </w:tr>
      <w:tr w:rsidR="004B2A77" w:rsidRPr="004B2A77" w14:paraId="65345241" w14:textId="77777777" w:rsidTr="004B2A77">
        <w:trPr>
          <w:trHeight w:val="180"/>
          <w:tblCellSpacing w:w="15" w:type="dxa"/>
        </w:trPr>
        <w:tc>
          <w:tcPr>
            <w:tcW w:w="0" w:type="auto"/>
            <w:hideMark/>
          </w:tcPr>
          <w:p w14:paraId="2B2950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14.</w:t>
            </w:r>
          </w:p>
        </w:tc>
        <w:tc>
          <w:tcPr>
            <w:tcW w:w="0" w:type="auto"/>
            <w:hideMark/>
          </w:tcPr>
          <w:p w14:paraId="6B0D0CC1"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EAF2ADE"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26" w:anchor="item_14_principal_accounting_fees_servic" w:history="1">
              <w:r w:rsidRPr="004B2A77">
                <w:rPr>
                  <w:rFonts w:ascii="Arial" w:eastAsia="微软雅黑" w:hAnsi="Arial" w:cs="Arial"/>
                  <w:color w:val="0000FF"/>
                  <w:kern w:val="0"/>
                  <w:sz w:val="18"/>
                  <w:szCs w:val="18"/>
                  <w:u w:val="single"/>
                </w:rPr>
                <w:t>Principal Accountant Fees and Services</w:t>
              </w:r>
            </w:hyperlink>
          </w:p>
        </w:tc>
        <w:tc>
          <w:tcPr>
            <w:tcW w:w="0" w:type="auto"/>
            <w:hideMark/>
          </w:tcPr>
          <w:p w14:paraId="510C701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20"/>
                <w:szCs w:val="20"/>
              </w:rPr>
              <w:t>91</w:t>
            </w:r>
          </w:p>
        </w:tc>
      </w:tr>
      <w:tr w:rsidR="004B2A77" w:rsidRPr="004B2A77" w14:paraId="2AA1677D" w14:textId="77777777" w:rsidTr="004B2A77">
        <w:trPr>
          <w:tblCellSpacing w:w="15" w:type="dxa"/>
        </w:trPr>
        <w:tc>
          <w:tcPr>
            <w:tcW w:w="0" w:type="auto"/>
            <w:hideMark/>
          </w:tcPr>
          <w:p w14:paraId="23448126"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161B5A1C"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25CACB4"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285A48A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1D3C4DE9" w14:textId="77777777" w:rsidTr="004B2A77">
        <w:trPr>
          <w:trHeight w:val="180"/>
          <w:tblCellSpacing w:w="15" w:type="dxa"/>
        </w:trPr>
        <w:tc>
          <w:tcPr>
            <w:tcW w:w="0" w:type="auto"/>
            <w:gridSpan w:val="4"/>
            <w:hideMark/>
          </w:tcPr>
          <w:p w14:paraId="0D0BEAD3" w14:textId="77777777" w:rsidR="004B2A77" w:rsidRPr="004B2A77" w:rsidRDefault="004B2A77" w:rsidP="004B2A77">
            <w:pPr>
              <w:widowControl/>
              <w:jc w:val="center"/>
              <w:rPr>
                <w:rFonts w:ascii="Times New Roman" w:eastAsia="微软雅黑" w:hAnsi="Times New Roman" w:cs="Times New Roman"/>
                <w:kern w:val="0"/>
                <w:sz w:val="18"/>
                <w:szCs w:val="18"/>
              </w:rPr>
            </w:pPr>
            <w:hyperlink r:id="rId27" w:anchor="part_iv" w:history="1">
              <w:r w:rsidRPr="004B2A77">
                <w:rPr>
                  <w:rFonts w:ascii="Arial" w:eastAsia="微软雅黑" w:hAnsi="Arial" w:cs="Arial"/>
                  <w:b/>
                  <w:bCs/>
                  <w:color w:val="0000FF"/>
                  <w:kern w:val="0"/>
                  <w:sz w:val="18"/>
                  <w:szCs w:val="18"/>
                  <w:u w:val="single"/>
                </w:rPr>
                <w:t>PART IV</w:t>
              </w:r>
            </w:hyperlink>
          </w:p>
        </w:tc>
      </w:tr>
      <w:tr w:rsidR="004B2A77" w:rsidRPr="004B2A77" w14:paraId="52474231" w14:textId="77777777" w:rsidTr="004B2A77">
        <w:trPr>
          <w:tblCellSpacing w:w="15" w:type="dxa"/>
        </w:trPr>
        <w:tc>
          <w:tcPr>
            <w:tcW w:w="0" w:type="auto"/>
            <w:hideMark/>
          </w:tcPr>
          <w:p w14:paraId="2D85B2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D19A2DB"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5B89A76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4AE8711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6E440404" w14:textId="77777777" w:rsidTr="004B2A77">
        <w:trPr>
          <w:trHeight w:val="180"/>
          <w:tblCellSpacing w:w="15" w:type="dxa"/>
        </w:trPr>
        <w:tc>
          <w:tcPr>
            <w:tcW w:w="0" w:type="auto"/>
            <w:hideMark/>
          </w:tcPr>
          <w:p w14:paraId="12C32C8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 15.</w:t>
            </w:r>
          </w:p>
        </w:tc>
        <w:tc>
          <w:tcPr>
            <w:tcW w:w="0" w:type="auto"/>
            <w:hideMark/>
          </w:tcPr>
          <w:p w14:paraId="649082B2"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16F2DB55"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28" w:anchor="item_15_exhibits_financial_statement_sch" w:history="1">
              <w:r w:rsidRPr="004B2A77">
                <w:rPr>
                  <w:rFonts w:ascii="Arial" w:eastAsia="微软雅黑" w:hAnsi="Arial" w:cs="Arial"/>
                  <w:color w:val="0000FF"/>
                  <w:kern w:val="0"/>
                  <w:sz w:val="18"/>
                  <w:szCs w:val="18"/>
                  <w:u w:val="single"/>
                </w:rPr>
                <w:t>Exhibit and Financial Statement Schedules</w:t>
              </w:r>
            </w:hyperlink>
          </w:p>
        </w:tc>
        <w:tc>
          <w:tcPr>
            <w:tcW w:w="0" w:type="auto"/>
            <w:hideMark/>
          </w:tcPr>
          <w:p w14:paraId="7DD4F83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92</w:t>
            </w:r>
          </w:p>
        </w:tc>
      </w:tr>
    </w:tbl>
    <w:p w14:paraId="425AEEC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35876D1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w:t>
      </w:r>
    </w:p>
    <w:p w14:paraId="276FC2B3"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5671E2C">
          <v:rect id="_x0000_i1026" style="width:0;height:1.5pt" o:hralign="center" o:hrstd="t" o:hrnoshade="t" o:hr="t" fillcolor="black" stroked="f"/>
        </w:pict>
      </w:r>
    </w:p>
    <w:p w14:paraId="058D163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09AC109"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NOTE ABOUT FORWARD-LOOKING STATEMENTS</w:t>
      </w:r>
    </w:p>
    <w:p w14:paraId="1BEC237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4D18E0E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This Annual Report on Form 10-K contains statements that are not historical facts but rather forward-looking statements within the meaning of the Private Securities Litigation Reform Act of 1995. Such forward-looking statements include those that address activities, events or developments that Autoliv, Inc. (“Autoliv,” the “Company” or “we”) or its management believes or anticipates may occur in the future. All forward-looking statements are based upon our current expectations, various assumptions and/or data available from third parties. Our expectations and assumptions are expressed in good faith and we believe there is a reasonable basis for them. However, there can be no assurance that such forward-looking statements will materialize or prove to be correct as forward-looking statements are inherently subject to known and unknown risks, uncertainties and other factors which may cause actual future results, performance or achievements to differ materially from the future results, performance or achievements expressed in or implied by such forward-looking statements.</w:t>
      </w:r>
    </w:p>
    <w:p w14:paraId="4E79980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29C9F34D"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some cases, you can identify these statements by forward-looking words such as “estimates,” “expects,” “anticipates,” “projects,” “plans,” “intends,” “believes,” “may,” “likely,” “might,” “would,” “should,” “could,” or the negative of these terms and other comparable terminology, although not all forward-looking statements contain such words.</w:t>
      </w:r>
    </w:p>
    <w:p w14:paraId="438791A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42EAEAB0"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Because these forward-looking statements involve risks and uncertainties, the outcome could differ materially from those set out in the forward-looking statements for a variety of reasons, including without limitation: general economic conditions, including inflation; the impacts of the coronavirus (COVID-19) pandemic on the Company’s financial condition, business operations, operating costs, liquidity, competition and the global economy; disruptions and impacts relating to the ongoing conflict between Russia and Ukraine; changes in and the stability of light vehicle production; fluctuation in vehicle production schedules for which the Company is a supplier; global supply chain disruptions including port, transportation and distribution delays or interruptions; supply chain disruptions and component shortages specific to the automotive industry or the Company; changes in general industry and market conditions or regional growth or decline; changes in and the successful execution of our capacity alignment: restructuring, cost reduction, efficiency, and strategic initiatives and the market reaction thereto; loss of business from increased competition; higher raw material, fuel, energy, and other costs; changes in </w:t>
      </w:r>
      <w:r w:rsidRPr="004B2A77">
        <w:rPr>
          <w:rFonts w:ascii="Arial" w:eastAsia="宋体" w:hAnsi="Arial" w:cs="Arial"/>
          <w:color w:val="000000"/>
          <w:kern w:val="0"/>
          <w:sz w:val="18"/>
          <w:szCs w:val="18"/>
        </w:rPr>
        <w:lastRenderedPageBreak/>
        <w:t>consumer and customer preferences for end products; customer losses; changes in regulatory conditions; customer bankruptcies, consolidations or restructuring or divestiture of customer brands; unfavorable fluctuations in currencies or interest rates among the various jurisdictions in which we operate; market acceptance of our new products; costs or difficulties related to the integration of any new or acquired businesses and technologies; continued uncertainty in pricing and other negotiations with customers; successful integration of acquisitions and operations of joint ventures; successful implementation of strategic partnerships and collaborations; our ability to be awarded new business; product liability, warranty and recall claims and investigations and other litigation, civil judgements or financial penalties and customer reactions thereto; higher expenses for our pension and other postretirement benefits, including higher funding needs for our pension plans; work stoppages or other labor issues; possible adverse results of pending or future litigation or infringement claims, and the availability of insurance with respect to such matters; our ability to protect our intellectual property rights; negative impacts of antitrust investigations or other governmental investigations and associated litigation relating to the conduct of our business; tax assessments by governmental authorities and changes in our effective tax rate; dependence on key personnel; legislative or regulatory changes impacting or limiting our business; our ability to meet our sustainability targets, goals and commitments; political conditions; dependence on and relationships with customers and suppliers; the conditions necessary to hit our medium term financial targets; and other risks and uncertainties identified in Item 1A -“Risk Factors” and Item 7 - “Management’s Discussion and Analysis of Financial Condition and Results of Operations” in this Annual Report.</w:t>
      </w:r>
    </w:p>
    <w:p w14:paraId="493A3EE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A8CCD88"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any forward-looking statements contained in this or any other document, we claim the protection of the safe harbor for forward- looking statements contained in the Private Securities Litigation Reform Act of 1995, and we assume no obligation to update publicly or revise any forward-looking statements in light of new information or future events, except as required by law.</w:t>
      </w:r>
    </w:p>
    <w:p w14:paraId="66B5C687"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w:t>
      </w:r>
    </w:p>
    <w:p w14:paraId="668E0700"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FFD5486">
          <v:rect id="_x0000_i1027" style="width:0;height:1.5pt" o:hralign="center" o:hrstd="t" o:hrnoshade="t" o:hr="t" fillcolor="black" stroked="f"/>
        </w:pict>
      </w:r>
    </w:p>
    <w:p w14:paraId="71AF82A8"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5346A4D"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PART I</w:t>
      </w:r>
    </w:p>
    <w:p w14:paraId="76DF152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673BDC93"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1. Business</w:t>
      </w:r>
    </w:p>
    <w:p w14:paraId="7E89D80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0931829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General</w:t>
      </w:r>
    </w:p>
    <w:p w14:paraId="4B6B08F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Inc. (“Autoliv”, the “Company” or “we”) is a Delaware corporation with its principal executive offices in Stockholm, Sweden. The Company functions as a holding corporation and owns two principal subsidiaries, Autoliv AB and Autoliv ASP, Inc. The Company's fiscal year ends on December 31.</w:t>
      </w:r>
    </w:p>
    <w:p w14:paraId="64438AC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is a leading developer, manufacturer, and supplier of passive safety systems to the automotive industry with a broad range of product offerings. </w:t>
      </w:r>
    </w:p>
    <w:p w14:paraId="0E2EC93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Passive safety systems are primarily meant to improve safety for occupants in a vehicle. Passive safety systems include modules and components for frontal-impact airbag protection systems, side-impact airbag protection systems, seatbelts, steering wheels, inflator technologies, and battery cut-off switches. </w:t>
      </w:r>
    </w:p>
    <w:p w14:paraId="33EAC25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To expand its product offerings, the Company has formed Mobility Safety Solutions. By combining its core competence and industry experience, the Company also develops and manufactures mobility safety </w:t>
      </w:r>
      <w:r w:rsidRPr="004B2A77">
        <w:rPr>
          <w:rFonts w:ascii="Arial" w:eastAsia="宋体" w:hAnsi="Arial" w:cs="Arial"/>
          <w:color w:val="000000"/>
          <w:kern w:val="0"/>
          <w:sz w:val="18"/>
          <w:szCs w:val="18"/>
        </w:rPr>
        <w:lastRenderedPageBreak/>
        <w:t xml:space="preserve">solutions such as pedestrian protection, battery cut-off switches, connected safety services, and safety solutions for riders of powered two wheelers. </w:t>
      </w:r>
    </w:p>
    <w:p w14:paraId="502E384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approximately 62 production facilities in 27 countries and its customers include the world’s largest car manufacturers. The Company’s sales in 2022 were $8.8 billion, approximately 66% of which consisted of airbag and steering wheel products and approximately 34% of which consisted of seatbelt products. The Company's business is conducted in the following geographical regions: Europe, the Americas, China, Japan and the Rest of Asia (ROA).</w:t>
      </w:r>
    </w:p>
    <w:p w14:paraId="1831F03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head office is located in Stockholm, Sweden, where it currently employs approximately 98 people. At December 31, 2022, the Company had a total number of personnel of approximately 69,100 worldwide, whereof 11% were temporary personnel.</w:t>
      </w:r>
    </w:p>
    <w:p w14:paraId="4ED9EB9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Additional information required by this Item 1 regarding developments in the Company’s business during 2022 is contained under Item 7 in this Annual Report.</w:t>
      </w:r>
    </w:p>
    <w:p w14:paraId="1930BA4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7D662FBE"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Reportable Segment</w:t>
      </w:r>
    </w:p>
    <w:p w14:paraId="54428DF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one reportable segment based on the way the Company evaluates its financial performance and manages its operations. The Company's business is comprised of passive safety products - principally airbags (including steering wheels and inflators) and seatbelts. For more information regarding the Company’s segment reporting, see Note 1, Basis of Presentation, to the Consolidated Financial Statements in this Annual Report.</w:t>
      </w:r>
    </w:p>
    <w:p w14:paraId="184C7BE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493ABBA4" w14:textId="77777777" w:rsidR="004B2A77" w:rsidRPr="004B2A77" w:rsidRDefault="004B2A77" w:rsidP="004B2A77">
      <w:pPr>
        <w:widowControl/>
        <w:spacing w:before="1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Products, Market, and Competition</w:t>
      </w:r>
    </w:p>
    <w:p w14:paraId="6D3D512D" w14:textId="77777777" w:rsidR="004B2A77" w:rsidRPr="004B2A77" w:rsidRDefault="004B2A77" w:rsidP="004B2A77">
      <w:pPr>
        <w:widowControl/>
        <w:spacing w:before="18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Products</w:t>
      </w:r>
    </w:p>
    <w:p w14:paraId="646019F1"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Providing life-saving solutions is a key priority as the world population grows and develops. However, population expansion in growth markets and the rise of megacities creates new complexities. To meet this challenge, the Company develops safety solutions for both mobility and society that work in real life situations.</w:t>
      </w:r>
      <w:r w:rsidRPr="004B2A77">
        <w:rPr>
          <w:rFonts w:ascii="Verdana" w:eastAsia="宋体" w:hAnsi="Verdana" w:cs="Times New Roman"/>
          <w:color w:val="000000"/>
          <w:kern w:val="0"/>
          <w:sz w:val="18"/>
          <w:szCs w:val="18"/>
        </w:rPr>
        <w:t xml:space="preserve"> </w:t>
      </w:r>
    </w:p>
    <w:p w14:paraId="55D01049"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safety systems such as seatbelts and airbags substantially mitigate human consequences of traffic accidents.</w:t>
      </w:r>
    </w:p>
    <w:p w14:paraId="2A0DA347"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airbag module is designed to inflate extremely rapidly then quickly deflate during a collision or impact. It consists of the container, an airbag cushion, and an inflator. The purpose of the airbag is to provide the occupants a cushioning and restraint during a crash event to prevent any impact or impact-caused injuries between the occupant and the interior of the vehicle. </w:t>
      </w:r>
    </w:p>
    <w:p w14:paraId="683D9DB4"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Seatbelts can reduce the overall risk of serious injuries in frontal crashes by as much as 60% due to advanced seatbelt technologies such as pretensioners and load limiters.</w:t>
      </w:r>
    </w:p>
    <w:p w14:paraId="1ED7E419"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also manufactures steering wheels that are crafted to ensure they meet safety requirements and are functional as well as stylish.</w:t>
      </w:r>
    </w:p>
    <w:p w14:paraId="5B566786" w14:textId="77777777" w:rsidR="004B2A77" w:rsidRPr="004B2A77" w:rsidRDefault="004B2A77" w:rsidP="004B2A77">
      <w:pPr>
        <w:widowControl/>
        <w:spacing w:before="18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Market and Competition</w:t>
      </w:r>
    </w:p>
    <w:p w14:paraId="1CCE74B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Consumer research clearly shows that consumers want safe vehicles, and several significant trends are likely to have a positive influence on overall safety content per vehicle. These include:</w:t>
      </w:r>
    </w:p>
    <w:p w14:paraId="3760860B" w14:textId="77777777" w:rsidR="004B2A77" w:rsidRPr="004B2A77" w:rsidRDefault="004B2A77" w:rsidP="004B2A77">
      <w:pPr>
        <w:widowControl/>
        <w:spacing w:before="100"/>
        <w:ind w:left="934"/>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1) Society becoming increasingly focused on Vision Zero, which includes a goal of reducing traffic fatalities and their associated costs;</w:t>
      </w:r>
    </w:p>
    <w:p w14:paraId="0D032D9D" w14:textId="77777777" w:rsidR="004B2A77" w:rsidRPr="004B2A77" w:rsidRDefault="004B2A77" w:rsidP="004B2A77">
      <w:pPr>
        <w:widowControl/>
        <w:spacing w:before="100"/>
        <w:ind w:left="934"/>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 Demographic trends of increased urbanization, aging driver populations, and increased safety focus in growth markets;</w:t>
      </w:r>
    </w:p>
    <w:p w14:paraId="4DF99CCD" w14:textId="77777777" w:rsidR="004B2A77" w:rsidRPr="004B2A77" w:rsidRDefault="004B2A77" w:rsidP="004B2A77">
      <w:pPr>
        <w:widowControl/>
        <w:spacing w:before="100"/>
        <w:ind w:left="934"/>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 Evolving government regulations and test rating systems to improve the safety of vehicles in various markets, such as the updated Euro New Car Assessment Program (NCAP), China NCAP, and USNCAP; and</w:t>
      </w:r>
    </w:p>
    <w:p w14:paraId="7C014A39" w14:textId="77777777" w:rsidR="004B2A77" w:rsidRPr="004B2A77" w:rsidRDefault="004B2A77" w:rsidP="004B2A77">
      <w:pPr>
        <w:widowControl/>
        <w:spacing w:before="100"/>
        <w:ind w:left="934"/>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4) The trend towards more electrical vehicles will potentially drive additional solutions to reduce noise and to cut the electrical power in case of an accident. </w:t>
      </w:r>
    </w:p>
    <w:p w14:paraId="5889602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w:t>
      </w:r>
    </w:p>
    <w:p w14:paraId="293B4E61"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4A09104">
          <v:rect id="_x0000_i1028" style="width:0;height:1.5pt" o:hralign="center" o:hrstd="t" o:hrnoshade="t" o:hr="t" fillcolor="black" stroked="f"/>
        </w:pict>
      </w:r>
    </w:p>
    <w:p w14:paraId="633AA345"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B968B92"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automotive safety market is driven by two primary factors: light vehicle production (LVP) and content per vehicle (CPV).</w:t>
      </w:r>
    </w:p>
    <w:p w14:paraId="3975436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first growth driver, LVP, has increased at an average annual growth rate of around 1.6% since the start of Autoliv in 1997 despite the substantial headwinds from supply chain disruptions and semiconductor shortages. According to S&amp;P Global, LVP is forecasted to grow to close to 87 million by 2025 from approximately 79 million in 2021, as the market is expected to recover from the effects of the COVID-19 pandemic and component shortages. </w:t>
      </w:r>
    </w:p>
    <w:p w14:paraId="62A74DF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Unlike LVP, where Autoliv can only aim to be on the best-selling platforms, Autoliv can influence CPV more directly by continuously developing and introducing new technologies with higher value-added features. Over the long term, this increases average safety CPV and has caused the markets where the Company does business to grow faster than the LVP. </w:t>
      </w:r>
    </w:p>
    <w:p w14:paraId="4767A3A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Since 1997, the Company’s sales compound annual growth rate (CAGR) for passive safety has been around 5% compared to the market rate of around 2.4% which includes an LVP growth of around 1.6%. The Company's outperformance is a result of a steady flow of new passive safety technologies, strong focus on quality and a superior global footprint both in products and engineering. This has enabled Autoliv to increase its global market share in passive safety from 27% in 1997 to 43% in 2022.</w:t>
      </w:r>
    </w:p>
    <w:p w14:paraId="6DFDEEB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the Developed Markets (Western Europe, North America, Japan, and South Korea) the CPV is around $320. CPV growth in these regions mainly come from new safety systems such as active seatbelts, knee airbags, and front-center airbags along with improved protection for pedestrians and rear-seat occupants like bag-in-belt or more advanced seatbelts.</w:t>
      </w:r>
    </w:p>
    <w:p w14:paraId="41BCEE4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the Growth Markets (all markets other than the Developed Markets), the Company sees great opportunities for CPV growth from more airbags and advanced seatbelt products. Average CPV in the Growth Markets is around $200, approximately $120 less than in the Developed Markets. </w:t>
      </w:r>
    </w:p>
    <w:p w14:paraId="080CF79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As a result of higher installation rates of airbags, more advanced seatbelt products, and more complex steering wheels, CPV is expected to increase at a similar pace in both Developed and Growth Markets over the next three years. LVP in the Developed Markets is expected to increase faster than in the Growth Markets during the same period. This is because the Developed Markets are expected to recover from the negative effects of supply chain disruptions and semiconductor shortages experienced in 2022. </w:t>
      </w:r>
      <w:r w:rsidRPr="004B2A77">
        <w:rPr>
          <w:rFonts w:ascii="Arial" w:eastAsia="宋体" w:hAnsi="Arial" w:cs="Arial"/>
          <w:color w:val="000000"/>
          <w:kern w:val="0"/>
          <w:sz w:val="18"/>
          <w:szCs w:val="18"/>
        </w:rPr>
        <w:lastRenderedPageBreak/>
        <w:t>Supported by a positive LVP mix effect from higher growth in higher CPV markets, the annual passive safety market (seatbelts and airbags, including steering wheels), is expected to grow from around $20 billion in 2022 to more than $25 billion over the next three years, based on the current macro-economic outlook and the Company's internal market intelligence and estimates. The highest growth rate is expected in steering wheels, where Autoliv has a global market share of around 37%, generated by the trend toward higher-value steering wheels with leather and additional features.</w:t>
      </w:r>
    </w:p>
    <w:p w14:paraId="7482929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seatbelts, Autoliv has reached a global market share of around 45%, primarily due to being the technology leader with several important innovations such as pretensioners and active seatbelts. The Company's strong market position is also a reflection of its superior global footprint. Seatbelts are the primary life-saving safety product globally and are also an important requirement in low-end vehicles in the Growth Markets. This provides the Company with an excellent opportunity to benefit from the expected growth in this segment of the market.</w:t>
      </w:r>
    </w:p>
    <w:p w14:paraId="503DF8E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market for airbags, where Autoliv has a global market share of around 44%, is expected to grow mainly as result of higher installation rates of inflatable curtains, side airbags, and knee airbags. Additionally, the new front center airbag is expected to start to contribute to the market growth. </w:t>
      </w:r>
    </w:p>
    <w:p w14:paraId="7481A3B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ability to consistently outperform market growth is rooted in a steady flow of new safety technologies, a strong focus on quality, and a superior production and engineering footprint.</w:t>
      </w:r>
    </w:p>
    <w:p w14:paraId="2C732E87" w14:textId="77777777" w:rsidR="004B2A77" w:rsidRPr="004B2A77" w:rsidRDefault="004B2A77" w:rsidP="004B2A77">
      <w:pPr>
        <w:widowControl/>
        <w:spacing w:before="2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The Company's competitors</w:t>
      </w:r>
    </w:p>
    <w:p w14:paraId="59CCB29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Autoliv is the clear market leader in passive safety components and systems for the automotive industry with an estimated global market share of 43%. </w:t>
      </w:r>
    </w:p>
    <w:p w14:paraId="1CECBBA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ZF, one of the Company's largest competitors, is a global leader in driveline and chassis technology as well as in passive safety technologies, and is one of the largest global automotive suppliers.</w:t>
      </w:r>
    </w:p>
    <w:p w14:paraId="40E8ADB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Another of the Company's largest competitors is Joyson Safety Systems (JSS). JSS is a Chinese owned company and is the result of the merger between Key Safety Systems (KSS) and Takata Corporation after KSS acquired Takata in 2018.</w:t>
      </w:r>
    </w:p>
    <w:p w14:paraId="395E405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Japan, Brazil, South Korea, and China, there are a number of local suppliers that have close ties with the domestic vehicle manufacturers. For example, Toyota uses “keiretsu” (in-house) suppliers Tokai Rika for seatbelts and Toyoda Gosei for airbags and steering wheels. These suppliers generally receive most of the Toyota business in Japan, in the same way, Mobis, a major supplier to Hyundai/Kia in South Korea, generally receives a significant part of their business.</w:t>
      </w:r>
    </w:p>
    <w:p w14:paraId="6FD64BA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Other competitors include Nihon Plast and Ashimori of Japan, Yanfeng and Jinheng of China, Samsong in South Korea, and Chris Cintos de Seguranca in South America. Collectively, these competitors account for the majority of the remaining market share in passive safety.</w:t>
      </w:r>
    </w:p>
    <w:p w14:paraId="0B21128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Additional information concerning the Company's products, markets and competition is included in the “Risks and Risk Management” section under Item 7 of this Annual Report.</w:t>
      </w:r>
    </w:p>
    <w:p w14:paraId="0ED1466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D87749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w:t>
      </w:r>
    </w:p>
    <w:p w14:paraId="209109D8"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EE81581">
          <v:rect id="_x0000_i1029" style="width:0;height:1.5pt" o:hralign="center" o:hrstd="t" o:hrnoshade="t" o:hr="t" fillcolor="black" stroked="f"/>
        </w:pict>
      </w:r>
    </w:p>
    <w:p w14:paraId="77336B6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AAC104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lastRenderedPageBreak/>
        <w:t>Manufacturing and Production</w:t>
      </w:r>
    </w:p>
    <w:p w14:paraId="05F9671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“Item 2. Properties” for a description of Autoliv’s principal properties. The component factories manufacture inflators, propellant, initiators, textile cushions, webbing, pressed steel parts, springs, and overmolded steel parts used in seatbelt and airbag assembly and steering wheels. The assembly factories source components from a number of parties, including Autoliv’s own component factories, and assemble complete restraint systems for “just-in-time” delivery to customers. The products manufactured by Autoliv’s consolidated subsidiaries in 2022 consisted of 134 million complete seatbelt systems (of which 87 million were fitted with pretensioners), 102 million side airbags (including curtain airbags and front center airbags), 56 million frontal airbags, 13 million other airbags and 19 million steering wheels.</w:t>
      </w:r>
    </w:p>
    <w:p w14:paraId="4BF5658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Autoliv’s “just-in-time” delivery system is designed to accommodate the specific requirements of each customer for low levels of inventory and rapid stock delivery service. “Just-in-time” deliveries require final assembly or, at least, distribution centers in geographic areas close to customers to facilitate rapid delivery. The fact that the major automobile manufacturers are continually expanding their production activities into more countries and require the same or similar safety systems as those produced in Europe, Japan, or the U.S. increases the importance for suppliers to have assembly capacity in several countries. Consolidation among the Company's customers also supports this trend.</w:t>
      </w:r>
    </w:p>
    <w:p w14:paraId="2045BDE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Autoliv’s assembly operations generally are not constrained by capacity considerations unless there is a disruption in the supply of raw materials and components. When dramatic shifts in LVP occur, Autoliv can generally adjust capacity in response to any changes in demand within a few days by adding or removing work shifts and within a few months by adding or removing standardized production and assembly lines. Most of Autoliv’s assembly factories can make sufficient space available to accommodate additional production lines to satisfy foreseeable increases in capacity. As a result, Autoliv can usually adjust its manufacturing capacity faster than its customers can adjust their capacity as a result of fluctuations in the general demand for vehicles or in the demand for a specific vehicle model, provided that customers promptly notify Autoliv when they become aware of such changes in demand. </w:t>
      </w:r>
    </w:p>
    <w:p w14:paraId="2E92D4B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When dramatic shifts in LVP occur, as we seen in 2022 due to component shortages, or when there is a shift in regional LVP, the capacity adjustments can take more time and be more costly. Additionally, when there is significant demand for a given product due to a major recall of a competitor’s product, like certain of the Company's customers have experienced, capacity adjustments may take time. </w:t>
      </w:r>
    </w:p>
    <w:p w14:paraId="51F6E76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could experience disruption in its supply or delivery chain, which could cause one or more of its customers to halt or delay production. For more information, see Item 1A – “Risk Factors” in this Annual Report.</w:t>
      </w:r>
    </w:p>
    <w:p w14:paraId="0818A82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Quality Management</w:t>
      </w:r>
    </w:p>
    <w:p w14:paraId="34F8719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believes that superior quality is a prerequisite to being considered a leading global supplier of automotive safety systems and is key to the Company's financial performance, because quality excellence is critical for winning new orders, preventing recalls, and maintaining low scrap rates. Autoliv has for many years emphasized a “zero-defect” proactive quality policy and continues to strive to improve its working methods. This means that Autoliv’s products are expected to always meet performance expectations and be delivered to its customers at the right times and in the right amounts. Furthermore, the Company believes its continued quality improvements further enhance the Company's reputation among its customers, employees, and governmental authorities.</w:t>
      </w:r>
    </w:p>
    <w:p w14:paraId="3A2A338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Although quality has always been paramount in the automotive industry, especially for safety products, automobile manufacturers have become increasingly focused on quality with even less tolerance for any deviations. This intensified focus on quality is partially due to an increase in the number of vehicle recalls for a variety of reasons (not just safety), including a few high-profile vehicle recalls. This trend is likely to continue as automobile manufacturers introduce even stricter quality requirements and regulating agencies and other authorities increase the level of scrutiny given to vehicle safety issues. The Company has not been immune to the recalls that have been impacting the automotive industry.</w:t>
      </w:r>
    </w:p>
    <w:p w14:paraId="00087A9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continues to drive its quality initiative called “Q5,” which was initiated in the summer of 2010. It is an integral part of the Company's strategy of shaping a proactive quality culture of zero defects. It is called “Q5” because it addresses quality in five dimensions: products, customers, growth, behavior, and suppliers. The goal of Q5 is to firmly tie together quality with value within all of the Company's processes and for all of its employees, thereby leading to the best value for its customers. Since 2010, the Company has continually expanded this quality initiative to provide additional skills training to more employees and suppliers. These activities have significantly improved the Company's quality performance.</w:t>
      </w:r>
    </w:p>
    <w:p w14:paraId="6052FE6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the Company's pursuit of excellence in quality, the Company has developed a chain of four “defense lines” against potential quality issues. These defense lines consist of: 1) robust product designs, 2) flawless components from suppliers and the Company's own in-house component companies, 3) manufacturing flawless products with a system for verifying that the Company's products conform with specifications, and 4) an advanced traceability system in the event of a recall.</w:t>
      </w:r>
    </w:p>
    <w:p w14:paraId="6AF71E5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pursuit of quality excellence extends from the earliest phases of product development to the proper disposal of a product following many years of use in a vehicle. Autoliv’s comprehensive Autoliv Product Development System (“APS”) includes several key check points during the process of developing new products that are designed to ensure that such products are well-built and have no hidden defects. Through this process, the Company works closely with its suppliers and customers to set clear standards that help to ensure robust component design and lowest cost for function in order to proactively prevent problems and ensure the Company delivers only the best designs to the market.</w:t>
      </w:r>
    </w:p>
    <w:p w14:paraId="2554FF4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48D1F579"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w:t>
      </w:r>
    </w:p>
    <w:p w14:paraId="39C30304"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88DC18A">
          <v:rect id="_x0000_i1030" style="width:0;height:1.5pt" o:hralign="center" o:hrstd="t" o:hrnoshade="t" o:hr="t" fillcolor="black" stroked="f"/>
        </w:pict>
      </w:r>
    </w:p>
    <w:p w14:paraId="0957850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D97F9F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APS, based on the goals of improving quality and efficiency, is at the core of Autoliv’s manufacturing philosophy. APS integrates essential quality elements, such as mistake proofing, statistical process control and operator involvement, into the manufacturing processes so all Autoliv associates are aware of and understand the critical connection between themselves and the Company's lifesaving products. This “zero-defect” principle extends beyond Autoliv to the entire supplier base. All of the Company's suppliers must accept the strict quality standards in the global Autoliv Supplier Manual, which defines the Company's quality requirements and focuses on preventing bad parts from being produced by its suppliers and helps eliminate defective intermediate products in the Company's assembly lines as early as possible. In addition, Autoliv’s One Product One Process (“1P1P”) initiative is its strategy for developing and managing standardization of both core products and customer-specific features, leading not only to improved quality, but also greater cost efficiency and more efficient supply chain management.</w:t>
      </w:r>
    </w:p>
    <w:p w14:paraId="4A5D8C6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IATF 16949:2016 is one of the automotive industry’s most widely used international standards for quality management. All of the Company's facilities that ship products to OEMs are regularly certified according to the International Automotive Task Force (IATF) standards.</w:t>
      </w:r>
    </w:p>
    <w:p w14:paraId="01E098F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Environmental and Safety Regulations</w:t>
      </w:r>
    </w:p>
    <w:p w14:paraId="20585EF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information on how environmental and safety regulations impact the Company's business, see “Risk Factors – ‘Our business may be adversely affected by laws or regulations, including environmental, occupational health and safety, and other governmental regulations’, “Global climate change could negatively affect our business”, “Our goals, targets, and ambitions related to sustainability and emissions reduction, and our public statements and disclosures regarding them, expose us to numerous risks” and “Our business may be adversely affected by changes in automotive safety regulations or concerns that drive further regulation of the automobile safety market”” in Item 1A and “Risks and Risk Management” in Item 7 of this Annual Report.</w:t>
      </w:r>
    </w:p>
    <w:p w14:paraId="79402EE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Climate change</w:t>
      </w:r>
    </w:p>
    <w:p w14:paraId="2E5355F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committed to operating its business in an environmentally sustainable manner, meaning developing and producing products in a resource efficient way while limiting the Company's environmental impact in the most material areas of greenhouse gas emissions, energy use, waste, and water. With particular emphasis on climate action, the Company actively engages with its customers, suppliers, and others to drive sustainable mobility.</w:t>
      </w:r>
    </w:p>
    <w:p w14:paraId="4E15B1AE" w14:textId="77777777" w:rsidR="004B2A77" w:rsidRPr="004B2A77" w:rsidRDefault="004B2A77" w:rsidP="004B2A77">
      <w:pPr>
        <w:widowControl/>
        <w:spacing w:before="120"/>
        <w:jc w:val="left"/>
        <w:rPr>
          <w:rFonts w:ascii="Times New Roman" w:eastAsia="宋体" w:hAnsi="Times New Roman" w:cs="Times New Roman"/>
          <w:color w:val="000000"/>
          <w:kern w:val="0"/>
          <w:sz w:val="20"/>
          <w:szCs w:val="20"/>
        </w:rPr>
      </w:pPr>
      <w:r w:rsidRPr="004B2A77">
        <w:rPr>
          <w:rFonts w:ascii="Arial" w:eastAsia="宋体" w:hAnsi="Arial" w:cs="Arial"/>
          <w:color w:val="1A1A1A"/>
          <w:kern w:val="0"/>
          <w:sz w:val="18"/>
          <w:szCs w:val="18"/>
        </w:rPr>
        <w:t>In June 2021, the Company launched an updated climate strategy including new long-term climate ambitions:</w:t>
      </w:r>
    </w:p>
    <w:p w14:paraId="314E4EF5" w14:textId="77777777" w:rsidR="004B2A77" w:rsidRPr="004B2A77" w:rsidRDefault="004B2A77" w:rsidP="004B2A77">
      <w:pPr>
        <w:widowControl/>
        <w:jc w:val="left"/>
        <w:rPr>
          <w:rFonts w:ascii="微软雅黑" w:eastAsia="微软雅黑" w:hAnsi="微软雅黑" w:cs="宋体"/>
          <w:color w:val="000000"/>
          <w:kern w:val="0"/>
          <w:sz w:val="27"/>
          <w:szCs w:val="27"/>
        </w:rPr>
      </w:pPr>
      <w:r w:rsidRPr="004B2A77">
        <w:rPr>
          <w:rFonts w:ascii="Times New Roman" w:eastAsia="微软雅黑" w:hAnsi="Times New Roman" w:cs="Times New Roman"/>
          <w:color w:val="1A1A1A"/>
          <w:kern w:val="0"/>
          <w:sz w:val="18"/>
          <w:szCs w:val="18"/>
        </w:rPr>
        <w:t>•</w:t>
      </w:r>
    </w:p>
    <w:p w14:paraId="2437D251" w14:textId="77777777" w:rsidR="004B2A77" w:rsidRPr="004B2A77" w:rsidRDefault="004B2A77" w:rsidP="004B2A77">
      <w:pPr>
        <w:widowControl/>
        <w:jc w:val="left"/>
        <w:rPr>
          <w:rFonts w:ascii="微软雅黑" w:eastAsia="微软雅黑" w:hAnsi="微软雅黑" w:cs="宋体" w:hint="eastAsia"/>
          <w:color w:val="000000"/>
          <w:kern w:val="0"/>
          <w:sz w:val="27"/>
          <w:szCs w:val="27"/>
        </w:rPr>
      </w:pPr>
      <w:r w:rsidRPr="004B2A77">
        <w:rPr>
          <w:rFonts w:ascii="Arial" w:eastAsia="微软雅黑" w:hAnsi="Arial" w:cs="Arial"/>
          <w:color w:val="1A1A1A"/>
          <w:kern w:val="0"/>
          <w:sz w:val="18"/>
          <w:szCs w:val="18"/>
        </w:rPr>
        <w:t>Carbon neutrality in own operations by 2030</w:t>
      </w:r>
    </w:p>
    <w:p w14:paraId="0C8C2194" w14:textId="77777777" w:rsidR="004B2A77" w:rsidRPr="004B2A77" w:rsidRDefault="004B2A77" w:rsidP="004B2A77">
      <w:pPr>
        <w:widowControl/>
        <w:jc w:val="left"/>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1A1A1A"/>
          <w:kern w:val="0"/>
          <w:sz w:val="18"/>
          <w:szCs w:val="18"/>
        </w:rPr>
        <w:t>•</w:t>
      </w:r>
    </w:p>
    <w:p w14:paraId="76F0EE6C" w14:textId="77777777" w:rsidR="004B2A77" w:rsidRPr="004B2A77" w:rsidRDefault="004B2A77" w:rsidP="004B2A77">
      <w:pPr>
        <w:widowControl/>
        <w:jc w:val="left"/>
        <w:rPr>
          <w:rFonts w:ascii="微软雅黑" w:eastAsia="微软雅黑" w:hAnsi="微软雅黑" w:cs="宋体" w:hint="eastAsia"/>
          <w:color w:val="000000"/>
          <w:kern w:val="0"/>
          <w:sz w:val="27"/>
          <w:szCs w:val="27"/>
        </w:rPr>
      </w:pPr>
      <w:r w:rsidRPr="004B2A77">
        <w:rPr>
          <w:rFonts w:ascii="Arial" w:eastAsia="微软雅黑" w:hAnsi="Arial" w:cs="Arial"/>
          <w:color w:val="1A1A1A"/>
          <w:kern w:val="0"/>
          <w:sz w:val="18"/>
          <w:szCs w:val="18"/>
        </w:rPr>
        <w:t>Net-zero emissions across our supply chain by 2040</w:t>
      </w:r>
    </w:p>
    <w:p w14:paraId="13F7A644" w14:textId="77777777" w:rsidR="004B2A77" w:rsidRPr="004B2A77" w:rsidRDefault="004B2A77" w:rsidP="004B2A77">
      <w:pPr>
        <w:widowControl/>
        <w:spacing w:before="120"/>
        <w:rPr>
          <w:rFonts w:ascii="Times New Roman" w:eastAsia="宋体" w:hAnsi="Times New Roman" w:cs="Times New Roman" w:hint="eastAsia"/>
          <w:color w:val="000000"/>
          <w:kern w:val="0"/>
          <w:sz w:val="20"/>
          <w:szCs w:val="20"/>
        </w:rPr>
      </w:pPr>
      <w:r w:rsidRPr="004B2A77">
        <w:rPr>
          <w:rFonts w:ascii="Arial" w:eastAsia="宋体" w:hAnsi="Arial" w:cs="Arial"/>
          <w:color w:val="1A1A1A"/>
          <w:kern w:val="0"/>
          <w:sz w:val="18"/>
          <w:szCs w:val="18"/>
        </w:rPr>
        <w:t>These industry-leading climate ambitions are aligned with a 1.5°C trajectory and represent a serious step-up in ambition level from earlier short-term climate targets. They should position the Company as the supplier of choice for the most progressive climate-focused customers, helping to ensure the Company's competitiveness now and in the future. In addition to these ambitions, the Company adopted Science Based Targets (SBT) for 2030 covering its own operations as well as the supply chain. The targets were approved in January 2022 and are available at the SBTi website.</w:t>
      </w:r>
    </w:p>
    <w:p w14:paraId="1EB22A1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more information about how climate change impacts the Company's business, see "Operational Risks - Climate impact" in Item 7 and "Risk factors – Global climate change could negatively affect our business” in Item 1A of this Annual Report.</w:t>
      </w:r>
    </w:p>
    <w:p w14:paraId="34056E5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Raw Materials</w:t>
      </w:r>
    </w:p>
    <w:p w14:paraId="4F673CCC"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Direct material purchased from external suppliers represents approximately 52% of the Company's net sales in 2022. The Company mainly purchases manufactured components and raw materials for its operations. The Company takes several actions to manage the raw material fluctuations, such as competitive sourcing and looking for alternative materials. </w:t>
      </w:r>
    </w:p>
    <w:p w14:paraId="4694509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For information on the sources and availability of raw materials, see "Operational Risks - Component costs" in Item 7 and “Risk Factors – Changes in the source, cost, availability of, and regulations pertaining to raw materials and components may adversely affect our profit margins” in Item 1A of this Annual Report.</w:t>
      </w:r>
    </w:p>
    <w:p w14:paraId="42E4EC6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Intellectual Property</w:t>
      </w:r>
    </w:p>
    <w:p w14:paraId="634DF7B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developed a considerable amount of proprietary technology related to automotive safety systems and relies on many patents to protect such technology. The Company's intellectual property plays an important role in maintaining its competitive position in a number of the markets the Company serves. For information on the Company's use of intellectual property and its importance to the Company, see “Risk Factors – If our patents are declared invalid or our technology infringes on the proprietary rights of others, our ability to compete may be impaired” in Item 1A of this Annual Report.</w:t>
      </w:r>
    </w:p>
    <w:p w14:paraId="41243E0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Backlog</w:t>
      </w:r>
    </w:p>
    <w:p w14:paraId="266D897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frame contracts with automobile manufacturers and such contracts are typically entered into up to three years before the start of production of the relevant car model or platform and provide for a term covering the life of such car model or platform including service parts after a vehicle model is no longer produced. These contracts, however, do not typically provide minimum quantities, firm prices, or exclusivity but instead permit the automobile manufacturer to resource the relevant products at given intervals (or at any time) from other suppliers.</w:t>
      </w:r>
    </w:p>
    <w:p w14:paraId="5340313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w:t>
      </w:r>
    </w:p>
    <w:p w14:paraId="60ABE1CA"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146B681">
          <v:rect id="_x0000_i1031" style="width:0;height:1.5pt" o:hralign="center" o:hrstd="t" o:hrnoshade="t" o:hr="t" fillcolor="black" stroked="f"/>
        </w:pict>
      </w:r>
    </w:p>
    <w:p w14:paraId="3D01FD0A"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0554FB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Dependence on Customers</w:t>
      </w:r>
    </w:p>
    <w:p w14:paraId="33E0B6B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2022, the Company's top five customers represented around 49% of its consolidated sales and the Company's top ten customers represented around 80% of its consolidated sales. This reflects the concentration of manufacturers in the automotive industry. The five largest OEMs in 2022 accounted for around 48% of global LVP, and the ten largest OEMs accounted for around 70% of global LVP. A delivery contract is typically for the lifetime of a vehicle model, which is normally between five and seven years depending on customer platform sourcing preferences and strategies.</w:t>
      </w:r>
    </w:p>
    <w:p w14:paraId="4ECF498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information on the Company's dependence on customers, see “Risk Factors – Our business could be materially and adversely affected if we lost any of our largest customers or if they were unable to pay their invoices” in Item 1A of this Annual Report, and “Dependence on Customers” under the section “Strategic Risks” in Item 7 of this Annual Report, and Note 20 to the Consolidated Financial Statements.</w:t>
      </w:r>
    </w:p>
    <w:p w14:paraId="014483D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Customer sales trends</w:t>
      </w:r>
    </w:p>
    <w:p w14:paraId="3C832AC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Asian vehicle producers have steadily become increasingly important, mainly driven by growth with Japanese OEMs. As a group they represent around 43% of global sales in 2022, of which Japanese OEMs accounts for approximately two thirds. This is a result of the Company's stronger market position based on its local presence in Japan. The local Chinese OEMs as a group accounted for around 5% of </w:t>
      </w:r>
      <w:r w:rsidRPr="004B2A77">
        <w:rPr>
          <w:rFonts w:ascii="Arial" w:eastAsia="宋体" w:hAnsi="Arial" w:cs="Arial"/>
          <w:color w:val="000000"/>
          <w:kern w:val="0"/>
          <w:sz w:val="18"/>
          <w:szCs w:val="18"/>
        </w:rPr>
        <w:lastRenderedPageBreak/>
        <w:t>the Company's global sales in 2022, with Great Wall representing more than 1% of the Company's global sales.</w:t>
      </w:r>
    </w:p>
    <w:p w14:paraId="0F0D9D7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European based brands accounted for 30% of the Company's global sales in 2022. The U.S. based OEMs (including Chrysler and new EV manufactures) accounted for 25% of the Company's global sales in 2022. Globally one of the Company's strongest growing customers from 2021 to 2022 was Stellantis.</w:t>
      </w:r>
    </w:p>
    <w:p w14:paraId="185EBCD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Research, Development and Engineering, net (R,D&amp;E)</w:t>
      </w:r>
    </w:p>
    <w:p w14:paraId="058053F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No single customer project accounted for more than 5% of Autoliv’s total R,D&amp;E, net spending during 2022. To fuel Autoliv’s product portfolio, additional expertise is brought in-house via technology partnerships and licensing agreements.</w:t>
      </w:r>
    </w:p>
    <w:p w14:paraId="2720D60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During 2022, gross expenditures for R,D&amp;E amounted to $595 million compared to $596 million in 2021. Of these amounts, $205 million in 2022 and $205 million in 2021 were related to customer-funded engineering projects and crash tests reimbursed by the customers. Net of this income, R,D&amp;E expenditures in 2022 was $390 million, virtually unchanged compared to 2021. Of the R,D&amp;E, net expense in 2022, 79% was for projects and programs where the Company has customer orders, typically related to vehicle models in development. The remaining 21% was mainly for new innovations, products and standardizations that will yield greater benefits over time.</w:t>
      </w:r>
    </w:p>
    <w:p w14:paraId="31BEF0E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Regulatory Costs</w:t>
      </w:r>
    </w:p>
    <w:p w14:paraId="052DAB0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fitting of seatbelts in most types of motor vehicles is mandatory in almost all countries and many countries have strict laws regarding the use of seatbelts while in vehicles. In addition, most developed countries require that seats in intercity buses and commercial vehicles be fitted with seatbelts. In the U.S., federal legislation requires frontal airbags on the driver-side and the passenger-side of all new passenger cars since 1998 and in all sport utility vehicles, pickup trucks, and vans since 1999.</w:t>
      </w:r>
    </w:p>
    <w:p w14:paraId="44064FA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information concerning the material effects on the Company's business relating to its compliance with government safety regulations, see “Risk Factors – ‘Our business may be adversely affected by laws or regulations, including environmental, occupational health and safety, and other governmental regulations’ and ‘Our business may be adversely affected by changes in automotive safety regulations or concerns that drive further regulation of the automobile safety market’” in Item 1A of this Annual Report and in Item 7 under the section “Risks and Risk Management” of this Annual Report.</w:t>
      </w:r>
    </w:p>
    <w:p w14:paraId="412BABE4"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w:t>
      </w:r>
    </w:p>
    <w:p w14:paraId="436E0FF6"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0D457F1">
          <v:rect id="_x0000_i1032" style="width:0;height:1.5pt" o:hralign="center" o:hrstd="t" o:hrnoshade="t" o:hr="t" fillcolor="black" stroked="f"/>
        </w:pict>
      </w:r>
    </w:p>
    <w:p w14:paraId="70672AC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0E203E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Human Capital Management</w:t>
      </w:r>
    </w:p>
    <w:p w14:paraId="39BC20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drive for excellence is what makes Autoliv the world’s leading supplier of automotive safety systems. From the earliest stages of product development to sales and design to the final delivery of the finished product, Autoliv's employees are driven by the Company's mission to save more lives.</w:t>
      </w:r>
    </w:p>
    <w:p w14:paraId="0141B80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successful execution of the Company's strategies relies on its ability to shape a quality and performance-oriented culture, and to adapt quickly to sudden shifts in its circumstances, such as the COVID-19 pandemic, supply chain disruptions, and geopolitical instability experienced in 2022. A </w:t>
      </w:r>
      <w:r w:rsidRPr="004B2A77">
        <w:rPr>
          <w:rFonts w:ascii="Arial" w:eastAsia="宋体" w:hAnsi="Arial" w:cs="Arial"/>
          <w:color w:val="000000"/>
          <w:kern w:val="0"/>
          <w:sz w:val="18"/>
          <w:szCs w:val="18"/>
        </w:rPr>
        <w:lastRenderedPageBreak/>
        <w:t xml:space="preserve">turbulent external environment presents many challenges but also opportunities. As the Company moves forward its workforce strives to respond with agility to new possibilities to grow and improve the Company's business whilst delivering with excellence to its customers. The Company builds a winning team by focusing on creating a work environment that attracts, retains, and engages its employees. The Company's employees take great pride in working together to provide safety solutions for mobility and society that work in real life situations, and the Company is always looking for new team members who share this passion. </w:t>
      </w:r>
    </w:p>
    <w:p w14:paraId="513CA5B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table below shows the Company's total workforce as of December 31, 2022 and 2021.</w:t>
      </w:r>
    </w:p>
    <w:p w14:paraId="1EADABB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4"/>
          <w:szCs w:val="4"/>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878"/>
        <w:gridCol w:w="394"/>
        <w:gridCol w:w="233"/>
        <w:gridCol w:w="5001"/>
        <w:gridCol w:w="233"/>
        <w:gridCol w:w="393"/>
        <w:gridCol w:w="233"/>
        <w:gridCol w:w="5001"/>
        <w:gridCol w:w="248"/>
      </w:tblGrid>
      <w:tr w:rsidR="004B2A77" w:rsidRPr="004B2A77" w14:paraId="6524CC39" w14:textId="77777777" w:rsidTr="004B2A77">
        <w:trPr>
          <w:tblCellSpacing w:w="15" w:type="dxa"/>
        </w:trPr>
        <w:tc>
          <w:tcPr>
            <w:tcW w:w="8847" w:type="dxa"/>
            <w:vAlign w:val="center"/>
            <w:hideMark/>
          </w:tcPr>
          <w:p w14:paraId="07A1F2DD"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65" w:type="dxa"/>
            <w:vAlign w:val="center"/>
            <w:hideMark/>
          </w:tcPr>
          <w:p w14:paraId="6AEEB82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631BFFB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978" w:type="dxa"/>
            <w:vAlign w:val="center"/>
            <w:hideMark/>
          </w:tcPr>
          <w:p w14:paraId="442E15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36F6F4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63" w:type="dxa"/>
            <w:vAlign w:val="center"/>
            <w:hideMark/>
          </w:tcPr>
          <w:p w14:paraId="3B0B7FF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4339116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978" w:type="dxa"/>
            <w:vAlign w:val="center"/>
            <w:hideMark/>
          </w:tcPr>
          <w:p w14:paraId="7F5E759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65D2DAE7"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2B4226F" w14:textId="77777777" w:rsidTr="004B2A77">
        <w:trPr>
          <w:trHeight w:val="160"/>
          <w:tblCellSpacing w:w="15" w:type="dxa"/>
        </w:trPr>
        <w:tc>
          <w:tcPr>
            <w:tcW w:w="0" w:type="auto"/>
            <w:shd w:val="clear" w:color="auto" w:fill="FFFFFF"/>
            <w:vAlign w:val="bottom"/>
            <w:hideMark/>
          </w:tcPr>
          <w:p w14:paraId="4FBB8DA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93655E6" w14:textId="77777777" w:rsidR="004B2A77" w:rsidRPr="004B2A77" w:rsidRDefault="004B2A77" w:rsidP="004B2A77">
            <w:pPr>
              <w:widowControl/>
              <w:jc w:val="righ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48A39A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25D2F1D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893CE9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968833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497FB0F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067F17B2" w14:textId="77777777" w:rsidTr="004B2A77">
        <w:trPr>
          <w:trHeight w:val="180"/>
          <w:tblCellSpacing w:w="15" w:type="dxa"/>
        </w:trPr>
        <w:tc>
          <w:tcPr>
            <w:tcW w:w="0" w:type="auto"/>
            <w:shd w:val="clear" w:color="auto" w:fill="CFF0FC"/>
            <w:vAlign w:val="bottom"/>
            <w:hideMark/>
          </w:tcPr>
          <w:p w14:paraId="1399D3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Total workforce</w:t>
            </w:r>
          </w:p>
        </w:tc>
        <w:tc>
          <w:tcPr>
            <w:tcW w:w="0" w:type="auto"/>
            <w:shd w:val="clear" w:color="auto" w:fill="CFF0FC"/>
            <w:vAlign w:val="bottom"/>
            <w:hideMark/>
          </w:tcPr>
          <w:p w14:paraId="0F44003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EC9C0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E4621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69,100</w:t>
            </w:r>
          </w:p>
        </w:tc>
        <w:tc>
          <w:tcPr>
            <w:tcW w:w="0" w:type="auto"/>
            <w:shd w:val="clear" w:color="auto" w:fill="CFF0FC"/>
            <w:noWrap/>
            <w:vAlign w:val="bottom"/>
            <w:hideMark/>
          </w:tcPr>
          <w:p w14:paraId="40948E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E395AB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95A4C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823030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60,600</w:t>
            </w:r>
          </w:p>
        </w:tc>
        <w:tc>
          <w:tcPr>
            <w:tcW w:w="0" w:type="auto"/>
            <w:shd w:val="clear" w:color="auto" w:fill="CFF0FC"/>
            <w:noWrap/>
            <w:vAlign w:val="bottom"/>
            <w:hideMark/>
          </w:tcPr>
          <w:p w14:paraId="3237172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153A3C3" w14:textId="77777777" w:rsidTr="004B2A77">
        <w:trPr>
          <w:trHeight w:val="180"/>
          <w:tblCellSpacing w:w="15" w:type="dxa"/>
        </w:trPr>
        <w:tc>
          <w:tcPr>
            <w:tcW w:w="0" w:type="auto"/>
            <w:shd w:val="clear" w:color="auto" w:fill="FFFFFF"/>
            <w:vAlign w:val="bottom"/>
            <w:hideMark/>
          </w:tcPr>
          <w:p w14:paraId="54BCBE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Whereof:</w:t>
            </w:r>
          </w:p>
        </w:tc>
        <w:tc>
          <w:tcPr>
            <w:tcW w:w="0" w:type="auto"/>
            <w:shd w:val="clear" w:color="auto" w:fill="FFFFFF"/>
            <w:vAlign w:val="bottom"/>
            <w:hideMark/>
          </w:tcPr>
          <w:p w14:paraId="67F0FF6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238354C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0585D3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8FDCC2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1B8E73C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2FB64B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D5F3B3F" w14:textId="77777777" w:rsidTr="004B2A77">
        <w:trPr>
          <w:trHeight w:val="180"/>
          <w:tblCellSpacing w:w="15" w:type="dxa"/>
        </w:trPr>
        <w:tc>
          <w:tcPr>
            <w:tcW w:w="0" w:type="auto"/>
            <w:shd w:val="clear" w:color="auto" w:fill="CFF0FC"/>
            <w:vAlign w:val="bottom"/>
            <w:hideMark/>
          </w:tcPr>
          <w:p w14:paraId="40BE3D2B"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Direct workforce in manufacturing</w:t>
            </w:r>
          </w:p>
        </w:tc>
        <w:tc>
          <w:tcPr>
            <w:tcW w:w="0" w:type="auto"/>
            <w:shd w:val="clear" w:color="auto" w:fill="CFF0FC"/>
            <w:vAlign w:val="bottom"/>
            <w:hideMark/>
          </w:tcPr>
          <w:p w14:paraId="5D3D5F7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684C8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F164A2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50,600</w:t>
            </w:r>
          </w:p>
        </w:tc>
        <w:tc>
          <w:tcPr>
            <w:tcW w:w="0" w:type="auto"/>
            <w:shd w:val="clear" w:color="auto" w:fill="CFF0FC"/>
            <w:noWrap/>
            <w:vAlign w:val="bottom"/>
            <w:hideMark/>
          </w:tcPr>
          <w:p w14:paraId="1526F9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3304DB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F2240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00F1C8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43,000</w:t>
            </w:r>
          </w:p>
        </w:tc>
        <w:tc>
          <w:tcPr>
            <w:tcW w:w="0" w:type="auto"/>
            <w:shd w:val="clear" w:color="auto" w:fill="CFF0FC"/>
            <w:noWrap/>
            <w:vAlign w:val="bottom"/>
            <w:hideMark/>
          </w:tcPr>
          <w:p w14:paraId="7EC602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5429053" w14:textId="77777777" w:rsidTr="004B2A77">
        <w:trPr>
          <w:trHeight w:val="180"/>
          <w:tblCellSpacing w:w="15" w:type="dxa"/>
        </w:trPr>
        <w:tc>
          <w:tcPr>
            <w:tcW w:w="0" w:type="auto"/>
            <w:shd w:val="clear" w:color="auto" w:fill="FFFFFF"/>
            <w:vAlign w:val="bottom"/>
            <w:hideMark/>
          </w:tcPr>
          <w:p w14:paraId="19709D41"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Indirect workforce</w:t>
            </w:r>
          </w:p>
        </w:tc>
        <w:tc>
          <w:tcPr>
            <w:tcW w:w="0" w:type="auto"/>
            <w:shd w:val="clear" w:color="auto" w:fill="FFFFFF"/>
            <w:vAlign w:val="bottom"/>
            <w:hideMark/>
          </w:tcPr>
          <w:p w14:paraId="104D976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BB583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D811F2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18,500</w:t>
            </w:r>
          </w:p>
        </w:tc>
        <w:tc>
          <w:tcPr>
            <w:tcW w:w="0" w:type="auto"/>
            <w:shd w:val="clear" w:color="auto" w:fill="FFFFFF"/>
            <w:noWrap/>
            <w:vAlign w:val="bottom"/>
            <w:hideMark/>
          </w:tcPr>
          <w:p w14:paraId="6D9615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1BD2DC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19110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540E09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17,600</w:t>
            </w:r>
          </w:p>
        </w:tc>
        <w:tc>
          <w:tcPr>
            <w:tcW w:w="0" w:type="auto"/>
            <w:shd w:val="clear" w:color="auto" w:fill="FFFFFF"/>
            <w:noWrap/>
            <w:vAlign w:val="bottom"/>
            <w:hideMark/>
          </w:tcPr>
          <w:p w14:paraId="54F63B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5F8EFE0" w14:textId="77777777" w:rsidTr="004B2A77">
        <w:trPr>
          <w:trHeight w:val="180"/>
          <w:tblCellSpacing w:w="15" w:type="dxa"/>
        </w:trPr>
        <w:tc>
          <w:tcPr>
            <w:tcW w:w="0" w:type="auto"/>
            <w:shd w:val="clear" w:color="auto" w:fill="CFF0FC"/>
            <w:vAlign w:val="bottom"/>
            <w:hideMark/>
          </w:tcPr>
          <w:p w14:paraId="65A77666"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Temporary workforce</w:t>
            </w:r>
          </w:p>
        </w:tc>
        <w:tc>
          <w:tcPr>
            <w:tcW w:w="0" w:type="auto"/>
            <w:shd w:val="clear" w:color="auto" w:fill="CFF0FC"/>
            <w:vAlign w:val="bottom"/>
            <w:hideMark/>
          </w:tcPr>
          <w:p w14:paraId="6476146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0F881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882DD3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CFF0FC"/>
            <w:noWrap/>
            <w:vAlign w:val="bottom"/>
            <w:hideMark/>
          </w:tcPr>
          <w:p w14:paraId="4F6E9C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181E89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FC4E8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01F56C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CFF0FC"/>
            <w:noWrap/>
            <w:vAlign w:val="bottom"/>
            <w:hideMark/>
          </w:tcPr>
          <w:p w14:paraId="5D508B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bl>
    <w:p w14:paraId="6A17681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1F016D83" w14:textId="77777777" w:rsidR="004B2A77" w:rsidRPr="004B2A77" w:rsidRDefault="004B2A77" w:rsidP="004B2A77">
      <w:pPr>
        <w:widowControl/>
        <w:spacing w:after="2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Diversity and Inclusion</w:t>
      </w:r>
    </w:p>
    <w:p w14:paraId="14D2F9A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When attracting, developing and retaining talent, the Company seeks individuals who hold varied experiences and viewpoints to create an inclusive and diverse workplace that allows each employee to do their best work and drive the Company's collective success. The Company's workforce reflects the diversity of the countries and cultures in which it operates. At the end of 2022, 49% of the Company's</w:t>
      </w:r>
    </w:p>
    <w:p w14:paraId="7CC15FC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workforce and 18% of the Company's senior management positions were held by women.</w:t>
      </w:r>
    </w:p>
    <w:p w14:paraId="2185224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0B80B95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has operations in 27 different countries, with 17% of its workforce located in Asia (excluding China), 31% in the Americas, 13% in China, and 39% in Europe (including South Africa, Tunisia, Russia, and Turkey). </w:t>
      </w:r>
    </w:p>
    <w:p w14:paraId="6453E7C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table below show the Company's workforce by age group and gender in % at the end of 2022.</w:t>
      </w:r>
    </w:p>
    <w:p w14:paraId="01EF593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391"/>
        <w:gridCol w:w="6804"/>
        <w:gridCol w:w="7419"/>
      </w:tblGrid>
      <w:tr w:rsidR="004B2A77" w:rsidRPr="004B2A77" w14:paraId="6078F0F6" w14:textId="77777777" w:rsidTr="004B2A77">
        <w:trPr>
          <w:tblCellSpacing w:w="15" w:type="dxa"/>
        </w:trPr>
        <w:tc>
          <w:tcPr>
            <w:tcW w:w="6355" w:type="dxa"/>
            <w:vAlign w:val="center"/>
            <w:hideMark/>
          </w:tcPr>
          <w:p w14:paraId="563F6FD8"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6784" w:type="dxa"/>
            <w:vAlign w:val="center"/>
            <w:hideMark/>
          </w:tcPr>
          <w:p w14:paraId="5AB2A6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7385" w:type="dxa"/>
            <w:vAlign w:val="center"/>
            <w:hideMark/>
          </w:tcPr>
          <w:p w14:paraId="12B90EC9"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CF44828" w14:textId="77777777" w:rsidTr="004B2A77">
        <w:trPr>
          <w:trHeight w:val="160"/>
          <w:tblCellSpacing w:w="15" w:type="dxa"/>
        </w:trPr>
        <w:tc>
          <w:tcPr>
            <w:tcW w:w="0" w:type="auto"/>
            <w:tcBorders>
              <w:bottom w:val="single" w:sz="4" w:space="0" w:color="000000"/>
            </w:tcBorders>
            <w:shd w:val="clear" w:color="auto" w:fill="FFFFFF"/>
            <w:vAlign w:val="bottom"/>
            <w:hideMark/>
          </w:tcPr>
          <w:p w14:paraId="1AC0F33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 of Men</w:t>
            </w:r>
          </w:p>
        </w:tc>
        <w:tc>
          <w:tcPr>
            <w:tcW w:w="0" w:type="auto"/>
            <w:tcBorders>
              <w:bottom w:val="single" w:sz="4" w:space="0" w:color="000000"/>
            </w:tcBorders>
            <w:shd w:val="clear" w:color="auto" w:fill="FFFFFF"/>
            <w:vAlign w:val="bottom"/>
            <w:hideMark/>
          </w:tcPr>
          <w:p w14:paraId="773E993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Age group</w:t>
            </w:r>
          </w:p>
        </w:tc>
        <w:tc>
          <w:tcPr>
            <w:tcW w:w="0" w:type="auto"/>
            <w:tcBorders>
              <w:bottom w:val="single" w:sz="4" w:space="0" w:color="000000"/>
            </w:tcBorders>
            <w:shd w:val="clear" w:color="auto" w:fill="FFFFFF"/>
            <w:vAlign w:val="bottom"/>
            <w:hideMark/>
          </w:tcPr>
          <w:p w14:paraId="378964F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 of Women</w:t>
            </w:r>
          </w:p>
        </w:tc>
      </w:tr>
      <w:tr w:rsidR="004B2A77" w:rsidRPr="004B2A77" w14:paraId="1B096AD2" w14:textId="77777777" w:rsidTr="004B2A77">
        <w:trPr>
          <w:trHeight w:val="180"/>
          <w:tblCellSpacing w:w="15" w:type="dxa"/>
        </w:trPr>
        <w:tc>
          <w:tcPr>
            <w:tcW w:w="0" w:type="auto"/>
            <w:shd w:val="clear" w:color="auto" w:fill="CCECFF"/>
            <w:vAlign w:val="bottom"/>
            <w:hideMark/>
          </w:tcPr>
          <w:p w14:paraId="3280DEE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w:t>
            </w:r>
          </w:p>
        </w:tc>
        <w:tc>
          <w:tcPr>
            <w:tcW w:w="0" w:type="auto"/>
            <w:shd w:val="clear" w:color="auto" w:fill="CCECFF"/>
            <w:vAlign w:val="bottom"/>
            <w:hideMark/>
          </w:tcPr>
          <w:p w14:paraId="14F327FF"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&gt;60</w:t>
            </w:r>
          </w:p>
        </w:tc>
        <w:tc>
          <w:tcPr>
            <w:tcW w:w="0" w:type="auto"/>
            <w:shd w:val="clear" w:color="auto" w:fill="CCECFF"/>
            <w:vAlign w:val="bottom"/>
            <w:hideMark/>
          </w:tcPr>
          <w:p w14:paraId="4F52155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w:t>
            </w:r>
          </w:p>
        </w:tc>
      </w:tr>
      <w:tr w:rsidR="004B2A77" w:rsidRPr="004B2A77" w14:paraId="23C39593" w14:textId="77777777" w:rsidTr="004B2A77">
        <w:trPr>
          <w:trHeight w:val="180"/>
          <w:tblCellSpacing w:w="15" w:type="dxa"/>
        </w:trPr>
        <w:tc>
          <w:tcPr>
            <w:tcW w:w="0" w:type="auto"/>
            <w:shd w:val="clear" w:color="auto" w:fill="FFFFFF"/>
            <w:vAlign w:val="bottom"/>
            <w:hideMark/>
          </w:tcPr>
          <w:p w14:paraId="5353C75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FFFFFF"/>
            <w:vAlign w:val="bottom"/>
            <w:hideMark/>
          </w:tcPr>
          <w:p w14:paraId="50123DC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51-60</w:t>
            </w:r>
          </w:p>
        </w:tc>
        <w:tc>
          <w:tcPr>
            <w:tcW w:w="0" w:type="auto"/>
            <w:shd w:val="clear" w:color="auto" w:fill="FFFFFF"/>
            <w:vAlign w:val="bottom"/>
            <w:hideMark/>
          </w:tcPr>
          <w:p w14:paraId="66D8BC7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r>
      <w:tr w:rsidR="004B2A77" w:rsidRPr="004B2A77" w14:paraId="444E4143" w14:textId="77777777" w:rsidTr="004B2A77">
        <w:trPr>
          <w:trHeight w:val="180"/>
          <w:tblCellSpacing w:w="15" w:type="dxa"/>
        </w:trPr>
        <w:tc>
          <w:tcPr>
            <w:tcW w:w="0" w:type="auto"/>
            <w:shd w:val="clear" w:color="auto" w:fill="CCECFF"/>
            <w:vAlign w:val="bottom"/>
            <w:hideMark/>
          </w:tcPr>
          <w:p w14:paraId="214DE88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w:t>
            </w:r>
          </w:p>
        </w:tc>
        <w:tc>
          <w:tcPr>
            <w:tcW w:w="0" w:type="auto"/>
            <w:shd w:val="clear" w:color="auto" w:fill="CCECFF"/>
            <w:vAlign w:val="bottom"/>
            <w:hideMark/>
          </w:tcPr>
          <w:p w14:paraId="44DEE28E"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41-50</w:t>
            </w:r>
          </w:p>
        </w:tc>
        <w:tc>
          <w:tcPr>
            <w:tcW w:w="0" w:type="auto"/>
            <w:shd w:val="clear" w:color="auto" w:fill="CCECFF"/>
            <w:vAlign w:val="bottom"/>
            <w:hideMark/>
          </w:tcPr>
          <w:p w14:paraId="35A6350F"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r>
      <w:tr w:rsidR="004B2A77" w:rsidRPr="004B2A77" w14:paraId="2306CDDF" w14:textId="77777777" w:rsidTr="004B2A77">
        <w:trPr>
          <w:trHeight w:val="180"/>
          <w:tblCellSpacing w:w="15" w:type="dxa"/>
        </w:trPr>
        <w:tc>
          <w:tcPr>
            <w:tcW w:w="0" w:type="auto"/>
            <w:shd w:val="clear" w:color="auto" w:fill="FFFFFF"/>
            <w:vAlign w:val="bottom"/>
            <w:hideMark/>
          </w:tcPr>
          <w:p w14:paraId="092A85C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w:t>
            </w:r>
          </w:p>
        </w:tc>
        <w:tc>
          <w:tcPr>
            <w:tcW w:w="0" w:type="auto"/>
            <w:shd w:val="clear" w:color="auto" w:fill="FFFFFF"/>
            <w:vAlign w:val="bottom"/>
            <w:hideMark/>
          </w:tcPr>
          <w:p w14:paraId="3F59EB7F"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31-40</w:t>
            </w:r>
          </w:p>
        </w:tc>
        <w:tc>
          <w:tcPr>
            <w:tcW w:w="0" w:type="auto"/>
            <w:shd w:val="clear" w:color="auto" w:fill="FFFFFF"/>
            <w:vAlign w:val="bottom"/>
            <w:hideMark/>
          </w:tcPr>
          <w:p w14:paraId="77AC2B52"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16%</w:t>
            </w:r>
          </w:p>
        </w:tc>
      </w:tr>
      <w:tr w:rsidR="004B2A77" w:rsidRPr="004B2A77" w14:paraId="13527CB2" w14:textId="77777777" w:rsidTr="004B2A77">
        <w:trPr>
          <w:trHeight w:val="180"/>
          <w:tblCellSpacing w:w="15" w:type="dxa"/>
        </w:trPr>
        <w:tc>
          <w:tcPr>
            <w:tcW w:w="0" w:type="auto"/>
            <w:shd w:val="clear" w:color="auto" w:fill="CCECFF"/>
            <w:vAlign w:val="bottom"/>
            <w:hideMark/>
          </w:tcPr>
          <w:p w14:paraId="571498D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w:t>
            </w:r>
          </w:p>
        </w:tc>
        <w:tc>
          <w:tcPr>
            <w:tcW w:w="0" w:type="auto"/>
            <w:shd w:val="clear" w:color="auto" w:fill="CCECFF"/>
            <w:vAlign w:val="bottom"/>
            <w:hideMark/>
          </w:tcPr>
          <w:p w14:paraId="4C3825C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21-30</w:t>
            </w:r>
          </w:p>
        </w:tc>
        <w:tc>
          <w:tcPr>
            <w:tcW w:w="0" w:type="auto"/>
            <w:shd w:val="clear" w:color="auto" w:fill="CCECFF"/>
            <w:vAlign w:val="bottom"/>
            <w:hideMark/>
          </w:tcPr>
          <w:p w14:paraId="210D390D"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w:t>
            </w:r>
          </w:p>
        </w:tc>
      </w:tr>
      <w:tr w:rsidR="004B2A77" w:rsidRPr="004B2A77" w14:paraId="63FA5646" w14:textId="77777777" w:rsidTr="004B2A77">
        <w:trPr>
          <w:trHeight w:val="180"/>
          <w:tblCellSpacing w:w="15" w:type="dxa"/>
        </w:trPr>
        <w:tc>
          <w:tcPr>
            <w:tcW w:w="0" w:type="auto"/>
            <w:shd w:val="clear" w:color="auto" w:fill="FFFFFF"/>
            <w:vAlign w:val="bottom"/>
            <w:hideMark/>
          </w:tcPr>
          <w:p w14:paraId="5E866B6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w:t>
            </w:r>
          </w:p>
        </w:tc>
        <w:tc>
          <w:tcPr>
            <w:tcW w:w="0" w:type="auto"/>
            <w:shd w:val="clear" w:color="auto" w:fill="FFFFFF"/>
            <w:vAlign w:val="bottom"/>
            <w:hideMark/>
          </w:tcPr>
          <w:p w14:paraId="65D2B40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&lt;20</w:t>
            </w:r>
          </w:p>
        </w:tc>
        <w:tc>
          <w:tcPr>
            <w:tcW w:w="0" w:type="auto"/>
            <w:shd w:val="clear" w:color="auto" w:fill="FFFFFF"/>
            <w:vAlign w:val="bottom"/>
            <w:hideMark/>
          </w:tcPr>
          <w:p w14:paraId="5F51E63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w:t>
            </w:r>
          </w:p>
        </w:tc>
      </w:tr>
    </w:tbl>
    <w:p w14:paraId="15CCAA6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67B1E54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Talent Attraction, Development, and Retention</w:t>
      </w:r>
    </w:p>
    <w:p w14:paraId="2EB5563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believes that attraction, development, and retention of talent is essential to its success, especially in today's environment. The Company offers an inclusive work environment where its </w:t>
      </w:r>
      <w:r w:rsidRPr="004B2A77">
        <w:rPr>
          <w:rFonts w:ascii="Arial" w:eastAsia="宋体" w:hAnsi="Arial" w:cs="Arial"/>
          <w:color w:val="000000"/>
          <w:kern w:val="0"/>
          <w:sz w:val="18"/>
          <w:szCs w:val="18"/>
        </w:rPr>
        <w:lastRenderedPageBreak/>
        <w:t xml:space="preserve">employees are challenged and achieve great things together. Supporting the development of the employees is essential in a highly competitive and rapidly changing environment. An important cornerstone of each employee’s growth is the ongoing dialogue between the team member and manager, which is summarized during an annual Performance and Development Dialogue (PDD). During the year, 99% of targeted employees conducted a PDD with their managers. To provide opportunities for professional and personal growth of the employees, the Company has a multitude of development channels, including technical and specialist career paths, international assignments and other such programs. </w:t>
      </w:r>
    </w:p>
    <w:p w14:paraId="7DB9672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provides market-based competitive compensation through its salary, annual incentive, and long-term incentive programs and benefits packages that promote employee well-being across all aspects of their lives.</w:t>
      </w:r>
    </w:p>
    <w:p w14:paraId="4CB62D1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03EC859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Health and Safety</w:t>
      </w:r>
    </w:p>
    <w:p w14:paraId="23CD376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committed to providing a zero accident work environment that promotes the health, safety and welfare of its employees. Autoliv’s production facilities implement the Company's health and safety management system, which is supported by leadership teams. Implementation of the system as well as the ISO 45001 health and safety management system is monitored through internal and external audits. At the end of 2022, 71% of production facilities were certified according to ISO 45001.</w:t>
      </w:r>
    </w:p>
    <w:p w14:paraId="12D39D4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Throughout the COVID-19 pandemic, the Company has protected its employees’ health and well-being by providing the technology and communication equipment necessary to allow many of its employees to work remotely. For those who cannot effectively do their jobs remotely, the Company has put protocols in place to ensure a safe working environment.</w:t>
      </w:r>
    </w:p>
    <w:p w14:paraId="5B45500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w:t>
      </w:r>
    </w:p>
    <w:p w14:paraId="0D1B44CE"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D3E93BD">
          <v:rect id="_x0000_i1033" style="width:0;height:1.5pt" o:hralign="center" o:hrstd="t" o:hrnoshade="t" o:hr="t" fillcolor="black" stroked="f"/>
        </w:pict>
      </w:r>
    </w:p>
    <w:p w14:paraId="6A2B51C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AED08F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127D1AF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Labor Relations</w:t>
      </w:r>
    </w:p>
    <w:p w14:paraId="64800A2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offers fair terms and conditions of employment. The Company's overall purpose, Code of Conduct, talent development strategies and employment policies support the principles in the United Nations Universal Declaration of Human Rights, and the International Labor Organization’s Fundamental Principles and Labor Standards.</w:t>
      </w:r>
    </w:p>
    <w:p w14:paraId="1F139D7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considers its relationship with its personnel to be good. While there have been a small number of minor labor disputes historically, such disputes have not had a significant or lasting impact on the Company's relationship with its employees, customer perception of its employee practices or its business results.</w:t>
      </w:r>
    </w:p>
    <w:p w14:paraId="4E8CC9C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Major unions to which some of the Company's employees belong in Europe include: IG Metall in Germany; Unite the union in the United Kingdom; Confédération Générale des Travailleurs (CGT), Confédération Française Démocratique du Travail (CFDT), Confédération Française de l’Encadrement Confédération Générale des cadres (CFE-CGC), Force Ouvrière (FO), Confédération Française des Travailleurs Chrétiens (CFTC), Solidaires, Unitaires, Démocratiques (SUD) and Conféderation Autonome du Travail (CAT) in France; Union General de Trabajadores (UGT), Union Sindical Obrera (USO), Comisiones </w:t>
      </w:r>
      <w:r w:rsidRPr="004B2A77">
        <w:rPr>
          <w:rFonts w:ascii="Arial" w:eastAsia="宋体" w:hAnsi="Arial" w:cs="Arial"/>
          <w:color w:val="000000"/>
          <w:kern w:val="0"/>
          <w:sz w:val="18"/>
          <w:szCs w:val="18"/>
        </w:rPr>
        <w:lastRenderedPageBreak/>
        <w:t>Obereras (CCOO) and Confederacion General de Trabajadores (CGT) in Spain; IF Metall, Unionen, Sveriges Ingenjörer and Ledarna in Sweden; Industriaal- ja Metallitöötajate Ametiühingute Liit (IMTAL) in Estonia; Vasas Szakszervezeti Szövetség (Hungarian Metallworkers‘ Federation) in Hungary; Samorzadny NiezalezĪny Zwiazek Zawodowy Pracownikow and Zakladowa Organizacja Związkowa NSZZ Solidarnosc in Poland; National Union of Metal Workers South Africa (NUMSA) in South Africa; Union Générale des Travailleurs Tunisiens (UGTT) and Union des travailleurs Tunisiens (UTT) in Tunisia and Türk Metal Sendikasi in Turkey.</w:t>
      </w:r>
    </w:p>
    <w:p w14:paraId="0A24BDB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addition, the Company’s employees in other regions are represented by the following unions: Unifor in Canada; Sindicato de Jornaleros y Obreros Industriales y de la Industria Maquiladora de H.Matamoros, Tamaulipas (CTM); Sindicato Nacional de Trabajadores de la Industria Metalúrgica y Similares (CTM); Sindicato Nacional de Trabajadores de la Industria Arnesera, Eléctrica, Automotriz y Aeronáutica de la República Mexicana; “Nueva Cultura Laboral” “de trabajadores de la fabricación, manufactura, ensamble de autopartes mecánicas y eléctricas y componentes de la industria Automotriz (CROC); Sindicato Nacional de Trabajadores de la Industria de Autopartes en General y/o Similares, Conexos y sus Servicios de la República Mexicana, in Mexico; Sindicato dos Metalúrgicos de Taubaté e Região in Brazil; Autoliv India Employees Association, Bangalore &amp; Mysore in India; the Korean Metal Workers Union (FKTU) in Korea and Autoliv Japan Roudou Kumiai in Japan; Shanghai General Labor Union in China.</w:t>
      </w:r>
    </w:p>
    <w:p w14:paraId="3E8DFB3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many European countries, Canada, Mexico, Brazil and Korea, wages, salaries and general working conditions are negotiated with local unions and/or are subject to centrally negotiated collective bargaining agreements. The terms of the Company's various agreements with unions typically range between 1-3 years. Some of the Company's subsidiaries in Europe, Canada, Mexico, Brazil and Korea must negotiate with the applicable local unions with respect to important changes in operations, working and employment conditions. Twice a year, members of the Company’s management conduct a meeting with the European Works Council (EWC) to provide employee representatives with important information about the Company and a forum for the exchange of ideas and opinions.</w:t>
      </w:r>
    </w:p>
    <w:p w14:paraId="67EAD3C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many Asia Pacific countries, the central or regional governments provide guidance each year for salary adjustments or statutory minimum wage for workers. The Company's employees may join associations in accordance with local legislation and rules, although the level of unionization varies significantly throughout its operations.</w:t>
      </w:r>
    </w:p>
    <w:p w14:paraId="36CC5E7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951439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Key Performance Indicators (KPIs)</w:t>
      </w:r>
    </w:p>
    <w:p w14:paraId="1D9AC67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table below reflects certain KPIs on which the Company is particularly focused on with respect to the management of its workforce.</w:t>
      </w:r>
    </w:p>
    <w:p w14:paraId="55BC3EB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230"/>
        <w:gridCol w:w="234"/>
        <w:gridCol w:w="2904"/>
        <w:gridCol w:w="234"/>
        <w:gridCol w:w="234"/>
        <w:gridCol w:w="3529"/>
        <w:gridCol w:w="249"/>
      </w:tblGrid>
      <w:tr w:rsidR="004B2A77" w:rsidRPr="004B2A77" w14:paraId="7694995A" w14:textId="77777777" w:rsidTr="004B2A77">
        <w:trPr>
          <w:tblCellSpacing w:w="15" w:type="dxa"/>
        </w:trPr>
        <w:tc>
          <w:tcPr>
            <w:tcW w:w="13207" w:type="dxa"/>
            <w:vAlign w:val="center"/>
            <w:hideMark/>
          </w:tcPr>
          <w:p w14:paraId="31BF9009"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4" w:type="dxa"/>
            <w:vAlign w:val="center"/>
            <w:hideMark/>
          </w:tcPr>
          <w:p w14:paraId="1D0565A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878" w:type="dxa"/>
            <w:vAlign w:val="center"/>
            <w:hideMark/>
          </w:tcPr>
          <w:p w14:paraId="7319EDA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44BF9AD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05A38B7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504" w:type="dxa"/>
            <w:vAlign w:val="center"/>
            <w:hideMark/>
          </w:tcPr>
          <w:p w14:paraId="6E29FC8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5BCA2FB2"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2EA558A" w14:textId="77777777" w:rsidTr="004B2A77">
        <w:trPr>
          <w:trHeight w:val="160"/>
          <w:tblCellSpacing w:w="15" w:type="dxa"/>
        </w:trPr>
        <w:tc>
          <w:tcPr>
            <w:tcW w:w="0" w:type="auto"/>
            <w:tcBorders>
              <w:bottom w:val="single" w:sz="4" w:space="0" w:color="000000"/>
              <w:right w:val="single" w:sz="18" w:space="0" w:color="FFFFFF"/>
            </w:tcBorders>
            <w:shd w:val="clear" w:color="auto" w:fill="FFFFFF"/>
            <w:vAlign w:val="center"/>
            <w:hideMark/>
          </w:tcPr>
          <w:p w14:paraId="3DCBFBC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KPI</w:t>
            </w:r>
          </w:p>
        </w:tc>
        <w:tc>
          <w:tcPr>
            <w:tcW w:w="0" w:type="auto"/>
            <w:gridSpan w:val="2"/>
            <w:tcBorders>
              <w:bottom w:val="single" w:sz="4" w:space="0" w:color="000000"/>
            </w:tcBorders>
            <w:shd w:val="clear" w:color="auto" w:fill="FFFFFF"/>
            <w:vAlign w:val="center"/>
            <w:hideMark/>
          </w:tcPr>
          <w:p w14:paraId="55877C60" w14:textId="77777777" w:rsidR="004B2A77" w:rsidRPr="004B2A77" w:rsidRDefault="004B2A77" w:rsidP="004B2A77">
            <w:pPr>
              <w:widowControl/>
              <w:jc w:val="righ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center"/>
            <w:hideMark/>
          </w:tcPr>
          <w:p w14:paraId="49BB62B7" w14:textId="77777777" w:rsidR="004B2A77" w:rsidRPr="004B2A77" w:rsidRDefault="004B2A77" w:rsidP="004B2A77">
            <w:pPr>
              <w:widowControl/>
              <w:jc w:val="righ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left w:val="single" w:sz="18" w:space="0" w:color="FFFFFF"/>
              <w:bottom w:val="single" w:sz="4" w:space="0" w:color="000000"/>
            </w:tcBorders>
            <w:shd w:val="clear" w:color="auto" w:fill="FFFFFF"/>
            <w:vAlign w:val="center"/>
            <w:hideMark/>
          </w:tcPr>
          <w:p w14:paraId="34C6D947" w14:textId="77777777" w:rsidR="004B2A77" w:rsidRPr="004B2A77" w:rsidRDefault="004B2A77" w:rsidP="004B2A77">
            <w:pPr>
              <w:widowControl/>
              <w:jc w:val="righ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center"/>
            <w:hideMark/>
          </w:tcPr>
          <w:p w14:paraId="4B8A479E" w14:textId="77777777" w:rsidR="004B2A77" w:rsidRPr="004B2A77" w:rsidRDefault="004B2A77" w:rsidP="004B2A77">
            <w:pPr>
              <w:widowControl/>
              <w:jc w:val="righ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6F01E1EA" w14:textId="77777777" w:rsidTr="004B2A77">
        <w:trPr>
          <w:trHeight w:val="180"/>
          <w:tblCellSpacing w:w="15" w:type="dxa"/>
        </w:trPr>
        <w:tc>
          <w:tcPr>
            <w:tcW w:w="0" w:type="auto"/>
            <w:shd w:val="clear" w:color="auto" w:fill="CCECFF"/>
            <w:vAlign w:val="center"/>
            <w:hideMark/>
          </w:tcPr>
          <w:p w14:paraId="42E03A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of Autoliv facilities certified (OHSAS 18001 or ISO 45001)</w:t>
            </w:r>
          </w:p>
        </w:tc>
        <w:tc>
          <w:tcPr>
            <w:tcW w:w="0" w:type="auto"/>
            <w:shd w:val="clear" w:color="auto" w:fill="CCECFF"/>
            <w:noWrap/>
            <w:vAlign w:val="center"/>
            <w:hideMark/>
          </w:tcPr>
          <w:p w14:paraId="2F235A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7A6547B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71</w:t>
            </w:r>
          </w:p>
        </w:tc>
        <w:tc>
          <w:tcPr>
            <w:tcW w:w="0" w:type="auto"/>
            <w:shd w:val="clear" w:color="auto" w:fill="CCECFF"/>
            <w:noWrap/>
            <w:vAlign w:val="center"/>
            <w:hideMark/>
          </w:tcPr>
          <w:p w14:paraId="1A7D01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gridSpan w:val="2"/>
            <w:shd w:val="clear" w:color="auto" w:fill="CCECFF"/>
            <w:vAlign w:val="center"/>
            <w:hideMark/>
          </w:tcPr>
          <w:p w14:paraId="48B8636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 available</w:t>
            </w:r>
          </w:p>
        </w:tc>
        <w:tc>
          <w:tcPr>
            <w:tcW w:w="0" w:type="auto"/>
            <w:shd w:val="clear" w:color="auto" w:fill="CCECFF"/>
            <w:vAlign w:val="center"/>
            <w:hideMark/>
          </w:tcPr>
          <w:p w14:paraId="64CB86D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3481C7F" w14:textId="77777777" w:rsidTr="004B2A77">
        <w:trPr>
          <w:trHeight w:val="180"/>
          <w:tblCellSpacing w:w="15" w:type="dxa"/>
        </w:trPr>
        <w:tc>
          <w:tcPr>
            <w:tcW w:w="0" w:type="auto"/>
            <w:tcBorders>
              <w:left w:val="single" w:sz="18" w:space="0" w:color="FFFFFF"/>
              <w:right w:val="single" w:sz="18" w:space="0" w:color="FFFFFF"/>
            </w:tcBorders>
            <w:shd w:val="clear" w:color="auto" w:fill="FFFFFF"/>
            <w:vAlign w:val="center"/>
            <w:hideMark/>
          </w:tcPr>
          <w:p w14:paraId="3644C4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Incident rate</w:t>
            </w:r>
            <w:r w:rsidRPr="004B2A77">
              <w:rPr>
                <w:rFonts w:ascii="Arial" w:eastAsia="微软雅黑" w:hAnsi="Arial" w:cs="Arial"/>
                <w:color w:val="000000"/>
                <w:kern w:val="0"/>
                <w:sz w:val="12"/>
                <w:szCs w:val="12"/>
              </w:rPr>
              <w:t>1)</w:t>
            </w:r>
          </w:p>
        </w:tc>
        <w:tc>
          <w:tcPr>
            <w:tcW w:w="0" w:type="auto"/>
            <w:gridSpan w:val="2"/>
            <w:shd w:val="clear" w:color="auto" w:fill="FFFFFF"/>
            <w:vAlign w:val="center"/>
            <w:hideMark/>
          </w:tcPr>
          <w:p w14:paraId="0723B0C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0.32</w:t>
            </w:r>
          </w:p>
        </w:tc>
        <w:tc>
          <w:tcPr>
            <w:tcW w:w="0" w:type="auto"/>
            <w:shd w:val="clear" w:color="auto" w:fill="FFFFFF"/>
            <w:vAlign w:val="center"/>
            <w:hideMark/>
          </w:tcPr>
          <w:p w14:paraId="7F407C0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left w:val="single" w:sz="18" w:space="0" w:color="FFFFFF"/>
            </w:tcBorders>
            <w:shd w:val="clear" w:color="auto" w:fill="FFFFFF"/>
            <w:vAlign w:val="center"/>
            <w:hideMark/>
          </w:tcPr>
          <w:p w14:paraId="67E3274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0.41</w:t>
            </w:r>
          </w:p>
        </w:tc>
        <w:tc>
          <w:tcPr>
            <w:tcW w:w="0" w:type="auto"/>
            <w:shd w:val="clear" w:color="auto" w:fill="FFFFFF"/>
            <w:vAlign w:val="center"/>
            <w:hideMark/>
          </w:tcPr>
          <w:p w14:paraId="1066D00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D9B4E52" w14:textId="77777777" w:rsidTr="004B2A77">
        <w:trPr>
          <w:trHeight w:val="180"/>
          <w:tblCellSpacing w:w="15" w:type="dxa"/>
        </w:trPr>
        <w:tc>
          <w:tcPr>
            <w:tcW w:w="0" w:type="auto"/>
            <w:shd w:val="clear" w:color="auto" w:fill="CCECFF"/>
            <w:vAlign w:val="center"/>
            <w:hideMark/>
          </w:tcPr>
          <w:p w14:paraId="107A20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Severity rate</w:t>
            </w:r>
            <w:r w:rsidRPr="004B2A77">
              <w:rPr>
                <w:rFonts w:ascii="Arial" w:eastAsia="微软雅黑" w:hAnsi="Arial" w:cs="Arial"/>
                <w:color w:val="000000"/>
                <w:kern w:val="0"/>
                <w:sz w:val="12"/>
                <w:szCs w:val="12"/>
              </w:rPr>
              <w:t>2)</w:t>
            </w:r>
          </w:p>
        </w:tc>
        <w:tc>
          <w:tcPr>
            <w:tcW w:w="0" w:type="auto"/>
            <w:gridSpan w:val="2"/>
            <w:shd w:val="clear" w:color="auto" w:fill="CCECFF"/>
            <w:vAlign w:val="center"/>
            <w:hideMark/>
          </w:tcPr>
          <w:p w14:paraId="383FE16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3.31</w:t>
            </w:r>
          </w:p>
        </w:tc>
        <w:tc>
          <w:tcPr>
            <w:tcW w:w="0" w:type="auto"/>
            <w:shd w:val="clear" w:color="auto" w:fill="CCECFF"/>
            <w:vAlign w:val="center"/>
            <w:hideMark/>
          </w:tcPr>
          <w:p w14:paraId="05B7AD0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CECFF"/>
            <w:vAlign w:val="center"/>
            <w:hideMark/>
          </w:tcPr>
          <w:p w14:paraId="727683C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5.84</w:t>
            </w:r>
          </w:p>
        </w:tc>
        <w:tc>
          <w:tcPr>
            <w:tcW w:w="0" w:type="auto"/>
            <w:shd w:val="clear" w:color="auto" w:fill="CCECFF"/>
            <w:vAlign w:val="center"/>
            <w:hideMark/>
          </w:tcPr>
          <w:p w14:paraId="47A9F14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4DBFAEE" w14:textId="77777777" w:rsidTr="004B2A77">
        <w:trPr>
          <w:trHeight w:val="180"/>
          <w:tblCellSpacing w:w="15" w:type="dxa"/>
        </w:trPr>
        <w:tc>
          <w:tcPr>
            <w:tcW w:w="0" w:type="auto"/>
            <w:shd w:val="clear" w:color="auto" w:fill="CCECFF"/>
            <w:vAlign w:val="center"/>
            <w:hideMark/>
          </w:tcPr>
          <w:p w14:paraId="2A188B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women in workforce</w:t>
            </w:r>
          </w:p>
        </w:tc>
        <w:tc>
          <w:tcPr>
            <w:tcW w:w="0" w:type="auto"/>
            <w:shd w:val="clear" w:color="auto" w:fill="CCECFF"/>
            <w:noWrap/>
            <w:vAlign w:val="center"/>
            <w:hideMark/>
          </w:tcPr>
          <w:p w14:paraId="0AB967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05CD6CB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49</w:t>
            </w:r>
          </w:p>
        </w:tc>
        <w:tc>
          <w:tcPr>
            <w:tcW w:w="0" w:type="auto"/>
            <w:shd w:val="clear" w:color="auto" w:fill="CCECFF"/>
            <w:noWrap/>
            <w:vAlign w:val="center"/>
            <w:hideMark/>
          </w:tcPr>
          <w:p w14:paraId="34D085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CECFF"/>
            <w:noWrap/>
            <w:vAlign w:val="center"/>
            <w:hideMark/>
          </w:tcPr>
          <w:p w14:paraId="3E8BD0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14D64D5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47</w:t>
            </w:r>
          </w:p>
        </w:tc>
        <w:tc>
          <w:tcPr>
            <w:tcW w:w="0" w:type="auto"/>
            <w:shd w:val="clear" w:color="auto" w:fill="CCECFF"/>
            <w:noWrap/>
            <w:vAlign w:val="center"/>
            <w:hideMark/>
          </w:tcPr>
          <w:p w14:paraId="7C611E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7B8711E8" w14:textId="77777777" w:rsidTr="004B2A77">
        <w:trPr>
          <w:trHeight w:val="180"/>
          <w:tblCellSpacing w:w="15" w:type="dxa"/>
        </w:trPr>
        <w:tc>
          <w:tcPr>
            <w:tcW w:w="0" w:type="auto"/>
            <w:shd w:val="clear" w:color="auto" w:fill="FFFFFF"/>
            <w:vAlign w:val="center"/>
            <w:hideMark/>
          </w:tcPr>
          <w:p w14:paraId="76363B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women in senior management positions</w:t>
            </w:r>
          </w:p>
        </w:tc>
        <w:tc>
          <w:tcPr>
            <w:tcW w:w="0" w:type="auto"/>
            <w:shd w:val="clear" w:color="auto" w:fill="FFFFFF"/>
            <w:noWrap/>
            <w:vAlign w:val="center"/>
            <w:hideMark/>
          </w:tcPr>
          <w:p w14:paraId="199A47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EBCE7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w:t>
            </w:r>
          </w:p>
        </w:tc>
        <w:tc>
          <w:tcPr>
            <w:tcW w:w="0" w:type="auto"/>
            <w:shd w:val="clear" w:color="auto" w:fill="FFFFFF"/>
            <w:noWrap/>
            <w:vAlign w:val="center"/>
            <w:hideMark/>
          </w:tcPr>
          <w:p w14:paraId="40064A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noWrap/>
            <w:vAlign w:val="center"/>
            <w:hideMark/>
          </w:tcPr>
          <w:p w14:paraId="4C6B12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2C3FC0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w:t>
            </w:r>
          </w:p>
        </w:tc>
        <w:tc>
          <w:tcPr>
            <w:tcW w:w="0" w:type="auto"/>
            <w:shd w:val="clear" w:color="auto" w:fill="FFFFFF"/>
            <w:noWrap/>
            <w:vAlign w:val="center"/>
            <w:hideMark/>
          </w:tcPr>
          <w:p w14:paraId="73A77D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FBDCCCC" w14:textId="77777777" w:rsidTr="004B2A77">
        <w:trPr>
          <w:trHeight w:val="180"/>
          <w:tblCellSpacing w:w="15" w:type="dxa"/>
        </w:trPr>
        <w:tc>
          <w:tcPr>
            <w:tcW w:w="0" w:type="auto"/>
            <w:shd w:val="clear" w:color="auto" w:fill="CCECFF"/>
            <w:vAlign w:val="center"/>
            <w:hideMark/>
          </w:tcPr>
          <w:p w14:paraId="07C6F3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PDD rate</w:t>
            </w:r>
            <w:r w:rsidRPr="004B2A77">
              <w:rPr>
                <w:rFonts w:ascii="Arial" w:eastAsia="微软雅黑" w:hAnsi="Arial" w:cs="Arial"/>
                <w:color w:val="000000"/>
                <w:kern w:val="0"/>
                <w:sz w:val="12"/>
                <w:szCs w:val="12"/>
              </w:rPr>
              <w:t>3)</w:t>
            </w:r>
          </w:p>
        </w:tc>
        <w:tc>
          <w:tcPr>
            <w:tcW w:w="0" w:type="auto"/>
            <w:shd w:val="clear" w:color="auto" w:fill="CCECFF"/>
            <w:noWrap/>
            <w:vAlign w:val="center"/>
            <w:hideMark/>
          </w:tcPr>
          <w:p w14:paraId="766FF0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3F71807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99</w:t>
            </w:r>
          </w:p>
        </w:tc>
        <w:tc>
          <w:tcPr>
            <w:tcW w:w="0" w:type="auto"/>
            <w:shd w:val="clear" w:color="auto" w:fill="CCECFF"/>
            <w:noWrap/>
            <w:vAlign w:val="center"/>
            <w:hideMark/>
          </w:tcPr>
          <w:p w14:paraId="005AC1E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CECFF"/>
            <w:noWrap/>
            <w:vAlign w:val="center"/>
            <w:hideMark/>
          </w:tcPr>
          <w:p w14:paraId="34CE99B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74EC85B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99</w:t>
            </w:r>
          </w:p>
        </w:tc>
        <w:tc>
          <w:tcPr>
            <w:tcW w:w="0" w:type="auto"/>
            <w:shd w:val="clear" w:color="auto" w:fill="CCECFF"/>
            <w:noWrap/>
            <w:vAlign w:val="center"/>
            <w:hideMark/>
          </w:tcPr>
          <w:p w14:paraId="30D252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C9B539E" w14:textId="77777777" w:rsidTr="004B2A77">
        <w:trPr>
          <w:trHeight w:val="180"/>
          <w:tblCellSpacing w:w="15" w:type="dxa"/>
        </w:trPr>
        <w:tc>
          <w:tcPr>
            <w:tcW w:w="0" w:type="auto"/>
            <w:shd w:val="clear" w:color="auto" w:fill="FFFFFF"/>
            <w:vAlign w:val="center"/>
            <w:hideMark/>
          </w:tcPr>
          <w:p w14:paraId="7F666C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lastRenderedPageBreak/>
              <w:t>No. of employees attended at least one training program</w:t>
            </w:r>
          </w:p>
        </w:tc>
        <w:tc>
          <w:tcPr>
            <w:tcW w:w="0" w:type="auto"/>
            <w:shd w:val="clear" w:color="auto" w:fill="FFFFFF"/>
            <w:noWrap/>
            <w:vAlign w:val="center"/>
            <w:hideMark/>
          </w:tcPr>
          <w:p w14:paraId="175596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982101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4,100</w:t>
            </w:r>
          </w:p>
        </w:tc>
        <w:tc>
          <w:tcPr>
            <w:tcW w:w="0" w:type="auto"/>
            <w:shd w:val="clear" w:color="auto" w:fill="FFFFFF"/>
            <w:noWrap/>
            <w:vAlign w:val="center"/>
            <w:hideMark/>
          </w:tcPr>
          <w:p w14:paraId="1DB000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040C0BD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D2E24B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4,400</w:t>
            </w:r>
          </w:p>
        </w:tc>
        <w:tc>
          <w:tcPr>
            <w:tcW w:w="0" w:type="auto"/>
            <w:shd w:val="clear" w:color="auto" w:fill="FFFFFF"/>
            <w:noWrap/>
            <w:vAlign w:val="center"/>
            <w:hideMark/>
          </w:tcPr>
          <w:p w14:paraId="4E429D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78C0B4E" w14:textId="77777777" w:rsidTr="004B2A77">
        <w:trPr>
          <w:tblCellSpacing w:w="15" w:type="dxa"/>
        </w:trPr>
        <w:tc>
          <w:tcPr>
            <w:tcW w:w="0" w:type="auto"/>
            <w:shd w:val="clear" w:color="auto" w:fill="FFFFFF"/>
            <w:vAlign w:val="center"/>
            <w:hideMark/>
          </w:tcPr>
          <w:p w14:paraId="1DE3D1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center"/>
            <w:hideMark/>
          </w:tcPr>
          <w:p w14:paraId="47D5EFE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56130E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center"/>
            <w:hideMark/>
          </w:tcPr>
          <w:p w14:paraId="2C9E12C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742C4F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584D746" w14:textId="77777777" w:rsidTr="004B2A77">
        <w:trPr>
          <w:trHeight w:val="160"/>
          <w:tblCellSpacing w:w="15" w:type="dxa"/>
        </w:trPr>
        <w:tc>
          <w:tcPr>
            <w:tcW w:w="0" w:type="auto"/>
            <w:gridSpan w:val="6"/>
            <w:shd w:val="clear" w:color="auto" w:fill="FFFFFF"/>
            <w:vAlign w:val="bottom"/>
            <w:hideMark/>
          </w:tcPr>
          <w:p w14:paraId="029A90AC"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1"/>
                <w:szCs w:val="11"/>
              </w:rPr>
              <w:t>1)</w:t>
            </w:r>
            <w:r w:rsidRPr="004B2A77">
              <w:rPr>
                <w:rFonts w:ascii="Arial" w:eastAsia="微软雅黑" w:hAnsi="Arial" w:cs="Arial"/>
                <w:color w:val="000000"/>
                <w:kern w:val="0"/>
                <w:sz w:val="16"/>
                <w:szCs w:val="16"/>
              </w:rPr>
              <w:t> Number of reportable injuries per 200,000 employee hours of exposure.</w:t>
            </w:r>
          </w:p>
        </w:tc>
        <w:tc>
          <w:tcPr>
            <w:tcW w:w="0" w:type="auto"/>
            <w:shd w:val="clear" w:color="auto" w:fill="FFFFFF"/>
            <w:vAlign w:val="bottom"/>
            <w:hideMark/>
          </w:tcPr>
          <w:p w14:paraId="7EACC81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73231EBD" w14:textId="77777777" w:rsidTr="004B2A77">
        <w:trPr>
          <w:trHeight w:val="160"/>
          <w:tblCellSpacing w:w="15" w:type="dxa"/>
        </w:trPr>
        <w:tc>
          <w:tcPr>
            <w:tcW w:w="0" w:type="auto"/>
            <w:gridSpan w:val="6"/>
            <w:shd w:val="clear" w:color="auto" w:fill="FFFFFF"/>
            <w:vAlign w:val="bottom"/>
            <w:hideMark/>
          </w:tcPr>
          <w:p w14:paraId="14437CC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1"/>
                <w:szCs w:val="11"/>
              </w:rPr>
              <w:t>2)</w:t>
            </w:r>
            <w:r w:rsidRPr="004B2A77">
              <w:rPr>
                <w:rFonts w:ascii="Arial" w:eastAsia="微软雅黑" w:hAnsi="Arial" w:cs="Arial"/>
                <w:color w:val="000000"/>
                <w:kern w:val="0"/>
                <w:sz w:val="16"/>
                <w:szCs w:val="16"/>
              </w:rPr>
              <w:t> Total days away from work due to a work-related reportable injury and/or illness per 200,000 employee hours of exposure.</w:t>
            </w:r>
          </w:p>
        </w:tc>
        <w:tc>
          <w:tcPr>
            <w:tcW w:w="0" w:type="auto"/>
            <w:shd w:val="clear" w:color="auto" w:fill="FFFFFF"/>
            <w:vAlign w:val="bottom"/>
            <w:hideMark/>
          </w:tcPr>
          <w:p w14:paraId="7C1600A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5DD34B8C" w14:textId="77777777" w:rsidTr="004B2A77">
        <w:trPr>
          <w:trHeight w:val="160"/>
          <w:tblCellSpacing w:w="15" w:type="dxa"/>
        </w:trPr>
        <w:tc>
          <w:tcPr>
            <w:tcW w:w="0" w:type="auto"/>
            <w:gridSpan w:val="6"/>
            <w:shd w:val="clear" w:color="auto" w:fill="FFFFFF"/>
            <w:vAlign w:val="bottom"/>
            <w:hideMark/>
          </w:tcPr>
          <w:p w14:paraId="255F3B69"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1"/>
                <w:szCs w:val="11"/>
              </w:rPr>
              <w:t>3)</w:t>
            </w:r>
            <w:r w:rsidRPr="004B2A77">
              <w:rPr>
                <w:rFonts w:ascii="Arial" w:eastAsia="微软雅黑" w:hAnsi="Arial" w:cs="Arial"/>
                <w:color w:val="000000"/>
                <w:kern w:val="0"/>
                <w:sz w:val="16"/>
                <w:szCs w:val="16"/>
              </w:rPr>
              <w:t> Percentage of total employees participating in Autoliv's annual Performance and Development Dialogue (PDD).</w:t>
            </w:r>
          </w:p>
        </w:tc>
        <w:tc>
          <w:tcPr>
            <w:tcW w:w="0" w:type="auto"/>
            <w:shd w:val="clear" w:color="auto" w:fill="FFFFFF"/>
            <w:vAlign w:val="bottom"/>
            <w:hideMark/>
          </w:tcPr>
          <w:p w14:paraId="517703A2"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bl>
    <w:p w14:paraId="0E0610B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19BB90E0"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Available Information</w:t>
      </w:r>
    </w:p>
    <w:p w14:paraId="4BB19FC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files or furnishes with the United States Securities and Exchange Commission (the “SEC”) periodic reports and amendments thereto, which include annual reports on Form 10-K, quarterly reports on Form 10-Q, current reports on Form 8-K, proxy statements and other information. Such reports, amendments, proxy statements, and other information are made available free of charge on the Company's corporate website at</w:t>
      </w:r>
      <w:r w:rsidRPr="004B2A77">
        <w:rPr>
          <w:rFonts w:ascii="Arial" w:eastAsia="宋体" w:hAnsi="Arial" w:cs="Arial"/>
          <w:color w:val="0000FF"/>
          <w:kern w:val="0"/>
          <w:sz w:val="18"/>
          <w:szCs w:val="18"/>
          <w:u w:val="single"/>
        </w:rPr>
        <w:t xml:space="preserve"> </w:t>
      </w:r>
      <w:r w:rsidRPr="004B2A77">
        <w:rPr>
          <w:rFonts w:ascii="Arial" w:eastAsia="宋体" w:hAnsi="Arial" w:cs="Arial"/>
          <w:color w:val="000000"/>
          <w:kern w:val="0"/>
          <w:sz w:val="18"/>
          <w:szCs w:val="18"/>
        </w:rPr>
        <w:t>www.autoliv.com and are available as soon as reasonably practicable after they are electronically filed with the SEC. The Company's Corporate Governance Guidelines, committee charters, code of conduct, and other documents governing the Company are also available on its corporate website at www.autoliv.com. The SEC maintains an internet site that contains reports, proxy statements and other information at www.sec.gov. Hard copies of the above-mentioned documents can be obtained free of charge by contacting the Company at: Autoliv, Inc., P.O. Box 70381, SE-107 24, Stockholm, Sweden.</w:t>
      </w:r>
    </w:p>
    <w:p w14:paraId="784BEDF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w:t>
      </w:r>
    </w:p>
    <w:p w14:paraId="13F5C214"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4B695AC">
          <v:rect id="_x0000_i1034" style="width:0;height:1.5pt" o:hralign="center" o:hrstd="t" o:hrnoshade="t" o:hr="t" fillcolor="black" stroked="f"/>
        </w:pict>
      </w:r>
    </w:p>
    <w:p w14:paraId="5623318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F303E6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1A. Risk Factors</w:t>
      </w:r>
    </w:p>
    <w:p w14:paraId="18D76D0F"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Our business, financial condition, operating results and cash flows may be impacted by a number of factors. A discussion of the risks associated with these material risk factors is included below.</w:t>
      </w:r>
    </w:p>
    <w:p w14:paraId="1B7F984A"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ADVERSE GLOBAL HEALTH AND GEOPOLITICAL DEVELOPMENTS</w:t>
      </w:r>
    </w:p>
    <w:p w14:paraId="09021F6F"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face risks related to the novel coronavirus (COVID-19) pandemic that have, and are expected to continue to have, an adverse impact on our business and financial performance</w:t>
      </w:r>
    </w:p>
    <w:p w14:paraId="317CA2EB"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COVID-19 pandemic has created significant volatility in the global economy and led to reduced economic activity and employment and has disrupted, and may continue to disrupt, the global automotive industry and customer sales, production volumes and purchases of light vehicles by end-consumers. The spread of COVID-19 has also caused disruptions in the manufacturing, delivery, and overall supply chains of automobile manufacturers and suppliers. Global light vehicle production ("LVP") has been lower than expected and is expected to continue to be volatile. If the global economic effects caused by the pandemic continue or increase, overall customer demand may decrease, which could have a material and adverse effect on our business, results of operations, and financial condition. The full extent of the effect of the pandemic on us, our customers, our supply chain or the global supply chain and our business will depend on future developments, which are highly uncertain and cannot be predicted with confidence, including the duration and severity of the outbreak, subsequent outbreaks or the extent of any recession resulting from the pandemic. We may continue to experience the effects of the pandemic even after it has waned, and our business, results of operations and financial condition could continue to be affected. In addition </w:t>
      </w:r>
      <w:r w:rsidRPr="004B2A77">
        <w:rPr>
          <w:rFonts w:ascii="Arial" w:eastAsia="宋体" w:hAnsi="Arial" w:cs="Arial"/>
          <w:color w:val="000000"/>
          <w:kern w:val="0"/>
          <w:sz w:val="18"/>
          <w:szCs w:val="18"/>
        </w:rPr>
        <w:lastRenderedPageBreak/>
        <w:t xml:space="preserve">to the risks specifically described above, the impacts of the pandemic are likely to implicate and exacerbate other risks disclosed in Item 1A of this Annual Report, any of which could have a material effect on our operating results, cash flows, or financial condition. </w:t>
      </w:r>
    </w:p>
    <w:p w14:paraId="1582D0B0"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68CB61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Although we have minimal operations in Russia, we face risks related to the war in Ukraine, which has had, and is expected to continue to have, an adverse impact on our business and financial performance </w:t>
      </w:r>
    </w:p>
    <w:p w14:paraId="6F31AAF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macro-economic uncertainty has been exacerbated by the war in Ukraine. Although the length and impact of the ongoing war is highly unpredictable, it exacerbated volatility in commodity prices, energy prices, inflationary pressures, credit markets, foreign exchange rates and supply chain disruptions. Furthermore, governments in the United States, United Kingdom, Canada and European Union have each imposed export controls on certain products and financial and economic sanctions on certain industry sectors and parties in Russia. Existing or additional sanctions could further adversely affect the global economy and further disrupt the global supply chain. Inflation is also currently high world-wide and may continue for an unforeseen time.</w:t>
      </w:r>
    </w:p>
    <w:p w14:paraId="5F791BE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442F3F4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Due in part to the negative impact of the war in Ukraine, we have experienced exacerbated increases in raw materials and increased costs for transportation, energy, and commodities. Although have negotiated and continue to negotiate with our customers with respect to these additional costs, commercial negotiations with our customers may not be successful or may not offset all of the adverse impact of higher transportation, energy and commodity costs. Additionally, even if we are successful with respect to negotiations with customers relating to cost increases, there may be delay before we recover any increased costs. These may have a material negative impact on our business and results of operations.</w:t>
      </w:r>
    </w:p>
    <w:p w14:paraId="639C98D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OUR INDUSTRY</w:t>
      </w:r>
    </w:p>
    <w:p w14:paraId="09A0FDA0"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The cyclical nature of automotive sales and production can adversely affect our business. Our business is directly related to LVP in the global market and by our customers, and automotive sales and LVP are the most important drivers for our sales </w:t>
      </w:r>
    </w:p>
    <w:p w14:paraId="002EA477"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Automotive sales and production are highly cyclical and can be affected by general or regional economic or industry conditions, the level of consumer demand, recalls and other safety issues, labor relations issues, technological changes, fuel prices and availability, vehicle safety regulations and other regulatory requirements, governmental initiatives, trade agreements, political volatility (especially in energy producing countries and growth markets), changes in interest rate levels and credit availability and other factors. Some regions around the world may at various times be more particularly impacted by these factors than other regions. Economic declines that result in a significant reduction in automotive sales and production by our customers have in the past had, and may in the future have, a material adverse effect on our business, results of operations, and financial condition. Our sales are also affected by inventory levels of our customers. We cannot predict when our customers will decide to either increase or reduce inventory levels or whether new inventory levels will approximate historical inventory levels. This may exacerbate variability in our order intake and, as a result, our revenues and financial condition. Uncertainty regarding inventory levels may be exacerbated by consumer financing programs initiated or terminated by our customers or governments as such changes may affect the timing of their sales. Changes in automotive sales and LVP and/or customers’ inventory levels will have an impact on our mid- and long-term financial targets, earnings guidance, and estimates. In addition, we base our growth projections in </w:t>
      </w:r>
      <w:r w:rsidRPr="004B2A77">
        <w:rPr>
          <w:rFonts w:ascii="Arial" w:eastAsia="宋体" w:hAnsi="Arial" w:cs="Arial"/>
          <w:color w:val="000000"/>
          <w:kern w:val="0"/>
          <w:sz w:val="18"/>
          <w:szCs w:val="18"/>
        </w:rPr>
        <w:lastRenderedPageBreak/>
        <w:t>part on business awards, or order intake, made by our customers. However, actual production orders from our customers may not approximate the awarded business or our estimated order intake. Any significant reduction in automotive sales and/or LVP by our customers, whether due to general economic conditions or any other factors relevant to sales or LVP, could have a material adverse effect on our business, results of operations and financial condition.</w:t>
      </w:r>
    </w:p>
    <w:p w14:paraId="18682BB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F61038F"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10</w:t>
      </w:r>
    </w:p>
    <w:p w14:paraId="77D2807C"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B98C36B">
          <v:rect id="_x0000_i1035" style="width:0;height:1.5pt" o:hralign="center" o:hrstd="t" o:hrnoshade="t" o:hr="t" fillcolor="black" stroked="f"/>
        </w:pict>
      </w:r>
    </w:p>
    <w:p w14:paraId="61980AE8"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0E75BD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Growth rates in safety content per vehicle, which can be impacted by changes in consumer trends and political decisions, could affect our results in the future</w:t>
      </w:r>
    </w:p>
    <w:p w14:paraId="66BB471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estimates that the average global content of passive safety systems per light vehicle increased in 2022 to around $255. Vehicles produced in different markets may have various passive safety content values. For example, in developed markets such as Western Europe and North America, the premium segment has an average passive safety content values of over $350 per vehicle, whereas in growth markets such as China and India the average passive safety content per vehicle is approximately $210 and $100, respectively. Due to the majority of the growth in global LVP over time being concentrated in growth markets, our operating results may be impacted if the passive safety content per vehicle remains low and if the penetration of more advanced automotive safety systems does not increase in these regions. As passive safety content per vehicle is also an indicator of our sales development, should these trends continue, the average value of passive safety systems per vehicle could decline.</w:t>
      </w:r>
    </w:p>
    <w:p w14:paraId="39A2D3C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operate in a highly competitive market</w:t>
      </w:r>
    </w:p>
    <w:p w14:paraId="36A29F3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market for occupant restraint systems is highly competitive. We compete with a number of other companies that produce and sell similar products. Among other factors, our products compete on the basis of price, quality, manufacturing and distribution capability, design and performance, technological innovation, delivery, and service. Some of our competitors are subsidiaries (or divisions, units or similar) of companies that are larger and have greater financial and other resources than us. Some of our competitors may also have a “preferred status” as a result of special relationships or ownership interests with certain customers. Our ability to compete successfully depends, in large part, on our success in continuing to innovate and manufacture products that have commercial success with consumers, differentiating our products from those of our competitors, continuing to deliver quality products in the time frames required by our customers, and maintaining best-cost production. We continue to invest in technology and innovation which we believe will be critical to our long-term growth. Our ability to maintain and improve existing products, while successfully developing and introducing distinctive new and enhanced products that anticipate changing customer and consumer preferences and capitalize upon emerging technologies will be a significant factor in our ability to remain competitive. If we are unsuccessful or are less successful than our competitors in predicting the course of market development, developing innovative products, processes, and/or use of materials or adapting to new technologies or evolving regulatory, industry or customer requirements, we may be placed at a competitive disadvantage. For example, our customers are increasingly focused on developing electric vehicles. If we fail to be awarded business on electric vehicle models, it will harm our future business prospects. Our competitive environment continues to change, including increased competition from entrants outside the traditional </w:t>
      </w:r>
      <w:r w:rsidRPr="004B2A77">
        <w:rPr>
          <w:rFonts w:ascii="Arial" w:eastAsia="宋体" w:hAnsi="Arial" w:cs="Arial"/>
          <w:color w:val="000000"/>
          <w:kern w:val="0"/>
          <w:sz w:val="18"/>
          <w:szCs w:val="18"/>
        </w:rPr>
        <w:lastRenderedPageBreak/>
        <w:t>automotive industry, creating uncertainty about the future competitive landscape. Given the competitive nature of our business, the amount of awards we are awarded relative to our peers may decrease over time. Additionally,</w:t>
      </w:r>
      <w:r w:rsidRPr="004B2A77">
        <w:rPr>
          <w:rFonts w:ascii="Times New Roman" w:eastAsia="宋体" w:hAnsi="Times New Roman" w:cs="Times New Roman"/>
          <w:color w:val="000000"/>
          <w:kern w:val="0"/>
          <w:sz w:val="18"/>
          <w:szCs w:val="18"/>
        </w:rPr>
        <w:t xml:space="preserve"> </w:t>
      </w:r>
      <w:r w:rsidRPr="004B2A77">
        <w:rPr>
          <w:rFonts w:ascii="Arial" w:eastAsia="宋体" w:hAnsi="Arial" w:cs="Arial"/>
          <w:color w:val="000000"/>
          <w:kern w:val="0"/>
          <w:sz w:val="18"/>
          <w:szCs w:val="18"/>
        </w:rPr>
        <w:t>OEMs rigorously evaluate our performance and products against those of our competitors on the basis of product quality, reliability and cost-effectiveness. If one or more of our OEM customers determine that they could achieve overall better financial results by incorporating a competitor’s new or existing product, it could affect our ability to be competitive and may decrease our current market share. The inability to compete successfully could have a material adverse effect on our business, results of operations, and financial condition.</w:t>
      </w:r>
    </w:p>
    <w:p w14:paraId="17C3678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The discontinuation, lack of commercial success, or loss of business with respect to a particular vehicle model for which we are a significant supplier could reduce our sales and harm our business</w:t>
      </w:r>
    </w:p>
    <w:p w14:paraId="3E67C91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 number of our customer contracts generally require us to supply a customer’s annual requirements for a particular vehicle model and assembly facilities, rather than for manufacturing a specific quantity of products. Such contracts range from one year to the life of the model, which is generally four to seven years. These contracts are often subject to renegotiation, sometimes as frequent as on an annual basis, which may affect product pricing, and generally may be terminated by our customers at any time. Therefore, the discontinuation of, the loss of business with respect to, or a lack of commercial success of a particular vehicle model or brand for which we are a significant supplier could reduce our sales and harm our business prospects, operating results, cash flows, or financial condition.</w:t>
      </w:r>
    </w:p>
    <w:p w14:paraId="2E9A346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We are working to expand our product offerings beyond light passenger vehicles to include other mobility safety solutions. If we are not successful in expanding our product offerings or if it takes longer or costs are more than expected, it could harm our business </w:t>
      </w:r>
    </w:p>
    <w:p w14:paraId="6CD9EE7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working to expand its product offerings to focus on mobility safety solutions. Because mobility safety product offerings are currently in the development stages, it is difficult for us to anticipate the level of sales they may generate. The expansion of our product offering will require us to invest time and resources to develop innovative products, such as wearables and helmets, that keep pace with continuing changes in industry standards and to reach new customers who have rapidly changing preferences. Our product offerings might not receive customer acceptance if customer preferences shift to other products, and our future success depends in part on our ability to anticipate and respond to these changes. If we are not successful in expanding our product offerings or if it takes longer or costs are more than expected, it could negatively impact our financial results, competitive position, and future business prospects.</w:t>
      </w:r>
    </w:p>
    <w:p w14:paraId="7F9F611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205D93C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11</w:t>
      </w:r>
    </w:p>
    <w:p w14:paraId="40FB88C5"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E8DDB34">
          <v:rect id="_x0000_i1036" style="width:0;height:1.5pt" o:hralign="center" o:hrstd="t" o:hrnoshade="t" o:hr="t" fillcolor="black" stroked="f"/>
        </w:pict>
      </w:r>
    </w:p>
    <w:p w14:paraId="0CBAC5F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44A14E8"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OUR BUSINESS</w:t>
      </w:r>
    </w:p>
    <w:p w14:paraId="5911099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may incur material losses and costs as a result of product liability, warranty, and recall claims that may be brought against us or our customers</w:t>
      </w:r>
    </w:p>
    <w:p w14:paraId="7DAA6CE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face risks related to product liability claims, warranty claims, and recalls in the event that any of our products actually or allegedly are defective, fail to perform as expected, or the use of our products results, </w:t>
      </w:r>
      <w:r w:rsidRPr="004B2A77">
        <w:rPr>
          <w:rFonts w:ascii="Arial" w:eastAsia="宋体" w:hAnsi="Arial" w:cs="Arial"/>
          <w:color w:val="000000"/>
          <w:kern w:val="0"/>
          <w:sz w:val="18"/>
          <w:szCs w:val="18"/>
        </w:rPr>
        <w:lastRenderedPageBreak/>
        <w:t xml:space="preserve">or is alleged to result, in bodily injury and/or property damage. We may not be able to anticipate all of the possible performance or reliability problems that could arise with our products after they are released to the market. Additionally, increasing regulation and reporting requirements regarding potentially defective products, particularly in the U.S., may increase the possibility that we become involved in additional product liability or recall investigations or claims. See – “Our business may be adversely affected by changes in automotive safety regulations or concerns that drive further regulation of the automobile safety market”. Although we currently carry product liability and product recall insurance in excess of our self-insured amounts, no assurance can be made that such insurance will provide adequate coverage against potential claims, such insurance is available or will continue to be available in the appropriate markets, or that we will be able to obtain such insurance on acceptable terms in the future as the cost of such insurance has risen in recent years and the cost of our self-insurance program has risen as well. Although we have invested and will continue to invest in our engineering, design, and quality infrastructure, we cannot give any assurance that our products will not suffer from defects or other deficiencies or that we will not experience material warranty claims or product recalls. In the future, we could experience material warranty or product liability losses and incur significant costs to process and defend these claims. A successful claim brought against us in excess of available insurance coverage, if any, or a requirement to participate in any product recall, could have a material adverse effect on our operating results, cash flows, or financial condition. Future recalls could result in costs not covered by insurance in excess of our self-insurance, further government inquiries, litigation, reputational harm, and could divert management’s attention away from other matters. The main variables affecting the costs of a recall are the number of vehicles ultimately determined to be affected by the issue, the cost per vehicle associated with a recall, the determination of proportionate responsibility among the customer, the Company, and any relevant sub-suppliers, and actual insurance recoveries. Every vehicle manufacturer has its own practices regarding product recalls and other product liability actions relating to its suppliers, and the performance and remedial requirements vary between jurisdictions. Due to recall activity in the automotive industry over the past decade, some vehicle manufactures have become even more sensitive to product recall risks. As suppliers become more integrally involved in the vehicle design process and assume more of the vehicle assembly functions, vehicle manufacturers are increasingly looking to their suppliers for contribution when faced with recalls and product liability claims. Product recalls in our industry, even when they do not involve our products, can harm the reputations of our customers, competitors, and us, particularly if those recalls cause consumers to question the safety or reliability of products similar to those we produce. In addition, with global platforms and procedures, vehicle manufacturers are increasingly evaluating our quality performance on a global basis; any one or more quality, warranty or other recall issue(s) (including issues affecting few units and/or having a small financial impact) may cause a vehicle manufacturer to implement measures which may have a severe impact on our operations, such as a global, temporary or prolonged suspension of new orders. In addition, as our products more frequently use global designs and are based on or utilize the same or similar parts, components or solutions, there is a risk that the number of vehicles affected globally by a failure or defect will increase significantly with a corresponding increase in our costs. A warranty, recall or product liability claim brought against us in excess of our available insurance may have a material adverse effect on our business. Vehicle manufacturers are also increasingly requiring their outside suppliers to guarantee or warrant their products and bear the costs of repair and replacement of such products under new vehicle warranties. A vehicle manufacturer may attempt to hold us responsible for some or the entire repair or replacement costs of defective products under new vehicle warranties, when the product supplied did not perform as </w:t>
      </w:r>
      <w:r w:rsidRPr="004B2A77">
        <w:rPr>
          <w:rFonts w:ascii="Arial" w:eastAsia="宋体" w:hAnsi="Arial" w:cs="Arial"/>
          <w:color w:val="000000"/>
          <w:kern w:val="0"/>
          <w:sz w:val="18"/>
          <w:szCs w:val="18"/>
        </w:rPr>
        <w:lastRenderedPageBreak/>
        <w:t>represented. Accordingly, the future costs of warranty claims by our customers may be material. However, the final amounts determined to be due related to these matters could differ materially from our recorded warranty estimates and our business prospects, operating results, cash flows or financial condition may be materially impacted as a result. In addition, as we adopt new technology, we face an inherent risk of exposure to the claims of others that we have allegedly violated their intellectual property rights. We cannot assure that we will not experience any material warranty, product liability or intellectual property claim losses in the future or that we will not incur significant costs to defend such claims. See “If our patents are declared invalid or our technology infringes on the proprietary rights of others, our ability to compete may be impaired”.</w:t>
      </w:r>
    </w:p>
    <w:p w14:paraId="0E21B65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Escalating pricing pressures from our customers may adversely affect our business</w:t>
      </w:r>
    </w:p>
    <w:p w14:paraId="3E5CCCF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automotive industry continues to experience aggressive pricing pressure from customers. This trend is partly attributable to the major automobile manufacturers’ strong purchasing power. As with other automotive component manufacturers, we are often expected to quote fixed prices or are forced to accept prices with annual price reduction commitments for long-term sales arrangements or discounted reimbursements for engineering work. Price reductions have impacted our sales and profit margins and are expected to continue to do so in the future. Our future profitability will depend upon, among other things, our ability to continuously reduce our cost per unit and maintain our cost structure, enabling us to remain cost-competitive. Our profitability is also influenced by our success in designing and marketing technological improvements in automotive safety systems, which helps us offset price reductions by our customers. If we are unable to offset continued price reductions through improved operating efficiencies and reduced expenditures, these price reductions may have a material adverse effect on our business prospects, operating results, cash flows or financial condition. </w:t>
      </w:r>
    </w:p>
    <w:p w14:paraId="09311E9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3C704DE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12</w:t>
      </w:r>
    </w:p>
    <w:p w14:paraId="3B6A04E4"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31F3322">
          <v:rect id="_x0000_i1037" style="width:0;height:1.5pt" o:hralign="center" o:hrstd="t" o:hrnoshade="t" o:hr="t" fillcolor="black" stroked="f"/>
        </w:pict>
      </w:r>
    </w:p>
    <w:p w14:paraId="6D4A7478"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C63110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could experience disruption in our supply or delivery chain, which could cause one or more of our customers to halt or delay production</w:t>
      </w:r>
    </w:p>
    <w:p w14:paraId="5F91606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as with other component manufactures in the automotive industry, ship our products to customer vehicle assembly facilities throughout the world on a “just-in-time” basis in order for our customers to maintain low inventory levels. Our suppliers (external suppliers as well as our own production sites) use a similar method in providing raw materials to us. However, this “just-in-time” method makes the logistics supply chain in our industry very complex and vulnerable to disruption. Disruptions in our supply chain may result for many reasons, including closures of one of our own or one of our suppliers’ facilities or critical manufacturing lines due to strikes or other labor disputes, mechanical failures, electrical outages, fires, explosions, critical pollution levels, critical health and safety and other working conditions issues (including epidemics and pandemics, such as the coronavirus (COVID-19)), natural disasters political upheaval, as well as logistical complications due to labor disruptions, weather or natural disasters, acts of terrorism, mechanical failures, and legislation or regulation regarding the transport of hazardous goods. Additionally, we may experience disruptions if there are newly imposed trade restrictions or delays in customs processing, including if we are unable to obtain government authorization to export or import certain materials, including materials that may be viewed as dangerous such as the propellant used for </w:t>
      </w:r>
      <w:r w:rsidRPr="004B2A77">
        <w:rPr>
          <w:rFonts w:ascii="Arial" w:eastAsia="宋体" w:hAnsi="Arial" w:cs="Arial"/>
          <w:color w:val="000000"/>
          <w:kern w:val="0"/>
          <w:sz w:val="18"/>
          <w:szCs w:val="18"/>
        </w:rPr>
        <w:lastRenderedPageBreak/>
        <w:t>our inflators. As we continue to expand in growth markets, the risk of such disruptions is heightened. The unavailability of even a single small subcomponent necessary to manufacture one of our products, for whatever reason, could force us to cease production of that product, possibly for a prolonged period. Similarly, a potential quality issue could force us to halt deliveries while we validate the products. Even when products are ready to be shipped, or have been shipped, delays may arise before they reach our customer. Also, similar difficulties for other suppliers may force our customers to halt production, which may in turn impact our sales shipments to such customers. When we fail to timely deliver, we may have to absorb our own costs for identifying and resolving the ultimate problem as well as expeditiously producing and shipping replacement components or products. Generally, we must also carry the costs associated with “catching up,” such as overtime and premium freight. If we are the cause of a customer being forced to halt production, the customer may seek to recoup all of its losses and expenses from us. These losses and expenses could be very significant and may include consequential losses such as lost profits. Where a customer halts production because of another supplier failing to deliver on time, we may not be fully compensated, if at all. Thus, any such supply chain disruptions could severely impact our operations and/or those of our customers and force us to halt production for prolonged periods of time which could expose us to material claims for compensation and have a material adverse effect on our business prospects, operating results, or financial condition.</w:t>
      </w:r>
    </w:p>
    <w:p w14:paraId="672C635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Adverse developments affecting our suppliers could harm our profitability</w:t>
      </w:r>
    </w:p>
    <w:p w14:paraId="2CEB566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Any significant disruption in our supplier relationships, particularly relationships with single-source suppliers, could harm our profitability. Furthermore, some of our suppliers may not be able to sufficiently manage the currency commodity cost volatility and/or sharply changing volumes while still performing as we expect. For example, recalls or field actions from our customers can stress the capacity of our supply chain and may inhibit our ability to timely deliver order volumes. We may incur costs as we try to make contingency plans to manage the risks for delivery delays, production delays, production issues or delivery of non-conforming products by our suppliers. </w:t>
      </w:r>
    </w:p>
    <w:p w14:paraId="5B5F3CF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Changes in the source, cost, availability of and regulations pertaining to raw materials and components may adversely affect our profit margins</w:t>
      </w:r>
    </w:p>
    <w:p w14:paraId="6FB2670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Our business uses a broad range of raw materials and components in the manufacture of our products, nearly all of which are generally available from a number of qualified suppliers. Our industry may be affected from time to time by limited supplies or price fluctuations of certain key components and materials. Strong worldwide demand for certain raw materials has had a significant impact on prices and short-term availability in recent years, including in 2022. Such price increases have and could materially increase our operating costs and materially and adversely affect our profit margin, as direct material costs amounted to approximately 52% of our net sales in 2022, of which approximately half is the raw material cost portion. Inflation is currently high world-wide and may continue for some time. Commercial negotiations with our customers and suppliers may not always offset all of the adverse impact of higher raw material, energy, labor, logistics, and commodity costs. Even where we are able to pass price increases along to our customer, there may be (i) a lapse of time before we are able to do so such that we must absorb the cost increase, and (ii) a negative impact on our relationships with such customers and suppliers which may limit our success in securing future awards from customers and securing acceptable supplies from suppliers. In addition, no assurances can be given that the magnitude and duration of such cost increases or any future cost increases could not have a larger adverse impact on our profitability and consolidated financial position than currently anticipated. Additionally, various </w:t>
      </w:r>
      <w:r w:rsidRPr="004B2A77">
        <w:rPr>
          <w:rFonts w:ascii="Arial" w:eastAsia="宋体" w:hAnsi="Arial" w:cs="Arial"/>
          <w:color w:val="000000"/>
          <w:kern w:val="0"/>
          <w:sz w:val="18"/>
          <w:szCs w:val="18"/>
        </w:rPr>
        <w:lastRenderedPageBreak/>
        <w:t>government regulators require companies that manufacture products containing certain minerals and their derivatives that are known as “conflict minerals”, originating from the Democratic Republic of Congo or adjoining countries to diligence and report the source of such materials. There are significant resources associated with complying with these requirements, including diligence efforts to determine the sources of conflict minerals used in our products and potential changes to our processes or supplies as a consequence of such diligence efforts. As there may be only a limited number of suppliers able to offer certified “conflict free” conflict minerals, there can be no assurance that we will be able to obtain necessary conflict free minerals from such suppliers in sufficient quantities or at competitive prices. We may face reputational challenges if we determine that certain of our products contain minerals not determined to be conflict free or if we are unable to sufficiently verify the origins for all minerals used in our products through the procedures we may implement. Furthermore, our customers are also increasingly requiring us to track sustainable sources of certain raw materials, which also requires additional diligence efforts and there can be no assurance that we will be able to obtain these materials in a cost-efficient and sustainable manner. Accordingly, these rules and customer requirements may adversely affect our business prospects, operating results, cash flows or financial condition.</w:t>
      </w:r>
    </w:p>
    <w:p w14:paraId="2A278A8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13</w:t>
      </w:r>
    </w:p>
    <w:p w14:paraId="49FB2BBF"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EF95FA4">
          <v:rect id="_x0000_i1038" style="width:0;height:1.5pt" o:hralign="center" o:hrstd="t" o:hrnoshade="t" o:hr="t" fillcolor="black" stroked="f"/>
        </w:pict>
      </w:r>
    </w:p>
    <w:p w14:paraId="43CA272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D4C410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business could be materially and adversely affected if we lost any of our largest customers or if they were unable to pay their invoices</w:t>
      </w:r>
    </w:p>
    <w:p w14:paraId="3166B4A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are dependent on a few large customers with strong purchasing power. This is the result of customer consolidation in the last few decades. In 2022, our top five customers represented around 49% of our consolidated sales, and our largest customer contract accounted for around 2% of our consolidated sales. Although business with any given customer is typically split into several contracts (either on the basis of one contract per vehicle model or on a broader platform basis), the loss of business from any of our major customers (whether by lower overall demand for vehicles, cancellation of existing contracts or the failure to award us new business) could have a material adverse effect on our business, results of operations, and financial condition. Similarly, further consolidation of our customers in the future could make us more reliant upon a smaller group of customers for a significant portion of our consolidated sales and negatively impact our bargaining power when contracting with such customers. Customers may put us on a “new business hold,” which would limit our ability to quote or be awarded all or part of their future vehicle contracts if quality or other issues arise in the vehicles for which we were a supplier. Such new business holds range in length and scope and are generally accompanied by a certain set of remedial conditions that must be met before we are eligible to bid for new business. Meeting any such conditions within the prescribed timeframe may require additional Company resources. A failure to satisfy any such conditions may have a material adverse impact on our financial results in the long term. There is a risk that one or more of our major customers may be unable to pay our invoices as they become due or that a customer will simply refuse to make such payments given its financial difficulties. If a major customer would enter into bankruptcy proceedings or similar proceedings whereby contractual commitments are subject to stay of execution and the possibility of legal or other modification, or if a major customer otherwise successfully procures protection against us legally enforcing its obligations, it is likely, absent special relief such as having a “preferred status”, that we will be forced to record a substantial loss. Additional information </w:t>
      </w:r>
      <w:r w:rsidRPr="004B2A77">
        <w:rPr>
          <w:rFonts w:ascii="Arial" w:eastAsia="宋体" w:hAnsi="Arial" w:cs="Arial"/>
          <w:color w:val="000000"/>
          <w:kern w:val="0"/>
          <w:sz w:val="18"/>
          <w:szCs w:val="18"/>
        </w:rPr>
        <w:lastRenderedPageBreak/>
        <w:t>concerning our major customers is included in Note 20, Segment Information, of the Consolidated Financial Statements in this Annual Report.</w:t>
      </w:r>
    </w:p>
    <w:p w14:paraId="4C2D5D1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inability to effectively manage the timing, quality and costs of new program launches could adversely affect our financial performance</w:t>
      </w:r>
    </w:p>
    <w:p w14:paraId="0358D67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To compete effectively in the automotive supply industry, we must be able to launch new products to meet our customers’ timing, performance, and quality standards. At times, we face an uneven number of launches and some launches, for various reasons, may have shortened launch lead times. We cannot provide assurance that we will be able to install and certify the equipment needed to produce products for new programs in time for the start of production, or that the transitioning of our manufacturing facilities and resources to full production for such new programs will not impact production rates or other operational efficiency measures at our facilities. In addition, we cannot provide assurance that our customers will execute on schedule the launch of their new product programs, for which we might supply products. Additionally, as a Tier 1 supplier, we must effectively coordinate the activities of numerous suppliers in order to launch programs successfully. Given the complexity of new program launches, especially involving new and innovative technologies, we may experience difficulties managing product quality, timeliness and associated costs. In addition, new program launches require a significant ramp up of costs; however, the sales related to these new programs generally are dependent upon the timing and success of the introduction of new vehicles by the Company’s customers. Our inability to effectively manage the timing, quality and costs of these new program launches could adversely affect our business prospects, operating results, cash flows, or financial condition.</w:t>
      </w:r>
    </w:p>
    <w:p w14:paraId="0228FD1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Changes in our product mix may impact our financial performance</w:t>
      </w:r>
    </w:p>
    <w:p w14:paraId="7981E4A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sell products that have varying profit margins. Our financial performance can be impacted depending on the mix of products we sell during a given period. Our earnings guidance, estimates and mid- and long-term financial targets assume a certain geographic sales mix as well as a product sales mix. If actual results vary significantly from this projected geographic and product mix of sales, our operating results and financial condition could be negatively impacted.</w:t>
      </w:r>
    </w:p>
    <w:p w14:paraId="072D7BD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are involved from time to time in legal proceedings and our business may suffer as a result of adverse outcomes of current or future legal proceedings</w:t>
      </w:r>
    </w:p>
    <w:p w14:paraId="76F5A9A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are, from time to time, involved in litigation, regulatory proceedings and commercial or contractual disputes that may be significant. These matters may include, without limitation, disputes with our suppliers and customers, intellectual property claims, shareholder litigation, government investigations, class action lawsuits, personal injury claims, product liability claims, environmental issues, antitrust, customs and VAT disputes and employment and tax issues. In such matters, government agencies or private parties may seek to recover from us very large, indeterminate amounts in penalties or monetary damages (including, in some cases, treble or punitive damages) or seek to limit our operations in some way. For example, a U.S. federal court has entered an order requiring Autoliv to pay approximately $118 million, approximately $18 million in actual compensatory damages plus pre-judgment interest and $100 million in punitive damages, because Autoliv manufactured the seatbelt that was involved in an accident. The Company has appealed the verdict. The possibility exists that claims may be asserted against us and their magnitude may remain unknown for long periods of time. These types of lawsuits could require a significant amount of management’s time and attention and a substantial legal liability or adverse regulatory outcome and the substantial expenses to defend the litigation or regulatory proceedings may have a material adverse </w:t>
      </w:r>
      <w:r w:rsidRPr="004B2A77">
        <w:rPr>
          <w:rFonts w:ascii="Arial" w:eastAsia="宋体" w:hAnsi="Arial" w:cs="Arial"/>
          <w:color w:val="000000"/>
          <w:kern w:val="0"/>
          <w:sz w:val="18"/>
          <w:szCs w:val="18"/>
        </w:rPr>
        <w:lastRenderedPageBreak/>
        <w:t>effect on our customer relationships, business prospects, reputation, operating results, cash flows and financial condition. No assurances can be given that such proceedings and claims will not have a material adverse impact on our profitability and consolidated financial position or that our established reserves or our available insurance will mitigate such impact.</w:t>
      </w:r>
    </w:p>
    <w:p w14:paraId="497B03E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F517549"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14</w:t>
      </w:r>
    </w:p>
    <w:p w14:paraId="430D261F"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FD6EA93">
          <v:rect id="_x0000_i1039" style="width:0;height:1.5pt" o:hralign="center" o:hrstd="t" o:hrnoshade="t" o:hr="t" fillcolor="black" stroked="f"/>
        </w:pict>
      </w:r>
    </w:p>
    <w:p w14:paraId="6A7C3A5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AD8107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may be subject to civil antitrust litigation that could negatively impact our business</w:t>
      </w:r>
    </w:p>
    <w:p w14:paraId="0DFBDFA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may be subject to civil antitrust lawsuits in the future in countries that permit such civil claims, including lawsuits or other actions by our customers. The Company was previously the subject of an investigation by the European Commission (“EC”) regarding possible anti-competitive behavior among certain suppliers to the automotive vehicle industry. The Company paid a fine to resolve these matters in 2019. As a result of the outcome of the EC investigation, we are and we could be subject to subsequent civil disputes with non-governmental third parties and civil or stockholder litigation stemming from the same facts and circumstances underlying the EC investigation. These types of lawsuits require significant management time and attention and could result in significant expenses as well as unfavorable outcomes that could have a material adverse impact on our customer relationships, business prospects, reputation, operating results, cash flows or financial condition, and our insurance may not mitigate such impact. See Note 17, Contingent Liabilities, to the Consolidated Financial Statements in this Annual Report.</w:t>
      </w:r>
    </w:p>
    <w:p w14:paraId="12BEBA6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Work stoppages, slow-downs or other labor issues at our customers’ facilities or at our facilities could adversely affect our operations</w:t>
      </w:r>
    </w:p>
    <w:p w14:paraId="3A0264A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Because the automotive industry relies heavily on “just-in-time” delivery of components during the assembly and manufacture of vehicles, a work stoppage or slow-down at one or more of the Company’s facilities could have a material adverse effect on our business. Similarly, if any of our customers were to experience a work stoppage or slow-down, that customer may halt or limit the purchase of our products. Similarly, a work stoppage or slow-down at another supplier could interrupt production at one of our customers’ facilities which would have the same effect. While labor contract negotiations at our facilities historically have rarely resulted in work stoppages, no assurances can be given that we will be able to negotiate acceptable contracts with these unions or that our failure to do so will not result in work stoppages. A work stoppage or other labor disruption at one or more of our facilities or our customers’ facilities could cause us to shut down production facilities supplying these products, which could have a material adverse effect on our business, results of operations and financial condition.</w:t>
      </w:r>
    </w:p>
    <w:p w14:paraId="08DD177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ability to operate our company effectively could be impaired if we fail to attract and retain executive officers and other key personnel</w:t>
      </w:r>
    </w:p>
    <w:p w14:paraId="24DA092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Our ability to operate our business and implement our strategies effectively depends, in part, on the efforts of our executive officers and other key employees. In addition, our future success will depend on, among other factors, our ability to attract, develop and retain other qualified personnel, particularly engineers and other employees with software and technical expertise. The loss of the services of any of our executive officers or other key employees or the failure to attract, develop or retain other qualified personnel could have a material adverse effect on our business.</w:t>
      </w:r>
    </w:p>
    <w:p w14:paraId="5B9EA7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lastRenderedPageBreak/>
        <w:t>Restructuring, efficiency, and strategic initiatives and capacity alignments are complex and difficult and at any time additional restructuring steps may be necessary, possibly on short notice and at significant cost</w:t>
      </w:r>
    </w:p>
    <w:p w14:paraId="7096C85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Our restructuring, efficiency, and strategic initiatives and capacity alignments include efforts to adjust our manufacturing capacity and cost structure to meet current and projected operational and market requirements, including plant closures, transfer of sourcing to best cost countries, consolidation of our supplier base, and standardization of products to reduce our overhead costs and consolidate our operational centers. The successful implementation of our restructuring activities and capacity alignments will involve sourcing, logistics, technology and employment arrangements. Because these restructuring, efficiency, and strategic initiatives and capacity alignments can be complex, there may be difficulties or delays in the implementation of any such initiatives and capacity alignments or they may not be immediately effective, resulting in an adverse material impact on our performance. In addition, there is a risk that inflation, high-turnover rates, and increased competition may reduce the efficiencies now available in best-cost countries to levels that no longer allow for cost-beneficial restructuring opportunities. Therefore, there can be no assurances that any future restructurings or capacity alignments will be completed as planned or achieve the desired results. See Note 11, Restructuring, to the Consolidated Financial Statements in this Annual Report. </w:t>
      </w:r>
    </w:p>
    <w:p w14:paraId="638FBB8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 prolonged recession and/or a downturn in our industry could result in us having insufficient funds to continue our operations and external financing may not be available to us or available only on materially different terms than what has historically been available</w:t>
      </w:r>
    </w:p>
    <w:p w14:paraId="1C19ACF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Our ability to generate cash from our operations is highly dependent on automotive sales and LVP, the global economy, and the economies of our important markets. If LVP were to remain on low levels for an extended period of time, we would experience a significantly negative cash flow. Similarly, if cash losses for customer defaults rise sharply, we would experience a negative cash flow. Such negative cash flow could result in our having insufficient funds to continue our operations unless we can procure external financing, which may not be possible. Our access to debt, securitization, or derivative markets around the world at competitive rates or in sufficient amounts could be affected by credit rating downgrades, market volatility, market disruption, regulatory requirements, or other factors. Our ability to obtain unsecured funding at a reasonable cost is dependent on our credit ratings or our perceived creditworthiness. Our current credit rating could be lowered as a result of us experiencing significant negative cash flows, increasing our indebtedness and leverage, or a dire financial outlook, which may affect our ability to procure financing. We may also for the same, or other reasons, find it difficult to secure new long-term credit facilities, at reasonable terms, when our principal credit facility expires in 2027. Further, even our existing unutilized credit facilities may not be available to us as agreed, or only at additional cost, if participating banks are unable to raise the necessary funds, where, for instance, financial markets are not functioning as expected or one or more banks in our principal credit facility syndicate were to default. As a result, we cannot assure you that we will continue to have sufficient liquidity to meet our operating needs. In the event that we do not have sufficient external financing, we may be required to seek additional capital, sell assets, reduce or cut back our operating activities or otherwise alter our business strategy. Information concerning our credit facilities and other financings are included in Item 7 in this Annual Report in the section headed “Treasury Activities” and in Note 13, Debt and Credit Agreements, to the Consolidated Financial Statements in this Annual Report.</w:t>
      </w:r>
    </w:p>
    <w:p w14:paraId="200D5CC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15</w:t>
      </w:r>
    </w:p>
    <w:p w14:paraId="3BADA22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2F1D4A1">
          <v:rect id="_x0000_i1040" style="width:0;height:1.5pt" o:hralign="center" o:hrstd="t" o:hrnoshade="t" o:hr="t" fillcolor="black" stroked="f"/>
        </w:pict>
      </w:r>
    </w:p>
    <w:p w14:paraId="0F3273C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D91842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indebtedness may harm our financial condition and results of operations</w:t>
      </w:r>
    </w:p>
    <w:p w14:paraId="728859C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of December 31, 2022, we have outstanding debt of $1.8 billion. We may incur additional debt for a variety of reasons. Although our significant credit facilities and debt agreements do not have any financial covenants, our level of indebtedness will have several important effects on our future operations, including, without limitation: a portion of our cash flows from operations will be dedicated to the payment of any interest or could be used for amortization required with respect to outstanding indebtedness; increases in our outstanding indebtedness and leverage will increase our vulnerability to adverse changes in general economic and industry conditions, as well as to competitive pressure; depending on the levels of our outstanding debt, our ability to obtain additional financing for working capital, acquisitions, capital expenditures, general corporate and other purposes may be limited; and potential future tightening of the availability of capital both from financial institutions and the debt markets may have an adverse effect on our ability to access additional capital.</w:t>
      </w:r>
    </w:p>
    <w:p w14:paraId="73E8562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Governmental restrictions may impact our business adversely</w:t>
      </w:r>
    </w:p>
    <w:p w14:paraId="333DAE3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Some of our customers are (or may be) owned by a governmental entity, receive various forms of governmental aid or support or are subject to governmental influence in other forms, which may impact us as a supplier to these customers. As a result, they may be required to partner with local entities or procure components from local suppliers to achieve a specific local content or be subject to other restrictions regarding localized content or ownership. The nature and form of any such restrictions or protections, whatever their basis, is very difficult to predict as is their potential impact. However, they are likely to be based on political rather than economical or operational considerations and may materially impact our business.</w:t>
      </w:r>
    </w:p>
    <w:p w14:paraId="6051800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Impairment charges relating to our assets, goodwill and other intangible assets could adversely affect our financial performance</w:t>
      </w:r>
    </w:p>
    <w:p w14:paraId="31A92C5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periodically review the carrying value of our assets, goodwill and other intangible assets for impairment indicators. If one or more of our customers’ facilities cease production or decrease their production volumes, the assets we carry related to our facilities serving such customers may decrease in value because we may no longer be able to utilize or realize them as intended. Where such decreases are significant, such impairments may have a material adverse impact on our financial results. We monitor the various factors that impact the valuation of our goodwill and other intangible assets, including expected future cash flow levels, global economic conditions, market price for our stock, and trends with our customers. Impairment of goodwill and other identifiable intangible assets may result from, among other things, deterioration in our performance and especially the cash flow performance of these goodwill assets, adverse market conditions and adverse changes in applicable laws or regulations. If there are changes in these circumstances or the other variables associated with the estimates, judgments and assumptions relating to the valuation of goodwill, when assessing the valuation of our goodwill items, we may determine that it is appropriate to write down a portion of our goodwill or intangible assets and record related non-cash impairment charges. In the event that we determine that we are required to write-down a portion of our goodwill items and other intangible assets and thereby record related non-cash impairment charges, our financial condition and operating results would be adversely affected. For additional information, see </w:t>
      </w:r>
      <w:r w:rsidRPr="004B2A77">
        <w:rPr>
          <w:rFonts w:ascii="Arial" w:eastAsia="宋体" w:hAnsi="Arial" w:cs="Arial"/>
          <w:color w:val="000000"/>
          <w:kern w:val="0"/>
          <w:sz w:val="18"/>
          <w:szCs w:val="18"/>
        </w:rPr>
        <w:lastRenderedPageBreak/>
        <w:t>Part II, Item 7 “Management’s Discussion and Analysis of Financial Condition and Results of Operations - Significant Accounting Policies and Critical Accounting Estimates – Goodwill and Intangibles”.</w:t>
      </w:r>
    </w:p>
    <w:p w14:paraId="4215D38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face risks related to our defined benefit pension plans and employee benefit plans, including the need for additional funding as well as higher costs and liabilities</w:t>
      </w:r>
    </w:p>
    <w:p w14:paraId="5A5FB88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Our defined benefit pension plans and employee benefit plans may require additional funding or give rise to higher related costs and liabilities which, in some circumstances, could reach material amounts and negatively affect our operating results. We are required to make certain year-end assumptions regarding our pension plans. Our pension obligations are dependent on several factors, including factors outside our control such as changes in interest rates, the market performance of the diversified investments underlying the pension plans, actuarial data and adjustments and an increase in the minimum funding requirements or other regulatory changes governing the plans. Adverse equity market conditions and volatility in the credit market may have an unfavorable impact on the value of our pension assets and our future estimated pension liabilities. Internal factors such as an adjustment to the level of benefits provided under the plans may also lead to an increase in our pension liability. If these or other internal and external risks were to occur, alone or in combination, our required contributions to the plans and the costs and net liabilities associated with the plans could increase substantially and have a material effect on our business. Information concerning our benefit plans is included in Note 18, Retirement Plans, of the Consolidated Financial Statements in this Annual Report.</w:t>
      </w:r>
    </w:p>
    <w:p w14:paraId="2537FE5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We may not be able to, or we may decide not to, pay dividends or repurchase shares at a level anticipated by our shareholders, which could reduce shareholder returns </w:t>
      </w:r>
    </w:p>
    <w:p w14:paraId="702653B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extent to which we pay dividends on our common stock and repurchase our common stock in the future is at the discretion of our Board of Directors and depends upon a number of factors, including our earnings, financial condition, cash and capital needs, indebtedness and leverage, and general economic or business conditions. No assurance can be given that we will be able to or will choose to pay any dividends or repurchase any shares in the foreseeable future. </w:t>
      </w:r>
    </w:p>
    <w:p w14:paraId="0967293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55A5F03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16</w:t>
      </w:r>
    </w:p>
    <w:p w14:paraId="59FC31E9"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2770C69">
          <v:rect id="_x0000_i1041" style="width:0;height:1.5pt" o:hralign="center" o:hrstd="t" o:hrnoshade="t" o:hr="t" fillcolor="black" stroked="f"/>
        </w:pict>
      </w:r>
    </w:p>
    <w:p w14:paraId="3B1394A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939CE4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Cybersecurity incidents or other damage to our technology infrastructure could disrupt business operations, result in the loss of critical and confidential information, and adversely impact our reputation and operating results</w:t>
      </w:r>
    </w:p>
    <w:p w14:paraId="39ABB2A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rely extensively on information technology (“IT”) networks and systems, our global data centers and services provided over the internet to process, transmit and store electronic information, and to manage or support a variety of business processes or activities across our facilities worldwide. In addition, a greater number of our employees are working remotely which may increase cybersecurity vulnerabilities and risk to our IT networks and systems. The secure operation of our IT networks and systems and the proper processing and maintenance of this information are critical to our business operations. We have been, and likely will continue to be, subject to cyber-attacks. To date we have seen no material impact on our business from these attacks or events. Although we seek to deploy comprehensive security measures to prevent, detect, address and mitigate these threats, there has been an increased level of activity, and an </w:t>
      </w:r>
      <w:r w:rsidRPr="004B2A77">
        <w:rPr>
          <w:rFonts w:ascii="Arial" w:eastAsia="宋体" w:hAnsi="Arial" w:cs="Arial"/>
          <w:color w:val="000000"/>
          <w:kern w:val="0"/>
          <w:sz w:val="18"/>
          <w:szCs w:val="18"/>
        </w:rPr>
        <w:lastRenderedPageBreak/>
        <w:t xml:space="preserve">associated level of sophistication, in cyber-attacks against large multinational companies. The ever-evolving threats mean we and our third-party service providers and vendors must continually evaluate and adapt our respective systems and processes and overall security environment, as well as those of any companies we acquire. There is no guarantee that these measures will be adequate to safeguard against all data security breaches, system compromises or misuses of data. Our security measures may be breached due to human or technological error, employee malfeasance, system malfunctions or attacks from uncoordinated individuals or sophisticated and targeted measures known as advanced persistent threats, directed at the Company, its products, its customers, its third-party service providers, and/or other entities with whom we do business. Because techniques used to obtain unauthorized access or to sabotage systems change frequently and generally are not recognized until they are launched against a target, we may be unable to anticipate these techniques or to implement adequate preventative measures. Disruptions and attacks on our IT systems or the systems of third parties storing our data or employee malfeasance or human or technological error could result in the misappropriation, loss, destruction or corruption of our critical data and confidential or proprietary information, personal information of our employees, the leakage of our or our customers’ confidential information, improper use of our systems and networks, production downtimes and both internal and external supply shortages, which could have an adverse effect on our results of operations. It may also result in the theft of intellectual property or other misappropriation of assets, or otherwise compromise our confidential or proprietary information and disrupt our operations. The potential consequences of a material cybersecurity incident include reputational damage, theft of intellectual property, litigation with third parties, diminution in the value of our investment in research, development and engineering, diversion of the attention of management away from the operation of our business and increased cybersecurity protection and remediation costs, legal claims and liability, regulatory scrutiny, sanctions, fines or penalties (which may not be covered by our insurance policies), negative publicity, release of sensitive and/or confidential information, increases in operating expenses, or lost revenues which in turn could adversely affect our competitiveness and results of operations. To the extent that any disruption or security breach results in a misappropriation, loss, destruction or corruption of our customer’s information, it could affect our relationships with our customers, create significant expense for us to investigate and remediate damage, lead to claims against the Company and ultimately harm our business. In addition, we may be required to incur significant costs to protect against damage caused by these disruptions or security breaches in the future. In addition, as the regulatory environment related to information security, data collection and use, and privacy becomes increasingly rigorous, with new and constantly changing requirements applicable to our business, compliance with those requirements could result in additional costs. Furthermore, our technology systems are vulnerable to damage or interruption from natural disasters, power loss and telecommunication failures. We continuously seek to maintain a robust program of information security and controls, however, any future significant compromise or breach of our data security, whether external or internal, or misuse of customer, associate, supplier or Company data, could result in significant costs, lost sales, fines, lawsuits, and damage to our reputation. </w:t>
      </w:r>
    </w:p>
    <w:p w14:paraId="0AF11B9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Third parties that maintain certain of our confidential and proprietary information could experience a cybersecurity incident</w:t>
      </w:r>
    </w:p>
    <w:p w14:paraId="5EBD2E4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rely on third parties to provide or maintain some of our IT systems, data centers and related services and do not exercise direct control over these systems. Despite the implementation of security measures at third party locations, these IT systems, data centers and cloud services are also vulnerable to security breaches or other disruptions. Additionally, we and certain of our third-party vendors, collect and store </w:t>
      </w:r>
      <w:r w:rsidRPr="004B2A77">
        <w:rPr>
          <w:rFonts w:ascii="Arial" w:eastAsia="宋体" w:hAnsi="Arial" w:cs="Arial"/>
          <w:color w:val="000000"/>
          <w:kern w:val="0"/>
          <w:sz w:val="18"/>
          <w:szCs w:val="18"/>
        </w:rPr>
        <w:lastRenderedPageBreak/>
        <w:t>personal information in connection with human resources operations and other aspects of our business. While we obtain assurances that any third parties we provide data to will protect this information and, where we believe appropriate, monitor the protections employed by these third parties, there is a risk the confidentiality of data held by us or by third parties may be compromised and expose us to liability for such breach.</w:t>
      </w:r>
    </w:p>
    <w:p w14:paraId="1AA618C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Global climate change could negatively affect our business</w:t>
      </w:r>
    </w:p>
    <w:p w14:paraId="7110D40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Increased public awareness and concern regarding global climate change will likely result in more regional and/or national requirements to reduce or mitigate the effects of greenhouse gas emissions. In addition, our shareholders and customers also expect us to reduce our greenhouse gas emissions. There continues to be a lack of consistent climate legislation, which creates economic and regulatory uncertainty. Any future regulations aimed at mitigating climate change may negatively impact the prices of raw materials and energy as well as the demand for certain of our customer’s products which could in turn impact demand for our products and impact our results of operations. The costs of compliance and any changes to our operations mandated by new or amended laws, may be significant. We may also face unexpected delays in obtaining permits and approvals required by such laws in connection with our manufacturing facilities, which would hinder our operation of these facilities. Furthermore, any violations of these laws may result in substantial fines and penalties, remediation costs, third party damages, or a suspension or cessation of our operations. We also face physical and transition risks from climate change. The manifestations of climate change, such as extreme weather conditions or more frequent extreme weather events, including wildfires, flooding, water stress and extreme heat, could disrupt our operations, damage our facilities, disrupt our supply chain, including our customers or suppliers, impact the availability and cost of materials needed for manufacturing or increase insurance and other operating costs.</w:t>
      </w:r>
      <w:r w:rsidRPr="004B2A77">
        <w:rPr>
          <w:rFonts w:ascii="Arial" w:eastAsia="宋体" w:hAnsi="Arial" w:cs="Arial"/>
          <w:color w:val="0000FF"/>
          <w:kern w:val="0"/>
          <w:sz w:val="18"/>
          <w:szCs w:val="18"/>
        </w:rPr>
        <w:t xml:space="preserve"> </w:t>
      </w:r>
      <w:r w:rsidRPr="004B2A77">
        <w:rPr>
          <w:rFonts w:ascii="Arial" w:eastAsia="宋体" w:hAnsi="Arial" w:cs="Arial"/>
          <w:color w:val="000000"/>
          <w:kern w:val="0"/>
          <w:sz w:val="18"/>
          <w:szCs w:val="18"/>
        </w:rPr>
        <w:t>As a result, severe weather or a natural disaster that results in a prolonged disruption to our operations, or the operations of our customers or suppliers, could have a material adverse effect on our</w:t>
      </w:r>
      <w:r w:rsidRPr="004B2A77">
        <w:rPr>
          <w:rFonts w:ascii="Arial" w:eastAsia="宋体" w:hAnsi="Arial" w:cs="Arial"/>
          <w:color w:val="000000"/>
          <w:kern w:val="0"/>
          <w:sz w:val="20"/>
          <w:szCs w:val="20"/>
        </w:rPr>
        <w:t xml:space="preserve"> </w:t>
      </w:r>
      <w:r w:rsidRPr="004B2A77">
        <w:rPr>
          <w:rFonts w:ascii="Arial" w:eastAsia="宋体" w:hAnsi="Arial" w:cs="Arial"/>
          <w:color w:val="000000"/>
          <w:kern w:val="0"/>
          <w:sz w:val="18"/>
          <w:szCs w:val="18"/>
        </w:rPr>
        <w:t>operating results, cash flows or financial condition.</w:t>
      </w:r>
    </w:p>
    <w:p w14:paraId="2DA396B8"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7D9D9E5"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17</w:t>
      </w:r>
    </w:p>
    <w:p w14:paraId="7B892A36"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C2415DF">
          <v:rect id="_x0000_i1042" style="width:0;height:1.5pt" o:hralign="center" o:hrstd="t" o:hrnoshade="t" o:hr="t" fillcolor="black" stroked="f"/>
        </w:pict>
      </w:r>
    </w:p>
    <w:p w14:paraId="58255BEB"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C441B6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goals, targets and ambitions related to sustainability and emissions reduction, and our public statements and disclosures regarding them, expose us to numerous risks</w:t>
      </w:r>
    </w:p>
    <w:p w14:paraId="4BDC919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have developed, and will continue to develop and set, goals, targets, ambitions and other objectives related to sustainability matters, including our net-zero emission targets both for ourselves and our supply chain. Some of these are based on our internal scenario analysis, which may not prove to be accurate and carries inherent uncertainties. Statements related to these goals, targets, ambitions and objectives reflect our current plans and do not constitute a guarantee that they will be achieved. Our efforts to research, establish, accomplish, and accurately report on these goals, targets, and objectives expose us to numerous operational, reputational, financial, legal, and other risks. Additionally, greenhouse gas emissions, particular emissions that come from individuals and entities up and down the value chain (otherwise known as Scope 3 emissions), are very difficult to estimate and our estimates may be materially different than actual emissions. The manner in which we estimate and disclose Scope 3 emissions may differ from other companies, and currently, we do not include downstream Scope 3 emissions in our </w:t>
      </w:r>
      <w:r w:rsidRPr="004B2A77">
        <w:rPr>
          <w:rFonts w:ascii="Arial" w:eastAsia="宋体" w:hAnsi="Arial" w:cs="Arial"/>
          <w:color w:val="000000"/>
          <w:kern w:val="0"/>
          <w:sz w:val="18"/>
          <w:szCs w:val="18"/>
        </w:rPr>
        <w:lastRenderedPageBreak/>
        <w:t>targets and ambitions. If future governmental regulations require us to modify the basis of our Scope 3 emissions disclosure, our historically disclosed Scope 3 emissions may change materially. Our ability to achieve any stated goal, target, ambition or objective, including with respect to emissions reduction, is subject to numerous factors and conditions, some of which are outside of our control. For example, we have announced that we are collaborating with Polestar to develop a climate neutral car. Such an endeavor requires the innovation and collaboration with a number of partners and is subject to certain inherent risks, including the timetable in which it is achieved. We may also have to purchase carbon offsets in order to meet our targets and objectives, which may not be available or may no longer be considered acceptable to use to meet such targets.</w:t>
      </w:r>
    </w:p>
    <w:p w14:paraId="67C93C4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Our business may face increased scrutiny from investors and other stakeholders related to our sustainability activities, including the goals, targets, and objectives that we announce, and our methodologies and timelines for pursuing them. If our sustainability practices do not meet investor or other stakeholder expectations and standards, which continue to evolve, our reputation, our ability to attract or retain employees, and our attractiveness as an investment or business partner could be negatively affected. Similarly, our failure or perceived failure to pursue or fulfill our sustainability-focused goals, targets, ambitions and objectives, to comply with ethical, environmental, or other standards, regulations, or expectations, or to satisfy various reporting standards with respect to these matters, within the timelines we announce, or at all, could adversely affect our business or reputation, as well as expose us to government enforcement actions and private litigation.</w:t>
      </w:r>
    </w:p>
    <w:p w14:paraId="2E19FFA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INTERNATIONAL OPERATIONS</w:t>
      </w:r>
    </w:p>
    <w:p w14:paraId="36727D2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business is exposed to risks inherent in international operations</w:t>
      </w:r>
    </w:p>
    <w:p w14:paraId="6138B4F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currently conduct operations in various countries and jurisdictions, including locating certain of our manufacturing and distribution facilities internationally, which subjects us to the legal, political, regulatory and social requirements and economic conditions in these jurisdictions. Some of these countries are considered growth markets and emerging markets. International sales and operations, especially in growth markets, subject us to certain risks inherent in doing business abroad, including: exposure to local economic conditions; unexpected changes in laws, regulations, trade, or monetary or fiscal policy, including interest rates, foreign currency exchange rates, and changes in inflation rates; foreign tax consequences; inability to collect, or delays in collecting, value-added taxes and/or other receivables associated with remittances and other payments by subsidiaries; exposure to local political turmoil and challenging labor conditions; changes in general economic and political conditions in countries where we operate, particularly in emerging markets; expropriation and nationalization; enforcing legal agreements or collecting receivables through foreign legal systems; wage inflation; currency controls, including lack of liquidity in foreign currency due to governmental restrictions, trade protection policies and currency controls, which may create difficulty in repatriating profits or making other remittances; compliance with the requirements of an increasing body of applicable anti-bribery laws; reduced intellectual property protection in various markets; investment restrictions or requirements; and the imposition of product tariffs and the burden of complying with a wide variety of international and U.S. export laws. The Company is subject to taxation in the U.S. and numerous foreign jurisdictions. The Organization for Economic Co-operation and Development (“OECD”) continues its base erosion and profit shifting (“BEPS”) project begun in 2015 with new proposals for a global minimum tax, further development of a coordinated set of rules for taxation and the allocation of taxing rights between jurisdictions. These proposals, if adopted by </w:t>
      </w:r>
      <w:r w:rsidRPr="004B2A77">
        <w:rPr>
          <w:rFonts w:ascii="Arial" w:eastAsia="宋体" w:hAnsi="Arial" w:cs="Arial"/>
          <w:color w:val="000000"/>
          <w:kern w:val="0"/>
          <w:sz w:val="18"/>
          <w:szCs w:val="18"/>
        </w:rPr>
        <w:lastRenderedPageBreak/>
        <w:t xml:space="preserve">countries in which we operate, could result in changes to tax policies, including transfer pricing policies, that could ultimately impact our tax liabilities. On December 12, 2022, the European Union member states agreed to implement the OECD’s Pillar 2 global corporate minimum tax at a rate of 15% on companies with revenues of at least $790 million, which would go into effect in 2024. Similarly, the United States passed the Inflation Reduction Act of 2022, which also imposes, among other things, a 15% corporate minimum tax for taxable years beginning after December 31, 2022, on certain U.S. based companies that have average revenues over a three-year period of at least $1 billion. Other countries including the United Kingdom, Switzerland, Canada, Australia and South Korea are also actively considering changes to their tax laws to adopt certain parts of the OECD’s proposals. The timing or impact of these proposals and recommendations is unclear at this point. </w:t>
      </w:r>
    </w:p>
    <w:p w14:paraId="578403A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Changes in tax laws or policies by the U.S. or foreign jurisdictions could result in a higher effective tax rate on our worldwide earnings, and any such change could have a material adverse effect on our business prospects, cash flows, operating results and financial condition. Our international operations also depend upon favorable trade relations between the countries where we manufacture and sell products and those foreign countries in which our customers and suppliers have operations. Changes in national policy, other governmental action related to tariffs or international trade agreements, changes in social, political regulatory, and economic conditions or in laws and policies governing foreign trade, manufacturing, development and investment in the territories and countries where the Company currently manufactures and sells products, and any resulting negative sentiments towards the Company as a result of such changes could depress economic activity and restrict our access to suppliers or customers and have a material adverse effect on our cash flows, operating results and financial condition. Increasing our manufacturing footprint in the growth markets and our business relationships with automotive manufacturers in these markets are particularly important elements of our strategy. As a result, our exposure to the risks described above may be greater in the future, and our exposure to risks associated with developing countries, such as the risk of political upheaval and reliability of local infrastructure, may increase.</w:t>
      </w:r>
    </w:p>
    <w:p w14:paraId="7E8C40C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59D235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18</w:t>
      </w:r>
    </w:p>
    <w:p w14:paraId="586100B1"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F68046B">
          <v:rect id="_x0000_i1043" style="width:0;height:1.5pt" o:hralign="center" o:hrstd="t" o:hrnoshade="t" o:hr="t" fillcolor="black" stroked="f"/>
        </w:pict>
      </w:r>
    </w:p>
    <w:p w14:paraId="1C646277"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22232B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foreign operations may subject us to risks relating to laws governing international relations</w:t>
      </w:r>
    </w:p>
    <w:p w14:paraId="05016FC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Due to our global operations, we are subject to many laws governing international relations (including, but not limited to, the Foreign Corrupt Practices Act, and other anti-bribery regulations in foreign jurisdictions where we do business), which prohibit improper payments to government officials and restrict where and how we can do business, what information or products we can supply to certain countries and what information we can provide to authorities in governmental authorities. We also export components and products that are subject to certain trade-related U.S. laws, including the U.S. Export Administration Act and various economic sanctions programs administered by the U.S. Treasury’s Office of Foreign Assets Control. Although we have procedures and policies in place that should mitigate the risk of violating these laws, there is no guarantee that they will be sufficiently effective. If and when we acquire new businesses, we may not be able to ensure that the pre-existing controls and procedures meant to prevent violations of these laws were effective, and violations may occur if we are unable to timely implement corrective and </w:t>
      </w:r>
      <w:r w:rsidRPr="004B2A77">
        <w:rPr>
          <w:rFonts w:ascii="Arial" w:eastAsia="宋体" w:hAnsi="Arial" w:cs="Arial"/>
          <w:color w:val="000000"/>
          <w:kern w:val="0"/>
          <w:sz w:val="18"/>
          <w:szCs w:val="18"/>
        </w:rPr>
        <w:lastRenderedPageBreak/>
        <w:t>effective controls and procedures when integrating newly acquired businesses. Any allegations of noncompliance with these laws could harm our reputation, divert management attention and result in significant expenses, and could therefore materially harm our business prospects, operating results and financial condition.</w:t>
      </w:r>
    </w:p>
    <w:p w14:paraId="2328F29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business in Asia is subject to aggressive competition and is sensitive to economic, market, and political conditions</w:t>
      </w:r>
    </w:p>
    <w:p w14:paraId="74EF5C8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operate in the automotive supply market throughout Asia including the highly competitive markets in China, South Korea, and India. In each of these markets we face competition from both international and smaller domestic manufacturers. Due to the significance of the Asian markets for our profit and growth, we are exposed to risks in China, South Korea, and India. We anticipate that additional competitors, both international and domestic, may seek to enter the Chinese, South Korean, and/or Indian markets resulting in increased competition. Increased competition may result in lower sales volumes, price reductions, reduced margins and our inability to gain or hold market share. There have been periods of increased market volatility and moderation in the levels of economic growth in China, which resulted in periods of lower automotive production growth rates in China than those previously experienced. Our business in Asia is sensitive to economic and market conditions that drive automotive sales volumes in China, South Korea, and India and may be impacted if there are reductions in vehicle demand in those markets. Additionally, the COVID-19 pandemic has created significant volatility throughout Asia, particularly in China, which has led to significant reduced economic activity and employment and has disrupted, and may continue to disrupt, the global automotive industry and customer sales, production volumes, and purchases of light vehicles by end-consumers. Although the Chinese government began rolling back its “Zero-Covid” policies and re-opening its economy in late 2022, if COVID-19 continues to spread or re-emerges in China, or other major markets in Asia, it may cause disruptions in the manufacturing, delivery, and overall supply chains of automobile manufacturers and suppliers. There are also trade and political tensions between China and other countries in the western world. If we are unable to maintain our position in the Asian markets, the pace of growth slows, or vehicle sales in these markets decrease, our business prospects, operating results and financial condition could be materially adversely affected.</w:t>
      </w:r>
    </w:p>
    <w:p w14:paraId="1DBD806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09F4F0A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business in Europe is sensitive to economic and market conditions</w:t>
      </w:r>
    </w:p>
    <w:p w14:paraId="14BFFCD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2453D8B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operate in the automotive supply market throughout Europe</w:t>
      </w:r>
      <w:r w:rsidRPr="004B2A77">
        <w:rPr>
          <w:rFonts w:ascii="Times New Roman" w:eastAsia="宋体" w:hAnsi="Times New Roman" w:cs="Times New Roman"/>
          <w:color w:val="000000"/>
          <w:kern w:val="0"/>
          <w:sz w:val="20"/>
          <w:szCs w:val="20"/>
        </w:rPr>
        <w:t xml:space="preserve"> </w:t>
      </w:r>
      <w:r w:rsidRPr="004B2A77">
        <w:rPr>
          <w:rFonts w:ascii="Arial" w:eastAsia="宋体" w:hAnsi="Arial" w:cs="Arial"/>
          <w:color w:val="000000"/>
          <w:kern w:val="0"/>
          <w:sz w:val="18"/>
          <w:szCs w:val="18"/>
        </w:rPr>
        <w:t xml:space="preserve">and are increasingly subject to the risks arising from adverse changes in the European economy. A significant deterioration in economic conditions, increased volatility, further declines in the European credit, equity, and foreign currency markets or geopolitical disruptions, including the war in Ukraine, could have negative impacts on our business operations in Europe and may lead to delays in or cancellations of customer orders. We also face competition from both international and smaller domestic manufacturers who may seek to enter the European markets resulting in increased competition. Increased competition may result in lower sales volumes, price reductions, reduced margins, and our inability to gain or hold market share. </w:t>
      </w:r>
    </w:p>
    <w:p w14:paraId="3FACB93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Global integration may result in additional risks</w:t>
      </w:r>
    </w:p>
    <w:p w14:paraId="6049842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Because of our efforts to manage costs by integrating our operations globally, we face the additional risk that, should any of the other risks discussed herein materialize, the negative effects could be more pronounced. For example, while supply delays of a component have typically only affected a few customer vehicle models, such a delay could now affect several vehicle models of several customers in several </w:t>
      </w:r>
      <w:r w:rsidRPr="004B2A77">
        <w:rPr>
          <w:rFonts w:ascii="Arial" w:eastAsia="宋体" w:hAnsi="Arial" w:cs="Arial"/>
          <w:color w:val="000000"/>
          <w:kern w:val="0"/>
          <w:sz w:val="18"/>
          <w:szCs w:val="18"/>
        </w:rPr>
        <w:lastRenderedPageBreak/>
        <w:t xml:space="preserve">geographic areas. Similarly, any recall or warranty issue we face due to a product defect or failure is now more likely to involve a larger number of units in several geographic areas. </w:t>
      </w:r>
    </w:p>
    <w:p w14:paraId="7F60004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Exchange rate risks</w:t>
      </w:r>
    </w:p>
    <w:p w14:paraId="20F8309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a result of our global presence, a significant portion of our revenues and expenses are denominated in currencies other than the U.S. dollar. We are therefore subject to foreign currency risks and foreign exchange exposure. Such risks and exposures include: transaction exposure, which arises because the cost of a product originates in one currency and the product is sold in another currency; revaluation effects, which arise from valuation of assets denominated in other currencies than the reporting currency of each unit; translation exposure in the income statement, which arises when the income statements of non-U.S. subsidiaries are translated into U.S. dollars; translation exposure in the balance sheet, which arises when the balance sheets of non-U.S. subsidiaries are translated into U.S. dollars; and changes in the reported U.S. dollar amounts of cash flows. We cannot predict exchange rate volatility or the extent of its impact on our future financial results. We typically denominate foreign transactions in foreign currencies to achieve a natural hedge. However, a natural hedge cannot be achieved for all our currency flows; therefore, a net transaction exposure remains within the group. The net exposure can be significant and creates a transaction exposure risk for the Company. The Company does not hedge translation exposure. However, we do engage in foreign exchange rate hedging from time to time related to foreign currency transactions. For additional information, see Part II, Item 7A. Quantitative and Qualitative Disclosures about Market Risk - Currency risks.</w:t>
      </w:r>
    </w:p>
    <w:p w14:paraId="6C6BCCC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E9B6DD7"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19</w:t>
      </w:r>
    </w:p>
    <w:p w14:paraId="2BD1CE03"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47E791B">
          <v:rect id="_x0000_i1044" style="width:0;height:1.5pt" o:hralign="center" o:hrstd="t" o:hrnoshade="t" o:hr="t" fillcolor="black" stroked="f"/>
        </w:pict>
      </w:r>
    </w:p>
    <w:p w14:paraId="2AD91B2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65F2E395"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ACQUISITIONS</w:t>
      </w:r>
    </w:p>
    <w:p w14:paraId="3211AB1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We face risks in connection with acquisitions, joint ventures, partnerships, and other strategic transactions </w:t>
      </w:r>
    </w:p>
    <w:p w14:paraId="6ADE452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Our growth has been enhanced through strategic transactions, including acquisitions of businesses, products and technologies, partnerships, strategic alliances, and joint development agreements that we believe will complement our business. We regularly evaluate acquisition opportunities, frequently engage in acquisition discussions, conduct due diligence activities in connection with possible acquisitions, and, where appropriate, engage in acquisition negotiations. We may not be able to successfully identify suitable acquisition and joint venture candidates or complete transactions on acceptable terms, integrate acquired operations into our existing operations or expand into new markets. Our failure to identify suitable strategic transactions may restrict our ability to grow our business. These strategic transactions also involve numerous additional risks to us and our investors, including: risks related to retaining acquired management and employees; difficulties in integrating acquired technologies, products, operations, services and personnel with our existing businesses; diversion of our management’s attention from other business concerns; assumption of contingent liabilities; potential adverse financial impacts, including from the amortization of expenses related to intangible assets and from potential impairment of goodwill; incurrence of indebtedness; and potential damage to existing customer relationships or lack of customer acceptance or inability to attract new customers as a result of these transactions. In the future, we may </w:t>
      </w:r>
      <w:r w:rsidRPr="004B2A77">
        <w:rPr>
          <w:rFonts w:ascii="Arial" w:eastAsia="宋体" w:hAnsi="Arial" w:cs="Arial"/>
          <w:color w:val="000000"/>
          <w:kern w:val="0"/>
          <w:sz w:val="18"/>
          <w:szCs w:val="18"/>
        </w:rPr>
        <w:lastRenderedPageBreak/>
        <w:t>pursue acquisitions of businesses or products that are complementary to our business but for which we have historically had little or no direct experience. These transactions can involve significant challenges and risks as well as significant time and resources that may divert management’s attention from other business activities. If we fail to adequately manage these risks, the acquisitions and other strategic transactions may not result in revenue growth, operational synergies or service or technology enhancements, which could adversely affect our financial condition.</w:t>
      </w:r>
    </w:p>
    <w:p w14:paraId="6C1016A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INTELLECTUAL PROPERTY</w:t>
      </w:r>
    </w:p>
    <w:p w14:paraId="4040E52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If our patents are declared invalid or our technology infringes on the proprietary rights of others, our ability to compete may be impaired</w:t>
      </w:r>
    </w:p>
    <w:p w14:paraId="14A3A15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have developed a considerable amount of proprietary technology related to automotive safety systems and rely on a number of patents to protect such technology. Our intellectual property plays an important role in maintaining our competitive position in a number of the markets we serve. At present, we hold more than 6,600 patents and patent applications covering a large number of innovations and product ideas, mainly in the fields of seatbelt and airbag technologies. In addition to our in-house research and development efforts, we seek to acquire rights to new intellectual property through corporate acquisitions, asset acquisitions, licensing and joint venture arrangements. Our patents and licenses expire on various dates during the period from 2023 to 2042. We do not expect the expiration of any single patent or license to have a material adverse effect on our business, operating results and financial condition. Developments or assertions by or against us relating to intellectual property rights could negatively impact our business. We primarily protect our innovations with patents and vigorously protect and defend our patents, trademarks and know-how against infringement and unauthorized use. If we are not able to protect our intellectual property and our proprietary rights and technology, we could lose those rights and incur substantial costs policing and defending those rights. We also generate license revenue from these patents, which we may lose if we do not adequately protect our intellectual property and proprietary rights. Our means of protecting our intellectual property, proprietary rights and technology may not be adequate, and our competitors may independently develop technologies that are similar or superior to our proprietary technologies, duplicate our technologies, or design around the patents we own or license. In addition, the laws of some foreign countries do not protect our proprietary rights to as great an extent as the laws of the U.S. and we may encounter significant problems in protecting and defending our intellectual property rights in certain foreign jurisdictions. This could make it difficult for us to stop the infringement of our patents or misappropriation of our other intellectual property rights. Proceedings to enforce our patent rights in foreign jurisdictions could result in substantial costs and divert our efforts and attention from other aspects of our business. Accordingly, our efforts to protect our intellectual property rights in such countries may be inadequate.</w:t>
      </w:r>
    </w:p>
    <w:p w14:paraId="647286B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may not be able to protect our proprietary technology and intellectual property rights, which could result in the loss of our rights or increased costs.</w:t>
      </w:r>
    </w:p>
    <w:p w14:paraId="18A5EB3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Although we believe that our products and technology do not infringe the proprietary rights of others, third parties may assert infringement claims against us in the future. Additionally, we license from third parties proprietary technology covered by patents, and we cannot be certain that any such patents will not be challenged, invalidated, or circumvented. Such licenses may also be non-exclusive, meaning our competition may also be able to access such technology. Further, we expect to continue to expand our products and services and expand into new businesses, including through developing new products, </w:t>
      </w:r>
      <w:r w:rsidRPr="004B2A77">
        <w:rPr>
          <w:rFonts w:ascii="Arial" w:eastAsia="宋体" w:hAnsi="Arial" w:cs="Arial"/>
          <w:color w:val="000000"/>
          <w:kern w:val="0"/>
          <w:sz w:val="18"/>
          <w:szCs w:val="18"/>
        </w:rPr>
        <w:lastRenderedPageBreak/>
        <w:t xml:space="preserve">acquisitions, joint ventures and joint development agreements, which could increase our exposure to patent and other intellectual property claims from competitors and other parties. If claims alleging patent, copyright or trademark infringement are brought against us and are successfully prosecuted against us, they could result in substantial costs. If a successful claim is made against us and we fail to develop non-infringing technology, our business, operating results and financial condition could be materially adversely affected. In addition, certain of our products utilize components that are developed by third parties and licensed to us. If claims alleging patent, copyright or trademark infringement are brought against such licensors and successfully prosecuted, they could result in substantial costs, and we may not be able to replace the functions provided by these licensors. Alternate sources for the technology currently licensed to us may not be available in a timely manner, may not provide the same functions as currently provided or may be more expensive than products currently used. We may develop proprietary information through our in-house research and development efforts, consulting arrangements or research collaborations with other entities or organizations. We may seek to protect this proprietary information by entering into confidentiality agreements or consulting, services or employment agreements that contain non-disclosure and non-use provisions with our employees, consultants, scientific advisors and other third parties. However, we may fail to enter into the necessary agreements, and even if entered into, these agreements may be breached or may otherwise fail to prevent disclosure, third-party infringement or misappropriation of our proprietary information. </w:t>
      </w:r>
    </w:p>
    <w:p w14:paraId="303DC90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4D557A17"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20</w:t>
      </w:r>
    </w:p>
    <w:p w14:paraId="6339A3D0"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2F8BA95">
          <v:rect id="_x0000_i1045" style="width:0;height:1.5pt" o:hralign="center" o:hrstd="t" o:hrnoshade="t" o:hr="t" fillcolor="black" stroked="f"/>
        </w:pict>
      </w:r>
    </w:p>
    <w:p w14:paraId="354E4C2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7CBB1E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may not be able to respond quickly enough to changes in technology and technological risks and to develop our intellectual property into commercially viable products</w:t>
      </w:r>
    </w:p>
    <w:p w14:paraId="7C75E1C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Changes in legislative, regulatory, or industry requirements or in competitive technologies may render certain of our products obsolete or less attractive to our customers. We currently license certain proprietary technology to third parties and, if such technology becomes obsolete or less attractive, those licensees could terminate our license agreements, which could adversely affect our results of operations. Our ability to anticipate changes in technology and regulatory standards and to successfully develop and introduce new and enhanced products on a timely basis will be a significant factor in our ability to remain competitive. We cannot provide assurance that we will be able to achieve the technological advances that may be necessary for us to remain competitive or that certain of our products will not become obsolete. We are also subject to the risks generally associated with new product introductions and applications, including lack of market acceptance, delays in product development and failure of products to operate properly. As part of our business strategy, we may from time to time seek to acquire businesses or assets that provide us with additional intellectual property. We may experience problems integrating acquired technologies into our existing technologies and products, and such acquired intellectual property may be subject to known or contingent liabilities such as infringement claims.</w:t>
      </w:r>
    </w:p>
    <w:p w14:paraId="5163AC3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Some of our products and technologies may use “open source” software, which may restrict how we use or distribute our products or require that we release the source code of certain products subject to those licenses </w:t>
      </w:r>
    </w:p>
    <w:p w14:paraId="77D1BB6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Some of our products and technologies may incorporate software licensed under so-called “open source” licenses. In addition to risks related to license requirements, usage of open source software can lead to greater risks than use of third-party commercial software, as open source licensors generally do not provide warranties or controls on origin of the software. Additionally, open source licenses typically require that source code subject to the license be made available to the public and that any modifications or derivative works to open source software continue to be licensed under open source licenses. These open source licenses typically mandate that proprietary software, when combined in specific ways with open source software, become subject to the open source license. If we combine our proprietary software in such ways with open source software, we could be required to release the source code of our proprietary software. We take steps to ensure that our proprietary software is not combined with, and does not incorporate, open source software in ways that would require our proprietary software to be subject to an open source license. However, few courts have interpreted open source licenses; therefore the manner in which these licenses may be interpreted and enforced is subject to some uncertainty.</w:t>
      </w:r>
    </w:p>
    <w:p w14:paraId="44102674"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GOVERNMENT REGULATIONS AND TAXES</w:t>
      </w:r>
    </w:p>
    <w:p w14:paraId="3AA012A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business may be adversely affected by laws or regulations, including environmental, occupational health and safety, and other governmental regulations</w:t>
      </w:r>
    </w:p>
    <w:p w14:paraId="29F924D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are subject to various federal, state, local and foreign laws and regulations, including those related to the requirements of environmental, occupational health and safety, financial, and other matters. We cannot predict the substance or impact of pending or future legislation or regulations, or the application thereof. The introduction of new laws or regulations or changes in existing laws or regulations, or the interpretations thereof, could increase the costs of doing business for us or our customers or suppliers or restrict our actions and adversely affect our business prospects, operating results, cash flows or financial condition. Our operations are subject to environmental and safety laws and regulations governing, among other things, emissions to air, discharges to waters and the generation, handling, storage, transportation, treatment and disposal of waste and other materials. The operation of automotive parts manufacturing facilities entails risks in these areas, and we cannot assure that we will not incur material costs or liabilities as a result. Additionally, environmental laws, regulations, and permits and the enforcement thereof change frequently and have tended to become increasingly stringent over time, which may necessitate substantial capital expenditures or operating costs or may require changes of production processes. Although we have no known pending material environmental issues, there is no assurance that we will not be adversely impacted by any environmental costs, liabilities, or claims in the future either under present laws and regulations or those that may be adopted or imposed in the future. Our costs, liabilities, and obligations relating to environmental matters may have a material adverse effect on our business, operating results, cash flows, or financial condition. Our facilities in the U.S. are subject to regulation by the Occupational Safety and Health Administration (“OSHA”), which regulates the protection of the health and safety of workers. In addition, the OSHA hazard communication standard requires that we maintain information about hazardous materials used or produced in our operations and that we provide this information to employees, state and local governmental authorities and local residents. We are also subject to occupational safety regulations in other countries. Our failure to comply with government occupational safety regulations, including OSHA requirements, or general industry standards relating to employee health and safety, keep adequate records or monitor occupational exposure to regulated substances could expose us to liability, enforcement, and fines and penalties, and could have a material adverse effect on our business, operating results, cash flows, or financial condition. Although we employ safety procedures </w:t>
      </w:r>
      <w:r w:rsidRPr="004B2A77">
        <w:rPr>
          <w:rFonts w:ascii="Arial" w:eastAsia="宋体" w:hAnsi="Arial" w:cs="Arial"/>
          <w:color w:val="000000"/>
          <w:kern w:val="0"/>
          <w:sz w:val="18"/>
          <w:szCs w:val="18"/>
        </w:rPr>
        <w:lastRenderedPageBreak/>
        <w:t>in the design and operation of our facilities, there is a risk that an accident or injury to one of our employees could occur in one of our facilities. Any accident or injury to our employees could result in litigation, manufacturing delays and harm to our reputation, which could negatively affect our business, operating results, and financial condition.</w:t>
      </w:r>
    </w:p>
    <w:p w14:paraId="5607AD44"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21</w:t>
      </w:r>
    </w:p>
    <w:p w14:paraId="7F8EDD05"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B1A9B55">
          <v:rect id="_x0000_i1046" style="width:0;height:1.5pt" o:hralign="center" o:hrstd="t" o:hrnoshade="t" o:hr="t" fillcolor="black" stroked="f"/>
        </w:pict>
      </w:r>
    </w:p>
    <w:p w14:paraId="26C2086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CC9D79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business may be adversely affected by changes in automotive safety regulations or concerns that drive further regulation of the automobile safety market</w:t>
      </w:r>
    </w:p>
    <w:p w14:paraId="6660E38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Government vehicle safety regulations are a key driver in our business. Historically, these regulations have imposed ever more stringent safety regulations for vehicles. Safety regulations have a positive impact on driver awareness and acceptance of automotive safety products and technology. These more stringent safety regulations often require vehicles to have more safety content per vehicle and more advanced safety products, which has thus been a driver of growth in our business. However, these regulations are subject to change based on a number of factors that are not within our control, including new scientific or medical data, adverse publicity regarding the industry recalls and safety risks of airbags or seatbelts (for instance, to children and small adults), domestic and foreign political developments or considerations, and litigation relating to our products and our competitors’ products. Changes in government regulations in response to these and other considerations could have a severe impact on our business. Although we believe that over time safety will continue to be a regulatory priority, if government priorities shift and we are unable to adapt to changing regulations, our business may suffer material adverse effects. The regulatory obligation of complying with safety regulations could increase as federal and local regulators impose more stringent compliance and reporting requirements in response to product recalls and safety issues in our industry. We are subject to existing stringent requirements under the National Traffic and Motor Vehicle Safety Act of 1966 (the “Vehicle Safety Act”), including a duty to report, subject to strict timing requirements, safety defects with our products. The Vehicle Safety Act imposes potentially significant civil penalties for violations including the failure to comply with such reporting actions. We are also subject to the existing U.S. Transportation Recall Enhancement, Accountability and Documentation (TREAD) Act, which requires equipment manufacturers, such as Autoliv, to comply with “Early Warning” requirements by reporting certain information to the National Highway Traffic Safety Administration (“NHTSA”) such as: information related to defects or reports of injury related to our products. TREAD imposes criminal liability for violating such requirements if a defect subsequently causes death or bodily injury. In addition, the Vehicle Safety Act authorizes NHTSA to require a manufacturer to recall and repair vehicles that contain safety defects or fail to comply with U.S. federal motor vehicle safety standards. Sales into foreign countries may be subject to similar regulations. Due to the record recall of airbag inflators of one of our competitors, NHTSA has become more active in requesting information from suppliers and vehicle manufactures regarding potential product defects and we expect that to continue or increase under the current U.S. presidential administration. </w:t>
      </w:r>
    </w:p>
    <w:p w14:paraId="2E06391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Negative or unexpected tax developments could adversely affect our effective tax rate, operating results and financial condition</w:t>
      </w:r>
    </w:p>
    <w:p w14:paraId="3FCA03C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Changes in, or changes in the application of, U.S. or foreign tax laws, regulations or accounting principles with respect to matters such as tax base, tax rates, transfer pricing, dividends and restrictions on certain </w:t>
      </w:r>
      <w:r w:rsidRPr="004B2A77">
        <w:rPr>
          <w:rFonts w:ascii="Arial" w:eastAsia="宋体" w:hAnsi="Arial" w:cs="Arial"/>
          <w:color w:val="000000"/>
          <w:kern w:val="0"/>
          <w:sz w:val="18"/>
          <w:szCs w:val="18"/>
        </w:rPr>
        <w:lastRenderedPageBreak/>
        <w:t>forms of tax relief or limitations on favorable tax treatment could affect the calculation of our income taxes and other tax liabilities, our effective tax rate, and the carrying value of our deferred tax assets. Our annual tax rate is based on our income and the tax laws in the jurisdictions in which we operate. Because of our global operations we face uncertainties and judgments in the application of complex tax regulations in a multitude of jurisdictions. Significant judgment and estimation is required in determining our effective tax rate and in evaluating our tax positions, in many cases where the ultimate tax determination is uncertain. Although we believe that our tax estimates are reasonable, the final determination of our tax liability may be different from what is reflected in our historical income tax provisions and accruals. We are regularly examined by tax authorities around the world and in a number of jurisdictions, we are currently under examination, which inherently creates uncertainty. Although we periodically assess the likelihood of adverse outcomes, negative or unexpected results from one or more of such reviews and audits, including any related interest or penalties imposed by governmental authorities, could increase our effective tax rate and adversely impact our operating results, cash flows or financial condition. The effective tax rates used for interim reporting are based on our projected full-year geographic earnings mix and take into account projected tax costs on intercompany dividends from lower tier subsidiaries. Changes in currency exchange rates, earnings mix among taxing jurisdictions, or the ability of our subsidiaries to pay dividends could impact our reported effective tax rates, or cause fluctuations in the tax rate from quarter to quarter. Certain anti-trust judgements or settlements may not be tax deductible, which could have a material negative impact to our annual tax rate. A number of other factors may also increase our effective tax rate, which could have an adverse impact on our profitability and operating results. Due to our numerous foreign operations, our tax rate may be impacted by our global mix of earnings if our pre-tax income is lower than anticipated in countries with lower statutory tax rates and/or is higher than anticipated in countries with higher statutory tax rates. Based on U.S. regulatory rules, we do not record current or deferred tax liabilities on permanent investments in our foreign subsidiaries. See Note 5, Income Taxes, to the Consolidated Financial Statements in this Annual Report.</w:t>
      </w:r>
    </w:p>
    <w:p w14:paraId="43FF8E8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may not be able to fully realize our deferred tax assets</w:t>
      </w:r>
    </w:p>
    <w:p w14:paraId="3E0BDBD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currently carry deferred tax assets, net of valuation allowances, resulting from deductible temporary differences and tax loss carry-forwards, both of which will reduce taxable income in the future. However, deferred tax assets may only be realized against taxable income. The amount of our deferred tax assets could be reduced, from time to time, due to adverse changes in our operations or in estimates of future taxable income from operations during the carry-forward period as a result of a deterioration in market conditions or other circumstances. Any such reduction would adversely affect our income in the period of the adjustment. Additional information on our deferred tax assets is included in Note 5, Income Taxes, to the Consolidated Financial Statements in this Annual Report.</w:t>
      </w:r>
    </w:p>
    <w:p w14:paraId="67FC7D5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RISKS RELATED TO THE SEPARATION OF VEONEER</w:t>
      </w:r>
    </w:p>
    <w:p w14:paraId="5C60ACE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We could incur significant liability if the separation is determined to be a taxable transaction</w:t>
      </w:r>
    </w:p>
    <w:p w14:paraId="03D6B66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have received an opinion of outside counsel to the effect that, for U.S. federal income tax purposes, the separation should qualify, for both Autoliv and its stockholders, as a reorganization within the meaning of Sections 368(a)(1)(D) and 355 of the U.S. Internal Revenue Code of 1986, as amended. The opinion is based on and relies on, among other things, certain facts and assumptions, as well as certain representations, statements and undertakings of Autoliv and Veoneer, Inc. ("Veoneer") including those relating to the past and future conduct of Autoliv and Veoneer. If any of these facts, assumptions, </w:t>
      </w:r>
      <w:r w:rsidRPr="004B2A77">
        <w:rPr>
          <w:rFonts w:ascii="Arial" w:eastAsia="宋体" w:hAnsi="Arial" w:cs="Arial"/>
          <w:color w:val="000000"/>
          <w:kern w:val="0"/>
          <w:sz w:val="18"/>
          <w:szCs w:val="18"/>
        </w:rPr>
        <w:lastRenderedPageBreak/>
        <w:t xml:space="preserve">representations, statements or undertakings is, or becomes, inaccurate or incomplete, reliance on the opinion may be affected. An opinion of outside counsel represents their legal judgment but is not binding on the IRS or any court. Accordingly, there can be no assurance that the IRS will not challenge the conclusions reflected in the opinion or that a court would not sustain such a challenge. </w:t>
      </w:r>
    </w:p>
    <w:p w14:paraId="5F211B29"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22</w:t>
      </w:r>
    </w:p>
    <w:p w14:paraId="141BCA24"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6C5BE02">
          <v:rect id="_x0000_i1047" style="width:0;height:1.5pt" o:hralign="center" o:hrstd="t" o:hrnoshade="t" o:hr="t" fillcolor="black" stroked="f"/>
        </w:pict>
      </w:r>
    </w:p>
    <w:p w14:paraId="09267D2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49D06B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Potential indemnification obligations to Veoneer or a refusal of Veoneer to indemnify us pursuant to the agreements executed in connection with the internal reorganization and spin-off could materially adversely affect us</w:t>
      </w:r>
    </w:p>
    <w:p w14:paraId="3718168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transaction agreements we entered into with Veoneer in connection with the internal reorganization and the spin-off provide for cross-indemnities that require Autoliv and Veoneer to bear financial responsibility for each company’s business prior to the internal reorganization or spin-off, as applicable, and to indemnify the other party in connection with a breach of such party of the transaction agreements; provided, however, certain warranty, recall and product liabilities for electronics products manufactured prior to the completion of the internal reorganization have been retained by us and we will indemnify Veoneer for any losses associated with such warranty, recall or product liabilities pursuant to the distribution agreement entered into as part of the spin-off. Any indemnities that we are required to provide to Veoneer may be significant and could negatively affect our business. In addition, there can be no assurance that the indemnities from Veoneer will be sufficient to protect us against the full amount of any potential liabilities. Even if we do succeed in recovering from Veoneer any amounts for which we are held liable, we may be temporarily required to bear these losses ourselves. Additionally, Veoneer was acquired by SSW Partners on April 1, 2022 which may impact our ability to recover any amounts from Veoneer pursuant to the transaction agreements. Each of these risks could have a material adverse effect on our business, operating results and financial condition.</w:t>
      </w:r>
    </w:p>
    <w:p w14:paraId="3225877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22"/>
        </w:rPr>
        <w:t>Item 1B. Unresolved Staff Comments</w:t>
      </w:r>
    </w:p>
    <w:p w14:paraId="64CAF08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10202"/>
          <w:kern w:val="0"/>
          <w:sz w:val="18"/>
          <w:szCs w:val="18"/>
        </w:rPr>
        <w:t>Not applicable.</w:t>
      </w:r>
    </w:p>
    <w:p w14:paraId="587AD831"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23</w:t>
      </w:r>
    </w:p>
    <w:p w14:paraId="7BC4A584"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B173110">
          <v:rect id="_x0000_i1048" style="width:0;height:1.5pt" o:hralign="center" o:hrstd="t" o:hrnoshade="t" o:hr="t" fillcolor="black" stroked="f"/>
        </w:pict>
      </w:r>
    </w:p>
    <w:p w14:paraId="420EB15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8B712B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22"/>
        </w:rPr>
        <w:t>Item 2. Properties</w:t>
      </w:r>
    </w:p>
    <w:p w14:paraId="32565086" w14:textId="77777777" w:rsidR="004B2A77" w:rsidRPr="004B2A77" w:rsidRDefault="004B2A77" w:rsidP="004B2A77">
      <w:pPr>
        <w:widowControl/>
        <w:spacing w:before="140"/>
        <w:rPr>
          <w:rFonts w:ascii="Times New Roman" w:eastAsia="宋体" w:hAnsi="Times New Roman" w:cs="Times New Roman"/>
          <w:color w:val="000000"/>
          <w:kern w:val="0"/>
          <w:sz w:val="20"/>
          <w:szCs w:val="20"/>
        </w:rPr>
      </w:pPr>
      <w:r w:rsidRPr="004B2A77">
        <w:rPr>
          <w:rFonts w:ascii="Arial" w:eastAsia="宋体" w:hAnsi="Arial" w:cs="Arial"/>
          <w:color w:val="010202"/>
          <w:kern w:val="0"/>
          <w:sz w:val="18"/>
          <w:szCs w:val="18"/>
        </w:rPr>
        <w:t>Autoliv’s principal executive offices are located at Klarabergsviadukten 70, Section B7, SE-111 64, Stockholm, Sweden. Autoliv’s various businesses operate in a number of production facilities and offices. Autoliv believes that its properties are adequately maintained and suitable for their intended use and that the Company’s production facilities have adequate capacity for the Company’s current and foreseeable needs. All of Autoliv’s production facilities and offices are owned or leased by operating (either subsidiary or joint venture) companies.</w:t>
      </w:r>
    </w:p>
    <w:p w14:paraId="345BEE2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7"/>
          <w:szCs w:val="17"/>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9288"/>
        <w:gridCol w:w="331"/>
        <w:gridCol w:w="3165"/>
        <w:gridCol w:w="332"/>
        <w:gridCol w:w="4793"/>
        <w:gridCol w:w="332"/>
        <w:gridCol w:w="2373"/>
      </w:tblGrid>
      <w:tr w:rsidR="004B2A77" w:rsidRPr="004B2A77" w14:paraId="63557416" w14:textId="77777777" w:rsidTr="004B2A77">
        <w:trPr>
          <w:tblCellSpacing w:w="15" w:type="dxa"/>
        </w:trPr>
        <w:tc>
          <w:tcPr>
            <w:tcW w:w="9260" w:type="dxa"/>
            <w:vAlign w:val="center"/>
            <w:hideMark/>
          </w:tcPr>
          <w:p w14:paraId="45CD622E"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02" w:type="dxa"/>
            <w:vAlign w:val="center"/>
            <w:hideMark/>
          </w:tcPr>
          <w:p w14:paraId="733C682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38" w:type="dxa"/>
            <w:vAlign w:val="center"/>
            <w:hideMark/>
          </w:tcPr>
          <w:p w14:paraId="6F73CFF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2" w:type="dxa"/>
            <w:vAlign w:val="center"/>
            <w:hideMark/>
          </w:tcPr>
          <w:p w14:paraId="48FF35F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771" w:type="dxa"/>
            <w:vAlign w:val="center"/>
            <w:hideMark/>
          </w:tcPr>
          <w:p w14:paraId="01C7085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2" w:type="dxa"/>
            <w:vAlign w:val="center"/>
            <w:hideMark/>
          </w:tcPr>
          <w:p w14:paraId="4B98053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30" w:type="dxa"/>
            <w:vAlign w:val="center"/>
            <w:hideMark/>
          </w:tcPr>
          <w:p w14:paraId="220CE261"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635E2B2" w14:textId="77777777" w:rsidTr="004B2A77">
        <w:trPr>
          <w:trHeight w:val="180"/>
          <w:tblCellSpacing w:w="15" w:type="dxa"/>
        </w:trPr>
        <w:tc>
          <w:tcPr>
            <w:tcW w:w="0" w:type="auto"/>
            <w:gridSpan w:val="7"/>
            <w:shd w:val="clear" w:color="auto" w:fill="FFFFFF"/>
            <w:vAlign w:val="bottom"/>
            <w:hideMark/>
          </w:tcPr>
          <w:p w14:paraId="6053497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b/>
                <w:bCs/>
                <w:i/>
                <w:iCs/>
                <w:color w:val="000000"/>
                <w:kern w:val="0"/>
                <w:sz w:val="18"/>
                <w:szCs w:val="18"/>
              </w:rPr>
              <w:t>AUTOLIV MANUFACTURING FACILITIES</w:t>
            </w:r>
          </w:p>
        </w:tc>
      </w:tr>
      <w:tr w:rsidR="004B2A77" w:rsidRPr="004B2A77" w14:paraId="703EBB2C" w14:textId="77777777" w:rsidTr="004B2A77">
        <w:trPr>
          <w:tblCellSpacing w:w="15" w:type="dxa"/>
        </w:trPr>
        <w:tc>
          <w:tcPr>
            <w:tcW w:w="0" w:type="auto"/>
            <w:shd w:val="clear" w:color="auto" w:fill="FFFFFF"/>
            <w:vAlign w:val="bottom"/>
            <w:hideMark/>
          </w:tcPr>
          <w:p w14:paraId="0C46B4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lastRenderedPageBreak/>
              <w:t> </w:t>
            </w:r>
          </w:p>
        </w:tc>
        <w:tc>
          <w:tcPr>
            <w:tcW w:w="0" w:type="auto"/>
            <w:shd w:val="clear" w:color="auto" w:fill="FFFFFF"/>
            <w:vAlign w:val="bottom"/>
            <w:hideMark/>
          </w:tcPr>
          <w:p w14:paraId="0F8D83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0413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E766C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0338D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4BF96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4F46E78"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01E3335" w14:textId="77777777" w:rsidTr="004B2A77">
        <w:trPr>
          <w:trHeight w:val="160"/>
          <w:tblCellSpacing w:w="15" w:type="dxa"/>
        </w:trPr>
        <w:tc>
          <w:tcPr>
            <w:tcW w:w="0" w:type="auto"/>
            <w:tcBorders>
              <w:bottom w:val="single" w:sz="4" w:space="0" w:color="000000"/>
            </w:tcBorders>
            <w:shd w:val="clear" w:color="auto" w:fill="FFFFFF"/>
            <w:vAlign w:val="bottom"/>
            <w:hideMark/>
          </w:tcPr>
          <w:p w14:paraId="319F6F10"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Country/Company</w:t>
            </w:r>
          </w:p>
        </w:tc>
        <w:tc>
          <w:tcPr>
            <w:tcW w:w="0" w:type="auto"/>
            <w:shd w:val="clear" w:color="auto" w:fill="FFFFFF"/>
            <w:vAlign w:val="bottom"/>
            <w:hideMark/>
          </w:tcPr>
          <w:p w14:paraId="4C7477D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2B25D0A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Location of Facility</w:t>
            </w:r>
          </w:p>
        </w:tc>
        <w:tc>
          <w:tcPr>
            <w:tcW w:w="0" w:type="auto"/>
            <w:shd w:val="clear" w:color="auto" w:fill="FFFFFF"/>
            <w:vAlign w:val="bottom"/>
            <w:hideMark/>
          </w:tcPr>
          <w:p w14:paraId="64C1E82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7DF3684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Items produced at Facility</w:t>
            </w:r>
          </w:p>
        </w:tc>
        <w:tc>
          <w:tcPr>
            <w:tcW w:w="0" w:type="auto"/>
            <w:shd w:val="clear" w:color="auto" w:fill="FFFFFF"/>
            <w:vAlign w:val="bottom"/>
            <w:hideMark/>
          </w:tcPr>
          <w:p w14:paraId="7DF40BE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hideMark/>
          </w:tcPr>
          <w:p w14:paraId="167ACD2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Owned/Leased</w:t>
            </w:r>
          </w:p>
        </w:tc>
      </w:tr>
      <w:tr w:rsidR="004B2A77" w:rsidRPr="004B2A77" w14:paraId="37D7789A" w14:textId="77777777" w:rsidTr="004B2A77">
        <w:trPr>
          <w:trHeight w:val="180"/>
          <w:tblCellSpacing w:w="15" w:type="dxa"/>
        </w:trPr>
        <w:tc>
          <w:tcPr>
            <w:tcW w:w="0" w:type="auto"/>
            <w:shd w:val="clear" w:color="auto" w:fill="CCECFF"/>
            <w:hideMark/>
          </w:tcPr>
          <w:p w14:paraId="219F35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Brazil</w:t>
            </w:r>
          </w:p>
        </w:tc>
        <w:tc>
          <w:tcPr>
            <w:tcW w:w="0" w:type="auto"/>
            <w:shd w:val="clear" w:color="auto" w:fill="CCECFF"/>
            <w:vAlign w:val="bottom"/>
            <w:hideMark/>
          </w:tcPr>
          <w:p w14:paraId="73D045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8175BFC"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53307FB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06A0F0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673F76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08BC38B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030CE73" w14:textId="77777777" w:rsidTr="004B2A77">
        <w:trPr>
          <w:trHeight w:val="180"/>
          <w:tblCellSpacing w:w="15" w:type="dxa"/>
        </w:trPr>
        <w:tc>
          <w:tcPr>
            <w:tcW w:w="0" w:type="auto"/>
            <w:shd w:val="clear" w:color="auto" w:fill="FFFFFF"/>
            <w:hideMark/>
          </w:tcPr>
          <w:p w14:paraId="603A7C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do Brasil Ltda.</w:t>
            </w:r>
          </w:p>
        </w:tc>
        <w:tc>
          <w:tcPr>
            <w:tcW w:w="0" w:type="auto"/>
            <w:shd w:val="clear" w:color="auto" w:fill="FFFFFF"/>
            <w:vAlign w:val="bottom"/>
            <w:hideMark/>
          </w:tcPr>
          <w:p w14:paraId="3EC3F1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E2248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Taubaté</w:t>
            </w:r>
          </w:p>
        </w:tc>
        <w:tc>
          <w:tcPr>
            <w:tcW w:w="0" w:type="auto"/>
            <w:shd w:val="clear" w:color="auto" w:fill="FFFFFF"/>
            <w:vAlign w:val="bottom"/>
            <w:hideMark/>
          </w:tcPr>
          <w:p w14:paraId="043EB7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5063D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airbags, steering wheels and seatbelt webbing</w:t>
            </w:r>
          </w:p>
        </w:tc>
        <w:tc>
          <w:tcPr>
            <w:tcW w:w="0" w:type="auto"/>
            <w:shd w:val="clear" w:color="auto" w:fill="FFFFFF"/>
            <w:vAlign w:val="bottom"/>
            <w:hideMark/>
          </w:tcPr>
          <w:p w14:paraId="0B7BA0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0CEFF9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6472E86" w14:textId="77777777" w:rsidTr="004B2A77">
        <w:trPr>
          <w:tblCellSpacing w:w="15" w:type="dxa"/>
        </w:trPr>
        <w:tc>
          <w:tcPr>
            <w:tcW w:w="0" w:type="auto"/>
            <w:shd w:val="clear" w:color="auto" w:fill="FFFFFF"/>
            <w:hideMark/>
          </w:tcPr>
          <w:p w14:paraId="2B6CF64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E300BB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643DEE6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6EFC27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2704B31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A573AF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F7F009B"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FC02614" w14:textId="77777777" w:rsidTr="004B2A77">
        <w:trPr>
          <w:trHeight w:val="180"/>
          <w:tblCellSpacing w:w="15" w:type="dxa"/>
        </w:trPr>
        <w:tc>
          <w:tcPr>
            <w:tcW w:w="0" w:type="auto"/>
            <w:shd w:val="clear" w:color="auto" w:fill="CCECFF"/>
            <w:hideMark/>
          </w:tcPr>
          <w:p w14:paraId="33D09A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Canada</w:t>
            </w:r>
          </w:p>
        </w:tc>
        <w:tc>
          <w:tcPr>
            <w:tcW w:w="0" w:type="auto"/>
            <w:shd w:val="clear" w:color="auto" w:fill="CCECFF"/>
            <w:vAlign w:val="bottom"/>
            <w:hideMark/>
          </w:tcPr>
          <w:p w14:paraId="64B1E6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7D5019C"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61AB7DCF"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0B065AA0"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0DCF593C"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669F139C"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207B9BBB" w14:textId="77777777" w:rsidTr="004B2A77">
        <w:trPr>
          <w:trHeight w:val="180"/>
          <w:tblCellSpacing w:w="15" w:type="dxa"/>
        </w:trPr>
        <w:tc>
          <w:tcPr>
            <w:tcW w:w="0" w:type="auto"/>
            <w:shd w:val="clear" w:color="auto" w:fill="FFFFFF"/>
            <w:hideMark/>
          </w:tcPr>
          <w:p w14:paraId="0981C8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Canada, Inc.</w:t>
            </w:r>
          </w:p>
        </w:tc>
        <w:tc>
          <w:tcPr>
            <w:tcW w:w="0" w:type="auto"/>
            <w:shd w:val="clear" w:color="auto" w:fill="FFFFFF"/>
            <w:vAlign w:val="bottom"/>
            <w:hideMark/>
          </w:tcPr>
          <w:p w14:paraId="52F0CF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B4737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Tilbury</w:t>
            </w:r>
          </w:p>
        </w:tc>
        <w:tc>
          <w:tcPr>
            <w:tcW w:w="0" w:type="auto"/>
            <w:shd w:val="clear" w:color="auto" w:fill="FFFFFF"/>
            <w:vAlign w:val="bottom"/>
            <w:hideMark/>
          </w:tcPr>
          <w:p w14:paraId="76251B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88B70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cushions</w:t>
            </w:r>
          </w:p>
        </w:tc>
        <w:tc>
          <w:tcPr>
            <w:tcW w:w="0" w:type="auto"/>
            <w:shd w:val="clear" w:color="auto" w:fill="FFFFFF"/>
            <w:vAlign w:val="bottom"/>
            <w:hideMark/>
          </w:tcPr>
          <w:p w14:paraId="68753E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4F61B2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1C294D9F" w14:textId="77777777" w:rsidTr="004B2A77">
        <w:trPr>
          <w:trHeight w:val="180"/>
          <w:tblCellSpacing w:w="15" w:type="dxa"/>
        </w:trPr>
        <w:tc>
          <w:tcPr>
            <w:tcW w:w="0" w:type="auto"/>
            <w:shd w:val="clear" w:color="auto" w:fill="FFFFFF"/>
            <w:hideMark/>
          </w:tcPr>
          <w:p w14:paraId="411207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VOA Canada, Inc.</w:t>
            </w:r>
          </w:p>
        </w:tc>
        <w:tc>
          <w:tcPr>
            <w:tcW w:w="0" w:type="auto"/>
            <w:shd w:val="clear" w:color="auto" w:fill="FFFFFF"/>
            <w:vAlign w:val="bottom"/>
            <w:hideMark/>
          </w:tcPr>
          <w:p w14:paraId="6BAB77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C230E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Collingwood</w:t>
            </w:r>
          </w:p>
        </w:tc>
        <w:tc>
          <w:tcPr>
            <w:tcW w:w="0" w:type="auto"/>
            <w:shd w:val="clear" w:color="auto" w:fill="FFFFFF"/>
            <w:vAlign w:val="bottom"/>
            <w:hideMark/>
          </w:tcPr>
          <w:p w14:paraId="57DF6A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104D5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 webbing</w:t>
            </w:r>
          </w:p>
        </w:tc>
        <w:tc>
          <w:tcPr>
            <w:tcW w:w="0" w:type="auto"/>
            <w:shd w:val="clear" w:color="auto" w:fill="FFFFFF"/>
            <w:vAlign w:val="bottom"/>
            <w:hideMark/>
          </w:tcPr>
          <w:p w14:paraId="217B15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9F8783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13E13FF" w14:textId="77777777" w:rsidTr="004B2A77">
        <w:trPr>
          <w:tblCellSpacing w:w="15" w:type="dxa"/>
        </w:trPr>
        <w:tc>
          <w:tcPr>
            <w:tcW w:w="0" w:type="auto"/>
            <w:shd w:val="clear" w:color="auto" w:fill="FFFFFF"/>
            <w:hideMark/>
          </w:tcPr>
          <w:p w14:paraId="77938C9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285C07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03685C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6B7F63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2A6CA52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508532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B6A1F42"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B486C1C" w14:textId="77777777" w:rsidTr="004B2A77">
        <w:trPr>
          <w:trHeight w:val="180"/>
          <w:tblCellSpacing w:w="15" w:type="dxa"/>
        </w:trPr>
        <w:tc>
          <w:tcPr>
            <w:tcW w:w="0" w:type="auto"/>
            <w:shd w:val="clear" w:color="auto" w:fill="CCECFF"/>
            <w:hideMark/>
          </w:tcPr>
          <w:p w14:paraId="059202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China</w:t>
            </w:r>
          </w:p>
        </w:tc>
        <w:tc>
          <w:tcPr>
            <w:tcW w:w="0" w:type="auto"/>
            <w:shd w:val="clear" w:color="auto" w:fill="CCECFF"/>
            <w:vAlign w:val="bottom"/>
            <w:hideMark/>
          </w:tcPr>
          <w:p w14:paraId="4D7661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5199BB97"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11BE6ECB"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51AD1A8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78E01432"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4773A9DD"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0DD3DD1E" w14:textId="77777777" w:rsidTr="004B2A77">
        <w:trPr>
          <w:trHeight w:val="180"/>
          <w:tblCellSpacing w:w="15" w:type="dxa"/>
        </w:trPr>
        <w:tc>
          <w:tcPr>
            <w:tcW w:w="0" w:type="auto"/>
            <w:shd w:val="clear" w:color="auto" w:fill="FFFFFF"/>
            <w:hideMark/>
          </w:tcPr>
          <w:p w14:paraId="64684C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(Baoding) Vehicle Safety Systems Co., Ltd</w:t>
            </w:r>
          </w:p>
        </w:tc>
        <w:tc>
          <w:tcPr>
            <w:tcW w:w="0" w:type="auto"/>
            <w:shd w:val="clear" w:color="auto" w:fill="FFFFFF"/>
            <w:vAlign w:val="bottom"/>
            <w:hideMark/>
          </w:tcPr>
          <w:p w14:paraId="104905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C56B5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Baoding</w:t>
            </w:r>
          </w:p>
        </w:tc>
        <w:tc>
          <w:tcPr>
            <w:tcW w:w="0" w:type="auto"/>
            <w:shd w:val="clear" w:color="auto" w:fill="FFFFFF"/>
            <w:vAlign w:val="bottom"/>
            <w:hideMark/>
          </w:tcPr>
          <w:p w14:paraId="058877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F61F0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4B643F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FDBC9A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4CCD9207" w14:textId="77777777" w:rsidTr="004B2A77">
        <w:trPr>
          <w:trHeight w:val="180"/>
          <w:tblCellSpacing w:w="15" w:type="dxa"/>
        </w:trPr>
        <w:tc>
          <w:tcPr>
            <w:tcW w:w="0" w:type="auto"/>
            <w:shd w:val="clear" w:color="auto" w:fill="FFFFFF"/>
            <w:hideMark/>
          </w:tcPr>
          <w:p w14:paraId="13D68C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(Changchun) Vehicle Safety Systems Co., Ltd.</w:t>
            </w:r>
          </w:p>
        </w:tc>
        <w:tc>
          <w:tcPr>
            <w:tcW w:w="0" w:type="auto"/>
            <w:shd w:val="clear" w:color="auto" w:fill="FFFFFF"/>
            <w:vAlign w:val="bottom"/>
            <w:hideMark/>
          </w:tcPr>
          <w:p w14:paraId="28D466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76130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Changchun</w:t>
            </w:r>
          </w:p>
        </w:tc>
        <w:tc>
          <w:tcPr>
            <w:tcW w:w="0" w:type="auto"/>
            <w:shd w:val="clear" w:color="auto" w:fill="FFFFFF"/>
            <w:vAlign w:val="bottom"/>
            <w:hideMark/>
          </w:tcPr>
          <w:p w14:paraId="668BC28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AB1A0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seatbelts</w:t>
            </w:r>
          </w:p>
        </w:tc>
        <w:tc>
          <w:tcPr>
            <w:tcW w:w="0" w:type="auto"/>
            <w:shd w:val="clear" w:color="auto" w:fill="FFFFFF"/>
            <w:vAlign w:val="bottom"/>
            <w:hideMark/>
          </w:tcPr>
          <w:p w14:paraId="2B76E0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A8FE19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75895F9B" w14:textId="77777777" w:rsidTr="004B2A77">
        <w:trPr>
          <w:trHeight w:val="180"/>
          <w:tblCellSpacing w:w="15" w:type="dxa"/>
        </w:trPr>
        <w:tc>
          <w:tcPr>
            <w:tcW w:w="0" w:type="auto"/>
            <w:shd w:val="clear" w:color="auto" w:fill="FFFFFF"/>
            <w:hideMark/>
          </w:tcPr>
          <w:p w14:paraId="0567F7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(China) Steering Wheel Co., Ltd.</w:t>
            </w:r>
          </w:p>
        </w:tc>
        <w:tc>
          <w:tcPr>
            <w:tcW w:w="0" w:type="auto"/>
            <w:shd w:val="clear" w:color="auto" w:fill="FFFFFF"/>
            <w:vAlign w:val="bottom"/>
            <w:hideMark/>
          </w:tcPr>
          <w:p w14:paraId="008625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554B1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Fengxian/Shanghai</w:t>
            </w:r>
          </w:p>
        </w:tc>
        <w:tc>
          <w:tcPr>
            <w:tcW w:w="0" w:type="auto"/>
            <w:shd w:val="clear" w:color="auto" w:fill="FFFFFF"/>
            <w:vAlign w:val="bottom"/>
            <w:hideMark/>
          </w:tcPr>
          <w:p w14:paraId="0D3450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AF46E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7E32BF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BE0AE3D"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A8B53D6" w14:textId="77777777" w:rsidTr="004B2A77">
        <w:trPr>
          <w:trHeight w:val="180"/>
          <w:tblCellSpacing w:w="15" w:type="dxa"/>
        </w:trPr>
        <w:tc>
          <w:tcPr>
            <w:tcW w:w="0" w:type="auto"/>
            <w:shd w:val="clear" w:color="auto" w:fill="FFFFFF"/>
            <w:hideMark/>
          </w:tcPr>
          <w:p w14:paraId="3225AA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(Guangzhou) Vehicle Safety Systems Co., Ltd.</w:t>
            </w:r>
          </w:p>
        </w:tc>
        <w:tc>
          <w:tcPr>
            <w:tcW w:w="0" w:type="auto"/>
            <w:shd w:val="clear" w:color="auto" w:fill="FFFFFF"/>
            <w:vAlign w:val="bottom"/>
            <w:hideMark/>
          </w:tcPr>
          <w:p w14:paraId="6A09FD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C42DF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Guangzhou</w:t>
            </w:r>
          </w:p>
        </w:tc>
        <w:tc>
          <w:tcPr>
            <w:tcW w:w="0" w:type="auto"/>
            <w:shd w:val="clear" w:color="auto" w:fill="FFFFFF"/>
            <w:vAlign w:val="bottom"/>
            <w:hideMark/>
          </w:tcPr>
          <w:p w14:paraId="4C801D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9FA5C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seatbelts</w:t>
            </w:r>
          </w:p>
        </w:tc>
        <w:tc>
          <w:tcPr>
            <w:tcW w:w="0" w:type="auto"/>
            <w:shd w:val="clear" w:color="auto" w:fill="FFFFFF"/>
            <w:vAlign w:val="bottom"/>
            <w:hideMark/>
          </w:tcPr>
          <w:p w14:paraId="44AD10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E5B95B7"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1A0C8B90" w14:textId="77777777" w:rsidTr="004B2A77">
        <w:trPr>
          <w:trHeight w:val="180"/>
          <w:tblCellSpacing w:w="15" w:type="dxa"/>
        </w:trPr>
        <w:tc>
          <w:tcPr>
            <w:tcW w:w="0" w:type="auto"/>
            <w:shd w:val="clear" w:color="auto" w:fill="FFFFFF"/>
            <w:hideMark/>
          </w:tcPr>
          <w:p w14:paraId="2E1C28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(Nanjing) Vehicle Safety Systems Co., Ltd.</w:t>
            </w:r>
          </w:p>
        </w:tc>
        <w:tc>
          <w:tcPr>
            <w:tcW w:w="0" w:type="auto"/>
            <w:shd w:val="clear" w:color="auto" w:fill="FFFFFF"/>
            <w:vAlign w:val="bottom"/>
            <w:hideMark/>
          </w:tcPr>
          <w:p w14:paraId="093AAA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AB2DB7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Nanjing</w:t>
            </w:r>
          </w:p>
        </w:tc>
        <w:tc>
          <w:tcPr>
            <w:tcW w:w="0" w:type="auto"/>
            <w:shd w:val="clear" w:color="auto" w:fill="FFFFFF"/>
            <w:vAlign w:val="bottom"/>
            <w:hideMark/>
          </w:tcPr>
          <w:p w14:paraId="2A9AEA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42AE0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w:t>
            </w:r>
          </w:p>
        </w:tc>
        <w:tc>
          <w:tcPr>
            <w:tcW w:w="0" w:type="auto"/>
            <w:shd w:val="clear" w:color="auto" w:fill="FFFFFF"/>
            <w:vAlign w:val="bottom"/>
            <w:hideMark/>
          </w:tcPr>
          <w:p w14:paraId="4BE997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B56552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175C1A9" w14:textId="77777777" w:rsidTr="004B2A77">
        <w:trPr>
          <w:trHeight w:val="180"/>
          <w:tblCellSpacing w:w="15" w:type="dxa"/>
        </w:trPr>
        <w:tc>
          <w:tcPr>
            <w:tcW w:w="0" w:type="auto"/>
            <w:shd w:val="clear" w:color="auto" w:fill="FFFFFF"/>
            <w:hideMark/>
          </w:tcPr>
          <w:p w14:paraId="6E52CC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Shenda (Nanjing) Automotive Components Co., Ltd.</w:t>
            </w:r>
          </w:p>
        </w:tc>
        <w:tc>
          <w:tcPr>
            <w:tcW w:w="0" w:type="auto"/>
            <w:shd w:val="clear" w:color="auto" w:fill="FFFFFF"/>
            <w:vAlign w:val="bottom"/>
            <w:hideMark/>
          </w:tcPr>
          <w:p w14:paraId="796D1B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9D321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Nanjing</w:t>
            </w:r>
          </w:p>
        </w:tc>
        <w:tc>
          <w:tcPr>
            <w:tcW w:w="0" w:type="auto"/>
            <w:shd w:val="clear" w:color="auto" w:fill="FFFFFF"/>
            <w:vAlign w:val="bottom"/>
            <w:hideMark/>
          </w:tcPr>
          <w:p w14:paraId="63C40B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308E4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 webbing</w:t>
            </w:r>
          </w:p>
        </w:tc>
        <w:tc>
          <w:tcPr>
            <w:tcW w:w="0" w:type="auto"/>
            <w:shd w:val="clear" w:color="auto" w:fill="FFFFFF"/>
            <w:vAlign w:val="bottom"/>
            <w:hideMark/>
          </w:tcPr>
          <w:p w14:paraId="37359E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F0D049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26695E1" w14:textId="77777777" w:rsidTr="004B2A77">
        <w:trPr>
          <w:trHeight w:val="180"/>
          <w:tblCellSpacing w:w="15" w:type="dxa"/>
        </w:trPr>
        <w:tc>
          <w:tcPr>
            <w:tcW w:w="0" w:type="auto"/>
            <w:shd w:val="clear" w:color="auto" w:fill="FFFFFF"/>
            <w:hideMark/>
          </w:tcPr>
          <w:p w14:paraId="2D9362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(Shanghai) Vehicle Safety Systems Co., Ltd.</w:t>
            </w:r>
          </w:p>
        </w:tc>
        <w:tc>
          <w:tcPr>
            <w:tcW w:w="0" w:type="auto"/>
            <w:shd w:val="clear" w:color="auto" w:fill="FFFFFF"/>
            <w:vAlign w:val="bottom"/>
            <w:hideMark/>
          </w:tcPr>
          <w:p w14:paraId="0A25C8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683AB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Shanghai</w:t>
            </w:r>
          </w:p>
        </w:tc>
        <w:tc>
          <w:tcPr>
            <w:tcW w:w="0" w:type="auto"/>
            <w:shd w:val="clear" w:color="auto" w:fill="FFFFFF"/>
            <w:vAlign w:val="bottom"/>
            <w:hideMark/>
          </w:tcPr>
          <w:p w14:paraId="644C2F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9BD95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590ADA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078B93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0A5B5CF" w14:textId="77777777" w:rsidTr="004B2A77">
        <w:trPr>
          <w:trHeight w:val="180"/>
          <w:tblCellSpacing w:w="15" w:type="dxa"/>
        </w:trPr>
        <w:tc>
          <w:tcPr>
            <w:tcW w:w="0" w:type="auto"/>
            <w:shd w:val="clear" w:color="auto" w:fill="FFFFFF"/>
            <w:hideMark/>
          </w:tcPr>
          <w:p w14:paraId="349087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Shenda (Tai Cang) Automotive Safety Systems Co., Ltd.</w:t>
            </w:r>
          </w:p>
        </w:tc>
        <w:tc>
          <w:tcPr>
            <w:tcW w:w="0" w:type="auto"/>
            <w:shd w:val="clear" w:color="auto" w:fill="FFFFFF"/>
            <w:vAlign w:val="bottom"/>
            <w:hideMark/>
          </w:tcPr>
          <w:p w14:paraId="27B933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6EC58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Shanghai</w:t>
            </w:r>
          </w:p>
        </w:tc>
        <w:tc>
          <w:tcPr>
            <w:tcW w:w="0" w:type="auto"/>
            <w:shd w:val="clear" w:color="auto" w:fill="FFFFFF"/>
            <w:vAlign w:val="bottom"/>
            <w:hideMark/>
          </w:tcPr>
          <w:p w14:paraId="34083D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B2119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 webbing</w:t>
            </w:r>
          </w:p>
        </w:tc>
        <w:tc>
          <w:tcPr>
            <w:tcW w:w="0" w:type="auto"/>
            <w:shd w:val="clear" w:color="auto" w:fill="FFFFFF"/>
            <w:vAlign w:val="bottom"/>
            <w:hideMark/>
          </w:tcPr>
          <w:p w14:paraId="7FE12D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C9F26F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44E1F5E" w14:textId="77777777" w:rsidTr="004B2A77">
        <w:trPr>
          <w:trHeight w:val="180"/>
          <w:tblCellSpacing w:w="15" w:type="dxa"/>
        </w:trPr>
        <w:tc>
          <w:tcPr>
            <w:tcW w:w="0" w:type="auto"/>
            <w:shd w:val="clear" w:color="auto" w:fill="FFFFFF"/>
            <w:hideMark/>
          </w:tcPr>
          <w:p w14:paraId="703C79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(Jiangsu) Automotive Safety Components Co., Ltd.</w:t>
            </w:r>
          </w:p>
        </w:tc>
        <w:tc>
          <w:tcPr>
            <w:tcW w:w="0" w:type="auto"/>
            <w:shd w:val="clear" w:color="auto" w:fill="FFFFFF"/>
            <w:vAlign w:val="bottom"/>
            <w:hideMark/>
          </w:tcPr>
          <w:p w14:paraId="5B2033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D5181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Jintan</w:t>
            </w:r>
          </w:p>
        </w:tc>
        <w:tc>
          <w:tcPr>
            <w:tcW w:w="0" w:type="auto"/>
            <w:shd w:val="clear" w:color="auto" w:fill="FFFFFF"/>
            <w:vAlign w:val="bottom"/>
            <w:hideMark/>
          </w:tcPr>
          <w:p w14:paraId="3AEDB0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BA750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Propellant, Airbag initiators and Airbag inflators</w:t>
            </w:r>
          </w:p>
        </w:tc>
        <w:tc>
          <w:tcPr>
            <w:tcW w:w="0" w:type="auto"/>
            <w:shd w:val="clear" w:color="auto" w:fill="FFFFFF"/>
            <w:vAlign w:val="bottom"/>
            <w:hideMark/>
          </w:tcPr>
          <w:p w14:paraId="6CD0B0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D19DD5E"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D7864F6" w14:textId="77777777" w:rsidTr="004B2A77">
        <w:trPr>
          <w:trHeight w:val="180"/>
          <w:tblCellSpacing w:w="15" w:type="dxa"/>
        </w:trPr>
        <w:tc>
          <w:tcPr>
            <w:tcW w:w="0" w:type="auto"/>
            <w:shd w:val="clear" w:color="auto" w:fill="FFFFFF"/>
            <w:hideMark/>
          </w:tcPr>
          <w:p w14:paraId="4415FF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(China) Automotive Safety Systems Co., Ltd.</w:t>
            </w:r>
          </w:p>
        </w:tc>
        <w:tc>
          <w:tcPr>
            <w:tcW w:w="0" w:type="auto"/>
            <w:shd w:val="clear" w:color="auto" w:fill="FFFFFF"/>
            <w:vAlign w:val="bottom"/>
            <w:hideMark/>
          </w:tcPr>
          <w:p w14:paraId="1B039D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4CDDB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Nantong</w:t>
            </w:r>
          </w:p>
        </w:tc>
        <w:tc>
          <w:tcPr>
            <w:tcW w:w="0" w:type="auto"/>
            <w:shd w:val="clear" w:color="auto" w:fill="FFFFFF"/>
            <w:vAlign w:val="bottom"/>
            <w:hideMark/>
          </w:tcPr>
          <w:p w14:paraId="185EE8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BF921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cushions</w:t>
            </w:r>
          </w:p>
        </w:tc>
        <w:tc>
          <w:tcPr>
            <w:tcW w:w="0" w:type="auto"/>
            <w:shd w:val="clear" w:color="auto" w:fill="FFFFFF"/>
            <w:vAlign w:val="bottom"/>
            <w:hideMark/>
          </w:tcPr>
          <w:p w14:paraId="6F7F53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2C6535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2F3A5151" w14:textId="77777777" w:rsidTr="004B2A77">
        <w:trPr>
          <w:trHeight w:val="180"/>
          <w:tblCellSpacing w:w="15" w:type="dxa"/>
        </w:trPr>
        <w:tc>
          <w:tcPr>
            <w:tcW w:w="0" w:type="auto"/>
            <w:shd w:val="clear" w:color="auto" w:fill="FFFFFF"/>
            <w:hideMark/>
          </w:tcPr>
          <w:p w14:paraId="5EC5EC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Mei-An Autoliv Co., Ltd.</w:t>
            </w:r>
          </w:p>
        </w:tc>
        <w:tc>
          <w:tcPr>
            <w:tcW w:w="0" w:type="auto"/>
            <w:shd w:val="clear" w:color="auto" w:fill="FFFFFF"/>
            <w:vAlign w:val="bottom"/>
            <w:hideMark/>
          </w:tcPr>
          <w:p w14:paraId="6A1CAD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9316D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Taipei</w:t>
            </w:r>
          </w:p>
        </w:tc>
        <w:tc>
          <w:tcPr>
            <w:tcW w:w="0" w:type="auto"/>
            <w:shd w:val="clear" w:color="auto" w:fill="FFFFFF"/>
            <w:vAlign w:val="bottom"/>
            <w:hideMark/>
          </w:tcPr>
          <w:p w14:paraId="2831F5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FB53D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and airbags</w:t>
            </w:r>
          </w:p>
        </w:tc>
        <w:tc>
          <w:tcPr>
            <w:tcW w:w="0" w:type="auto"/>
            <w:shd w:val="clear" w:color="auto" w:fill="FFFFFF"/>
            <w:vAlign w:val="bottom"/>
            <w:hideMark/>
          </w:tcPr>
          <w:p w14:paraId="070FAE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F9C6E2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51736941" w14:textId="77777777" w:rsidTr="004B2A77">
        <w:trPr>
          <w:tblCellSpacing w:w="15" w:type="dxa"/>
        </w:trPr>
        <w:tc>
          <w:tcPr>
            <w:tcW w:w="0" w:type="auto"/>
            <w:shd w:val="clear" w:color="auto" w:fill="FFFFFF"/>
            <w:hideMark/>
          </w:tcPr>
          <w:p w14:paraId="6B4E5C2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8331CB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BE06CF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BC1488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10916A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4B5C3F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6C2B3A95"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0C933D8" w14:textId="77777777" w:rsidTr="004B2A77">
        <w:trPr>
          <w:trHeight w:val="180"/>
          <w:tblCellSpacing w:w="15" w:type="dxa"/>
        </w:trPr>
        <w:tc>
          <w:tcPr>
            <w:tcW w:w="0" w:type="auto"/>
            <w:shd w:val="clear" w:color="auto" w:fill="CCECFF"/>
            <w:hideMark/>
          </w:tcPr>
          <w:p w14:paraId="5399B7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Estonia</w:t>
            </w:r>
          </w:p>
        </w:tc>
        <w:tc>
          <w:tcPr>
            <w:tcW w:w="0" w:type="auto"/>
            <w:shd w:val="clear" w:color="auto" w:fill="CCECFF"/>
            <w:vAlign w:val="bottom"/>
            <w:hideMark/>
          </w:tcPr>
          <w:p w14:paraId="4B2788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469CAEF3"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03F07CE5"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3BF3FDC9"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1A5BE263"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5208A5B0"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43049B01" w14:textId="77777777" w:rsidTr="004B2A77">
        <w:trPr>
          <w:trHeight w:val="180"/>
          <w:tblCellSpacing w:w="15" w:type="dxa"/>
        </w:trPr>
        <w:tc>
          <w:tcPr>
            <w:tcW w:w="0" w:type="auto"/>
            <w:shd w:val="clear" w:color="auto" w:fill="FFFFFF"/>
            <w:hideMark/>
          </w:tcPr>
          <w:p w14:paraId="31D6B6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AS Norma</w:t>
            </w:r>
          </w:p>
        </w:tc>
        <w:tc>
          <w:tcPr>
            <w:tcW w:w="0" w:type="auto"/>
            <w:shd w:val="clear" w:color="auto" w:fill="FFFFFF"/>
            <w:vAlign w:val="bottom"/>
            <w:hideMark/>
          </w:tcPr>
          <w:p w14:paraId="151D1A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89D72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Tallinn</w:t>
            </w:r>
          </w:p>
        </w:tc>
        <w:tc>
          <w:tcPr>
            <w:tcW w:w="0" w:type="auto"/>
            <w:shd w:val="clear" w:color="auto" w:fill="FFFFFF"/>
            <w:vAlign w:val="bottom"/>
            <w:hideMark/>
          </w:tcPr>
          <w:p w14:paraId="6B2C17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59A52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and belt components</w:t>
            </w:r>
          </w:p>
        </w:tc>
        <w:tc>
          <w:tcPr>
            <w:tcW w:w="0" w:type="auto"/>
            <w:shd w:val="clear" w:color="auto" w:fill="FFFFFF"/>
            <w:vAlign w:val="bottom"/>
            <w:hideMark/>
          </w:tcPr>
          <w:p w14:paraId="5C6BB8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B8FB44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AF60301" w14:textId="77777777" w:rsidTr="004B2A77">
        <w:trPr>
          <w:tblCellSpacing w:w="15" w:type="dxa"/>
        </w:trPr>
        <w:tc>
          <w:tcPr>
            <w:tcW w:w="0" w:type="auto"/>
            <w:shd w:val="clear" w:color="auto" w:fill="FFFFFF"/>
            <w:hideMark/>
          </w:tcPr>
          <w:p w14:paraId="22BB559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7CEA49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D8C496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9E908D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6C05668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63AAF3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345FD187"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275C1A87" w14:textId="77777777" w:rsidTr="004B2A77">
        <w:trPr>
          <w:trHeight w:val="180"/>
          <w:tblCellSpacing w:w="15" w:type="dxa"/>
        </w:trPr>
        <w:tc>
          <w:tcPr>
            <w:tcW w:w="0" w:type="auto"/>
            <w:shd w:val="clear" w:color="auto" w:fill="CCECFF"/>
            <w:hideMark/>
          </w:tcPr>
          <w:p w14:paraId="2ADE2A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France</w:t>
            </w:r>
          </w:p>
        </w:tc>
        <w:tc>
          <w:tcPr>
            <w:tcW w:w="0" w:type="auto"/>
            <w:shd w:val="clear" w:color="auto" w:fill="CCECFF"/>
            <w:vAlign w:val="bottom"/>
            <w:hideMark/>
          </w:tcPr>
          <w:p w14:paraId="281E15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2532880F"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1E9A64BE"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241796D4"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380219A2"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439E34CB"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704D0E65" w14:textId="77777777" w:rsidTr="004B2A77">
        <w:trPr>
          <w:trHeight w:val="180"/>
          <w:tblCellSpacing w:w="15" w:type="dxa"/>
        </w:trPr>
        <w:tc>
          <w:tcPr>
            <w:tcW w:w="0" w:type="auto"/>
            <w:shd w:val="clear" w:color="auto" w:fill="FFFFFF"/>
            <w:hideMark/>
          </w:tcPr>
          <w:p w14:paraId="13726B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France SNC</w:t>
            </w:r>
          </w:p>
        </w:tc>
        <w:tc>
          <w:tcPr>
            <w:tcW w:w="0" w:type="auto"/>
            <w:shd w:val="clear" w:color="auto" w:fill="FFFFFF"/>
            <w:vAlign w:val="bottom"/>
            <w:hideMark/>
          </w:tcPr>
          <w:p w14:paraId="2785CD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32E42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Gournay-en-Bray</w:t>
            </w:r>
          </w:p>
        </w:tc>
        <w:tc>
          <w:tcPr>
            <w:tcW w:w="0" w:type="auto"/>
            <w:shd w:val="clear" w:color="auto" w:fill="FFFFFF"/>
            <w:vAlign w:val="bottom"/>
            <w:hideMark/>
          </w:tcPr>
          <w:p w14:paraId="30C482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DE214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654018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7061B2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28A3357" w14:textId="77777777" w:rsidTr="004B2A77">
        <w:trPr>
          <w:trHeight w:val="180"/>
          <w:tblCellSpacing w:w="15" w:type="dxa"/>
        </w:trPr>
        <w:tc>
          <w:tcPr>
            <w:tcW w:w="0" w:type="auto"/>
            <w:shd w:val="clear" w:color="auto" w:fill="FFFFFF"/>
            <w:hideMark/>
          </w:tcPr>
          <w:p w14:paraId="572E27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Isodelta SAS</w:t>
            </w:r>
          </w:p>
        </w:tc>
        <w:tc>
          <w:tcPr>
            <w:tcW w:w="0" w:type="auto"/>
            <w:shd w:val="clear" w:color="auto" w:fill="FFFFFF"/>
            <w:vAlign w:val="bottom"/>
            <w:hideMark/>
          </w:tcPr>
          <w:p w14:paraId="20A8D9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8A15F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Chiré-en-Montreuil</w:t>
            </w:r>
          </w:p>
        </w:tc>
        <w:tc>
          <w:tcPr>
            <w:tcW w:w="0" w:type="auto"/>
            <w:shd w:val="clear" w:color="auto" w:fill="FFFFFF"/>
            <w:vAlign w:val="bottom"/>
            <w:hideMark/>
          </w:tcPr>
          <w:p w14:paraId="31CB5A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15C58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 and covers</w:t>
            </w:r>
          </w:p>
        </w:tc>
        <w:tc>
          <w:tcPr>
            <w:tcW w:w="0" w:type="auto"/>
            <w:shd w:val="clear" w:color="auto" w:fill="FFFFFF"/>
            <w:vAlign w:val="bottom"/>
            <w:hideMark/>
          </w:tcPr>
          <w:p w14:paraId="2EBC7C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FF8456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267B13AF" w14:textId="77777777" w:rsidTr="004B2A77">
        <w:trPr>
          <w:trHeight w:val="180"/>
          <w:tblCellSpacing w:w="15" w:type="dxa"/>
        </w:trPr>
        <w:tc>
          <w:tcPr>
            <w:tcW w:w="0" w:type="auto"/>
            <w:shd w:val="clear" w:color="auto" w:fill="FFFFFF"/>
            <w:hideMark/>
          </w:tcPr>
          <w:p w14:paraId="4AE064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Livbag SAS</w:t>
            </w:r>
          </w:p>
        </w:tc>
        <w:tc>
          <w:tcPr>
            <w:tcW w:w="0" w:type="auto"/>
            <w:shd w:val="clear" w:color="auto" w:fill="FFFFFF"/>
            <w:vAlign w:val="bottom"/>
            <w:hideMark/>
          </w:tcPr>
          <w:p w14:paraId="1D8313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87E70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Pont-de-Buis</w:t>
            </w:r>
          </w:p>
        </w:tc>
        <w:tc>
          <w:tcPr>
            <w:tcW w:w="0" w:type="auto"/>
            <w:shd w:val="clear" w:color="auto" w:fill="FFFFFF"/>
            <w:vAlign w:val="bottom"/>
            <w:hideMark/>
          </w:tcPr>
          <w:p w14:paraId="35BA40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53E4C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inflators</w:t>
            </w:r>
          </w:p>
        </w:tc>
        <w:tc>
          <w:tcPr>
            <w:tcW w:w="0" w:type="auto"/>
            <w:shd w:val="clear" w:color="auto" w:fill="FFFFFF"/>
            <w:vAlign w:val="bottom"/>
            <w:hideMark/>
          </w:tcPr>
          <w:p w14:paraId="020418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236417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74884F72" w14:textId="77777777" w:rsidTr="004B2A77">
        <w:trPr>
          <w:trHeight w:val="180"/>
          <w:tblCellSpacing w:w="15" w:type="dxa"/>
        </w:trPr>
        <w:tc>
          <w:tcPr>
            <w:tcW w:w="0" w:type="auto"/>
            <w:shd w:val="clear" w:color="auto" w:fill="FFFFFF"/>
            <w:hideMark/>
          </w:tcPr>
          <w:p w14:paraId="5AAEDE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N.C.S. Pyrotechnie et Technologies SAS</w:t>
            </w:r>
          </w:p>
        </w:tc>
        <w:tc>
          <w:tcPr>
            <w:tcW w:w="0" w:type="auto"/>
            <w:shd w:val="clear" w:color="auto" w:fill="FFFFFF"/>
            <w:vAlign w:val="bottom"/>
            <w:hideMark/>
          </w:tcPr>
          <w:p w14:paraId="01A1F6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D6860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Survilliers</w:t>
            </w:r>
          </w:p>
        </w:tc>
        <w:tc>
          <w:tcPr>
            <w:tcW w:w="0" w:type="auto"/>
            <w:shd w:val="clear" w:color="auto" w:fill="FFFFFF"/>
            <w:vAlign w:val="bottom"/>
            <w:hideMark/>
          </w:tcPr>
          <w:p w14:paraId="684D04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DB82A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initiators and seatbelt micro gas generators</w:t>
            </w:r>
          </w:p>
        </w:tc>
        <w:tc>
          <w:tcPr>
            <w:tcW w:w="0" w:type="auto"/>
            <w:shd w:val="clear" w:color="auto" w:fill="FFFFFF"/>
            <w:vAlign w:val="bottom"/>
            <w:hideMark/>
          </w:tcPr>
          <w:p w14:paraId="4D36B9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7892CC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9B11340" w14:textId="77777777" w:rsidTr="004B2A77">
        <w:trPr>
          <w:tblCellSpacing w:w="15" w:type="dxa"/>
        </w:trPr>
        <w:tc>
          <w:tcPr>
            <w:tcW w:w="0" w:type="auto"/>
            <w:shd w:val="clear" w:color="auto" w:fill="FFFFFF"/>
            <w:hideMark/>
          </w:tcPr>
          <w:p w14:paraId="2C5CB13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B084F7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08DE88E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C37417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ED73E8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285D79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53ADB2CC"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2594987" w14:textId="77777777" w:rsidTr="004B2A77">
        <w:trPr>
          <w:trHeight w:val="180"/>
          <w:tblCellSpacing w:w="15" w:type="dxa"/>
        </w:trPr>
        <w:tc>
          <w:tcPr>
            <w:tcW w:w="0" w:type="auto"/>
            <w:shd w:val="clear" w:color="auto" w:fill="CCECFF"/>
            <w:hideMark/>
          </w:tcPr>
          <w:p w14:paraId="293C61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Germany</w:t>
            </w:r>
          </w:p>
        </w:tc>
        <w:tc>
          <w:tcPr>
            <w:tcW w:w="0" w:type="auto"/>
            <w:shd w:val="clear" w:color="auto" w:fill="CCECFF"/>
            <w:vAlign w:val="bottom"/>
            <w:hideMark/>
          </w:tcPr>
          <w:p w14:paraId="0C794B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24563A0C"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1AFDB5CE"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12345257"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7C47976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6188A61B"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54674CA9" w14:textId="77777777" w:rsidTr="004B2A77">
        <w:trPr>
          <w:trHeight w:val="180"/>
          <w:tblCellSpacing w:w="15" w:type="dxa"/>
        </w:trPr>
        <w:tc>
          <w:tcPr>
            <w:tcW w:w="0" w:type="auto"/>
            <w:shd w:val="clear" w:color="auto" w:fill="FFFFFF"/>
            <w:hideMark/>
          </w:tcPr>
          <w:p w14:paraId="466693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B.V. &amp; Co. KG</w:t>
            </w:r>
          </w:p>
        </w:tc>
        <w:tc>
          <w:tcPr>
            <w:tcW w:w="0" w:type="auto"/>
            <w:shd w:val="clear" w:color="auto" w:fill="FFFFFF"/>
            <w:vAlign w:val="bottom"/>
            <w:hideMark/>
          </w:tcPr>
          <w:p w14:paraId="682A70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F2269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Elmshorn</w:t>
            </w:r>
          </w:p>
        </w:tc>
        <w:tc>
          <w:tcPr>
            <w:tcW w:w="0" w:type="auto"/>
            <w:shd w:val="clear" w:color="auto" w:fill="FFFFFF"/>
            <w:vAlign w:val="bottom"/>
            <w:hideMark/>
          </w:tcPr>
          <w:p w14:paraId="2624EA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156FE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w:t>
            </w:r>
          </w:p>
        </w:tc>
        <w:tc>
          <w:tcPr>
            <w:tcW w:w="0" w:type="auto"/>
            <w:shd w:val="clear" w:color="auto" w:fill="FFFFFF"/>
            <w:vAlign w:val="bottom"/>
            <w:hideMark/>
          </w:tcPr>
          <w:p w14:paraId="316920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912E1A5"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0C00A54" w14:textId="77777777" w:rsidTr="004B2A77">
        <w:trPr>
          <w:tblCellSpacing w:w="15" w:type="dxa"/>
        </w:trPr>
        <w:tc>
          <w:tcPr>
            <w:tcW w:w="0" w:type="auto"/>
            <w:shd w:val="clear" w:color="auto" w:fill="FFFFFF"/>
            <w:hideMark/>
          </w:tcPr>
          <w:p w14:paraId="19F4C17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DADE1E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2C0D45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A9F74A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024C3E5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1FF234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3F95F0A"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EF08DB7" w14:textId="77777777" w:rsidTr="004B2A77">
        <w:trPr>
          <w:trHeight w:val="180"/>
          <w:tblCellSpacing w:w="15" w:type="dxa"/>
        </w:trPr>
        <w:tc>
          <w:tcPr>
            <w:tcW w:w="0" w:type="auto"/>
            <w:shd w:val="clear" w:color="auto" w:fill="CCECFF"/>
            <w:hideMark/>
          </w:tcPr>
          <w:p w14:paraId="225910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Hungary</w:t>
            </w:r>
          </w:p>
        </w:tc>
        <w:tc>
          <w:tcPr>
            <w:tcW w:w="0" w:type="auto"/>
            <w:shd w:val="clear" w:color="auto" w:fill="CCECFF"/>
            <w:vAlign w:val="bottom"/>
            <w:hideMark/>
          </w:tcPr>
          <w:p w14:paraId="4DDD01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329C37F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2E1B2A8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633AB72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5E90817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68C4BF6C"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8F8CFAD" w14:textId="77777777" w:rsidTr="004B2A77">
        <w:trPr>
          <w:trHeight w:val="180"/>
          <w:tblCellSpacing w:w="15" w:type="dxa"/>
        </w:trPr>
        <w:tc>
          <w:tcPr>
            <w:tcW w:w="0" w:type="auto"/>
            <w:shd w:val="clear" w:color="auto" w:fill="FFFFFF"/>
            <w:hideMark/>
          </w:tcPr>
          <w:p w14:paraId="4D798C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Kft.</w:t>
            </w:r>
          </w:p>
        </w:tc>
        <w:tc>
          <w:tcPr>
            <w:tcW w:w="0" w:type="auto"/>
            <w:shd w:val="clear" w:color="auto" w:fill="FFFFFF"/>
            <w:vAlign w:val="bottom"/>
            <w:hideMark/>
          </w:tcPr>
          <w:p w14:paraId="4B1027B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5CFDB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Sopronkövesd</w:t>
            </w:r>
          </w:p>
        </w:tc>
        <w:tc>
          <w:tcPr>
            <w:tcW w:w="0" w:type="auto"/>
            <w:shd w:val="clear" w:color="auto" w:fill="FFFFFF"/>
            <w:vAlign w:val="bottom"/>
            <w:hideMark/>
          </w:tcPr>
          <w:p w14:paraId="5211EB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4934F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w:t>
            </w:r>
          </w:p>
        </w:tc>
        <w:tc>
          <w:tcPr>
            <w:tcW w:w="0" w:type="auto"/>
            <w:shd w:val="clear" w:color="auto" w:fill="FFFFFF"/>
            <w:vAlign w:val="bottom"/>
            <w:hideMark/>
          </w:tcPr>
          <w:p w14:paraId="72610B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001327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F83AF94" w14:textId="77777777" w:rsidTr="004B2A77">
        <w:trPr>
          <w:tblCellSpacing w:w="15" w:type="dxa"/>
        </w:trPr>
        <w:tc>
          <w:tcPr>
            <w:tcW w:w="0" w:type="auto"/>
            <w:shd w:val="clear" w:color="auto" w:fill="FFFFFF"/>
            <w:hideMark/>
          </w:tcPr>
          <w:p w14:paraId="1C43E34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3732D4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49CDAC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080EF9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D732BC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6640BB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7219CA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F59EB91" w14:textId="77777777" w:rsidTr="004B2A77">
        <w:trPr>
          <w:trHeight w:val="180"/>
          <w:tblCellSpacing w:w="15" w:type="dxa"/>
        </w:trPr>
        <w:tc>
          <w:tcPr>
            <w:tcW w:w="0" w:type="auto"/>
            <w:shd w:val="clear" w:color="auto" w:fill="CCECFF"/>
            <w:hideMark/>
          </w:tcPr>
          <w:p w14:paraId="49F36C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lastRenderedPageBreak/>
              <w:t>India</w:t>
            </w:r>
          </w:p>
        </w:tc>
        <w:tc>
          <w:tcPr>
            <w:tcW w:w="0" w:type="auto"/>
            <w:shd w:val="clear" w:color="auto" w:fill="CCECFF"/>
            <w:vAlign w:val="bottom"/>
            <w:hideMark/>
          </w:tcPr>
          <w:p w14:paraId="1A916D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582D290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578C0B8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32A2D19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2B4EA93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03BEF216"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C04AEE2" w14:textId="77777777" w:rsidTr="004B2A77">
        <w:trPr>
          <w:trHeight w:val="180"/>
          <w:tblCellSpacing w:w="15" w:type="dxa"/>
        </w:trPr>
        <w:tc>
          <w:tcPr>
            <w:tcW w:w="0" w:type="auto"/>
            <w:shd w:val="clear" w:color="auto" w:fill="FFFFFF"/>
            <w:hideMark/>
          </w:tcPr>
          <w:p w14:paraId="47AEEE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India Private Ltd.</w:t>
            </w:r>
          </w:p>
        </w:tc>
        <w:tc>
          <w:tcPr>
            <w:tcW w:w="0" w:type="auto"/>
            <w:shd w:val="clear" w:color="auto" w:fill="FFFFFF"/>
            <w:vAlign w:val="bottom"/>
            <w:hideMark/>
          </w:tcPr>
          <w:p w14:paraId="1D0609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B9550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Bangalore</w:t>
            </w:r>
          </w:p>
        </w:tc>
        <w:tc>
          <w:tcPr>
            <w:tcW w:w="0" w:type="auto"/>
            <w:shd w:val="clear" w:color="auto" w:fill="FFFFFF"/>
            <w:vAlign w:val="bottom"/>
            <w:hideMark/>
          </w:tcPr>
          <w:p w14:paraId="7A42BF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DCC8A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airbags</w:t>
            </w:r>
          </w:p>
        </w:tc>
        <w:tc>
          <w:tcPr>
            <w:tcW w:w="0" w:type="auto"/>
            <w:shd w:val="clear" w:color="auto" w:fill="FFFFFF"/>
            <w:vAlign w:val="bottom"/>
            <w:hideMark/>
          </w:tcPr>
          <w:p w14:paraId="5AE959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51905E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80D0D2A" w14:textId="77777777" w:rsidTr="004B2A77">
        <w:trPr>
          <w:trHeight w:val="180"/>
          <w:tblCellSpacing w:w="15" w:type="dxa"/>
        </w:trPr>
        <w:tc>
          <w:tcPr>
            <w:tcW w:w="0" w:type="auto"/>
            <w:shd w:val="clear" w:color="auto" w:fill="FFFFFF"/>
            <w:hideMark/>
          </w:tcPr>
          <w:p w14:paraId="0AB5FBE1"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028CB03F"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6A521B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Mysore</w:t>
            </w:r>
          </w:p>
        </w:tc>
        <w:tc>
          <w:tcPr>
            <w:tcW w:w="0" w:type="auto"/>
            <w:shd w:val="clear" w:color="auto" w:fill="FFFFFF"/>
            <w:vAlign w:val="bottom"/>
            <w:hideMark/>
          </w:tcPr>
          <w:p w14:paraId="6AFAD8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46069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 webbing and Airbag Cushions</w:t>
            </w:r>
          </w:p>
        </w:tc>
        <w:tc>
          <w:tcPr>
            <w:tcW w:w="0" w:type="auto"/>
            <w:shd w:val="clear" w:color="auto" w:fill="FFFFFF"/>
            <w:vAlign w:val="bottom"/>
            <w:hideMark/>
          </w:tcPr>
          <w:p w14:paraId="71B425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70DD0B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252B1B47" w14:textId="77777777" w:rsidTr="004B2A77">
        <w:trPr>
          <w:trHeight w:val="180"/>
          <w:tblCellSpacing w:w="15" w:type="dxa"/>
        </w:trPr>
        <w:tc>
          <w:tcPr>
            <w:tcW w:w="0" w:type="auto"/>
            <w:shd w:val="clear" w:color="auto" w:fill="FFFFFF"/>
            <w:hideMark/>
          </w:tcPr>
          <w:p w14:paraId="07BEFACC"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44A82539"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01A8CF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Badli</w:t>
            </w:r>
          </w:p>
        </w:tc>
        <w:tc>
          <w:tcPr>
            <w:tcW w:w="0" w:type="auto"/>
            <w:shd w:val="clear" w:color="auto" w:fill="FFFFFF"/>
            <w:vAlign w:val="bottom"/>
            <w:hideMark/>
          </w:tcPr>
          <w:p w14:paraId="443217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0C5E6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steering wheels</w:t>
            </w:r>
          </w:p>
        </w:tc>
        <w:tc>
          <w:tcPr>
            <w:tcW w:w="0" w:type="auto"/>
            <w:shd w:val="clear" w:color="auto" w:fill="FFFFFF"/>
            <w:vAlign w:val="bottom"/>
            <w:hideMark/>
          </w:tcPr>
          <w:p w14:paraId="532612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6AB500E"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30C975EC" w14:textId="77777777" w:rsidTr="004B2A77">
        <w:trPr>
          <w:tblCellSpacing w:w="15" w:type="dxa"/>
        </w:trPr>
        <w:tc>
          <w:tcPr>
            <w:tcW w:w="0" w:type="auto"/>
            <w:shd w:val="clear" w:color="auto" w:fill="FFFFFF"/>
            <w:hideMark/>
          </w:tcPr>
          <w:p w14:paraId="01C245B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4FA406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F86442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CF08F1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3AF1F4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050D00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749442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A5D035F" w14:textId="77777777" w:rsidTr="004B2A77">
        <w:trPr>
          <w:trHeight w:val="180"/>
          <w:tblCellSpacing w:w="15" w:type="dxa"/>
        </w:trPr>
        <w:tc>
          <w:tcPr>
            <w:tcW w:w="0" w:type="auto"/>
            <w:shd w:val="clear" w:color="auto" w:fill="CCECFF"/>
            <w:hideMark/>
          </w:tcPr>
          <w:p w14:paraId="3BBDB7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Indonesia</w:t>
            </w:r>
          </w:p>
        </w:tc>
        <w:tc>
          <w:tcPr>
            <w:tcW w:w="0" w:type="auto"/>
            <w:shd w:val="clear" w:color="auto" w:fill="CCECFF"/>
            <w:vAlign w:val="bottom"/>
            <w:hideMark/>
          </w:tcPr>
          <w:p w14:paraId="782533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463BB97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7C476A7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5ACD303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0CBEF8D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155DCBB8"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5813928" w14:textId="77777777" w:rsidTr="004B2A77">
        <w:trPr>
          <w:trHeight w:val="180"/>
          <w:tblCellSpacing w:w="15" w:type="dxa"/>
        </w:trPr>
        <w:tc>
          <w:tcPr>
            <w:tcW w:w="0" w:type="auto"/>
            <w:shd w:val="clear" w:color="auto" w:fill="FFFFFF"/>
            <w:hideMark/>
          </w:tcPr>
          <w:p w14:paraId="6D572FD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P.T. Autoliv Indonesia</w:t>
            </w:r>
          </w:p>
        </w:tc>
        <w:tc>
          <w:tcPr>
            <w:tcW w:w="0" w:type="auto"/>
            <w:shd w:val="clear" w:color="auto" w:fill="FFFFFF"/>
            <w:vAlign w:val="bottom"/>
            <w:hideMark/>
          </w:tcPr>
          <w:p w14:paraId="44D283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AFC41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Jakarta</w:t>
            </w:r>
          </w:p>
        </w:tc>
        <w:tc>
          <w:tcPr>
            <w:tcW w:w="0" w:type="auto"/>
            <w:shd w:val="clear" w:color="auto" w:fill="FFFFFF"/>
            <w:vAlign w:val="bottom"/>
            <w:hideMark/>
          </w:tcPr>
          <w:p w14:paraId="1A56A4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901B8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and steering wheels</w:t>
            </w:r>
          </w:p>
        </w:tc>
        <w:tc>
          <w:tcPr>
            <w:tcW w:w="0" w:type="auto"/>
            <w:shd w:val="clear" w:color="auto" w:fill="FFFFFF"/>
            <w:vAlign w:val="bottom"/>
            <w:hideMark/>
          </w:tcPr>
          <w:p w14:paraId="2205F9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A3F328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90984BE" w14:textId="77777777" w:rsidTr="004B2A77">
        <w:trPr>
          <w:tblCellSpacing w:w="15" w:type="dxa"/>
        </w:trPr>
        <w:tc>
          <w:tcPr>
            <w:tcW w:w="0" w:type="auto"/>
            <w:shd w:val="clear" w:color="auto" w:fill="FFFFFF"/>
            <w:hideMark/>
          </w:tcPr>
          <w:p w14:paraId="097A998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F5FF23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EDCB1C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39BF74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16B3C0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9EAF0C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5249F8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B7E1939" w14:textId="77777777" w:rsidTr="004B2A77">
        <w:trPr>
          <w:trHeight w:val="180"/>
          <w:tblCellSpacing w:w="15" w:type="dxa"/>
        </w:trPr>
        <w:tc>
          <w:tcPr>
            <w:tcW w:w="0" w:type="auto"/>
            <w:shd w:val="clear" w:color="auto" w:fill="CCECFF"/>
            <w:hideMark/>
          </w:tcPr>
          <w:p w14:paraId="5D3640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Japan</w:t>
            </w:r>
          </w:p>
        </w:tc>
        <w:tc>
          <w:tcPr>
            <w:tcW w:w="0" w:type="auto"/>
            <w:shd w:val="clear" w:color="auto" w:fill="CCECFF"/>
            <w:vAlign w:val="bottom"/>
            <w:hideMark/>
          </w:tcPr>
          <w:p w14:paraId="0552291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3BFEC6C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381D547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583EBA6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798161A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738BF68B"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01928BC" w14:textId="77777777" w:rsidTr="004B2A77">
        <w:trPr>
          <w:trHeight w:val="180"/>
          <w:tblCellSpacing w:w="15" w:type="dxa"/>
        </w:trPr>
        <w:tc>
          <w:tcPr>
            <w:tcW w:w="0" w:type="auto"/>
            <w:shd w:val="clear" w:color="auto" w:fill="FFFFFF"/>
            <w:hideMark/>
          </w:tcPr>
          <w:p w14:paraId="0F9A7A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Japan Ltd.</w:t>
            </w:r>
          </w:p>
        </w:tc>
        <w:tc>
          <w:tcPr>
            <w:tcW w:w="0" w:type="auto"/>
            <w:shd w:val="clear" w:color="auto" w:fill="FFFFFF"/>
            <w:vAlign w:val="bottom"/>
            <w:hideMark/>
          </w:tcPr>
          <w:p w14:paraId="3463BF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1B4F6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Atsugi</w:t>
            </w:r>
          </w:p>
        </w:tc>
        <w:tc>
          <w:tcPr>
            <w:tcW w:w="0" w:type="auto"/>
            <w:shd w:val="clear" w:color="auto" w:fill="FFFFFF"/>
            <w:vAlign w:val="bottom"/>
            <w:hideMark/>
          </w:tcPr>
          <w:p w14:paraId="464FFE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5E653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702D7A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BB2A96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55865012" w14:textId="77777777" w:rsidTr="004B2A77">
        <w:trPr>
          <w:trHeight w:val="180"/>
          <w:tblCellSpacing w:w="15" w:type="dxa"/>
        </w:trPr>
        <w:tc>
          <w:tcPr>
            <w:tcW w:w="0" w:type="auto"/>
            <w:shd w:val="clear" w:color="auto" w:fill="FFFFFF"/>
            <w:hideMark/>
          </w:tcPr>
          <w:p w14:paraId="503C921B"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3EBDFF88"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1A00E9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Hiroshima</w:t>
            </w:r>
          </w:p>
        </w:tc>
        <w:tc>
          <w:tcPr>
            <w:tcW w:w="0" w:type="auto"/>
            <w:shd w:val="clear" w:color="auto" w:fill="FFFFFF"/>
            <w:vAlign w:val="bottom"/>
            <w:hideMark/>
          </w:tcPr>
          <w:p w14:paraId="300CF5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C2104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steering wheels</w:t>
            </w:r>
          </w:p>
        </w:tc>
        <w:tc>
          <w:tcPr>
            <w:tcW w:w="0" w:type="auto"/>
            <w:shd w:val="clear" w:color="auto" w:fill="FFFFFF"/>
            <w:vAlign w:val="bottom"/>
            <w:hideMark/>
          </w:tcPr>
          <w:p w14:paraId="19C319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CB421E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B3B6645" w14:textId="77777777" w:rsidTr="004B2A77">
        <w:trPr>
          <w:trHeight w:val="180"/>
          <w:tblCellSpacing w:w="15" w:type="dxa"/>
        </w:trPr>
        <w:tc>
          <w:tcPr>
            <w:tcW w:w="0" w:type="auto"/>
            <w:shd w:val="clear" w:color="auto" w:fill="FFFFFF"/>
            <w:vAlign w:val="bottom"/>
            <w:hideMark/>
          </w:tcPr>
          <w:p w14:paraId="1CBAAD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0A8E8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AFBE8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Taketoyo</w:t>
            </w:r>
          </w:p>
        </w:tc>
        <w:tc>
          <w:tcPr>
            <w:tcW w:w="0" w:type="auto"/>
            <w:shd w:val="clear" w:color="auto" w:fill="FFFFFF"/>
            <w:vAlign w:val="bottom"/>
            <w:hideMark/>
          </w:tcPr>
          <w:p w14:paraId="1D19C0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FFC2E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inflators</w:t>
            </w:r>
          </w:p>
        </w:tc>
        <w:tc>
          <w:tcPr>
            <w:tcW w:w="0" w:type="auto"/>
            <w:shd w:val="clear" w:color="auto" w:fill="FFFFFF"/>
            <w:vAlign w:val="bottom"/>
            <w:hideMark/>
          </w:tcPr>
          <w:p w14:paraId="089099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E4E41B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45388065" w14:textId="77777777" w:rsidTr="004B2A77">
        <w:trPr>
          <w:trHeight w:val="180"/>
          <w:tblCellSpacing w:w="15" w:type="dxa"/>
        </w:trPr>
        <w:tc>
          <w:tcPr>
            <w:tcW w:w="0" w:type="auto"/>
            <w:shd w:val="clear" w:color="auto" w:fill="FFFFFF"/>
            <w:vAlign w:val="bottom"/>
            <w:hideMark/>
          </w:tcPr>
          <w:p w14:paraId="00CF0A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1CB36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BFFD9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Tsukuba</w:t>
            </w:r>
          </w:p>
        </w:tc>
        <w:tc>
          <w:tcPr>
            <w:tcW w:w="0" w:type="auto"/>
            <w:shd w:val="clear" w:color="auto" w:fill="FFFFFF"/>
            <w:vAlign w:val="bottom"/>
            <w:hideMark/>
          </w:tcPr>
          <w:p w14:paraId="7152D3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180A9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seatbelts</w:t>
            </w:r>
          </w:p>
        </w:tc>
        <w:tc>
          <w:tcPr>
            <w:tcW w:w="0" w:type="auto"/>
            <w:shd w:val="clear" w:color="auto" w:fill="FFFFFF"/>
            <w:vAlign w:val="bottom"/>
            <w:hideMark/>
          </w:tcPr>
          <w:p w14:paraId="0FE897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9142767"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6C61DD0C" w14:textId="77777777" w:rsidTr="004B2A77">
        <w:trPr>
          <w:tblCellSpacing w:w="15" w:type="dxa"/>
        </w:trPr>
        <w:tc>
          <w:tcPr>
            <w:tcW w:w="0" w:type="auto"/>
            <w:shd w:val="clear" w:color="auto" w:fill="FFFFFF"/>
            <w:hideMark/>
          </w:tcPr>
          <w:p w14:paraId="23A284B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CC990F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BCBD1B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53A105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F9264F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E379BB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265D8271"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9571D86" w14:textId="77777777" w:rsidTr="004B2A77">
        <w:trPr>
          <w:trHeight w:val="180"/>
          <w:tblCellSpacing w:w="15" w:type="dxa"/>
        </w:trPr>
        <w:tc>
          <w:tcPr>
            <w:tcW w:w="0" w:type="auto"/>
            <w:shd w:val="clear" w:color="auto" w:fill="CCECFF"/>
            <w:hideMark/>
          </w:tcPr>
          <w:p w14:paraId="016A17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Malaysia</w:t>
            </w:r>
          </w:p>
        </w:tc>
        <w:tc>
          <w:tcPr>
            <w:tcW w:w="0" w:type="auto"/>
            <w:shd w:val="clear" w:color="auto" w:fill="CCECFF"/>
            <w:vAlign w:val="bottom"/>
            <w:hideMark/>
          </w:tcPr>
          <w:p w14:paraId="5E2043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6BE13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150002D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3C7A32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6F9A3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21F4D9E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83409A0" w14:textId="77777777" w:rsidTr="004B2A77">
        <w:trPr>
          <w:trHeight w:val="180"/>
          <w:tblCellSpacing w:w="15" w:type="dxa"/>
        </w:trPr>
        <w:tc>
          <w:tcPr>
            <w:tcW w:w="0" w:type="auto"/>
            <w:shd w:val="clear" w:color="auto" w:fill="FFFFFF"/>
            <w:hideMark/>
          </w:tcPr>
          <w:p w14:paraId="2E146B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Autoliv-Hirotako Sdn Bhd</w:t>
            </w:r>
          </w:p>
        </w:tc>
        <w:tc>
          <w:tcPr>
            <w:tcW w:w="0" w:type="auto"/>
            <w:shd w:val="clear" w:color="auto" w:fill="FFFFFF"/>
            <w:vAlign w:val="bottom"/>
            <w:hideMark/>
          </w:tcPr>
          <w:p w14:paraId="606E0F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95C66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Kuala Lumpur</w:t>
            </w:r>
          </w:p>
        </w:tc>
        <w:tc>
          <w:tcPr>
            <w:tcW w:w="0" w:type="auto"/>
            <w:shd w:val="clear" w:color="auto" w:fill="FFFFFF"/>
            <w:vAlign w:val="bottom"/>
            <w:hideMark/>
          </w:tcPr>
          <w:p w14:paraId="68E058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1B9CA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airbags and steering wheels</w:t>
            </w:r>
          </w:p>
        </w:tc>
        <w:tc>
          <w:tcPr>
            <w:tcW w:w="0" w:type="auto"/>
            <w:shd w:val="clear" w:color="auto" w:fill="FFFFFF"/>
            <w:vAlign w:val="bottom"/>
            <w:hideMark/>
          </w:tcPr>
          <w:p w14:paraId="4F9076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40FAB85"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389D7C81" w14:textId="77777777" w:rsidTr="004B2A77">
        <w:trPr>
          <w:tblCellSpacing w:w="15" w:type="dxa"/>
        </w:trPr>
        <w:tc>
          <w:tcPr>
            <w:tcW w:w="0" w:type="auto"/>
            <w:shd w:val="clear" w:color="auto" w:fill="FFFFFF"/>
            <w:hideMark/>
          </w:tcPr>
          <w:p w14:paraId="1F61FFC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D9EB8D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D26868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A046C4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6BB655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E2CA51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31C6F478"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bl>
    <w:p w14:paraId="0CBE43B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A37CD8A"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24</w:t>
      </w:r>
    </w:p>
    <w:p w14:paraId="49D52B15"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3C20096">
          <v:rect id="_x0000_i1049" style="width:0;height:1.5pt" o:hralign="center" o:hrstd="t" o:hrnoshade="t" o:hr="t" fillcolor="black" stroked="f"/>
        </w:pict>
      </w:r>
    </w:p>
    <w:p w14:paraId="11E29987"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D287BC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456"/>
        <w:gridCol w:w="309"/>
        <w:gridCol w:w="2969"/>
        <w:gridCol w:w="309"/>
        <w:gridCol w:w="6067"/>
        <w:gridCol w:w="309"/>
        <w:gridCol w:w="2195"/>
      </w:tblGrid>
      <w:tr w:rsidR="004B2A77" w:rsidRPr="004B2A77" w14:paraId="1A5A3DE5" w14:textId="77777777" w:rsidTr="004B2A77">
        <w:trPr>
          <w:tblCellSpacing w:w="15" w:type="dxa"/>
        </w:trPr>
        <w:tc>
          <w:tcPr>
            <w:tcW w:w="9260" w:type="dxa"/>
            <w:vAlign w:val="center"/>
            <w:hideMark/>
          </w:tcPr>
          <w:p w14:paraId="5522444F"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02" w:type="dxa"/>
            <w:vAlign w:val="center"/>
            <w:hideMark/>
          </w:tcPr>
          <w:p w14:paraId="1EA3669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38" w:type="dxa"/>
            <w:vAlign w:val="center"/>
            <w:hideMark/>
          </w:tcPr>
          <w:p w14:paraId="7DA2704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2" w:type="dxa"/>
            <w:vAlign w:val="center"/>
            <w:hideMark/>
          </w:tcPr>
          <w:p w14:paraId="5BBB8A4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771" w:type="dxa"/>
            <w:vAlign w:val="center"/>
            <w:hideMark/>
          </w:tcPr>
          <w:p w14:paraId="44B477C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2" w:type="dxa"/>
            <w:vAlign w:val="center"/>
            <w:hideMark/>
          </w:tcPr>
          <w:p w14:paraId="5A63A05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30" w:type="dxa"/>
            <w:vAlign w:val="center"/>
            <w:hideMark/>
          </w:tcPr>
          <w:p w14:paraId="3B0A6F3D"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B5FDD20" w14:textId="77777777" w:rsidTr="004B2A77">
        <w:trPr>
          <w:trHeight w:val="180"/>
          <w:tblCellSpacing w:w="15" w:type="dxa"/>
        </w:trPr>
        <w:tc>
          <w:tcPr>
            <w:tcW w:w="0" w:type="auto"/>
            <w:shd w:val="clear" w:color="auto" w:fill="CCECFF"/>
            <w:hideMark/>
          </w:tcPr>
          <w:p w14:paraId="13053F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Mexico</w:t>
            </w:r>
          </w:p>
        </w:tc>
        <w:tc>
          <w:tcPr>
            <w:tcW w:w="0" w:type="auto"/>
            <w:shd w:val="clear" w:color="auto" w:fill="CCECFF"/>
            <w:vAlign w:val="bottom"/>
            <w:hideMark/>
          </w:tcPr>
          <w:p w14:paraId="4B67AB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6334EC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070E8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6984C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1BC989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1DBA9E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FB99BC7" w14:textId="77777777" w:rsidTr="004B2A77">
        <w:trPr>
          <w:trHeight w:val="180"/>
          <w:tblCellSpacing w:w="15" w:type="dxa"/>
        </w:trPr>
        <w:tc>
          <w:tcPr>
            <w:tcW w:w="0" w:type="auto"/>
            <w:shd w:val="clear" w:color="auto" w:fill="FFFFFF"/>
            <w:hideMark/>
          </w:tcPr>
          <w:p w14:paraId="47B2C2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Mexico East S.A. de C.V.</w:t>
            </w:r>
          </w:p>
        </w:tc>
        <w:tc>
          <w:tcPr>
            <w:tcW w:w="0" w:type="auto"/>
            <w:shd w:val="clear" w:color="auto" w:fill="FFFFFF"/>
            <w:vAlign w:val="bottom"/>
            <w:hideMark/>
          </w:tcPr>
          <w:p w14:paraId="2FCBF9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F308F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Matamoros</w:t>
            </w:r>
          </w:p>
        </w:tc>
        <w:tc>
          <w:tcPr>
            <w:tcW w:w="0" w:type="auto"/>
            <w:shd w:val="clear" w:color="auto" w:fill="FFFFFF"/>
            <w:vAlign w:val="bottom"/>
            <w:hideMark/>
          </w:tcPr>
          <w:p w14:paraId="44ECCBD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B5533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1EB01B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508DAA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1257E603" w14:textId="77777777" w:rsidTr="004B2A77">
        <w:trPr>
          <w:trHeight w:val="180"/>
          <w:tblCellSpacing w:w="15" w:type="dxa"/>
        </w:trPr>
        <w:tc>
          <w:tcPr>
            <w:tcW w:w="0" w:type="auto"/>
            <w:shd w:val="clear" w:color="auto" w:fill="FFFFFF"/>
            <w:hideMark/>
          </w:tcPr>
          <w:p w14:paraId="2E99E9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Mexico S.A. de C.V.</w:t>
            </w:r>
          </w:p>
        </w:tc>
        <w:tc>
          <w:tcPr>
            <w:tcW w:w="0" w:type="auto"/>
            <w:shd w:val="clear" w:color="auto" w:fill="FFFFFF"/>
            <w:vAlign w:val="bottom"/>
            <w:hideMark/>
          </w:tcPr>
          <w:p w14:paraId="61B1D6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E841B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Lerma</w:t>
            </w:r>
          </w:p>
        </w:tc>
        <w:tc>
          <w:tcPr>
            <w:tcW w:w="0" w:type="auto"/>
            <w:shd w:val="clear" w:color="auto" w:fill="FFFFFF"/>
            <w:vAlign w:val="bottom"/>
            <w:hideMark/>
          </w:tcPr>
          <w:p w14:paraId="2D23F4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7745C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w:t>
            </w:r>
          </w:p>
        </w:tc>
        <w:tc>
          <w:tcPr>
            <w:tcW w:w="0" w:type="auto"/>
            <w:shd w:val="clear" w:color="auto" w:fill="FFFFFF"/>
            <w:vAlign w:val="bottom"/>
            <w:hideMark/>
          </w:tcPr>
          <w:p w14:paraId="25FB71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A48B51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F6C3280" w14:textId="77777777" w:rsidTr="004B2A77">
        <w:trPr>
          <w:trHeight w:val="180"/>
          <w:tblCellSpacing w:w="15" w:type="dxa"/>
        </w:trPr>
        <w:tc>
          <w:tcPr>
            <w:tcW w:w="0" w:type="auto"/>
            <w:shd w:val="clear" w:color="auto" w:fill="FFFFFF"/>
            <w:hideMark/>
          </w:tcPr>
          <w:p w14:paraId="511FAC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Safety Technology de Mexico S.A. de C.V.</w:t>
            </w:r>
          </w:p>
        </w:tc>
        <w:tc>
          <w:tcPr>
            <w:tcW w:w="0" w:type="auto"/>
            <w:shd w:val="clear" w:color="auto" w:fill="FFFFFF"/>
            <w:vAlign w:val="bottom"/>
            <w:hideMark/>
          </w:tcPr>
          <w:p w14:paraId="47287E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782B3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Tijuana</w:t>
            </w:r>
          </w:p>
        </w:tc>
        <w:tc>
          <w:tcPr>
            <w:tcW w:w="0" w:type="auto"/>
            <w:shd w:val="clear" w:color="auto" w:fill="FFFFFF"/>
            <w:vAlign w:val="bottom"/>
            <w:hideMark/>
          </w:tcPr>
          <w:p w14:paraId="6C2E34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3A234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w:t>
            </w:r>
          </w:p>
        </w:tc>
        <w:tc>
          <w:tcPr>
            <w:tcW w:w="0" w:type="auto"/>
            <w:shd w:val="clear" w:color="auto" w:fill="FFFFFF"/>
            <w:vAlign w:val="bottom"/>
            <w:hideMark/>
          </w:tcPr>
          <w:p w14:paraId="40BA61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9384998"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46E10D09" w14:textId="77777777" w:rsidTr="004B2A77">
        <w:trPr>
          <w:trHeight w:val="180"/>
          <w:tblCellSpacing w:w="15" w:type="dxa"/>
        </w:trPr>
        <w:tc>
          <w:tcPr>
            <w:tcW w:w="0" w:type="auto"/>
            <w:shd w:val="clear" w:color="auto" w:fill="FFFFFF"/>
            <w:vAlign w:val="bottom"/>
            <w:hideMark/>
          </w:tcPr>
          <w:p w14:paraId="44DA09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Steering Wheels Mexico S. de R.L. de C.V.</w:t>
            </w:r>
          </w:p>
        </w:tc>
        <w:tc>
          <w:tcPr>
            <w:tcW w:w="0" w:type="auto"/>
            <w:shd w:val="clear" w:color="auto" w:fill="FFFFFF"/>
            <w:vAlign w:val="bottom"/>
            <w:hideMark/>
          </w:tcPr>
          <w:p w14:paraId="7BB12B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6DEB3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Querétaro</w:t>
            </w:r>
          </w:p>
        </w:tc>
        <w:tc>
          <w:tcPr>
            <w:tcW w:w="0" w:type="auto"/>
            <w:shd w:val="clear" w:color="auto" w:fill="FFFFFF"/>
            <w:vAlign w:val="bottom"/>
            <w:hideMark/>
          </w:tcPr>
          <w:p w14:paraId="389B11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FF557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cushions</w:t>
            </w:r>
          </w:p>
        </w:tc>
        <w:tc>
          <w:tcPr>
            <w:tcW w:w="0" w:type="auto"/>
            <w:shd w:val="clear" w:color="auto" w:fill="FFFFFF"/>
            <w:vAlign w:val="bottom"/>
            <w:hideMark/>
          </w:tcPr>
          <w:p w14:paraId="721B5D2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ED0AF48"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3C85D403" w14:textId="77777777" w:rsidTr="004B2A77">
        <w:trPr>
          <w:trHeight w:val="180"/>
          <w:tblCellSpacing w:w="15" w:type="dxa"/>
        </w:trPr>
        <w:tc>
          <w:tcPr>
            <w:tcW w:w="0" w:type="auto"/>
            <w:shd w:val="clear" w:color="auto" w:fill="FFFFFF"/>
            <w:hideMark/>
          </w:tcPr>
          <w:p w14:paraId="42BDEE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Steering Wheels Mexico S. de R.L. de C.V.</w:t>
            </w:r>
          </w:p>
        </w:tc>
        <w:tc>
          <w:tcPr>
            <w:tcW w:w="0" w:type="auto"/>
            <w:shd w:val="clear" w:color="auto" w:fill="FFFFFF"/>
            <w:vAlign w:val="bottom"/>
            <w:hideMark/>
          </w:tcPr>
          <w:p w14:paraId="0B7C5B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CC815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Querétaro</w:t>
            </w:r>
          </w:p>
        </w:tc>
        <w:tc>
          <w:tcPr>
            <w:tcW w:w="0" w:type="auto"/>
            <w:shd w:val="clear" w:color="auto" w:fill="FFFFFF"/>
            <w:vAlign w:val="bottom"/>
            <w:hideMark/>
          </w:tcPr>
          <w:p w14:paraId="62DBAF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0DEC7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1D9740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E981C63"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2EFC78A7" w14:textId="77777777" w:rsidTr="004B2A77">
        <w:trPr>
          <w:trHeight w:val="180"/>
          <w:tblCellSpacing w:w="15" w:type="dxa"/>
        </w:trPr>
        <w:tc>
          <w:tcPr>
            <w:tcW w:w="0" w:type="auto"/>
            <w:shd w:val="clear" w:color="auto" w:fill="FFFFFF"/>
            <w:hideMark/>
          </w:tcPr>
          <w:p w14:paraId="75234C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Mexico S.A. de C.V.</w:t>
            </w:r>
          </w:p>
        </w:tc>
        <w:tc>
          <w:tcPr>
            <w:tcW w:w="0" w:type="auto"/>
            <w:shd w:val="clear" w:color="auto" w:fill="FFFFFF"/>
            <w:vAlign w:val="bottom"/>
            <w:hideMark/>
          </w:tcPr>
          <w:p w14:paraId="664C32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44CE1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Aguascalientes</w:t>
            </w:r>
          </w:p>
        </w:tc>
        <w:tc>
          <w:tcPr>
            <w:tcW w:w="0" w:type="auto"/>
            <w:shd w:val="clear" w:color="auto" w:fill="FFFFFF"/>
            <w:vAlign w:val="bottom"/>
            <w:hideMark/>
          </w:tcPr>
          <w:p w14:paraId="6478055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B72F6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34611F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D025ED3"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B77DBA7" w14:textId="77777777" w:rsidTr="004B2A77">
        <w:trPr>
          <w:tblCellSpacing w:w="15" w:type="dxa"/>
        </w:trPr>
        <w:tc>
          <w:tcPr>
            <w:tcW w:w="0" w:type="auto"/>
            <w:shd w:val="clear" w:color="auto" w:fill="FFFFFF"/>
            <w:hideMark/>
          </w:tcPr>
          <w:p w14:paraId="26AD7AC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84B210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53E8DA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BCD8C3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7893BE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6CBD49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4A8D17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4F509EC" w14:textId="77777777" w:rsidTr="004B2A77">
        <w:trPr>
          <w:trHeight w:val="180"/>
          <w:tblCellSpacing w:w="15" w:type="dxa"/>
        </w:trPr>
        <w:tc>
          <w:tcPr>
            <w:tcW w:w="0" w:type="auto"/>
            <w:shd w:val="clear" w:color="auto" w:fill="CCECFF"/>
            <w:hideMark/>
          </w:tcPr>
          <w:p w14:paraId="20327C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Philippines</w:t>
            </w:r>
          </w:p>
        </w:tc>
        <w:tc>
          <w:tcPr>
            <w:tcW w:w="0" w:type="auto"/>
            <w:shd w:val="clear" w:color="auto" w:fill="CCECFF"/>
            <w:vAlign w:val="bottom"/>
            <w:hideMark/>
          </w:tcPr>
          <w:p w14:paraId="4BD829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EC7CF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12668B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30E81E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5E9B59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8BFE6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49703B3" w14:textId="77777777" w:rsidTr="004B2A77">
        <w:trPr>
          <w:trHeight w:val="180"/>
          <w:tblCellSpacing w:w="15" w:type="dxa"/>
        </w:trPr>
        <w:tc>
          <w:tcPr>
            <w:tcW w:w="0" w:type="auto"/>
            <w:shd w:val="clear" w:color="auto" w:fill="FFFFFF"/>
            <w:hideMark/>
          </w:tcPr>
          <w:p w14:paraId="078A8C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Cebu Safety Manufacturing, Inc.</w:t>
            </w:r>
          </w:p>
        </w:tc>
        <w:tc>
          <w:tcPr>
            <w:tcW w:w="0" w:type="auto"/>
            <w:shd w:val="clear" w:color="auto" w:fill="FFFFFF"/>
            <w:vAlign w:val="bottom"/>
            <w:hideMark/>
          </w:tcPr>
          <w:p w14:paraId="694C88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82C0F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Cebu</w:t>
            </w:r>
          </w:p>
        </w:tc>
        <w:tc>
          <w:tcPr>
            <w:tcW w:w="0" w:type="auto"/>
            <w:shd w:val="clear" w:color="auto" w:fill="FFFFFF"/>
            <w:vAlign w:val="bottom"/>
            <w:hideMark/>
          </w:tcPr>
          <w:p w14:paraId="0D59CE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95A8E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320C36B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99B444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6F62964" w14:textId="77777777" w:rsidTr="004B2A77">
        <w:trPr>
          <w:tblCellSpacing w:w="15" w:type="dxa"/>
        </w:trPr>
        <w:tc>
          <w:tcPr>
            <w:tcW w:w="0" w:type="auto"/>
            <w:shd w:val="clear" w:color="auto" w:fill="FFFFFF"/>
            <w:hideMark/>
          </w:tcPr>
          <w:p w14:paraId="6075D4C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371902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56B4975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91EB6A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5A51FA8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60539C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61856EBD"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F215C88" w14:textId="77777777" w:rsidTr="004B2A77">
        <w:trPr>
          <w:trHeight w:val="180"/>
          <w:tblCellSpacing w:w="15" w:type="dxa"/>
        </w:trPr>
        <w:tc>
          <w:tcPr>
            <w:tcW w:w="0" w:type="auto"/>
            <w:shd w:val="clear" w:color="auto" w:fill="CCECFF"/>
            <w:hideMark/>
          </w:tcPr>
          <w:p w14:paraId="3C9ECE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Poland</w:t>
            </w:r>
          </w:p>
        </w:tc>
        <w:tc>
          <w:tcPr>
            <w:tcW w:w="0" w:type="auto"/>
            <w:shd w:val="clear" w:color="auto" w:fill="CCECFF"/>
            <w:vAlign w:val="bottom"/>
            <w:hideMark/>
          </w:tcPr>
          <w:p w14:paraId="335C31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72DCBAC0"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18F55F26"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184FF0F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4DDC54D3"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18AF10BA"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393616A3" w14:textId="77777777" w:rsidTr="004B2A77">
        <w:trPr>
          <w:trHeight w:val="180"/>
          <w:tblCellSpacing w:w="15" w:type="dxa"/>
        </w:trPr>
        <w:tc>
          <w:tcPr>
            <w:tcW w:w="0" w:type="auto"/>
            <w:shd w:val="clear" w:color="auto" w:fill="FFFFFF"/>
            <w:hideMark/>
          </w:tcPr>
          <w:p w14:paraId="0DE780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Poland Sp. zo.o.</w:t>
            </w:r>
          </w:p>
        </w:tc>
        <w:tc>
          <w:tcPr>
            <w:tcW w:w="0" w:type="auto"/>
            <w:shd w:val="clear" w:color="auto" w:fill="FFFFFF"/>
            <w:vAlign w:val="bottom"/>
            <w:hideMark/>
          </w:tcPr>
          <w:p w14:paraId="053130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B2A49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Olawa</w:t>
            </w:r>
          </w:p>
        </w:tc>
        <w:tc>
          <w:tcPr>
            <w:tcW w:w="0" w:type="auto"/>
            <w:shd w:val="clear" w:color="auto" w:fill="FFFFFF"/>
            <w:vAlign w:val="bottom"/>
            <w:hideMark/>
          </w:tcPr>
          <w:p w14:paraId="3046CE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768BA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cushions</w:t>
            </w:r>
          </w:p>
        </w:tc>
        <w:tc>
          <w:tcPr>
            <w:tcW w:w="0" w:type="auto"/>
            <w:shd w:val="clear" w:color="auto" w:fill="FFFFFF"/>
            <w:vAlign w:val="bottom"/>
            <w:hideMark/>
          </w:tcPr>
          <w:p w14:paraId="77BE26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4EA3D1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8B9532D" w14:textId="77777777" w:rsidTr="004B2A77">
        <w:trPr>
          <w:trHeight w:val="180"/>
          <w:tblCellSpacing w:w="15" w:type="dxa"/>
        </w:trPr>
        <w:tc>
          <w:tcPr>
            <w:tcW w:w="0" w:type="auto"/>
            <w:shd w:val="clear" w:color="auto" w:fill="FFFFFF"/>
            <w:hideMark/>
          </w:tcPr>
          <w:p w14:paraId="6B0F340B"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414C791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2DCF35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Jelcz-Laskowice</w:t>
            </w:r>
          </w:p>
        </w:tc>
        <w:tc>
          <w:tcPr>
            <w:tcW w:w="0" w:type="auto"/>
            <w:shd w:val="clear" w:color="auto" w:fill="FFFFFF"/>
            <w:vAlign w:val="bottom"/>
            <w:hideMark/>
          </w:tcPr>
          <w:p w14:paraId="014E46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2FBC2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7F5827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3ECA66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90675FC" w14:textId="77777777" w:rsidTr="004B2A77">
        <w:trPr>
          <w:tblCellSpacing w:w="15" w:type="dxa"/>
        </w:trPr>
        <w:tc>
          <w:tcPr>
            <w:tcW w:w="0" w:type="auto"/>
            <w:shd w:val="clear" w:color="auto" w:fill="FFFFFF"/>
            <w:hideMark/>
          </w:tcPr>
          <w:p w14:paraId="58B8CC5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4854F5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941E65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02D9B3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0A8C5D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5BA33F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2368DD81"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9574747" w14:textId="77777777" w:rsidTr="004B2A77">
        <w:trPr>
          <w:trHeight w:val="180"/>
          <w:tblCellSpacing w:w="15" w:type="dxa"/>
        </w:trPr>
        <w:tc>
          <w:tcPr>
            <w:tcW w:w="0" w:type="auto"/>
            <w:shd w:val="clear" w:color="auto" w:fill="CCECFF"/>
            <w:hideMark/>
          </w:tcPr>
          <w:p w14:paraId="57E8E9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lastRenderedPageBreak/>
              <w:t>Romania</w:t>
            </w:r>
          </w:p>
        </w:tc>
        <w:tc>
          <w:tcPr>
            <w:tcW w:w="0" w:type="auto"/>
            <w:shd w:val="clear" w:color="auto" w:fill="CCECFF"/>
            <w:vAlign w:val="bottom"/>
            <w:hideMark/>
          </w:tcPr>
          <w:p w14:paraId="1D40E9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5E52FD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0D21B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768F3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605DB5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60001F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25B4845" w14:textId="77777777" w:rsidTr="004B2A77">
        <w:trPr>
          <w:trHeight w:val="180"/>
          <w:tblCellSpacing w:w="15" w:type="dxa"/>
        </w:trPr>
        <w:tc>
          <w:tcPr>
            <w:tcW w:w="0" w:type="auto"/>
            <w:shd w:val="clear" w:color="auto" w:fill="FFFFFF"/>
            <w:hideMark/>
          </w:tcPr>
          <w:p w14:paraId="345648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Romania S.R.L.</w:t>
            </w:r>
          </w:p>
        </w:tc>
        <w:tc>
          <w:tcPr>
            <w:tcW w:w="0" w:type="auto"/>
            <w:shd w:val="clear" w:color="auto" w:fill="FFFFFF"/>
            <w:vAlign w:val="bottom"/>
            <w:hideMark/>
          </w:tcPr>
          <w:p w14:paraId="6D2D40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C112E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Brasov</w:t>
            </w:r>
          </w:p>
        </w:tc>
        <w:tc>
          <w:tcPr>
            <w:tcW w:w="0" w:type="auto"/>
            <w:shd w:val="clear" w:color="auto" w:fill="FFFFFF"/>
            <w:vAlign w:val="bottom"/>
            <w:hideMark/>
          </w:tcPr>
          <w:p w14:paraId="3A2136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741A8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seatbelt webbing, seatbelt components, airbag inflators, steering wheels</w:t>
            </w:r>
          </w:p>
        </w:tc>
        <w:tc>
          <w:tcPr>
            <w:tcW w:w="0" w:type="auto"/>
            <w:shd w:val="clear" w:color="auto" w:fill="FFFFFF"/>
            <w:vAlign w:val="bottom"/>
            <w:hideMark/>
          </w:tcPr>
          <w:p w14:paraId="1CF974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9007A2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23FCD435" w14:textId="77777777" w:rsidTr="004B2A77">
        <w:trPr>
          <w:trHeight w:val="180"/>
          <w:tblCellSpacing w:w="15" w:type="dxa"/>
        </w:trPr>
        <w:tc>
          <w:tcPr>
            <w:tcW w:w="0" w:type="auto"/>
            <w:shd w:val="clear" w:color="auto" w:fill="FFFFFF"/>
            <w:hideMark/>
          </w:tcPr>
          <w:p w14:paraId="52F03C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550FE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F4D48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Lugoj</w:t>
            </w:r>
          </w:p>
        </w:tc>
        <w:tc>
          <w:tcPr>
            <w:tcW w:w="0" w:type="auto"/>
            <w:shd w:val="clear" w:color="auto" w:fill="FFFFFF"/>
            <w:vAlign w:val="bottom"/>
            <w:hideMark/>
          </w:tcPr>
          <w:p w14:paraId="02DDCB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1D43A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cushions</w:t>
            </w:r>
          </w:p>
        </w:tc>
        <w:tc>
          <w:tcPr>
            <w:tcW w:w="0" w:type="auto"/>
            <w:shd w:val="clear" w:color="auto" w:fill="FFFFFF"/>
            <w:vAlign w:val="bottom"/>
            <w:hideMark/>
          </w:tcPr>
          <w:p w14:paraId="15DF98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DF9674D"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EF8F6AE" w14:textId="77777777" w:rsidTr="004B2A77">
        <w:trPr>
          <w:trHeight w:val="180"/>
          <w:tblCellSpacing w:w="15" w:type="dxa"/>
        </w:trPr>
        <w:tc>
          <w:tcPr>
            <w:tcW w:w="0" w:type="auto"/>
            <w:shd w:val="clear" w:color="auto" w:fill="FFFFFF"/>
            <w:hideMark/>
          </w:tcPr>
          <w:p w14:paraId="3565C9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D0046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E9654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Resita</w:t>
            </w:r>
          </w:p>
        </w:tc>
        <w:tc>
          <w:tcPr>
            <w:tcW w:w="0" w:type="auto"/>
            <w:shd w:val="clear" w:color="auto" w:fill="FFFFFF"/>
            <w:vAlign w:val="bottom"/>
            <w:hideMark/>
          </w:tcPr>
          <w:p w14:paraId="582B691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46AFC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cushions</w:t>
            </w:r>
          </w:p>
        </w:tc>
        <w:tc>
          <w:tcPr>
            <w:tcW w:w="0" w:type="auto"/>
            <w:shd w:val="clear" w:color="auto" w:fill="FFFFFF"/>
            <w:vAlign w:val="bottom"/>
            <w:hideMark/>
          </w:tcPr>
          <w:p w14:paraId="677245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5E7F6EF"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6B8DF1F3" w14:textId="77777777" w:rsidTr="004B2A77">
        <w:trPr>
          <w:trHeight w:val="180"/>
          <w:tblCellSpacing w:w="15" w:type="dxa"/>
        </w:trPr>
        <w:tc>
          <w:tcPr>
            <w:tcW w:w="0" w:type="auto"/>
            <w:shd w:val="clear" w:color="auto" w:fill="FFFFFF"/>
            <w:hideMark/>
          </w:tcPr>
          <w:p w14:paraId="401C52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99496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46206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Sfantu Georghe</w:t>
            </w:r>
          </w:p>
        </w:tc>
        <w:tc>
          <w:tcPr>
            <w:tcW w:w="0" w:type="auto"/>
            <w:shd w:val="clear" w:color="auto" w:fill="FFFFFF"/>
            <w:vAlign w:val="bottom"/>
            <w:hideMark/>
          </w:tcPr>
          <w:p w14:paraId="6F96DE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9F318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4E0FBB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CA1859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F107EE1" w14:textId="77777777" w:rsidTr="004B2A77">
        <w:trPr>
          <w:trHeight w:val="180"/>
          <w:tblCellSpacing w:w="15" w:type="dxa"/>
        </w:trPr>
        <w:tc>
          <w:tcPr>
            <w:tcW w:w="0" w:type="auto"/>
            <w:shd w:val="clear" w:color="auto" w:fill="FFFFFF"/>
            <w:hideMark/>
          </w:tcPr>
          <w:p w14:paraId="3F87F528"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5DD4DF5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4A89D8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Onesti</w:t>
            </w:r>
          </w:p>
        </w:tc>
        <w:tc>
          <w:tcPr>
            <w:tcW w:w="0" w:type="auto"/>
            <w:shd w:val="clear" w:color="auto" w:fill="FFFFFF"/>
            <w:vAlign w:val="bottom"/>
            <w:hideMark/>
          </w:tcPr>
          <w:p w14:paraId="255072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A4DC2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34324B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891DE7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5AD657EF" w14:textId="77777777" w:rsidTr="004B2A77">
        <w:trPr>
          <w:trHeight w:val="180"/>
          <w:tblCellSpacing w:w="15" w:type="dxa"/>
        </w:trPr>
        <w:tc>
          <w:tcPr>
            <w:tcW w:w="0" w:type="auto"/>
            <w:shd w:val="clear" w:color="auto" w:fill="FFFFFF"/>
            <w:hideMark/>
          </w:tcPr>
          <w:p w14:paraId="16E05D0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385E70FF"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1A21C6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Rovinari</w:t>
            </w:r>
          </w:p>
        </w:tc>
        <w:tc>
          <w:tcPr>
            <w:tcW w:w="0" w:type="auto"/>
            <w:shd w:val="clear" w:color="auto" w:fill="FFFFFF"/>
            <w:vAlign w:val="bottom"/>
            <w:hideMark/>
          </w:tcPr>
          <w:p w14:paraId="1CB970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115C4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w:t>
            </w:r>
          </w:p>
        </w:tc>
        <w:tc>
          <w:tcPr>
            <w:tcW w:w="0" w:type="auto"/>
            <w:shd w:val="clear" w:color="auto" w:fill="FFFFFF"/>
            <w:vAlign w:val="bottom"/>
            <w:hideMark/>
          </w:tcPr>
          <w:p w14:paraId="0B1ECD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7B2A0F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05D4056" w14:textId="77777777" w:rsidTr="004B2A77">
        <w:trPr>
          <w:tblCellSpacing w:w="15" w:type="dxa"/>
        </w:trPr>
        <w:tc>
          <w:tcPr>
            <w:tcW w:w="0" w:type="auto"/>
            <w:shd w:val="clear" w:color="auto" w:fill="FFFFFF"/>
            <w:vAlign w:val="bottom"/>
            <w:hideMark/>
          </w:tcPr>
          <w:p w14:paraId="6BF83FB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DB246A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B4D141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70787C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6F0883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4A6F5F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437810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A822BCE" w14:textId="77777777" w:rsidTr="004B2A77">
        <w:trPr>
          <w:trHeight w:val="180"/>
          <w:tblCellSpacing w:w="15" w:type="dxa"/>
        </w:trPr>
        <w:tc>
          <w:tcPr>
            <w:tcW w:w="0" w:type="auto"/>
            <w:shd w:val="clear" w:color="auto" w:fill="CCECFF"/>
            <w:hideMark/>
          </w:tcPr>
          <w:p w14:paraId="1479DA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Russia</w:t>
            </w:r>
          </w:p>
        </w:tc>
        <w:tc>
          <w:tcPr>
            <w:tcW w:w="0" w:type="auto"/>
            <w:shd w:val="clear" w:color="auto" w:fill="CCECFF"/>
            <w:vAlign w:val="bottom"/>
            <w:hideMark/>
          </w:tcPr>
          <w:p w14:paraId="21BEDC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20CB8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2D0506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4D93B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CDA9C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9A06C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8B94D2C" w14:textId="77777777" w:rsidTr="004B2A77">
        <w:trPr>
          <w:trHeight w:val="180"/>
          <w:tblCellSpacing w:w="15" w:type="dxa"/>
        </w:trPr>
        <w:tc>
          <w:tcPr>
            <w:tcW w:w="0" w:type="auto"/>
            <w:shd w:val="clear" w:color="auto" w:fill="FFFFFF"/>
            <w:hideMark/>
          </w:tcPr>
          <w:p w14:paraId="4ED76E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OOO Autoliv</w:t>
            </w:r>
          </w:p>
        </w:tc>
        <w:tc>
          <w:tcPr>
            <w:tcW w:w="0" w:type="auto"/>
            <w:shd w:val="clear" w:color="auto" w:fill="FFFFFF"/>
            <w:vAlign w:val="bottom"/>
            <w:hideMark/>
          </w:tcPr>
          <w:p w14:paraId="39B252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90D71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Togliatti</w:t>
            </w:r>
          </w:p>
        </w:tc>
        <w:tc>
          <w:tcPr>
            <w:tcW w:w="0" w:type="auto"/>
            <w:shd w:val="clear" w:color="auto" w:fill="FFFFFF"/>
            <w:vAlign w:val="bottom"/>
            <w:hideMark/>
          </w:tcPr>
          <w:p w14:paraId="63CB07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EE866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seatbelts and steering wheels</w:t>
            </w:r>
          </w:p>
        </w:tc>
        <w:tc>
          <w:tcPr>
            <w:tcW w:w="0" w:type="auto"/>
            <w:shd w:val="clear" w:color="auto" w:fill="FFFFFF"/>
            <w:vAlign w:val="bottom"/>
            <w:hideMark/>
          </w:tcPr>
          <w:p w14:paraId="34BA5C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C879703"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45FF0EE3" w14:textId="77777777" w:rsidTr="004B2A77">
        <w:trPr>
          <w:tblCellSpacing w:w="15" w:type="dxa"/>
        </w:trPr>
        <w:tc>
          <w:tcPr>
            <w:tcW w:w="0" w:type="auto"/>
            <w:shd w:val="clear" w:color="auto" w:fill="FFFFFF"/>
            <w:hideMark/>
          </w:tcPr>
          <w:p w14:paraId="67D246D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8F5306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14EA80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190C86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A6498D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0485B4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2E1A83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2561930" w14:textId="77777777" w:rsidTr="004B2A77">
        <w:trPr>
          <w:trHeight w:val="180"/>
          <w:tblCellSpacing w:w="15" w:type="dxa"/>
        </w:trPr>
        <w:tc>
          <w:tcPr>
            <w:tcW w:w="0" w:type="auto"/>
            <w:shd w:val="clear" w:color="auto" w:fill="CCECFF"/>
            <w:hideMark/>
          </w:tcPr>
          <w:p w14:paraId="64EAEA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South Africa</w:t>
            </w:r>
          </w:p>
        </w:tc>
        <w:tc>
          <w:tcPr>
            <w:tcW w:w="0" w:type="auto"/>
            <w:shd w:val="clear" w:color="auto" w:fill="CCECFF"/>
            <w:vAlign w:val="bottom"/>
            <w:hideMark/>
          </w:tcPr>
          <w:p w14:paraId="232717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2DBC1C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24ACA5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E5F91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36020D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19D8EF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F872F81" w14:textId="77777777" w:rsidTr="004B2A77">
        <w:trPr>
          <w:trHeight w:val="180"/>
          <w:tblCellSpacing w:w="15" w:type="dxa"/>
        </w:trPr>
        <w:tc>
          <w:tcPr>
            <w:tcW w:w="0" w:type="auto"/>
            <w:shd w:val="clear" w:color="auto" w:fill="FFFFFF"/>
            <w:hideMark/>
          </w:tcPr>
          <w:p w14:paraId="2C110A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Southern Africa (Pty) Ltd.</w:t>
            </w:r>
          </w:p>
        </w:tc>
        <w:tc>
          <w:tcPr>
            <w:tcW w:w="0" w:type="auto"/>
            <w:shd w:val="clear" w:color="auto" w:fill="FFFFFF"/>
            <w:vAlign w:val="bottom"/>
            <w:hideMark/>
          </w:tcPr>
          <w:p w14:paraId="24D71A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B2398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Krügersdorp</w:t>
            </w:r>
          </w:p>
        </w:tc>
        <w:tc>
          <w:tcPr>
            <w:tcW w:w="0" w:type="auto"/>
            <w:shd w:val="clear" w:color="auto" w:fill="FFFFFF"/>
            <w:vAlign w:val="bottom"/>
            <w:hideMark/>
          </w:tcPr>
          <w:p w14:paraId="4FB16A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45AC6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and airbags</w:t>
            </w:r>
          </w:p>
        </w:tc>
        <w:tc>
          <w:tcPr>
            <w:tcW w:w="0" w:type="auto"/>
            <w:shd w:val="clear" w:color="auto" w:fill="FFFFFF"/>
            <w:vAlign w:val="bottom"/>
            <w:hideMark/>
          </w:tcPr>
          <w:p w14:paraId="098AD8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E9EDCBE"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68DB2ABF" w14:textId="77777777" w:rsidTr="004B2A77">
        <w:trPr>
          <w:tblCellSpacing w:w="15" w:type="dxa"/>
        </w:trPr>
        <w:tc>
          <w:tcPr>
            <w:tcW w:w="0" w:type="auto"/>
            <w:shd w:val="clear" w:color="auto" w:fill="FFFFFF"/>
            <w:hideMark/>
          </w:tcPr>
          <w:p w14:paraId="2036307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9EE45C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4F8E45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B5D157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D0DDFC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84EDC3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463EF2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E15B37B" w14:textId="77777777" w:rsidTr="004B2A77">
        <w:trPr>
          <w:trHeight w:val="180"/>
          <w:tblCellSpacing w:w="15" w:type="dxa"/>
        </w:trPr>
        <w:tc>
          <w:tcPr>
            <w:tcW w:w="0" w:type="auto"/>
            <w:shd w:val="clear" w:color="auto" w:fill="CCECFF"/>
            <w:hideMark/>
          </w:tcPr>
          <w:p w14:paraId="3B03D1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South Korea</w:t>
            </w:r>
          </w:p>
        </w:tc>
        <w:tc>
          <w:tcPr>
            <w:tcW w:w="0" w:type="auto"/>
            <w:shd w:val="clear" w:color="auto" w:fill="CCECFF"/>
            <w:vAlign w:val="bottom"/>
            <w:hideMark/>
          </w:tcPr>
          <w:p w14:paraId="1C826B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52666528"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3D439F8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664CACE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2691FB1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495ADE79"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23B97E03" w14:textId="77777777" w:rsidTr="004B2A77">
        <w:trPr>
          <w:trHeight w:val="180"/>
          <w:tblCellSpacing w:w="15" w:type="dxa"/>
        </w:trPr>
        <w:tc>
          <w:tcPr>
            <w:tcW w:w="0" w:type="auto"/>
            <w:shd w:val="clear" w:color="auto" w:fill="FFFFFF"/>
            <w:hideMark/>
          </w:tcPr>
          <w:p w14:paraId="619342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Corporation</w:t>
            </w:r>
          </w:p>
        </w:tc>
        <w:tc>
          <w:tcPr>
            <w:tcW w:w="0" w:type="auto"/>
            <w:shd w:val="clear" w:color="auto" w:fill="FFFFFF"/>
            <w:vAlign w:val="bottom"/>
            <w:hideMark/>
          </w:tcPr>
          <w:p w14:paraId="6961D0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87EB4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Hwasung</w:t>
            </w:r>
          </w:p>
        </w:tc>
        <w:tc>
          <w:tcPr>
            <w:tcW w:w="0" w:type="auto"/>
            <w:shd w:val="clear" w:color="auto" w:fill="FFFFFF"/>
            <w:vAlign w:val="bottom"/>
            <w:hideMark/>
          </w:tcPr>
          <w:p w14:paraId="5FDD05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D223C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6582B9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317D0FE"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EACB626" w14:textId="77777777" w:rsidTr="004B2A77">
        <w:trPr>
          <w:tblCellSpacing w:w="15" w:type="dxa"/>
        </w:trPr>
        <w:tc>
          <w:tcPr>
            <w:tcW w:w="0" w:type="auto"/>
            <w:shd w:val="clear" w:color="auto" w:fill="FFFFFF"/>
            <w:hideMark/>
          </w:tcPr>
          <w:p w14:paraId="1E23F57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48D58F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D9A90B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DAE6A9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373AE4F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96F8D1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78544C8"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F0DD660" w14:textId="77777777" w:rsidTr="004B2A77">
        <w:trPr>
          <w:trHeight w:val="180"/>
          <w:tblCellSpacing w:w="15" w:type="dxa"/>
        </w:trPr>
        <w:tc>
          <w:tcPr>
            <w:tcW w:w="0" w:type="auto"/>
            <w:shd w:val="clear" w:color="auto" w:fill="CCECFF"/>
            <w:hideMark/>
          </w:tcPr>
          <w:p w14:paraId="52D4B5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Spain</w:t>
            </w:r>
          </w:p>
        </w:tc>
        <w:tc>
          <w:tcPr>
            <w:tcW w:w="0" w:type="auto"/>
            <w:shd w:val="clear" w:color="auto" w:fill="CCECFF"/>
            <w:vAlign w:val="bottom"/>
            <w:hideMark/>
          </w:tcPr>
          <w:p w14:paraId="4548DB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729BEE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378E944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73DACC7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2BE1FFC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181EC239"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26205E1C" w14:textId="77777777" w:rsidTr="004B2A77">
        <w:trPr>
          <w:trHeight w:val="180"/>
          <w:tblCellSpacing w:w="15" w:type="dxa"/>
        </w:trPr>
        <w:tc>
          <w:tcPr>
            <w:tcW w:w="0" w:type="auto"/>
            <w:shd w:val="clear" w:color="auto" w:fill="FFFFFF"/>
            <w:hideMark/>
          </w:tcPr>
          <w:p w14:paraId="00E620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BKI S.A.U.</w:t>
            </w:r>
          </w:p>
        </w:tc>
        <w:tc>
          <w:tcPr>
            <w:tcW w:w="0" w:type="auto"/>
            <w:shd w:val="clear" w:color="auto" w:fill="FFFFFF"/>
            <w:vAlign w:val="bottom"/>
            <w:hideMark/>
          </w:tcPr>
          <w:p w14:paraId="177E8E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D38AE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Valencia</w:t>
            </w:r>
          </w:p>
        </w:tc>
        <w:tc>
          <w:tcPr>
            <w:tcW w:w="0" w:type="auto"/>
            <w:shd w:val="clear" w:color="auto" w:fill="FFFFFF"/>
            <w:vAlign w:val="bottom"/>
            <w:hideMark/>
          </w:tcPr>
          <w:p w14:paraId="327C15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D44DC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35C358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225FB2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62F09D3E" w14:textId="77777777" w:rsidTr="004B2A77">
        <w:trPr>
          <w:tblCellSpacing w:w="15" w:type="dxa"/>
        </w:trPr>
        <w:tc>
          <w:tcPr>
            <w:tcW w:w="0" w:type="auto"/>
            <w:shd w:val="clear" w:color="auto" w:fill="FFFFFF"/>
            <w:hideMark/>
          </w:tcPr>
          <w:p w14:paraId="42C71D5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BBD127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F79DE6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15615C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E8E062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98FBD7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3A65801D"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AF6CFF7" w14:textId="77777777" w:rsidTr="004B2A77">
        <w:trPr>
          <w:trHeight w:val="180"/>
          <w:tblCellSpacing w:w="15" w:type="dxa"/>
        </w:trPr>
        <w:tc>
          <w:tcPr>
            <w:tcW w:w="0" w:type="auto"/>
            <w:shd w:val="clear" w:color="auto" w:fill="CCECFF"/>
            <w:hideMark/>
          </w:tcPr>
          <w:p w14:paraId="43CD43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Sweden</w:t>
            </w:r>
          </w:p>
        </w:tc>
        <w:tc>
          <w:tcPr>
            <w:tcW w:w="0" w:type="auto"/>
            <w:shd w:val="clear" w:color="auto" w:fill="CCECFF"/>
            <w:vAlign w:val="bottom"/>
            <w:hideMark/>
          </w:tcPr>
          <w:p w14:paraId="3490D51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334B5E4C"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6D6D5103"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15C9E4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7D46C8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F75F2F8"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4408009A" w14:textId="77777777" w:rsidTr="004B2A77">
        <w:trPr>
          <w:trHeight w:val="180"/>
          <w:tblCellSpacing w:w="15" w:type="dxa"/>
        </w:trPr>
        <w:tc>
          <w:tcPr>
            <w:tcW w:w="0" w:type="auto"/>
            <w:shd w:val="clear" w:color="auto" w:fill="FFFFFF"/>
            <w:hideMark/>
          </w:tcPr>
          <w:p w14:paraId="3994EF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Sverige AB</w:t>
            </w:r>
          </w:p>
        </w:tc>
        <w:tc>
          <w:tcPr>
            <w:tcW w:w="0" w:type="auto"/>
            <w:shd w:val="clear" w:color="auto" w:fill="FFFFFF"/>
            <w:vAlign w:val="bottom"/>
            <w:hideMark/>
          </w:tcPr>
          <w:p w14:paraId="21AA5C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FA248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Vårgårda</w:t>
            </w:r>
          </w:p>
        </w:tc>
        <w:tc>
          <w:tcPr>
            <w:tcW w:w="0" w:type="auto"/>
            <w:shd w:val="clear" w:color="auto" w:fill="FFFFFF"/>
            <w:vAlign w:val="bottom"/>
            <w:hideMark/>
          </w:tcPr>
          <w:p w14:paraId="2FB734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25B34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inflators</w:t>
            </w:r>
          </w:p>
        </w:tc>
        <w:tc>
          <w:tcPr>
            <w:tcW w:w="0" w:type="auto"/>
            <w:shd w:val="clear" w:color="auto" w:fill="FFFFFF"/>
            <w:vAlign w:val="bottom"/>
            <w:hideMark/>
          </w:tcPr>
          <w:p w14:paraId="200136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9A041C5"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1364CCDE" w14:textId="77777777" w:rsidTr="004B2A77">
        <w:trPr>
          <w:tblCellSpacing w:w="15" w:type="dxa"/>
        </w:trPr>
        <w:tc>
          <w:tcPr>
            <w:tcW w:w="0" w:type="auto"/>
            <w:shd w:val="clear" w:color="auto" w:fill="FFFFFF"/>
            <w:hideMark/>
          </w:tcPr>
          <w:p w14:paraId="020BEC3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E71AC6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9EFF4F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5966B4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069E1C5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AB2337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16DFBE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A68CC20" w14:textId="77777777" w:rsidTr="004B2A77">
        <w:trPr>
          <w:trHeight w:val="180"/>
          <w:tblCellSpacing w:w="15" w:type="dxa"/>
        </w:trPr>
        <w:tc>
          <w:tcPr>
            <w:tcW w:w="0" w:type="auto"/>
            <w:shd w:val="clear" w:color="auto" w:fill="CCECFF"/>
            <w:hideMark/>
          </w:tcPr>
          <w:p w14:paraId="1D142A3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Thailand</w:t>
            </w:r>
          </w:p>
        </w:tc>
        <w:tc>
          <w:tcPr>
            <w:tcW w:w="0" w:type="auto"/>
            <w:shd w:val="clear" w:color="auto" w:fill="CCECFF"/>
            <w:vAlign w:val="bottom"/>
            <w:hideMark/>
          </w:tcPr>
          <w:p w14:paraId="29A4DB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3477FFB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7A9B0C0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2929CA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435130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CB22CAE"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B1ACFA3" w14:textId="77777777" w:rsidTr="004B2A77">
        <w:trPr>
          <w:trHeight w:val="180"/>
          <w:tblCellSpacing w:w="15" w:type="dxa"/>
        </w:trPr>
        <w:tc>
          <w:tcPr>
            <w:tcW w:w="0" w:type="auto"/>
            <w:shd w:val="clear" w:color="auto" w:fill="FFFFFF"/>
            <w:hideMark/>
          </w:tcPr>
          <w:p w14:paraId="216BDB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Thailand Ltd.</w:t>
            </w:r>
          </w:p>
        </w:tc>
        <w:tc>
          <w:tcPr>
            <w:tcW w:w="0" w:type="auto"/>
            <w:shd w:val="clear" w:color="auto" w:fill="FFFFFF"/>
            <w:vAlign w:val="bottom"/>
            <w:hideMark/>
          </w:tcPr>
          <w:p w14:paraId="41C977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8F202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Chonburi</w:t>
            </w:r>
          </w:p>
        </w:tc>
        <w:tc>
          <w:tcPr>
            <w:tcW w:w="0" w:type="auto"/>
            <w:shd w:val="clear" w:color="auto" w:fill="FFFFFF"/>
            <w:vAlign w:val="bottom"/>
            <w:hideMark/>
          </w:tcPr>
          <w:p w14:paraId="275A10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54660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Airbags and Steering wheels</w:t>
            </w:r>
          </w:p>
        </w:tc>
        <w:tc>
          <w:tcPr>
            <w:tcW w:w="0" w:type="auto"/>
            <w:shd w:val="clear" w:color="auto" w:fill="FFFFFF"/>
            <w:vAlign w:val="bottom"/>
            <w:hideMark/>
          </w:tcPr>
          <w:p w14:paraId="37E39E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2539228"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4244C0A9" w14:textId="77777777" w:rsidTr="004B2A77">
        <w:trPr>
          <w:trHeight w:val="180"/>
          <w:tblCellSpacing w:w="15" w:type="dxa"/>
        </w:trPr>
        <w:tc>
          <w:tcPr>
            <w:tcW w:w="0" w:type="auto"/>
            <w:shd w:val="clear" w:color="auto" w:fill="FFFFFF"/>
            <w:hideMark/>
          </w:tcPr>
          <w:p w14:paraId="5E9C888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62E03C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E548C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Chonburi</w:t>
            </w:r>
          </w:p>
        </w:tc>
        <w:tc>
          <w:tcPr>
            <w:tcW w:w="0" w:type="auto"/>
            <w:shd w:val="clear" w:color="auto" w:fill="FFFFFF"/>
            <w:vAlign w:val="bottom"/>
            <w:hideMark/>
          </w:tcPr>
          <w:p w14:paraId="2CA905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B31F4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 components</w:t>
            </w:r>
          </w:p>
        </w:tc>
        <w:tc>
          <w:tcPr>
            <w:tcW w:w="0" w:type="auto"/>
            <w:shd w:val="clear" w:color="auto" w:fill="FFFFFF"/>
            <w:vAlign w:val="bottom"/>
            <w:hideMark/>
          </w:tcPr>
          <w:p w14:paraId="7677AC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831317F"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1F6D97F1" w14:textId="77777777" w:rsidTr="004B2A77">
        <w:trPr>
          <w:tblCellSpacing w:w="15" w:type="dxa"/>
        </w:trPr>
        <w:tc>
          <w:tcPr>
            <w:tcW w:w="0" w:type="auto"/>
            <w:shd w:val="clear" w:color="auto" w:fill="FFFFFF"/>
            <w:hideMark/>
          </w:tcPr>
          <w:p w14:paraId="629FDFF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A601F5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49FE65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55449E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DA3385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9B6631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350517C4"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68FD4D4" w14:textId="77777777" w:rsidTr="004B2A77">
        <w:trPr>
          <w:trHeight w:val="180"/>
          <w:tblCellSpacing w:w="15" w:type="dxa"/>
        </w:trPr>
        <w:tc>
          <w:tcPr>
            <w:tcW w:w="0" w:type="auto"/>
            <w:shd w:val="clear" w:color="auto" w:fill="CCECFF"/>
            <w:hideMark/>
          </w:tcPr>
          <w:p w14:paraId="4A6AB4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Tunisia</w:t>
            </w:r>
          </w:p>
        </w:tc>
        <w:tc>
          <w:tcPr>
            <w:tcW w:w="0" w:type="auto"/>
            <w:shd w:val="clear" w:color="auto" w:fill="CCECFF"/>
            <w:vAlign w:val="bottom"/>
            <w:hideMark/>
          </w:tcPr>
          <w:p w14:paraId="7AAC6AD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438B025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46E657D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0DC5AE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73BD75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464BD74F"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6A08194" w14:textId="77777777" w:rsidTr="004B2A77">
        <w:trPr>
          <w:trHeight w:val="180"/>
          <w:tblCellSpacing w:w="15" w:type="dxa"/>
        </w:trPr>
        <w:tc>
          <w:tcPr>
            <w:tcW w:w="0" w:type="auto"/>
            <w:shd w:val="clear" w:color="auto" w:fill="FFFFFF"/>
            <w:hideMark/>
          </w:tcPr>
          <w:p w14:paraId="36E4AE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 ASW3 Nadour</w:t>
            </w:r>
          </w:p>
        </w:tc>
        <w:tc>
          <w:tcPr>
            <w:tcW w:w="0" w:type="auto"/>
            <w:shd w:val="clear" w:color="auto" w:fill="FFFFFF"/>
            <w:vAlign w:val="bottom"/>
            <w:hideMark/>
          </w:tcPr>
          <w:p w14:paraId="7E1188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1B4DE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El Fahs</w:t>
            </w:r>
          </w:p>
        </w:tc>
        <w:tc>
          <w:tcPr>
            <w:tcW w:w="0" w:type="auto"/>
            <w:shd w:val="clear" w:color="auto" w:fill="FFFFFF"/>
            <w:vAlign w:val="bottom"/>
            <w:hideMark/>
          </w:tcPr>
          <w:p w14:paraId="12C652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D4924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59FD32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195B07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 &amp; Leased</w:t>
            </w:r>
          </w:p>
        </w:tc>
      </w:tr>
      <w:tr w:rsidR="004B2A77" w:rsidRPr="004B2A77" w14:paraId="32E49595" w14:textId="77777777" w:rsidTr="004B2A77">
        <w:trPr>
          <w:trHeight w:val="180"/>
          <w:tblCellSpacing w:w="15" w:type="dxa"/>
        </w:trPr>
        <w:tc>
          <w:tcPr>
            <w:tcW w:w="0" w:type="auto"/>
            <w:shd w:val="clear" w:color="auto" w:fill="FFFFFF"/>
            <w:vAlign w:val="bottom"/>
            <w:hideMark/>
          </w:tcPr>
          <w:p w14:paraId="1697E0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 ASW3 Nadour</w:t>
            </w:r>
          </w:p>
        </w:tc>
        <w:tc>
          <w:tcPr>
            <w:tcW w:w="0" w:type="auto"/>
            <w:shd w:val="clear" w:color="auto" w:fill="FFFFFF"/>
            <w:vAlign w:val="bottom"/>
            <w:hideMark/>
          </w:tcPr>
          <w:p w14:paraId="5B8327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18E7B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Nadhour</w:t>
            </w:r>
          </w:p>
        </w:tc>
        <w:tc>
          <w:tcPr>
            <w:tcW w:w="0" w:type="auto"/>
            <w:shd w:val="clear" w:color="auto" w:fill="FFFFFF"/>
            <w:vAlign w:val="bottom"/>
            <w:hideMark/>
          </w:tcPr>
          <w:p w14:paraId="62349E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7BF82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w:t>
            </w:r>
          </w:p>
        </w:tc>
        <w:tc>
          <w:tcPr>
            <w:tcW w:w="0" w:type="auto"/>
            <w:shd w:val="clear" w:color="auto" w:fill="FFFFFF"/>
            <w:vAlign w:val="bottom"/>
            <w:hideMark/>
          </w:tcPr>
          <w:p w14:paraId="290B43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039C26D"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252E93D8" w14:textId="77777777" w:rsidTr="004B2A77">
        <w:trPr>
          <w:tblCellSpacing w:w="15" w:type="dxa"/>
        </w:trPr>
        <w:tc>
          <w:tcPr>
            <w:tcW w:w="0" w:type="auto"/>
            <w:shd w:val="clear" w:color="auto" w:fill="FFFFFF"/>
            <w:hideMark/>
          </w:tcPr>
          <w:p w14:paraId="064B41A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1021A8C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655050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6AFC25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0FBFCFA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C8D6AF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684E76C0"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72599B7" w14:textId="77777777" w:rsidTr="004B2A77">
        <w:trPr>
          <w:trHeight w:val="180"/>
          <w:tblCellSpacing w:w="15" w:type="dxa"/>
        </w:trPr>
        <w:tc>
          <w:tcPr>
            <w:tcW w:w="0" w:type="auto"/>
            <w:shd w:val="clear" w:color="auto" w:fill="CCECFF"/>
            <w:hideMark/>
          </w:tcPr>
          <w:p w14:paraId="06EA95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Turkey</w:t>
            </w:r>
          </w:p>
        </w:tc>
        <w:tc>
          <w:tcPr>
            <w:tcW w:w="0" w:type="auto"/>
            <w:shd w:val="clear" w:color="auto" w:fill="CCECFF"/>
            <w:vAlign w:val="bottom"/>
            <w:hideMark/>
          </w:tcPr>
          <w:p w14:paraId="70677C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4D31B3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6CA74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FE99CE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603453C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527E02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B0F4291" w14:textId="77777777" w:rsidTr="004B2A77">
        <w:trPr>
          <w:trHeight w:val="180"/>
          <w:tblCellSpacing w:w="15" w:type="dxa"/>
        </w:trPr>
        <w:tc>
          <w:tcPr>
            <w:tcW w:w="0" w:type="auto"/>
            <w:shd w:val="clear" w:color="auto" w:fill="FFFFFF"/>
            <w:hideMark/>
          </w:tcPr>
          <w:p w14:paraId="0886CB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Cankor Otomotiv Emniyet Sistemleri Sanayi Ve Ticaret A.S.</w:t>
            </w:r>
          </w:p>
        </w:tc>
        <w:tc>
          <w:tcPr>
            <w:tcW w:w="0" w:type="auto"/>
            <w:shd w:val="clear" w:color="auto" w:fill="FFFFFF"/>
            <w:vAlign w:val="bottom"/>
            <w:hideMark/>
          </w:tcPr>
          <w:p w14:paraId="363A25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FC703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Gebze-Kocaeli</w:t>
            </w:r>
          </w:p>
        </w:tc>
        <w:tc>
          <w:tcPr>
            <w:tcW w:w="0" w:type="auto"/>
            <w:shd w:val="clear" w:color="auto" w:fill="FFFFFF"/>
            <w:vAlign w:val="bottom"/>
            <w:hideMark/>
          </w:tcPr>
          <w:p w14:paraId="40D779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559D7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w:t>
            </w:r>
          </w:p>
        </w:tc>
        <w:tc>
          <w:tcPr>
            <w:tcW w:w="0" w:type="auto"/>
            <w:shd w:val="clear" w:color="auto" w:fill="FFFFFF"/>
            <w:vAlign w:val="bottom"/>
            <w:hideMark/>
          </w:tcPr>
          <w:p w14:paraId="02BAF2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8F71C8D"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3111A4D5" w14:textId="77777777" w:rsidTr="004B2A77">
        <w:trPr>
          <w:trHeight w:val="180"/>
          <w:tblCellSpacing w:w="15" w:type="dxa"/>
        </w:trPr>
        <w:tc>
          <w:tcPr>
            <w:tcW w:w="0" w:type="auto"/>
            <w:shd w:val="clear" w:color="auto" w:fill="FFFFFF"/>
            <w:hideMark/>
          </w:tcPr>
          <w:p w14:paraId="33796A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Cankor Otomotiv Emniyet Sistemleri Sanayi Ve Ticaret A.S. Gebze-Subesi</w:t>
            </w:r>
          </w:p>
        </w:tc>
        <w:tc>
          <w:tcPr>
            <w:tcW w:w="0" w:type="auto"/>
            <w:shd w:val="clear" w:color="auto" w:fill="FFFFFF"/>
            <w:vAlign w:val="bottom"/>
            <w:hideMark/>
          </w:tcPr>
          <w:p w14:paraId="53E54E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F0575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Gebze-Kocaeli</w:t>
            </w:r>
          </w:p>
        </w:tc>
        <w:tc>
          <w:tcPr>
            <w:tcW w:w="0" w:type="auto"/>
            <w:shd w:val="clear" w:color="auto" w:fill="FFFFFF"/>
            <w:vAlign w:val="bottom"/>
            <w:hideMark/>
          </w:tcPr>
          <w:p w14:paraId="2F8391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56F0F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Steering wheels and Seatbelt components</w:t>
            </w:r>
          </w:p>
        </w:tc>
        <w:tc>
          <w:tcPr>
            <w:tcW w:w="0" w:type="auto"/>
            <w:shd w:val="clear" w:color="auto" w:fill="FFFFFF"/>
            <w:vAlign w:val="bottom"/>
            <w:hideMark/>
          </w:tcPr>
          <w:p w14:paraId="70BC8D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C97A7E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651A753E" w14:textId="77777777" w:rsidTr="004B2A77">
        <w:trPr>
          <w:tblCellSpacing w:w="15" w:type="dxa"/>
        </w:trPr>
        <w:tc>
          <w:tcPr>
            <w:tcW w:w="0" w:type="auto"/>
            <w:shd w:val="clear" w:color="auto" w:fill="FFFFFF"/>
            <w:hideMark/>
          </w:tcPr>
          <w:p w14:paraId="0CED5DA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092E236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A10596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04235A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3711503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2E3E197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F644792"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B9A368D" w14:textId="77777777" w:rsidTr="004B2A77">
        <w:trPr>
          <w:trHeight w:val="180"/>
          <w:tblCellSpacing w:w="15" w:type="dxa"/>
        </w:trPr>
        <w:tc>
          <w:tcPr>
            <w:tcW w:w="0" w:type="auto"/>
            <w:shd w:val="clear" w:color="auto" w:fill="CCECFF"/>
            <w:hideMark/>
          </w:tcPr>
          <w:p w14:paraId="4310B7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United Kingdom</w:t>
            </w:r>
          </w:p>
        </w:tc>
        <w:tc>
          <w:tcPr>
            <w:tcW w:w="0" w:type="auto"/>
            <w:shd w:val="clear" w:color="auto" w:fill="CCECFF"/>
            <w:vAlign w:val="bottom"/>
            <w:hideMark/>
          </w:tcPr>
          <w:p w14:paraId="734DF3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108F13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5BFE5E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4880DCD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12A41CB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3CEE4357" w14:textId="77777777" w:rsidR="004B2A77" w:rsidRPr="004B2A77" w:rsidRDefault="004B2A77" w:rsidP="004B2A77">
            <w:pPr>
              <w:widowControl/>
              <w:jc w:val="center"/>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81D08A3" w14:textId="77777777" w:rsidTr="004B2A77">
        <w:trPr>
          <w:trHeight w:val="180"/>
          <w:tblCellSpacing w:w="15" w:type="dxa"/>
        </w:trPr>
        <w:tc>
          <w:tcPr>
            <w:tcW w:w="0" w:type="auto"/>
            <w:shd w:val="clear" w:color="auto" w:fill="FFFFFF"/>
            <w:hideMark/>
          </w:tcPr>
          <w:p w14:paraId="062B7F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lastRenderedPageBreak/>
              <w:t>Airbags International Ltd</w:t>
            </w:r>
          </w:p>
        </w:tc>
        <w:tc>
          <w:tcPr>
            <w:tcW w:w="0" w:type="auto"/>
            <w:shd w:val="clear" w:color="auto" w:fill="FFFFFF"/>
            <w:vAlign w:val="bottom"/>
            <w:hideMark/>
          </w:tcPr>
          <w:p w14:paraId="4DD318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64F25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Congleton</w:t>
            </w:r>
          </w:p>
        </w:tc>
        <w:tc>
          <w:tcPr>
            <w:tcW w:w="0" w:type="auto"/>
            <w:shd w:val="clear" w:color="auto" w:fill="FFFFFF"/>
            <w:vAlign w:val="bottom"/>
            <w:hideMark/>
          </w:tcPr>
          <w:p w14:paraId="155624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4C6316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cushions</w:t>
            </w:r>
          </w:p>
        </w:tc>
        <w:tc>
          <w:tcPr>
            <w:tcW w:w="0" w:type="auto"/>
            <w:shd w:val="clear" w:color="auto" w:fill="FFFFFF"/>
            <w:vAlign w:val="bottom"/>
            <w:hideMark/>
          </w:tcPr>
          <w:p w14:paraId="626255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17106C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F67E7E4" w14:textId="77777777" w:rsidTr="004B2A77">
        <w:trPr>
          <w:tblCellSpacing w:w="15" w:type="dxa"/>
        </w:trPr>
        <w:tc>
          <w:tcPr>
            <w:tcW w:w="0" w:type="auto"/>
            <w:shd w:val="clear" w:color="auto" w:fill="FFFFFF"/>
            <w:hideMark/>
          </w:tcPr>
          <w:p w14:paraId="2CE105B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FA4452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6BFD813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75326F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4C09F77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56688B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39968B3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858BE7C" w14:textId="77777777" w:rsidTr="004B2A77">
        <w:trPr>
          <w:trHeight w:val="180"/>
          <w:tblCellSpacing w:w="15" w:type="dxa"/>
        </w:trPr>
        <w:tc>
          <w:tcPr>
            <w:tcW w:w="0" w:type="auto"/>
            <w:shd w:val="clear" w:color="auto" w:fill="CCECFF"/>
            <w:hideMark/>
          </w:tcPr>
          <w:p w14:paraId="3037FC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USA</w:t>
            </w:r>
          </w:p>
        </w:tc>
        <w:tc>
          <w:tcPr>
            <w:tcW w:w="0" w:type="auto"/>
            <w:shd w:val="clear" w:color="auto" w:fill="CCECFF"/>
            <w:vAlign w:val="bottom"/>
            <w:hideMark/>
          </w:tcPr>
          <w:p w14:paraId="6ECC8F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38A8391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28A3338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17FD55E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6CD65DA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76D3D9D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E538E9B" w14:textId="77777777" w:rsidTr="004B2A77">
        <w:trPr>
          <w:trHeight w:val="180"/>
          <w:tblCellSpacing w:w="15" w:type="dxa"/>
        </w:trPr>
        <w:tc>
          <w:tcPr>
            <w:tcW w:w="0" w:type="auto"/>
            <w:shd w:val="clear" w:color="auto" w:fill="FFFFFF"/>
            <w:hideMark/>
          </w:tcPr>
          <w:p w14:paraId="3F9069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ASP, Inc.</w:t>
            </w:r>
          </w:p>
        </w:tc>
        <w:tc>
          <w:tcPr>
            <w:tcW w:w="0" w:type="auto"/>
            <w:shd w:val="clear" w:color="auto" w:fill="FFFFFF"/>
            <w:vAlign w:val="bottom"/>
            <w:hideMark/>
          </w:tcPr>
          <w:p w14:paraId="222C0D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F1A0A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Brigham City</w:t>
            </w:r>
          </w:p>
        </w:tc>
        <w:tc>
          <w:tcPr>
            <w:tcW w:w="0" w:type="auto"/>
            <w:shd w:val="clear" w:color="auto" w:fill="FFFFFF"/>
            <w:vAlign w:val="bottom"/>
            <w:hideMark/>
          </w:tcPr>
          <w:p w14:paraId="751A3D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AAB30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inflators</w:t>
            </w:r>
          </w:p>
        </w:tc>
        <w:tc>
          <w:tcPr>
            <w:tcW w:w="0" w:type="auto"/>
            <w:shd w:val="clear" w:color="auto" w:fill="FFFFFF"/>
            <w:vAlign w:val="bottom"/>
            <w:hideMark/>
          </w:tcPr>
          <w:p w14:paraId="648125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986AACE"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354C9781" w14:textId="77777777" w:rsidTr="004B2A77">
        <w:trPr>
          <w:trHeight w:val="180"/>
          <w:tblCellSpacing w:w="15" w:type="dxa"/>
        </w:trPr>
        <w:tc>
          <w:tcPr>
            <w:tcW w:w="0" w:type="auto"/>
            <w:shd w:val="clear" w:color="auto" w:fill="FFFFFF"/>
            <w:hideMark/>
          </w:tcPr>
          <w:p w14:paraId="7692AE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42E9E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B881E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Ogden</w:t>
            </w:r>
          </w:p>
        </w:tc>
        <w:tc>
          <w:tcPr>
            <w:tcW w:w="0" w:type="auto"/>
            <w:shd w:val="clear" w:color="auto" w:fill="FFFFFF"/>
            <w:vAlign w:val="bottom"/>
            <w:hideMark/>
          </w:tcPr>
          <w:p w14:paraId="7019B9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5DC62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w:t>
            </w:r>
          </w:p>
        </w:tc>
        <w:tc>
          <w:tcPr>
            <w:tcW w:w="0" w:type="auto"/>
            <w:shd w:val="clear" w:color="auto" w:fill="FFFFFF"/>
            <w:vAlign w:val="bottom"/>
            <w:hideMark/>
          </w:tcPr>
          <w:p w14:paraId="12A9F6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D613575"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089E3AEB" w14:textId="77777777" w:rsidTr="004B2A77">
        <w:trPr>
          <w:trHeight w:val="180"/>
          <w:tblCellSpacing w:w="15" w:type="dxa"/>
        </w:trPr>
        <w:tc>
          <w:tcPr>
            <w:tcW w:w="0" w:type="auto"/>
            <w:shd w:val="clear" w:color="auto" w:fill="FFFFFF"/>
            <w:hideMark/>
          </w:tcPr>
          <w:p w14:paraId="565D0D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ACB6A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8B7AC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Ogden</w:t>
            </w:r>
          </w:p>
        </w:tc>
        <w:tc>
          <w:tcPr>
            <w:tcW w:w="0" w:type="auto"/>
            <w:shd w:val="clear" w:color="auto" w:fill="FFFFFF"/>
            <w:vAlign w:val="bottom"/>
            <w:hideMark/>
          </w:tcPr>
          <w:p w14:paraId="395925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BF682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service parts</w:t>
            </w:r>
          </w:p>
        </w:tc>
        <w:tc>
          <w:tcPr>
            <w:tcW w:w="0" w:type="auto"/>
            <w:shd w:val="clear" w:color="auto" w:fill="FFFFFF"/>
            <w:vAlign w:val="bottom"/>
            <w:hideMark/>
          </w:tcPr>
          <w:p w14:paraId="2AF2C3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E3B6BA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Leased</w:t>
            </w:r>
          </w:p>
        </w:tc>
      </w:tr>
      <w:tr w:rsidR="004B2A77" w:rsidRPr="004B2A77" w14:paraId="09532994" w14:textId="77777777" w:rsidTr="004B2A77">
        <w:trPr>
          <w:trHeight w:val="180"/>
          <w:tblCellSpacing w:w="15" w:type="dxa"/>
        </w:trPr>
        <w:tc>
          <w:tcPr>
            <w:tcW w:w="0" w:type="auto"/>
            <w:shd w:val="clear" w:color="auto" w:fill="FFFFFF"/>
            <w:hideMark/>
          </w:tcPr>
          <w:p w14:paraId="3946FA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31425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6FD87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Promontory</w:t>
            </w:r>
          </w:p>
        </w:tc>
        <w:tc>
          <w:tcPr>
            <w:tcW w:w="0" w:type="auto"/>
            <w:shd w:val="clear" w:color="auto" w:fill="FFFFFF"/>
            <w:vAlign w:val="bottom"/>
            <w:hideMark/>
          </w:tcPr>
          <w:p w14:paraId="27348E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6510B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Propellant</w:t>
            </w:r>
          </w:p>
        </w:tc>
        <w:tc>
          <w:tcPr>
            <w:tcW w:w="0" w:type="auto"/>
            <w:shd w:val="clear" w:color="auto" w:fill="FFFFFF"/>
            <w:vAlign w:val="bottom"/>
            <w:hideMark/>
          </w:tcPr>
          <w:p w14:paraId="0E2504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D1FD5A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r w:rsidR="004B2A77" w:rsidRPr="004B2A77" w14:paraId="5BC60A7E" w14:textId="77777777" w:rsidTr="004B2A77">
        <w:trPr>
          <w:trHeight w:val="180"/>
          <w:tblCellSpacing w:w="15" w:type="dxa"/>
        </w:trPr>
        <w:tc>
          <w:tcPr>
            <w:tcW w:w="0" w:type="auto"/>
            <w:shd w:val="clear" w:color="auto" w:fill="FFFFFF"/>
            <w:hideMark/>
          </w:tcPr>
          <w:p w14:paraId="566ECD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3BD9E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C739D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Tremonton</w:t>
            </w:r>
          </w:p>
        </w:tc>
        <w:tc>
          <w:tcPr>
            <w:tcW w:w="0" w:type="auto"/>
            <w:shd w:val="clear" w:color="auto" w:fill="FFFFFF"/>
            <w:vAlign w:val="bottom"/>
            <w:hideMark/>
          </w:tcPr>
          <w:p w14:paraId="0A720D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473A7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 initiators and seatbelt micro gas generators</w:t>
            </w:r>
          </w:p>
        </w:tc>
        <w:tc>
          <w:tcPr>
            <w:tcW w:w="0" w:type="auto"/>
            <w:shd w:val="clear" w:color="auto" w:fill="FFFFFF"/>
            <w:vAlign w:val="bottom"/>
            <w:hideMark/>
          </w:tcPr>
          <w:p w14:paraId="73FCCC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44D125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Owned</w:t>
            </w:r>
          </w:p>
        </w:tc>
      </w:tr>
    </w:tbl>
    <w:p w14:paraId="578D7105"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835A036"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25</w:t>
      </w:r>
    </w:p>
    <w:p w14:paraId="6C5017D3"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49D6929">
          <v:rect id="_x0000_i1050" style="width:0;height:1.5pt" o:hralign="center" o:hrstd="t" o:hrnoshade="t" o:hr="t" fillcolor="black" stroked="f"/>
        </w:pict>
      </w:r>
    </w:p>
    <w:p w14:paraId="57AEDC2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6A41CB8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778"/>
        <w:gridCol w:w="325"/>
        <w:gridCol w:w="3094"/>
        <w:gridCol w:w="327"/>
        <w:gridCol w:w="10090"/>
      </w:tblGrid>
      <w:tr w:rsidR="004B2A77" w:rsidRPr="004B2A77" w14:paraId="6D06D42E" w14:textId="77777777" w:rsidTr="004B2A77">
        <w:trPr>
          <w:tblCellSpacing w:w="15" w:type="dxa"/>
        </w:trPr>
        <w:tc>
          <w:tcPr>
            <w:tcW w:w="8656" w:type="dxa"/>
            <w:vAlign w:val="center"/>
            <w:hideMark/>
          </w:tcPr>
          <w:p w14:paraId="79297BFD"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73" w:type="dxa"/>
            <w:vAlign w:val="center"/>
            <w:hideMark/>
          </w:tcPr>
          <w:p w14:paraId="47868E7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864" w:type="dxa"/>
            <w:vAlign w:val="center"/>
            <w:hideMark/>
          </w:tcPr>
          <w:p w14:paraId="101491A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73" w:type="dxa"/>
            <w:vAlign w:val="center"/>
            <w:hideMark/>
          </w:tcPr>
          <w:p w14:paraId="0024510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7199" w:type="dxa"/>
            <w:vAlign w:val="center"/>
            <w:hideMark/>
          </w:tcPr>
          <w:p w14:paraId="0C45CE45"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17BC449" w14:textId="77777777" w:rsidTr="004B2A77">
        <w:trPr>
          <w:trHeight w:val="180"/>
          <w:tblCellSpacing w:w="15" w:type="dxa"/>
        </w:trPr>
        <w:tc>
          <w:tcPr>
            <w:tcW w:w="0" w:type="auto"/>
            <w:gridSpan w:val="5"/>
            <w:shd w:val="clear" w:color="auto" w:fill="FFFFFF"/>
            <w:vAlign w:val="bottom"/>
            <w:hideMark/>
          </w:tcPr>
          <w:p w14:paraId="3A06C9E2"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b/>
                <w:bCs/>
                <w:i/>
                <w:iCs/>
                <w:color w:val="000000"/>
                <w:kern w:val="0"/>
                <w:sz w:val="18"/>
                <w:szCs w:val="18"/>
              </w:rPr>
              <w:t>AUTOLIV TECHNICAL CENTERS AND CRASH TEST TRACKS</w:t>
            </w:r>
          </w:p>
        </w:tc>
      </w:tr>
      <w:tr w:rsidR="004B2A77" w:rsidRPr="004B2A77" w14:paraId="4F259503" w14:textId="77777777" w:rsidTr="004B2A77">
        <w:trPr>
          <w:tblCellSpacing w:w="15" w:type="dxa"/>
        </w:trPr>
        <w:tc>
          <w:tcPr>
            <w:tcW w:w="0" w:type="auto"/>
            <w:shd w:val="clear" w:color="auto" w:fill="FFFFFF"/>
            <w:vAlign w:val="bottom"/>
            <w:hideMark/>
          </w:tcPr>
          <w:p w14:paraId="7425EE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E3D5C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0DE8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93D8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DE7C2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2185112" w14:textId="77777777" w:rsidTr="004B2A77">
        <w:trPr>
          <w:trHeight w:val="160"/>
          <w:tblCellSpacing w:w="15" w:type="dxa"/>
        </w:trPr>
        <w:tc>
          <w:tcPr>
            <w:tcW w:w="0" w:type="auto"/>
            <w:tcBorders>
              <w:bottom w:val="single" w:sz="4" w:space="0" w:color="000000"/>
            </w:tcBorders>
            <w:shd w:val="clear" w:color="auto" w:fill="FFFFFF"/>
            <w:vAlign w:val="bottom"/>
            <w:hideMark/>
          </w:tcPr>
          <w:p w14:paraId="6FD2663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Country/Company</w:t>
            </w:r>
          </w:p>
        </w:tc>
        <w:tc>
          <w:tcPr>
            <w:tcW w:w="0" w:type="auto"/>
            <w:shd w:val="clear" w:color="auto" w:fill="FFFFFF"/>
            <w:vAlign w:val="bottom"/>
            <w:hideMark/>
          </w:tcPr>
          <w:p w14:paraId="75A8027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4972F81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Location</w:t>
            </w:r>
          </w:p>
        </w:tc>
        <w:tc>
          <w:tcPr>
            <w:tcW w:w="0" w:type="auto"/>
            <w:shd w:val="clear" w:color="auto" w:fill="FFFFFF"/>
            <w:vAlign w:val="bottom"/>
            <w:hideMark/>
          </w:tcPr>
          <w:p w14:paraId="5AA3EC4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5DAD72C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Product(s) supported</w:t>
            </w:r>
          </w:p>
        </w:tc>
      </w:tr>
      <w:tr w:rsidR="004B2A77" w:rsidRPr="004B2A77" w14:paraId="42BDBB58" w14:textId="77777777" w:rsidTr="004B2A77">
        <w:trPr>
          <w:trHeight w:val="180"/>
          <w:tblCellSpacing w:w="15" w:type="dxa"/>
        </w:trPr>
        <w:tc>
          <w:tcPr>
            <w:tcW w:w="0" w:type="auto"/>
            <w:shd w:val="clear" w:color="auto" w:fill="CCECFF"/>
            <w:hideMark/>
          </w:tcPr>
          <w:p w14:paraId="59EAFC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China</w:t>
            </w:r>
          </w:p>
        </w:tc>
        <w:tc>
          <w:tcPr>
            <w:tcW w:w="0" w:type="auto"/>
            <w:shd w:val="clear" w:color="auto" w:fill="CCECFF"/>
            <w:vAlign w:val="bottom"/>
            <w:hideMark/>
          </w:tcPr>
          <w:p w14:paraId="26D82B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4DFB44F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3B9279FF"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7D5F0E8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7F3B4503" w14:textId="77777777" w:rsidTr="004B2A77">
        <w:trPr>
          <w:trHeight w:val="180"/>
          <w:tblCellSpacing w:w="15" w:type="dxa"/>
        </w:trPr>
        <w:tc>
          <w:tcPr>
            <w:tcW w:w="0" w:type="auto"/>
            <w:shd w:val="clear" w:color="auto" w:fill="FFFFFF"/>
            <w:hideMark/>
          </w:tcPr>
          <w:p w14:paraId="03C8F8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(Shanghai) Vehicle Safety System Technical Center Co., Ltd.</w:t>
            </w:r>
          </w:p>
        </w:tc>
        <w:tc>
          <w:tcPr>
            <w:tcW w:w="0" w:type="auto"/>
            <w:shd w:val="clear" w:color="auto" w:fill="FFFFFF"/>
            <w:vAlign w:val="bottom"/>
            <w:hideMark/>
          </w:tcPr>
          <w:p w14:paraId="4FF26F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2A812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Shanghai</w:t>
            </w:r>
          </w:p>
        </w:tc>
        <w:tc>
          <w:tcPr>
            <w:tcW w:w="0" w:type="auto"/>
            <w:shd w:val="clear" w:color="auto" w:fill="FFFFFF"/>
            <w:vAlign w:val="bottom"/>
            <w:hideMark/>
          </w:tcPr>
          <w:p w14:paraId="24E78E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25F5B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Inflators and pyrotechnics customer applications, airbags, steering wheels and seatbelts customer applications and platform development with full-scale test laboratory</w:t>
            </w:r>
          </w:p>
        </w:tc>
      </w:tr>
      <w:tr w:rsidR="004B2A77" w:rsidRPr="004B2A77" w14:paraId="7389C85E" w14:textId="77777777" w:rsidTr="004B2A77">
        <w:trPr>
          <w:tblCellSpacing w:w="15" w:type="dxa"/>
        </w:trPr>
        <w:tc>
          <w:tcPr>
            <w:tcW w:w="0" w:type="auto"/>
            <w:shd w:val="clear" w:color="auto" w:fill="FFFFFF"/>
            <w:hideMark/>
          </w:tcPr>
          <w:p w14:paraId="1FD383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075C3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0E42F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CF6F1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8A4C0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BC1C44A" w14:textId="77777777" w:rsidTr="004B2A77">
        <w:trPr>
          <w:trHeight w:val="180"/>
          <w:tblCellSpacing w:w="15" w:type="dxa"/>
        </w:trPr>
        <w:tc>
          <w:tcPr>
            <w:tcW w:w="0" w:type="auto"/>
            <w:shd w:val="clear" w:color="auto" w:fill="CCECFF"/>
            <w:hideMark/>
          </w:tcPr>
          <w:p w14:paraId="07D8A5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France</w:t>
            </w:r>
          </w:p>
        </w:tc>
        <w:tc>
          <w:tcPr>
            <w:tcW w:w="0" w:type="auto"/>
            <w:shd w:val="clear" w:color="auto" w:fill="CCECFF"/>
            <w:vAlign w:val="bottom"/>
            <w:hideMark/>
          </w:tcPr>
          <w:p w14:paraId="1D53DF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35A589BB"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2AA1903E"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1327750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39F102DD" w14:textId="77777777" w:rsidTr="004B2A77">
        <w:trPr>
          <w:trHeight w:val="180"/>
          <w:tblCellSpacing w:w="15" w:type="dxa"/>
        </w:trPr>
        <w:tc>
          <w:tcPr>
            <w:tcW w:w="0" w:type="auto"/>
            <w:shd w:val="clear" w:color="auto" w:fill="FFFFFF"/>
            <w:hideMark/>
          </w:tcPr>
          <w:p w14:paraId="03944B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France SNC</w:t>
            </w:r>
          </w:p>
        </w:tc>
        <w:tc>
          <w:tcPr>
            <w:tcW w:w="0" w:type="auto"/>
            <w:shd w:val="clear" w:color="auto" w:fill="FFFFFF"/>
            <w:vAlign w:val="bottom"/>
            <w:hideMark/>
          </w:tcPr>
          <w:p w14:paraId="6B30FB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1290B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Gournay-en-Bray</w:t>
            </w:r>
          </w:p>
        </w:tc>
        <w:tc>
          <w:tcPr>
            <w:tcW w:w="0" w:type="auto"/>
            <w:shd w:val="clear" w:color="auto" w:fill="FFFFFF"/>
            <w:vAlign w:val="bottom"/>
            <w:hideMark/>
          </w:tcPr>
          <w:p w14:paraId="2EB229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3E316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seatbelts customer applications and platform development with full-scale test laboratory</w:t>
            </w:r>
          </w:p>
        </w:tc>
      </w:tr>
      <w:tr w:rsidR="004B2A77" w:rsidRPr="004B2A77" w14:paraId="3A08FBD5" w14:textId="77777777" w:rsidTr="004B2A77">
        <w:trPr>
          <w:trHeight w:val="180"/>
          <w:tblCellSpacing w:w="15" w:type="dxa"/>
        </w:trPr>
        <w:tc>
          <w:tcPr>
            <w:tcW w:w="0" w:type="auto"/>
            <w:shd w:val="clear" w:color="auto" w:fill="FFFFFF"/>
            <w:hideMark/>
          </w:tcPr>
          <w:p w14:paraId="6E07A5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Livbag SAS</w:t>
            </w:r>
          </w:p>
        </w:tc>
        <w:tc>
          <w:tcPr>
            <w:tcW w:w="0" w:type="auto"/>
            <w:shd w:val="clear" w:color="auto" w:fill="FFFFFF"/>
            <w:vAlign w:val="bottom"/>
            <w:hideMark/>
          </w:tcPr>
          <w:p w14:paraId="365DBD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5384C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Pont-de-Buis</w:t>
            </w:r>
          </w:p>
        </w:tc>
        <w:tc>
          <w:tcPr>
            <w:tcW w:w="0" w:type="auto"/>
            <w:shd w:val="clear" w:color="auto" w:fill="FFFFFF"/>
            <w:vAlign w:val="bottom"/>
            <w:hideMark/>
          </w:tcPr>
          <w:p w14:paraId="1BE603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21E28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Inflator and pyrotechnic development</w:t>
            </w:r>
          </w:p>
        </w:tc>
      </w:tr>
      <w:tr w:rsidR="004B2A77" w:rsidRPr="004B2A77" w14:paraId="33C9AD33" w14:textId="77777777" w:rsidTr="004B2A77">
        <w:trPr>
          <w:trHeight w:val="180"/>
          <w:tblCellSpacing w:w="15" w:type="dxa"/>
        </w:trPr>
        <w:tc>
          <w:tcPr>
            <w:tcW w:w="0" w:type="auto"/>
            <w:shd w:val="clear" w:color="auto" w:fill="FFFFFF"/>
            <w:hideMark/>
          </w:tcPr>
          <w:p w14:paraId="05B1EA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Isodelta SAS</w:t>
            </w:r>
          </w:p>
        </w:tc>
        <w:tc>
          <w:tcPr>
            <w:tcW w:w="0" w:type="auto"/>
            <w:shd w:val="clear" w:color="auto" w:fill="FFFFFF"/>
            <w:vAlign w:val="bottom"/>
            <w:hideMark/>
          </w:tcPr>
          <w:p w14:paraId="15776B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1540B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Chiré-de-Montreuil</w:t>
            </w:r>
          </w:p>
        </w:tc>
        <w:tc>
          <w:tcPr>
            <w:tcW w:w="0" w:type="auto"/>
            <w:shd w:val="clear" w:color="auto" w:fill="FFFFFF"/>
            <w:vAlign w:val="bottom"/>
            <w:hideMark/>
          </w:tcPr>
          <w:p w14:paraId="304165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7F02B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Steering wheels development and customer applications</w:t>
            </w:r>
          </w:p>
        </w:tc>
      </w:tr>
      <w:tr w:rsidR="004B2A77" w:rsidRPr="004B2A77" w14:paraId="24C0D991" w14:textId="77777777" w:rsidTr="004B2A77">
        <w:trPr>
          <w:tblCellSpacing w:w="15" w:type="dxa"/>
        </w:trPr>
        <w:tc>
          <w:tcPr>
            <w:tcW w:w="0" w:type="auto"/>
            <w:shd w:val="clear" w:color="auto" w:fill="FFFFFF"/>
            <w:hideMark/>
          </w:tcPr>
          <w:p w14:paraId="5B064D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BD154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8961E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21665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037B8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1CD7D6C" w14:textId="77777777" w:rsidTr="004B2A77">
        <w:trPr>
          <w:trHeight w:val="180"/>
          <w:tblCellSpacing w:w="15" w:type="dxa"/>
        </w:trPr>
        <w:tc>
          <w:tcPr>
            <w:tcW w:w="0" w:type="auto"/>
            <w:shd w:val="clear" w:color="auto" w:fill="CCECFF"/>
            <w:hideMark/>
          </w:tcPr>
          <w:p w14:paraId="15675B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Germany</w:t>
            </w:r>
          </w:p>
        </w:tc>
        <w:tc>
          <w:tcPr>
            <w:tcW w:w="0" w:type="auto"/>
            <w:shd w:val="clear" w:color="auto" w:fill="CCECFF"/>
            <w:vAlign w:val="bottom"/>
            <w:hideMark/>
          </w:tcPr>
          <w:p w14:paraId="3936D6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07CCBDA3"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5493C5DE"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441AC391"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727796F0" w14:textId="77777777" w:rsidTr="004B2A77">
        <w:trPr>
          <w:trHeight w:val="180"/>
          <w:tblCellSpacing w:w="15" w:type="dxa"/>
        </w:trPr>
        <w:tc>
          <w:tcPr>
            <w:tcW w:w="0" w:type="auto"/>
            <w:shd w:val="clear" w:color="auto" w:fill="FFFFFF"/>
            <w:hideMark/>
          </w:tcPr>
          <w:p w14:paraId="535179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B.V. &amp; Co. KG</w:t>
            </w:r>
          </w:p>
        </w:tc>
        <w:tc>
          <w:tcPr>
            <w:tcW w:w="0" w:type="auto"/>
            <w:shd w:val="clear" w:color="auto" w:fill="FFFFFF"/>
            <w:vAlign w:val="bottom"/>
            <w:hideMark/>
          </w:tcPr>
          <w:p w14:paraId="77B747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D3A55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Dachau</w:t>
            </w:r>
          </w:p>
        </w:tc>
        <w:tc>
          <w:tcPr>
            <w:tcW w:w="0" w:type="auto"/>
            <w:shd w:val="clear" w:color="auto" w:fill="FFFFFF"/>
            <w:vAlign w:val="bottom"/>
            <w:hideMark/>
          </w:tcPr>
          <w:p w14:paraId="51F442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22B0C4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Customer applications and platform development, airbags with full-scale test laboratory</w:t>
            </w:r>
          </w:p>
        </w:tc>
      </w:tr>
      <w:tr w:rsidR="004B2A77" w:rsidRPr="004B2A77" w14:paraId="7DC36532" w14:textId="77777777" w:rsidTr="004B2A77">
        <w:trPr>
          <w:trHeight w:val="180"/>
          <w:tblCellSpacing w:w="15" w:type="dxa"/>
        </w:trPr>
        <w:tc>
          <w:tcPr>
            <w:tcW w:w="0" w:type="auto"/>
            <w:shd w:val="clear" w:color="auto" w:fill="FFFFFF"/>
            <w:hideMark/>
          </w:tcPr>
          <w:p w14:paraId="70E67C0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532237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7F885C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Elmshorn</w:t>
            </w:r>
          </w:p>
        </w:tc>
        <w:tc>
          <w:tcPr>
            <w:tcW w:w="0" w:type="auto"/>
            <w:shd w:val="clear" w:color="auto" w:fill="FFFFFF"/>
            <w:vAlign w:val="bottom"/>
            <w:hideMark/>
          </w:tcPr>
          <w:p w14:paraId="2D5A68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066AB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with full-scale test laboratory</w:t>
            </w:r>
          </w:p>
        </w:tc>
      </w:tr>
      <w:tr w:rsidR="004B2A77" w:rsidRPr="004B2A77" w14:paraId="7DF700BA" w14:textId="77777777" w:rsidTr="004B2A77">
        <w:trPr>
          <w:tblCellSpacing w:w="15" w:type="dxa"/>
        </w:trPr>
        <w:tc>
          <w:tcPr>
            <w:tcW w:w="0" w:type="auto"/>
            <w:shd w:val="clear" w:color="auto" w:fill="FFFFFF"/>
            <w:hideMark/>
          </w:tcPr>
          <w:p w14:paraId="4C0E37E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5883BA8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509812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50124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7E02B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73DC556" w14:textId="77777777" w:rsidTr="004B2A77">
        <w:trPr>
          <w:trHeight w:val="180"/>
          <w:tblCellSpacing w:w="15" w:type="dxa"/>
        </w:trPr>
        <w:tc>
          <w:tcPr>
            <w:tcW w:w="0" w:type="auto"/>
            <w:shd w:val="clear" w:color="auto" w:fill="CCECFF"/>
            <w:hideMark/>
          </w:tcPr>
          <w:p w14:paraId="07E3CA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India</w:t>
            </w:r>
          </w:p>
        </w:tc>
        <w:tc>
          <w:tcPr>
            <w:tcW w:w="0" w:type="auto"/>
            <w:shd w:val="clear" w:color="auto" w:fill="CCECFF"/>
            <w:vAlign w:val="bottom"/>
            <w:hideMark/>
          </w:tcPr>
          <w:p w14:paraId="48E4C5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0B69F1C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7A6E154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6C32E31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57B9AE2" w14:textId="77777777" w:rsidTr="004B2A77">
        <w:trPr>
          <w:trHeight w:val="180"/>
          <w:tblCellSpacing w:w="15" w:type="dxa"/>
        </w:trPr>
        <w:tc>
          <w:tcPr>
            <w:tcW w:w="0" w:type="auto"/>
            <w:shd w:val="clear" w:color="auto" w:fill="FFFFFF"/>
            <w:hideMark/>
          </w:tcPr>
          <w:p w14:paraId="17C85D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India Private Ltd.</w:t>
            </w:r>
          </w:p>
        </w:tc>
        <w:tc>
          <w:tcPr>
            <w:tcW w:w="0" w:type="auto"/>
            <w:shd w:val="clear" w:color="auto" w:fill="FFFFFF"/>
            <w:vAlign w:val="bottom"/>
            <w:hideMark/>
          </w:tcPr>
          <w:p w14:paraId="7CA733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56FF65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Bangalore</w:t>
            </w:r>
          </w:p>
        </w:tc>
        <w:tc>
          <w:tcPr>
            <w:tcW w:w="0" w:type="auto"/>
            <w:shd w:val="clear" w:color="auto" w:fill="FFFFFF"/>
            <w:vAlign w:val="bottom"/>
            <w:hideMark/>
          </w:tcPr>
          <w:p w14:paraId="234B3C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860D2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seatbelts with sled testing</w:t>
            </w:r>
          </w:p>
        </w:tc>
      </w:tr>
      <w:tr w:rsidR="004B2A77" w:rsidRPr="004B2A77" w14:paraId="146A03E1" w14:textId="77777777" w:rsidTr="004B2A77">
        <w:trPr>
          <w:tblCellSpacing w:w="15" w:type="dxa"/>
        </w:trPr>
        <w:tc>
          <w:tcPr>
            <w:tcW w:w="0" w:type="auto"/>
            <w:shd w:val="clear" w:color="auto" w:fill="FFFFFF"/>
            <w:hideMark/>
          </w:tcPr>
          <w:p w14:paraId="01F1BA8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318C97A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9A251E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32E29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CEC68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F72C30C" w14:textId="77777777" w:rsidTr="004B2A77">
        <w:trPr>
          <w:trHeight w:val="180"/>
          <w:tblCellSpacing w:w="15" w:type="dxa"/>
        </w:trPr>
        <w:tc>
          <w:tcPr>
            <w:tcW w:w="0" w:type="auto"/>
            <w:shd w:val="clear" w:color="auto" w:fill="CCECFF"/>
            <w:hideMark/>
          </w:tcPr>
          <w:p w14:paraId="422381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Japan</w:t>
            </w:r>
          </w:p>
        </w:tc>
        <w:tc>
          <w:tcPr>
            <w:tcW w:w="0" w:type="auto"/>
            <w:shd w:val="clear" w:color="auto" w:fill="CCECFF"/>
            <w:vAlign w:val="bottom"/>
            <w:hideMark/>
          </w:tcPr>
          <w:p w14:paraId="6724CB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09946E6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1E5AFC3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238BA62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2FE7A7F" w14:textId="77777777" w:rsidTr="004B2A77">
        <w:trPr>
          <w:trHeight w:val="180"/>
          <w:tblCellSpacing w:w="15" w:type="dxa"/>
        </w:trPr>
        <w:tc>
          <w:tcPr>
            <w:tcW w:w="0" w:type="auto"/>
            <w:shd w:val="clear" w:color="auto" w:fill="FFFFFF"/>
            <w:hideMark/>
          </w:tcPr>
          <w:p w14:paraId="30B16D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Japan Ltd.</w:t>
            </w:r>
          </w:p>
        </w:tc>
        <w:tc>
          <w:tcPr>
            <w:tcW w:w="0" w:type="auto"/>
            <w:shd w:val="clear" w:color="auto" w:fill="FFFFFF"/>
            <w:vAlign w:val="bottom"/>
            <w:hideMark/>
          </w:tcPr>
          <w:p w14:paraId="21CCB9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46024B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Tsukuba</w:t>
            </w:r>
          </w:p>
        </w:tc>
        <w:tc>
          <w:tcPr>
            <w:tcW w:w="0" w:type="auto"/>
            <w:shd w:val="clear" w:color="auto" w:fill="FFFFFF"/>
            <w:vAlign w:val="bottom"/>
            <w:hideMark/>
          </w:tcPr>
          <w:p w14:paraId="6114FB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D0DBC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seatbelts customer applications and platform development with sled test laboratory</w:t>
            </w:r>
          </w:p>
        </w:tc>
      </w:tr>
      <w:tr w:rsidR="004B2A77" w:rsidRPr="004B2A77" w14:paraId="310AFF42" w14:textId="77777777" w:rsidTr="004B2A77">
        <w:trPr>
          <w:tblCellSpacing w:w="15" w:type="dxa"/>
        </w:trPr>
        <w:tc>
          <w:tcPr>
            <w:tcW w:w="0" w:type="auto"/>
            <w:shd w:val="clear" w:color="auto" w:fill="FFFFFF"/>
            <w:hideMark/>
          </w:tcPr>
          <w:p w14:paraId="47AE126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C05096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68479F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EB134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F404E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AB9BC04" w14:textId="77777777" w:rsidTr="004B2A77">
        <w:trPr>
          <w:trHeight w:val="180"/>
          <w:tblCellSpacing w:w="15" w:type="dxa"/>
        </w:trPr>
        <w:tc>
          <w:tcPr>
            <w:tcW w:w="0" w:type="auto"/>
            <w:shd w:val="clear" w:color="auto" w:fill="CCECFF"/>
            <w:hideMark/>
          </w:tcPr>
          <w:p w14:paraId="0DEF46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Poland</w:t>
            </w:r>
          </w:p>
        </w:tc>
        <w:tc>
          <w:tcPr>
            <w:tcW w:w="0" w:type="auto"/>
            <w:shd w:val="clear" w:color="auto" w:fill="CCECFF"/>
            <w:vAlign w:val="bottom"/>
            <w:hideMark/>
          </w:tcPr>
          <w:p w14:paraId="2F76D0B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7C328220"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38B710EB"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6210D49F"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57FCB20F" w14:textId="77777777" w:rsidTr="004B2A77">
        <w:trPr>
          <w:trHeight w:val="180"/>
          <w:tblCellSpacing w:w="15" w:type="dxa"/>
        </w:trPr>
        <w:tc>
          <w:tcPr>
            <w:tcW w:w="0" w:type="auto"/>
            <w:shd w:val="clear" w:color="auto" w:fill="FFFFFF"/>
            <w:hideMark/>
          </w:tcPr>
          <w:p w14:paraId="026EC0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Poland Sp. zo.o.</w:t>
            </w:r>
          </w:p>
        </w:tc>
        <w:tc>
          <w:tcPr>
            <w:tcW w:w="0" w:type="auto"/>
            <w:shd w:val="clear" w:color="auto" w:fill="FFFFFF"/>
            <w:vAlign w:val="bottom"/>
            <w:hideMark/>
          </w:tcPr>
          <w:p w14:paraId="6DE12F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2EB8F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Jelcz</w:t>
            </w:r>
          </w:p>
        </w:tc>
        <w:tc>
          <w:tcPr>
            <w:tcW w:w="0" w:type="auto"/>
            <w:shd w:val="clear" w:color="auto" w:fill="FFFFFF"/>
            <w:vAlign w:val="bottom"/>
            <w:hideMark/>
          </w:tcPr>
          <w:p w14:paraId="51F84A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D5744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applications and platform development</w:t>
            </w:r>
          </w:p>
        </w:tc>
      </w:tr>
      <w:tr w:rsidR="004B2A77" w:rsidRPr="004B2A77" w14:paraId="13EBD2D6" w14:textId="77777777" w:rsidTr="004B2A77">
        <w:trPr>
          <w:tblCellSpacing w:w="15" w:type="dxa"/>
        </w:trPr>
        <w:tc>
          <w:tcPr>
            <w:tcW w:w="0" w:type="auto"/>
            <w:shd w:val="clear" w:color="auto" w:fill="FFFFFF"/>
            <w:hideMark/>
          </w:tcPr>
          <w:p w14:paraId="1447C17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lastRenderedPageBreak/>
              <w:t> </w:t>
            </w:r>
          </w:p>
        </w:tc>
        <w:tc>
          <w:tcPr>
            <w:tcW w:w="0" w:type="auto"/>
            <w:shd w:val="clear" w:color="auto" w:fill="FFFFFF"/>
            <w:vAlign w:val="bottom"/>
            <w:hideMark/>
          </w:tcPr>
          <w:p w14:paraId="1FD6C2A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0CF6969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6AFC572D"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hideMark/>
          </w:tcPr>
          <w:p w14:paraId="6DA95341"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r>
      <w:tr w:rsidR="004B2A77" w:rsidRPr="004B2A77" w14:paraId="194D4E7F" w14:textId="77777777" w:rsidTr="004B2A77">
        <w:trPr>
          <w:trHeight w:val="180"/>
          <w:tblCellSpacing w:w="15" w:type="dxa"/>
        </w:trPr>
        <w:tc>
          <w:tcPr>
            <w:tcW w:w="0" w:type="auto"/>
            <w:shd w:val="clear" w:color="auto" w:fill="CCECFF"/>
            <w:hideMark/>
          </w:tcPr>
          <w:p w14:paraId="590416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Romania</w:t>
            </w:r>
          </w:p>
        </w:tc>
        <w:tc>
          <w:tcPr>
            <w:tcW w:w="0" w:type="auto"/>
            <w:shd w:val="clear" w:color="auto" w:fill="CCECFF"/>
            <w:vAlign w:val="bottom"/>
            <w:hideMark/>
          </w:tcPr>
          <w:p w14:paraId="0CE81C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F8A34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41C9B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489864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4C131EA" w14:textId="77777777" w:rsidTr="004B2A77">
        <w:trPr>
          <w:trHeight w:val="180"/>
          <w:tblCellSpacing w:w="15" w:type="dxa"/>
        </w:trPr>
        <w:tc>
          <w:tcPr>
            <w:tcW w:w="0" w:type="auto"/>
            <w:shd w:val="clear" w:color="auto" w:fill="FFFFFF"/>
            <w:hideMark/>
          </w:tcPr>
          <w:p w14:paraId="45C914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Romania S.R.L.</w:t>
            </w:r>
          </w:p>
        </w:tc>
        <w:tc>
          <w:tcPr>
            <w:tcW w:w="0" w:type="auto"/>
            <w:shd w:val="clear" w:color="auto" w:fill="FFFFFF"/>
            <w:vAlign w:val="bottom"/>
            <w:hideMark/>
          </w:tcPr>
          <w:p w14:paraId="4E1741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D315A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Brasov</w:t>
            </w:r>
          </w:p>
        </w:tc>
        <w:tc>
          <w:tcPr>
            <w:tcW w:w="0" w:type="auto"/>
            <w:shd w:val="clear" w:color="auto" w:fill="FFFFFF"/>
            <w:vAlign w:val="bottom"/>
            <w:hideMark/>
          </w:tcPr>
          <w:p w14:paraId="1966E2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B0E75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Seatbelts with sled test laboratory</w:t>
            </w:r>
          </w:p>
        </w:tc>
      </w:tr>
      <w:tr w:rsidR="004B2A77" w:rsidRPr="004B2A77" w14:paraId="2975DCAD" w14:textId="77777777" w:rsidTr="004B2A77">
        <w:trPr>
          <w:tblCellSpacing w:w="15" w:type="dxa"/>
        </w:trPr>
        <w:tc>
          <w:tcPr>
            <w:tcW w:w="0" w:type="auto"/>
            <w:shd w:val="clear" w:color="auto" w:fill="FFFFFF"/>
            <w:vAlign w:val="bottom"/>
            <w:hideMark/>
          </w:tcPr>
          <w:p w14:paraId="52A4A9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20BAA1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48884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43DD4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306DD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C2A6032" w14:textId="77777777" w:rsidTr="004B2A77">
        <w:trPr>
          <w:trHeight w:val="180"/>
          <w:tblCellSpacing w:w="15" w:type="dxa"/>
        </w:trPr>
        <w:tc>
          <w:tcPr>
            <w:tcW w:w="0" w:type="auto"/>
            <w:shd w:val="clear" w:color="auto" w:fill="CCECFF"/>
            <w:hideMark/>
          </w:tcPr>
          <w:p w14:paraId="299FAF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South Korea</w:t>
            </w:r>
          </w:p>
        </w:tc>
        <w:tc>
          <w:tcPr>
            <w:tcW w:w="0" w:type="auto"/>
            <w:shd w:val="clear" w:color="auto" w:fill="CCECFF"/>
            <w:vAlign w:val="bottom"/>
            <w:hideMark/>
          </w:tcPr>
          <w:p w14:paraId="6E0CE1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7F3FEE4E"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52A62F61"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hideMark/>
          </w:tcPr>
          <w:p w14:paraId="4C747E9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181AAB0" w14:textId="77777777" w:rsidTr="004B2A77">
        <w:trPr>
          <w:trHeight w:val="180"/>
          <w:tblCellSpacing w:w="15" w:type="dxa"/>
        </w:trPr>
        <w:tc>
          <w:tcPr>
            <w:tcW w:w="0" w:type="auto"/>
            <w:shd w:val="clear" w:color="auto" w:fill="FFFFFF"/>
            <w:hideMark/>
          </w:tcPr>
          <w:p w14:paraId="70B92E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Corporation</w:t>
            </w:r>
          </w:p>
        </w:tc>
        <w:tc>
          <w:tcPr>
            <w:tcW w:w="0" w:type="auto"/>
            <w:shd w:val="clear" w:color="auto" w:fill="FFFFFF"/>
            <w:vAlign w:val="bottom"/>
            <w:hideMark/>
          </w:tcPr>
          <w:p w14:paraId="0B2AE1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70AA9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Seoul</w:t>
            </w:r>
          </w:p>
        </w:tc>
        <w:tc>
          <w:tcPr>
            <w:tcW w:w="0" w:type="auto"/>
            <w:shd w:val="clear" w:color="auto" w:fill="FFFFFF"/>
            <w:vAlign w:val="bottom"/>
            <w:hideMark/>
          </w:tcPr>
          <w:p w14:paraId="3F0B80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75135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and seatbelts customer applications and platform development with sled test laboratory</w:t>
            </w:r>
          </w:p>
        </w:tc>
      </w:tr>
      <w:tr w:rsidR="004B2A77" w:rsidRPr="004B2A77" w14:paraId="321299A5" w14:textId="77777777" w:rsidTr="004B2A77">
        <w:trPr>
          <w:tblCellSpacing w:w="15" w:type="dxa"/>
        </w:trPr>
        <w:tc>
          <w:tcPr>
            <w:tcW w:w="0" w:type="auto"/>
            <w:shd w:val="clear" w:color="auto" w:fill="FFFFFF"/>
            <w:hideMark/>
          </w:tcPr>
          <w:p w14:paraId="267DEAB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47A1707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hideMark/>
          </w:tcPr>
          <w:p w14:paraId="1763D8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C6430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A9C1D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9C0DFEE" w14:textId="77777777" w:rsidTr="004B2A77">
        <w:trPr>
          <w:trHeight w:val="180"/>
          <w:tblCellSpacing w:w="15" w:type="dxa"/>
        </w:trPr>
        <w:tc>
          <w:tcPr>
            <w:tcW w:w="0" w:type="auto"/>
            <w:shd w:val="clear" w:color="auto" w:fill="CCECFF"/>
            <w:hideMark/>
          </w:tcPr>
          <w:p w14:paraId="0E9D0B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Sweden</w:t>
            </w:r>
          </w:p>
        </w:tc>
        <w:tc>
          <w:tcPr>
            <w:tcW w:w="0" w:type="auto"/>
            <w:shd w:val="clear" w:color="auto" w:fill="CCECFF"/>
            <w:vAlign w:val="bottom"/>
            <w:hideMark/>
          </w:tcPr>
          <w:p w14:paraId="39C8A5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6174AADF"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53CC27D1"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CCECFF"/>
            <w:vAlign w:val="bottom"/>
            <w:hideMark/>
          </w:tcPr>
          <w:p w14:paraId="5A2071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E97FA91" w14:textId="77777777" w:rsidTr="004B2A77">
        <w:trPr>
          <w:trHeight w:val="180"/>
          <w:tblCellSpacing w:w="15" w:type="dxa"/>
        </w:trPr>
        <w:tc>
          <w:tcPr>
            <w:tcW w:w="0" w:type="auto"/>
            <w:shd w:val="clear" w:color="auto" w:fill="FFFFFF"/>
            <w:hideMark/>
          </w:tcPr>
          <w:p w14:paraId="675B87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Development AB</w:t>
            </w:r>
          </w:p>
        </w:tc>
        <w:tc>
          <w:tcPr>
            <w:tcW w:w="0" w:type="auto"/>
            <w:shd w:val="clear" w:color="auto" w:fill="FFFFFF"/>
            <w:vAlign w:val="bottom"/>
            <w:hideMark/>
          </w:tcPr>
          <w:p w14:paraId="3D59C7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83563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Vårgårda</w:t>
            </w:r>
          </w:p>
        </w:tc>
        <w:tc>
          <w:tcPr>
            <w:tcW w:w="0" w:type="auto"/>
            <w:shd w:val="clear" w:color="auto" w:fill="FFFFFF"/>
            <w:vAlign w:val="bottom"/>
            <w:hideMark/>
          </w:tcPr>
          <w:p w14:paraId="733D17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9BB39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Research center</w:t>
            </w:r>
          </w:p>
        </w:tc>
      </w:tr>
      <w:tr w:rsidR="004B2A77" w:rsidRPr="004B2A77" w14:paraId="3A7E4344" w14:textId="77777777" w:rsidTr="004B2A77">
        <w:trPr>
          <w:trHeight w:val="180"/>
          <w:tblCellSpacing w:w="15" w:type="dxa"/>
        </w:trPr>
        <w:tc>
          <w:tcPr>
            <w:tcW w:w="0" w:type="auto"/>
            <w:shd w:val="clear" w:color="auto" w:fill="FFFFFF"/>
            <w:hideMark/>
          </w:tcPr>
          <w:p w14:paraId="57748E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Sverige AB</w:t>
            </w:r>
          </w:p>
        </w:tc>
        <w:tc>
          <w:tcPr>
            <w:tcW w:w="0" w:type="auto"/>
            <w:shd w:val="clear" w:color="auto" w:fill="FFFFFF"/>
            <w:vAlign w:val="bottom"/>
            <w:hideMark/>
          </w:tcPr>
          <w:p w14:paraId="2D8403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C77E2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Vårgårda</w:t>
            </w:r>
          </w:p>
        </w:tc>
        <w:tc>
          <w:tcPr>
            <w:tcW w:w="0" w:type="auto"/>
            <w:shd w:val="clear" w:color="auto" w:fill="FFFFFF"/>
            <w:vAlign w:val="bottom"/>
            <w:hideMark/>
          </w:tcPr>
          <w:p w14:paraId="5E2D8B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145275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customer applications, inflator and special safety products development with full-scale test laboratory</w:t>
            </w:r>
          </w:p>
        </w:tc>
      </w:tr>
      <w:tr w:rsidR="004B2A77" w:rsidRPr="004B2A77" w14:paraId="4E444DE9" w14:textId="77777777" w:rsidTr="004B2A77">
        <w:trPr>
          <w:tblCellSpacing w:w="15" w:type="dxa"/>
        </w:trPr>
        <w:tc>
          <w:tcPr>
            <w:tcW w:w="0" w:type="auto"/>
            <w:shd w:val="clear" w:color="auto" w:fill="FFFFFF"/>
            <w:hideMark/>
          </w:tcPr>
          <w:p w14:paraId="18E762F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7FCC80B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FFFFFF"/>
            <w:vAlign w:val="bottom"/>
            <w:hideMark/>
          </w:tcPr>
          <w:p w14:paraId="63729D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F21AF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0A49DA3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8285677" w14:textId="77777777" w:rsidTr="004B2A77">
        <w:trPr>
          <w:trHeight w:val="180"/>
          <w:tblCellSpacing w:w="15" w:type="dxa"/>
        </w:trPr>
        <w:tc>
          <w:tcPr>
            <w:tcW w:w="0" w:type="auto"/>
            <w:shd w:val="clear" w:color="auto" w:fill="CCECFF"/>
            <w:hideMark/>
          </w:tcPr>
          <w:p w14:paraId="2D6DC1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USA</w:t>
            </w:r>
          </w:p>
        </w:tc>
        <w:tc>
          <w:tcPr>
            <w:tcW w:w="0" w:type="auto"/>
            <w:shd w:val="clear" w:color="auto" w:fill="CCECFF"/>
            <w:vAlign w:val="bottom"/>
            <w:hideMark/>
          </w:tcPr>
          <w:p w14:paraId="66AEE8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hideMark/>
          </w:tcPr>
          <w:p w14:paraId="5F14730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vAlign w:val="bottom"/>
            <w:hideMark/>
          </w:tcPr>
          <w:p w14:paraId="2E8CAA9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shd w:val="clear" w:color="auto" w:fill="CCECFF"/>
            <w:hideMark/>
          </w:tcPr>
          <w:p w14:paraId="6578D8F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2695590" w14:textId="77777777" w:rsidTr="004B2A77">
        <w:trPr>
          <w:trHeight w:val="180"/>
          <w:tblCellSpacing w:w="15" w:type="dxa"/>
        </w:trPr>
        <w:tc>
          <w:tcPr>
            <w:tcW w:w="0" w:type="auto"/>
            <w:shd w:val="clear" w:color="auto" w:fill="FFFFFF"/>
            <w:hideMark/>
          </w:tcPr>
          <w:p w14:paraId="6E8A12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ASP, Inc.</w:t>
            </w:r>
          </w:p>
        </w:tc>
        <w:tc>
          <w:tcPr>
            <w:tcW w:w="0" w:type="auto"/>
            <w:shd w:val="clear" w:color="auto" w:fill="FFFFFF"/>
            <w:vAlign w:val="bottom"/>
            <w:hideMark/>
          </w:tcPr>
          <w:p w14:paraId="41E77D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68BAB9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Auburn Hills</w:t>
            </w:r>
          </w:p>
        </w:tc>
        <w:tc>
          <w:tcPr>
            <w:tcW w:w="0" w:type="auto"/>
            <w:shd w:val="clear" w:color="auto" w:fill="FFFFFF"/>
            <w:vAlign w:val="bottom"/>
            <w:hideMark/>
          </w:tcPr>
          <w:p w14:paraId="5E7CE1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77D7F1E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steering wheels, and seatbelts customer applications and platform development with sled test laboratory</w:t>
            </w:r>
          </w:p>
        </w:tc>
      </w:tr>
      <w:tr w:rsidR="004B2A77" w:rsidRPr="004B2A77" w14:paraId="5EC99B49" w14:textId="77777777" w:rsidTr="004B2A77">
        <w:trPr>
          <w:trHeight w:val="180"/>
          <w:tblCellSpacing w:w="15" w:type="dxa"/>
        </w:trPr>
        <w:tc>
          <w:tcPr>
            <w:tcW w:w="0" w:type="auto"/>
            <w:shd w:val="clear" w:color="auto" w:fill="FFFFFF"/>
            <w:hideMark/>
          </w:tcPr>
          <w:p w14:paraId="0E0432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2248D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5F53F6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Ogden</w:t>
            </w:r>
          </w:p>
        </w:tc>
        <w:tc>
          <w:tcPr>
            <w:tcW w:w="0" w:type="auto"/>
            <w:shd w:val="clear" w:color="auto" w:fill="FFFFFF"/>
            <w:vAlign w:val="bottom"/>
            <w:hideMark/>
          </w:tcPr>
          <w:p w14:paraId="332873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hideMark/>
          </w:tcPr>
          <w:p w14:paraId="31D54B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inflators and pyrotechnics customer applications and platform development</w:t>
            </w:r>
          </w:p>
        </w:tc>
      </w:tr>
    </w:tbl>
    <w:p w14:paraId="775738FA"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6831B98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56A6EFF8"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26</w:t>
      </w:r>
    </w:p>
    <w:p w14:paraId="5D50CFF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5D82E99">
          <v:rect id="_x0000_i1051" style="width:0;height:1.5pt" o:hralign="center" o:hrstd="t" o:hrnoshade="t" o:hr="t" fillcolor="black" stroked="f"/>
        </w:pict>
      </w:r>
    </w:p>
    <w:p w14:paraId="00470C87"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0B849B2"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22"/>
        </w:rPr>
        <w:t>Item 3. Legal Proceedings</w:t>
      </w:r>
    </w:p>
    <w:p w14:paraId="78F0036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10202"/>
          <w:kern w:val="0"/>
          <w:sz w:val="18"/>
          <w:szCs w:val="18"/>
        </w:rPr>
        <w:t>In the ordinary course of its business, the Company is subject to legal proceedings brought by or against the Company and its subsidiaries.</w:t>
      </w:r>
    </w:p>
    <w:p w14:paraId="2ABFC1E4"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10202"/>
          <w:kern w:val="0"/>
          <w:sz w:val="18"/>
          <w:szCs w:val="18"/>
        </w:rPr>
        <w:t>See Note 17, Contingent Liabilities, to the Consolidated Financial Statements in this Annual Report for a summary of certain ongoing legal proceedings. Such information is incorporated into this Part I, Item 3 – “Legal Proceedings” by reference.</w:t>
      </w:r>
    </w:p>
    <w:p w14:paraId="197E0D4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22"/>
        </w:rPr>
        <w:t>Item 4. Mine Safety Disclosures</w:t>
      </w:r>
    </w:p>
    <w:p w14:paraId="13D091F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10202"/>
          <w:kern w:val="0"/>
          <w:sz w:val="18"/>
          <w:szCs w:val="18"/>
        </w:rPr>
        <w:t>Not applicable.</w:t>
      </w:r>
    </w:p>
    <w:p w14:paraId="437CB8E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27</w:t>
      </w:r>
    </w:p>
    <w:p w14:paraId="22CD44CA"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1808237">
          <v:rect id="_x0000_i1052" style="width:0;height:1.5pt" o:hralign="center" o:hrstd="t" o:hrnoshade="t" o:hr="t" fillcolor="black" stroked="f"/>
        </w:pict>
      </w:r>
    </w:p>
    <w:p w14:paraId="37D4C3F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86D9DC2"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18"/>
          <w:szCs w:val="18"/>
        </w:rPr>
        <w:t>PART II</w:t>
      </w:r>
    </w:p>
    <w:p w14:paraId="204A17EF"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22"/>
        </w:rPr>
        <w:t>Item 5. Market for Registrant’s Common Equity, Related Stockholder Matters and Issuer Purchases of Equity Securities</w:t>
      </w:r>
    </w:p>
    <w:p w14:paraId="5584FA6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6987EFD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1F0875C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18"/>
          <w:szCs w:val="18"/>
        </w:rPr>
        <w:t>Shareholder information</w:t>
      </w:r>
    </w:p>
    <w:p w14:paraId="229A298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0F37232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primary exchange market for Autoliv’s securities is the New York Stock Exchange (NYSE) where Autoliv’s common stock trades under the symbol “ALV”. Autoliv’s Swedish Depositary Receipts (SDRs) are traded on NASDAQ Stockholm’s list for large market cap companies under the symbol “ALIV SDB”. Options in SDRs trade on Nasdaq Stockholm under the name “Autoliv SDB”. Options in Autoliv shares are traded on NASDAQ OMX PHLX and on NYSE Amex Options under the symbol “ALV”.</w:t>
      </w:r>
    </w:p>
    <w:p w14:paraId="514BD76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65941EA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10202"/>
          <w:kern w:val="0"/>
          <w:sz w:val="18"/>
          <w:szCs w:val="18"/>
          <w:u w:val="single"/>
        </w:rPr>
        <w:t>Stock Performance Graph</w:t>
      </w:r>
    </w:p>
    <w:p w14:paraId="7E69C7E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graph and table below show the cumulative total shareholder return for our common stock since December 31, 2017. The graph compares our performance to that of the Standard &amp; Poor’s 500 Stock Index (S&amp;P 500) and the Dow Jones US Auto Parts Index. The Dow Jones US Auto Parts Index is our newly chosen and replaces the OMX Auto Index we used in prior reports. We believe the Dow Jones US Auto Parts Index is a better representation of our peer companies than the OMX Auto Index which is composed of a smaller number of public Swedish companies. </w:t>
      </w:r>
    </w:p>
    <w:p w14:paraId="3B261EA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4073397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comparison assumes $100 was invested at the closing price of our common stock on the NYSE on December 31, 2017. Each of the returns shown assumes that all dividends paid were reinvested.</w:t>
      </w:r>
    </w:p>
    <w:p w14:paraId="1F6FB48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Calibri" w:eastAsia="宋体" w:hAnsi="Calibri" w:cs="Calibri"/>
          <w:color w:val="000000"/>
          <w:kern w:val="0"/>
          <w:sz w:val="22"/>
        </w:rPr>
        <w:t> </w:t>
      </w:r>
    </w:p>
    <w:p w14:paraId="1B6CE739" w14:textId="3E861E3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noProof/>
          <w:color w:val="000000"/>
          <w:kern w:val="0"/>
          <w:sz w:val="20"/>
          <w:szCs w:val="20"/>
        </w:rPr>
        <mc:AlternateContent>
          <mc:Choice Requires="wps">
            <w:drawing>
              <wp:inline distT="0" distB="0" distL="0" distR="0" wp14:anchorId="7A1061A0" wp14:editId="13DDC974">
                <wp:extent cx="306705" cy="306705"/>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AB2D9" id="矩形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vENOO/QBAADBAwAADgAAAAAAAAAAAAAAAAAuAgAAZHJzL2Uy&#10;b0RvYy54bWxQSwECLQAUAAYACAAAACEAJgsrPNoAAAADAQAADwAAAAAAAAAAAAAAAABOBAAAZHJz&#10;L2Rvd25yZXYueG1sUEsFBgAAAAAEAAQA8wAAAFUFAAAAAA==&#10;" filled="f" stroked="f">
                <o:lock v:ext="edit" aspectratio="t"/>
                <w10:anchorlock/>
              </v:rect>
            </w:pict>
          </mc:Fallback>
        </mc:AlternateContent>
      </w:r>
      <w:r w:rsidRPr="004B2A77">
        <w:rPr>
          <w:rFonts w:ascii="Times New Roman" w:eastAsia="宋体" w:hAnsi="Times New Roman" w:cs="Times New Roman"/>
          <w:color w:val="000000"/>
          <w:kern w:val="0"/>
          <w:sz w:val="20"/>
          <w:szCs w:val="20"/>
        </w:rPr>
        <w:t> </w:t>
      </w:r>
    </w:p>
    <w:p w14:paraId="3BEF432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Calibri" w:eastAsia="宋体" w:hAnsi="Calibri" w:cs="Calibri"/>
          <w:color w:val="000000"/>
          <w:kern w:val="0"/>
          <w:sz w:val="2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5891"/>
        <w:gridCol w:w="229"/>
        <w:gridCol w:w="1868"/>
        <w:gridCol w:w="230"/>
        <w:gridCol w:w="230"/>
        <w:gridCol w:w="1841"/>
        <w:gridCol w:w="230"/>
        <w:gridCol w:w="230"/>
        <w:gridCol w:w="2047"/>
        <w:gridCol w:w="230"/>
        <w:gridCol w:w="230"/>
        <w:gridCol w:w="2047"/>
        <w:gridCol w:w="230"/>
        <w:gridCol w:w="230"/>
        <w:gridCol w:w="2047"/>
        <w:gridCol w:w="230"/>
        <w:gridCol w:w="230"/>
        <w:gridCol w:w="2098"/>
        <w:gridCol w:w="246"/>
      </w:tblGrid>
      <w:tr w:rsidR="004B2A77" w:rsidRPr="004B2A77" w14:paraId="15176308" w14:textId="77777777" w:rsidTr="004B2A77">
        <w:trPr>
          <w:tblCellSpacing w:w="15" w:type="dxa"/>
        </w:trPr>
        <w:tc>
          <w:tcPr>
            <w:tcW w:w="5858" w:type="dxa"/>
            <w:vAlign w:val="center"/>
            <w:hideMark/>
          </w:tcPr>
          <w:p w14:paraId="64F134DE"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0" w:type="dxa"/>
            <w:vAlign w:val="center"/>
            <w:hideMark/>
          </w:tcPr>
          <w:p w14:paraId="14861DD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42" w:type="dxa"/>
            <w:vAlign w:val="center"/>
            <w:hideMark/>
          </w:tcPr>
          <w:p w14:paraId="783377E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698AC41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0B924A3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14" w:type="dxa"/>
            <w:vAlign w:val="center"/>
            <w:hideMark/>
          </w:tcPr>
          <w:p w14:paraId="063573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4B90475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790E6F3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0" w:type="dxa"/>
            <w:vAlign w:val="center"/>
            <w:hideMark/>
          </w:tcPr>
          <w:p w14:paraId="39CE305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620F72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29B5AD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0" w:type="dxa"/>
            <w:vAlign w:val="center"/>
            <w:hideMark/>
          </w:tcPr>
          <w:p w14:paraId="39CAA21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2DB8F30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2B4FD62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0" w:type="dxa"/>
            <w:vAlign w:val="center"/>
            <w:hideMark/>
          </w:tcPr>
          <w:p w14:paraId="30D7F0C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673E101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2FC027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71" w:type="dxa"/>
            <w:vAlign w:val="center"/>
            <w:hideMark/>
          </w:tcPr>
          <w:p w14:paraId="28F8883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618DB9A2"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13A7B4D" w14:textId="77777777" w:rsidTr="004B2A77">
        <w:trPr>
          <w:trHeight w:val="180"/>
          <w:tblCellSpacing w:w="15" w:type="dxa"/>
        </w:trPr>
        <w:tc>
          <w:tcPr>
            <w:tcW w:w="0" w:type="auto"/>
            <w:shd w:val="clear" w:color="auto" w:fill="FFFFFF"/>
            <w:vAlign w:val="bottom"/>
            <w:hideMark/>
          </w:tcPr>
          <w:p w14:paraId="3D3EE1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306F226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12-31-2017</w:t>
            </w:r>
          </w:p>
        </w:tc>
        <w:tc>
          <w:tcPr>
            <w:tcW w:w="0" w:type="auto"/>
            <w:shd w:val="clear" w:color="auto" w:fill="FFFFFF"/>
            <w:vAlign w:val="bottom"/>
            <w:hideMark/>
          </w:tcPr>
          <w:p w14:paraId="3286F42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7E513AE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12-31-2018</w:t>
            </w:r>
          </w:p>
        </w:tc>
        <w:tc>
          <w:tcPr>
            <w:tcW w:w="0" w:type="auto"/>
            <w:shd w:val="clear" w:color="auto" w:fill="FFFFFF"/>
            <w:vAlign w:val="bottom"/>
            <w:hideMark/>
          </w:tcPr>
          <w:p w14:paraId="0D4CCB3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561CD20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12-31-2019</w:t>
            </w:r>
          </w:p>
        </w:tc>
        <w:tc>
          <w:tcPr>
            <w:tcW w:w="0" w:type="auto"/>
            <w:shd w:val="clear" w:color="auto" w:fill="FFFFFF"/>
            <w:vAlign w:val="bottom"/>
            <w:hideMark/>
          </w:tcPr>
          <w:p w14:paraId="2AB2103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0C25C8C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12-31-2020</w:t>
            </w:r>
          </w:p>
        </w:tc>
        <w:tc>
          <w:tcPr>
            <w:tcW w:w="0" w:type="auto"/>
            <w:shd w:val="clear" w:color="auto" w:fill="FFFFFF"/>
            <w:vAlign w:val="bottom"/>
            <w:hideMark/>
          </w:tcPr>
          <w:p w14:paraId="209370B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5358568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12-31-2021</w:t>
            </w:r>
          </w:p>
        </w:tc>
        <w:tc>
          <w:tcPr>
            <w:tcW w:w="0" w:type="auto"/>
            <w:shd w:val="clear" w:color="auto" w:fill="FFFFFF"/>
            <w:vAlign w:val="bottom"/>
            <w:hideMark/>
          </w:tcPr>
          <w:p w14:paraId="7EFC53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311898D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12-31-2022</w:t>
            </w:r>
          </w:p>
        </w:tc>
        <w:tc>
          <w:tcPr>
            <w:tcW w:w="0" w:type="auto"/>
            <w:shd w:val="clear" w:color="auto" w:fill="FFFFFF"/>
            <w:vAlign w:val="bottom"/>
            <w:hideMark/>
          </w:tcPr>
          <w:p w14:paraId="17AD5FA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68ADA00" w14:textId="77777777" w:rsidTr="004B2A77">
        <w:trPr>
          <w:trHeight w:val="180"/>
          <w:tblCellSpacing w:w="15" w:type="dxa"/>
        </w:trPr>
        <w:tc>
          <w:tcPr>
            <w:tcW w:w="0" w:type="auto"/>
            <w:shd w:val="clear" w:color="auto" w:fill="CCECFF"/>
            <w:vAlign w:val="bottom"/>
            <w:hideMark/>
          </w:tcPr>
          <w:p w14:paraId="6B9934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Inc.</w:t>
            </w:r>
          </w:p>
        </w:tc>
        <w:tc>
          <w:tcPr>
            <w:tcW w:w="0" w:type="auto"/>
            <w:shd w:val="clear" w:color="auto" w:fill="CFF0FC"/>
            <w:noWrap/>
            <w:vAlign w:val="bottom"/>
            <w:hideMark/>
          </w:tcPr>
          <w:p w14:paraId="6F86CCD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16DB8B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100</w:t>
            </w:r>
          </w:p>
        </w:tc>
        <w:tc>
          <w:tcPr>
            <w:tcW w:w="0" w:type="auto"/>
            <w:shd w:val="clear" w:color="auto" w:fill="CFF0FC"/>
            <w:noWrap/>
            <w:vAlign w:val="bottom"/>
            <w:hideMark/>
          </w:tcPr>
          <w:p w14:paraId="0953FF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67037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A04D2B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78.45</w:t>
            </w:r>
          </w:p>
        </w:tc>
        <w:tc>
          <w:tcPr>
            <w:tcW w:w="0" w:type="auto"/>
            <w:shd w:val="clear" w:color="auto" w:fill="CFF0FC"/>
            <w:noWrap/>
            <w:vAlign w:val="bottom"/>
            <w:hideMark/>
          </w:tcPr>
          <w:p w14:paraId="36158E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418F4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C55EFB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97.57</w:t>
            </w:r>
          </w:p>
        </w:tc>
        <w:tc>
          <w:tcPr>
            <w:tcW w:w="0" w:type="auto"/>
            <w:shd w:val="clear" w:color="auto" w:fill="CFF0FC"/>
            <w:noWrap/>
            <w:vAlign w:val="bottom"/>
            <w:hideMark/>
          </w:tcPr>
          <w:p w14:paraId="07DAAE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B5CAF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DC326C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107.32</w:t>
            </w:r>
          </w:p>
        </w:tc>
        <w:tc>
          <w:tcPr>
            <w:tcW w:w="0" w:type="auto"/>
            <w:shd w:val="clear" w:color="auto" w:fill="CFF0FC"/>
            <w:noWrap/>
            <w:vAlign w:val="bottom"/>
            <w:hideMark/>
          </w:tcPr>
          <w:p w14:paraId="22B307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92D82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1E6DB1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122.89</w:t>
            </w:r>
          </w:p>
        </w:tc>
        <w:tc>
          <w:tcPr>
            <w:tcW w:w="0" w:type="auto"/>
            <w:shd w:val="clear" w:color="auto" w:fill="CFF0FC"/>
            <w:noWrap/>
            <w:vAlign w:val="bottom"/>
            <w:hideMark/>
          </w:tcPr>
          <w:p w14:paraId="406F37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5B5D9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C5899D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94.13</w:t>
            </w:r>
          </w:p>
        </w:tc>
        <w:tc>
          <w:tcPr>
            <w:tcW w:w="0" w:type="auto"/>
            <w:shd w:val="clear" w:color="auto" w:fill="CFF0FC"/>
            <w:noWrap/>
            <w:vAlign w:val="bottom"/>
            <w:hideMark/>
          </w:tcPr>
          <w:p w14:paraId="5E11A8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E29643D" w14:textId="77777777" w:rsidTr="004B2A77">
        <w:trPr>
          <w:trHeight w:val="180"/>
          <w:tblCellSpacing w:w="15" w:type="dxa"/>
        </w:trPr>
        <w:tc>
          <w:tcPr>
            <w:tcW w:w="0" w:type="auto"/>
            <w:shd w:val="clear" w:color="auto" w:fill="FFFFFF"/>
            <w:vAlign w:val="bottom"/>
            <w:hideMark/>
          </w:tcPr>
          <w:p w14:paraId="77DA11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SP500TR</w:t>
            </w:r>
          </w:p>
        </w:tc>
        <w:tc>
          <w:tcPr>
            <w:tcW w:w="0" w:type="auto"/>
            <w:shd w:val="clear" w:color="auto" w:fill="FFFFFF"/>
            <w:noWrap/>
            <w:vAlign w:val="bottom"/>
            <w:hideMark/>
          </w:tcPr>
          <w:p w14:paraId="03DF7E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016038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100</w:t>
            </w:r>
          </w:p>
        </w:tc>
        <w:tc>
          <w:tcPr>
            <w:tcW w:w="0" w:type="auto"/>
            <w:shd w:val="clear" w:color="auto" w:fill="FFFFFF"/>
            <w:noWrap/>
            <w:vAlign w:val="bottom"/>
            <w:hideMark/>
          </w:tcPr>
          <w:p w14:paraId="5791FD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6C83E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B014C5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95.62</w:t>
            </w:r>
          </w:p>
        </w:tc>
        <w:tc>
          <w:tcPr>
            <w:tcW w:w="0" w:type="auto"/>
            <w:shd w:val="clear" w:color="auto" w:fill="FFFFFF"/>
            <w:noWrap/>
            <w:vAlign w:val="bottom"/>
            <w:hideMark/>
          </w:tcPr>
          <w:p w14:paraId="1BDA9A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C6E5B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0A6579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125.72</w:t>
            </w:r>
          </w:p>
        </w:tc>
        <w:tc>
          <w:tcPr>
            <w:tcW w:w="0" w:type="auto"/>
            <w:shd w:val="clear" w:color="auto" w:fill="FFFFFF"/>
            <w:noWrap/>
            <w:vAlign w:val="bottom"/>
            <w:hideMark/>
          </w:tcPr>
          <w:p w14:paraId="287AD2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AEF73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F1ECB7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148.85</w:t>
            </w:r>
          </w:p>
        </w:tc>
        <w:tc>
          <w:tcPr>
            <w:tcW w:w="0" w:type="auto"/>
            <w:shd w:val="clear" w:color="auto" w:fill="FFFFFF"/>
            <w:noWrap/>
            <w:vAlign w:val="bottom"/>
            <w:hideMark/>
          </w:tcPr>
          <w:p w14:paraId="7B7152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57AAF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EB5D98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191.58</w:t>
            </w:r>
          </w:p>
        </w:tc>
        <w:tc>
          <w:tcPr>
            <w:tcW w:w="0" w:type="auto"/>
            <w:shd w:val="clear" w:color="auto" w:fill="FFFFFF"/>
            <w:noWrap/>
            <w:vAlign w:val="bottom"/>
            <w:hideMark/>
          </w:tcPr>
          <w:p w14:paraId="7166FC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6ED54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9DC346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156.88</w:t>
            </w:r>
          </w:p>
        </w:tc>
        <w:tc>
          <w:tcPr>
            <w:tcW w:w="0" w:type="auto"/>
            <w:shd w:val="clear" w:color="auto" w:fill="FFFFFF"/>
            <w:noWrap/>
            <w:vAlign w:val="bottom"/>
            <w:hideMark/>
          </w:tcPr>
          <w:p w14:paraId="7FD29E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C3B6358" w14:textId="77777777" w:rsidTr="004B2A77">
        <w:trPr>
          <w:trHeight w:val="180"/>
          <w:tblCellSpacing w:w="15" w:type="dxa"/>
        </w:trPr>
        <w:tc>
          <w:tcPr>
            <w:tcW w:w="0" w:type="auto"/>
            <w:shd w:val="clear" w:color="auto" w:fill="CCECFF"/>
            <w:vAlign w:val="bottom"/>
            <w:hideMark/>
          </w:tcPr>
          <w:p w14:paraId="24F751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Dow Jones US Auto Parts Index</w:t>
            </w:r>
          </w:p>
        </w:tc>
        <w:tc>
          <w:tcPr>
            <w:tcW w:w="0" w:type="auto"/>
            <w:shd w:val="clear" w:color="auto" w:fill="CCECFF"/>
            <w:noWrap/>
            <w:vAlign w:val="bottom"/>
            <w:hideMark/>
          </w:tcPr>
          <w:p w14:paraId="3EFA9C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2F5A9FC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100</w:t>
            </w:r>
          </w:p>
        </w:tc>
        <w:tc>
          <w:tcPr>
            <w:tcW w:w="0" w:type="auto"/>
            <w:shd w:val="clear" w:color="auto" w:fill="CCECFF"/>
            <w:noWrap/>
            <w:vAlign w:val="bottom"/>
            <w:hideMark/>
          </w:tcPr>
          <w:p w14:paraId="42AF53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5B3585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2F58C7C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68.30</w:t>
            </w:r>
          </w:p>
        </w:tc>
        <w:tc>
          <w:tcPr>
            <w:tcW w:w="0" w:type="auto"/>
            <w:shd w:val="clear" w:color="auto" w:fill="CCECFF"/>
            <w:noWrap/>
            <w:vAlign w:val="bottom"/>
            <w:hideMark/>
          </w:tcPr>
          <w:p w14:paraId="7BF409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5C0A80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19DE280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85.56</w:t>
            </w:r>
          </w:p>
        </w:tc>
        <w:tc>
          <w:tcPr>
            <w:tcW w:w="0" w:type="auto"/>
            <w:shd w:val="clear" w:color="auto" w:fill="CCECFF"/>
            <w:noWrap/>
            <w:vAlign w:val="bottom"/>
            <w:hideMark/>
          </w:tcPr>
          <w:p w14:paraId="7AB2FA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3F4F24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5A4322E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99.27</w:t>
            </w:r>
          </w:p>
        </w:tc>
        <w:tc>
          <w:tcPr>
            <w:tcW w:w="0" w:type="auto"/>
            <w:shd w:val="clear" w:color="auto" w:fill="CCECFF"/>
            <w:noWrap/>
            <w:vAlign w:val="bottom"/>
            <w:hideMark/>
          </w:tcPr>
          <w:p w14:paraId="5C9E3F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3DF9AD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2E80778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118.94</w:t>
            </w:r>
          </w:p>
        </w:tc>
        <w:tc>
          <w:tcPr>
            <w:tcW w:w="0" w:type="auto"/>
            <w:shd w:val="clear" w:color="auto" w:fill="CCECFF"/>
            <w:noWrap/>
            <w:vAlign w:val="bottom"/>
            <w:hideMark/>
          </w:tcPr>
          <w:p w14:paraId="1175A8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69D943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4EF2B72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86.35</w:t>
            </w:r>
          </w:p>
        </w:tc>
        <w:tc>
          <w:tcPr>
            <w:tcW w:w="0" w:type="auto"/>
            <w:shd w:val="clear" w:color="auto" w:fill="CCECFF"/>
            <w:noWrap/>
            <w:vAlign w:val="bottom"/>
            <w:hideMark/>
          </w:tcPr>
          <w:p w14:paraId="5068B6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6D5F0FD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2F09CE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28</w:t>
      </w:r>
    </w:p>
    <w:p w14:paraId="13BF2681"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17E3BAC">
          <v:rect id="_x0000_i1054" style="width:0;height:1.5pt" o:hralign="center" o:hrstd="t" o:hrnoshade="t" o:hr="t" fillcolor="black" stroked="f"/>
        </w:pict>
      </w:r>
    </w:p>
    <w:p w14:paraId="2734D05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029A3A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4876FAE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following graph and table below show the cumulative total shareholder return for our Swedish Depository Receipts ("SDRs") since December 31, 2017. The graph compares our performance to that of the Nasdaq OMX All Share Index ("OMX Index") and the OMX Auto Component Index ("OMX Auto Index"). The comparison assumes 100 Swedish Kronor was invested at the closing price of our SDRs on the OMX on December 31, 2017. Each of the returns shown assumes that all dividends paid were reinvested. This graph and table will be discontinued in the future. </w:t>
      </w:r>
    </w:p>
    <w:p w14:paraId="1785531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70D0FF34" w14:textId="355C3DE2"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noProof/>
          <w:color w:val="000000"/>
          <w:kern w:val="0"/>
          <w:sz w:val="20"/>
          <w:szCs w:val="20"/>
        </w:rPr>
        <mc:AlternateContent>
          <mc:Choice Requires="wps">
            <w:drawing>
              <wp:inline distT="0" distB="0" distL="0" distR="0" wp14:anchorId="42C41BC3" wp14:editId="76EB20F5">
                <wp:extent cx="306705" cy="30670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60E4E" id="矩形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Jc7cb7yAQAAwQMAAA4AAAAAAAAAAAAAAAAALgIAAGRycy9lMm9E&#10;b2MueG1sUEsBAi0AFAAGAAgAAAAhACYLKzzaAAAAAwEAAA8AAAAAAAAAAAAAAAAATAQAAGRycy9k&#10;b3ducmV2LnhtbFBLBQYAAAAABAAEAPMAAABTBQAAAAA=&#10;" filled="f" stroked="f">
                <o:lock v:ext="edit" aspectratio="t"/>
                <w10:anchorlock/>
              </v:rect>
            </w:pict>
          </mc:Fallback>
        </mc:AlternateContent>
      </w:r>
      <w:r w:rsidRPr="004B2A77">
        <w:rPr>
          <w:rFonts w:ascii="Times New Roman" w:eastAsia="宋体" w:hAnsi="Times New Roman" w:cs="Times New Roman"/>
          <w:color w:val="000000"/>
          <w:kern w:val="0"/>
          <w:sz w:val="20"/>
          <w:szCs w:val="20"/>
        </w:rPr>
        <w:t> </w:t>
      </w:r>
    </w:p>
    <w:p w14:paraId="1CDB5F0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5562"/>
        <w:gridCol w:w="229"/>
        <w:gridCol w:w="2028"/>
        <w:gridCol w:w="230"/>
        <w:gridCol w:w="230"/>
        <w:gridCol w:w="2030"/>
        <w:gridCol w:w="230"/>
        <w:gridCol w:w="230"/>
        <w:gridCol w:w="2030"/>
        <w:gridCol w:w="230"/>
        <w:gridCol w:w="230"/>
        <w:gridCol w:w="2030"/>
        <w:gridCol w:w="230"/>
        <w:gridCol w:w="230"/>
        <w:gridCol w:w="2030"/>
        <w:gridCol w:w="230"/>
        <w:gridCol w:w="230"/>
        <w:gridCol w:w="2129"/>
        <w:gridCol w:w="246"/>
      </w:tblGrid>
      <w:tr w:rsidR="004B2A77" w:rsidRPr="004B2A77" w14:paraId="4BC7F60C" w14:textId="77777777" w:rsidTr="004B2A77">
        <w:trPr>
          <w:tblCellSpacing w:w="15" w:type="dxa"/>
        </w:trPr>
        <w:tc>
          <w:tcPr>
            <w:tcW w:w="5529" w:type="dxa"/>
            <w:vAlign w:val="center"/>
            <w:hideMark/>
          </w:tcPr>
          <w:p w14:paraId="26D99A89"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0" w:type="dxa"/>
            <w:vAlign w:val="center"/>
            <w:hideMark/>
          </w:tcPr>
          <w:p w14:paraId="050A517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3" w:type="dxa"/>
            <w:vAlign w:val="center"/>
            <w:hideMark/>
          </w:tcPr>
          <w:p w14:paraId="77E2FD1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A145F8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AA1A7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3" w:type="dxa"/>
            <w:vAlign w:val="center"/>
            <w:hideMark/>
          </w:tcPr>
          <w:p w14:paraId="06ADEF5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9C4582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C762E0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3" w:type="dxa"/>
            <w:vAlign w:val="center"/>
            <w:hideMark/>
          </w:tcPr>
          <w:p w14:paraId="3CCF966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02CAF16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E9B9E1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3" w:type="dxa"/>
            <w:vAlign w:val="center"/>
            <w:hideMark/>
          </w:tcPr>
          <w:p w14:paraId="730B94A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1E525DB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8E17B4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3" w:type="dxa"/>
            <w:vAlign w:val="center"/>
            <w:hideMark/>
          </w:tcPr>
          <w:p w14:paraId="5D428E0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D4EC64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21A878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02" w:type="dxa"/>
            <w:vAlign w:val="center"/>
            <w:hideMark/>
          </w:tcPr>
          <w:p w14:paraId="3ECE6D8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104BECCC"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6076777" w14:textId="77777777" w:rsidTr="004B2A77">
        <w:trPr>
          <w:trHeight w:val="180"/>
          <w:tblCellSpacing w:w="15" w:type="dxa"/>
        </w:trPr>
        <w:tc>
          <w:tcPr>
            <w:tcW w:w="0" w:type="auto"/>
            <w:shd w:val="clear" w:color="auto" w:fill="FFFFFF"/>
            <w:vAlign w:val="bottom"/>
            <w:hideMark/>
          </w:tcPr>
          <w:p w14:paraId="5136FD1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(SEK)</w:t>
            </w:r>
          </w:p>
        </w:tc>
        <w:tc>
          <w:tcPr>
            <w:tcW w:w="0" w:type="auto"/>
            <w:gridSpan w:val="2"/>
            <w:tcBorders>
              <w:bottom w:val="single" w:sz="4" w:space="0" w:color="000000"/>
            </w:tcBorders>
            <w:shd w:val="clear" w:color="auto" w:fill="FFFFFF"/>
            <w:vAlign w:val="bottom"/>
            <w:hideMark/>
          </w:tcPr>
          <w:p w14:paraId="4597D67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12-31-2017</w:t>
            </w:r>
          </w:p>
        </w:tc>
        <w:tc>
          <w:tcPr>
            <w:tcW w:w="0" w:type="auto"/>
            <w:shd w:val="clear" w:color="auto" w:fill="FFFFFF"/>
            <w:vAlign w:val="bottom"/>
            <w:hideMark/>
          </w:tcPr>
          <w:p w14:paraId="6D0C344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083F655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12-31-2018</w:t>
            </w:r>
          </w:p>
        </w:tc>
        <w:tc>
          <w:tcPr>
            <w:tcW w:w="0" w:type="auto"/>
            <w:shd w:val="clear" w:color="auto" w:fill="FFFFFF"/>
            <w:vAlign w:val="bottom"/>
            <w:hideMark/>
          </w:tcPr>
          <w:p w14:paraId="031F555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641A57F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12-31-2019</w:t>
            </w:r>
          </w:p>
        </w:tc>
        <w:tc>
          <w:tcPr>
            <w:tcW w:w="0" w:type="auto"/>
            <w:shd w:val="clear" w:color="auto" w:fill="FFFFFF"/>
            <w:vAlign w:val="bottom"/>
            <w:hideMark/>
          </w:tcPr>
          <w:p w14:paraId="61ADFC7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6ABA7E1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12-31-2020</w:t>
            </w:r>
          </w:p>
        </w:tc>
        <w:tc>
          <w:tcPr>
            <w:tcW w:w="0" w:type="auto"/>
            <w:shd w:val="clear" w:color="auto" w:fill="FFFFFF"/>
            <w:vAlign w:val="bottom"/>
            <w:hideMark/>
          </w:tcPr>
          <w:p w14:paraId="0F84796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683107C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12-31-2021</w:t>
            </w:r>
          </w:p>
        </w:tc>
        <w:tc>
          <w:tcPr>
            <w:tcW w:w="0" w:type="auto"/>
            <w:shd w:val="clear" w:color="auto" w:fill="FFFFFF"/>
            <w:vAlign w:val="bottom"/>
            <w:hideMark/>
          </w:tcPr>
          <w:p w14:paraId="3C03539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66AA0DC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12-31-2022</w:t>
            </w:r>
          </w:p>
        </w:tc>
        <w:tc>
          <w:tcPr>
            <w:tcW w:w="0" w:type="auto"/>
            <w:shd w:val="clear" w:color="auto" w:fill="FFFFFF"/>
            <w:vAlign w:val="bottom"/>
            <w:hideMark/>
          </w:tcPr>
          <w:p w14:paraId="24DFBAA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DB04F97" w14:textId="77777777" w:rsidTr="004B2A77">
        <w:trPr>
          <w:trHeight w:val="180"/>
          <w:tblCellSpacing w:w="15" w:type="dxa"/>
        </w:trPr>
        <w:tc>
          <w:tcPr>
            <w:tcW w:w="0" w:type="auto"/>
            <w:shd w:val="clear" w:color="auto" w:fill="CCECFF"/>
            <w:vAlign w:val="bottom"/>
            <w:hideMark/>
          </w:tcPr>
          <w:p w14:paraId="551903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SDRs</w:t>
            </w:r>
          </w:p>
        </w:tc>
        <w:tc>
          <w:tcPr>
            <w:tcW w:w="0" w:type="auto"/>
            <w:shd w:val="clear" w:color="auto" w:fill="CCECFF"/>
            <w:noWrap/>
            <w:vAlign w:val="bottom"/>
            <w:hideMark/>
          </w:tcPr>
          <w:p w14:paraId="3BB43C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C86757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100</w:t>
            </w:r>
          </w:p>
        </w:tc>
        <w:tc>
          <w:tcPr>
            <w:tcW w:w="0" w:type="auto"/>
            <w:shd w:val="clear" w:color="auto" w:fill="CCECFF"/>
            <w:noWrap/>
            <w:vAlign w:val="bottom"/>
            <w:hideMark/>
          </w:tcPr>
          <w:p w14:paraId="1D55C1B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7DF5F8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6056B07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85.92</w:t>
            </w:r>
          </w:p>
        </w:tc>
        <w:tc>
          <w:tcPr>
            <w:tcW w:w="0" w:type="auto"/>
            <w:shd w:val="clear" w:color="auto" w:fill="CCECFF"/>
            <w:noWrap/>
            <w:vAlign w:val="bottom"/>
            <w:hideMark/>
          </w:tcPr>
          <w:p w14:paraId="78BC46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69DE20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99529A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111.65</w:t>
            </w:r>
          </w:p>
        </w:tc>
        <w:tc>
          <w:tcPr>
            <w:tcW w:w="0" w:type="auto"/>
            <w:shd w:val="clear" w:color="auto" w:fill="CCECFF"/>
            <w:noWrap/>
            <w:vAlign w:val="bottom"/>
            <w:hideMark/>
          </w:tcPr>
          <w:p w14:paraId="3A6CD6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7C6CA6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6F4679A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108.86</w:t>
            </w:r>
          </w:p>
        </w:tc>
        <w:tc>
          <w:tcPr>
            <w:tcW w:w="0" w:type="auto"/>
            <w:shd w:val="clear" w:color="auto" w:fill="CCECFF"/>
            <w:noWrap/>
            <w:vAlign w:val="bottom"/>
            <w:hideMark/>
          </w:tcPr>
          <w:p w14:paraId="7DB4F9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22E0A9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1FC6427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136.43</w:t>
            </w:r>
          </w:p>
        </w:tc>
        <w:tc>
          <w:tcPr>
            <w:tcW w:w="0" w:type="auto"/>
            <w:shd w:val="clear" w:color="auto" w:fill="CCECFF"/>
            <w:noWrap/>
            <w:vAlign w:val="bottom"/>
            <w:hideMark/>
          </w:tcPr>
          <w:p w14:paraId="13F0AE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135F00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3E90F43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119.53</w:t>
            </w:r>
          </w:p>
        </w:tc>
        <w:tc>
          <w:tcPr>
            <w:tcW w:w="0" w:type="auto"/>
            <w:shd w:val="clear" w:color="auto" w:fill="CCECFF"/>
            <w:noWrap/>
            <w:vAlign w:val="bottom"/>
            <w:hideMark/>
          </w:tcPr>
          <w:p w14:paraId="59F6D7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A6FB8CC" w14:textId="77777777" w:rsidTr="004B2A77">
        <w:trPr>
          <w:trHeight w:val="180"/>
          <w:tblCellSpacing w:w="15" w:type="dxa"/>
        </w:trPr>
        <w:tc>
          <w:tcPr>
            <w:tcW w:w="0" w:type="auto"/>
            <w:shd w:val="clear" w:color="auto" w:fill="FFFFFF"/>
            <w:vAlign w:val="bottom"/>
            <w:hideMark/>
          </w:tcPr>
          <w:p w14:paraId="1FEA41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OMX Index</w:t>
            </w:r>
          </w:p>
        </w:tc>
        <w:tc>
          <w:tcPr>
            <w:tcW w:w="0" w:type="auto"/>
            <w:shd w:val="clear" w:color="auto" w:fill="FFFFFF"/>
            <w:noWrap/>
            <w:vAlign w:val="bottom"/>
            <w:hideMark/>
          </w:tcPr>
          <w:p w14:paraId="78CD76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D366F4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100</w:t>
            </w:r>
          </w:p>
        </w:tc>
        <w:tc>
          <w:tcPr>
            <w:tcW w:w="0" w:type="auto"/>
            <w:shd w:val="clear" w:color="auto" w:fill="FFFFFF"/>
            <w:noWrap/>
            <w:vAlign w:val="bottom"/>
            <w:hideMark/>
          </w:tcPr>
          <w:p w14:paraId="2C586E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78B98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1661FE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95.84</w:t>
            </w:r>
          </w:p>
        </w:tc>
        <w:tc>
          <w:tcPr>
            <w:tcW w:w="0" w:type="auto"/>
            <w:shd w:val="clear" w:color="auto" w:fill="FFFFFF"/>
            <w:noWrap/>
            <w:vAlign w:val="bottom"/>
            <w:hideMark/>
          </w:tcPr>
          <w:p w14:paraId="65E273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B6D31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711CD8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128.98</w:t>
            </w:r>
          </w:p>
        </w:tc>
        <w:tc>
          <w:tcPr>
            <w:tcW w:w="0" w:type="auto"/>
            <w:shd w:val="clear" w:color="auto" w:fill="FFFFFF"/>
            <w:noWrap/>
            <w:vAlign w:val="bottom"/>
            <w:hideMark/>
          </w:tcPr>
          <w:p w14:paraId="31058F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D703F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62FFDD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147.75</w:t>
            </w:r>
          </w:p>
        </w:tc>
        <w:tc>
          <w:tcPr>
            <w:tcW w:w="0" w:type="auto"/>
            <w:shd w:val="clear" w:color="auto" w:fill="FFFFFF"/>
            <w:noWrap/>
            <w:vAlign w:val="bottom"/>
            <w:hideMark/>
          </w:tcPr>
          <w:p w14:paraId="4A2AD1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7C0F4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0778D4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206.01</w:t>
            </w:r>
          </w:p>
        </w:tc>
        <w:tc>
          <w:tcPr>
            <w:tcW w:w="0" w:type="auto"/>
            <w:shd w:val="clear" w:color="auto" w:fill="FFFFFF"/>
            <w:noWrap/>
            <w:vAlign w:val="bottom"/>
            <w:hideMark/>
          </w:tcPr>
          <w:p w14:paraId="3574B7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9BE5A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6A48EB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159.87</w:t>
            </w:r>
          </w:p>
        </w:tc>
        <w:tc>
          <w:tcPr>
            <w:tcW w:w="0" w:type="auto"/>
            <w:shd w:val="clear" w:color="auto" w:fill="FFFFFF"/>
            <w:noWrap/>
            <w:vAlign w:val="bottom"/>
            <w:hideMark/>
          </w:tcPr>
          <w:p w14:paraId="2203E4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94A5827" w14:textId="77777777" w:rsidTr="004B2A77">
        <w:trPr>
          <w:trHeight w:val="180"/>
          <w:tblCellSpacing w:w="15" w:type="dxa"/>
        </w:trPr>
        <w:tc>
          <w:tcPr>
            <w:tcW w:w="0" w:type="auto"/>
            <w:shd w:val="clear" w:color="auto" w:fill="CCECFF"/>
            <w:vAlign w:val="bottom"/>
            <w:hideMark/>
          </w:tcPr>
          <w:p w14:paraId="7B111A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lastRenderedPageBreak/>
              <w:t>OMX Auto Index</w:t>
            </w:r>
          </w:p>
        </w:tc>
        <w:tc>
          <w:tcPr>
            <w:tcW w:w="0" w:type="auto"/>
            <w:shd w:val="clear" w:color="auto" w:fill="CCECFF"/>
            <w:noWrap/>
            <w:vAlign w:val="bottom"/>
            <w:hideMark/>
          </w:tcPr>
          <w:p w14:paraId="5A38BA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4D4C63F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100</w:t>
            </w:r>
          </w:p>
        </w:tc>
        <w:tc>
          <w:tcPr>
            <w:tcW w:w="0" w:type="auto"/>
            <w:shd w:val="clear" w:color="auto" w:fill="CCECFF"/>
            <w:noWrap/>
            <w:vAlign w:val="bottom"/>
            <w:hideMark/>
          </w:tcPr>
          <w:p w14:paraId="06A4A7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75BA6A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B9A9FB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77.52</w:t>
            </w:r>
          </w:p>
        </w:tc>
        <w:tc>
          <w:tcPr>
            <w:tcW w:w="0" w:type="auto"/>
            <w:shd w:val="clear" w:color="auto" w:fill="CCECFF"/>
            <w:noWrap/>
            <w:vAlign w:val="bottom"/>
            <w:hideMark/>
          </w:tcPr>
          <w:p w14:paraId="45EE5D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647BCF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7CD8ADC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83.18</w:t>
            </w:r>
          </w:p>
        </w:tc>
        <w:tc>
          <w:tcPr>
            <w:tcW w:w="0" w:type="auto"/>
            <w:shd w:val="clear" w:color="auto" w:fill="CCECFF"/>
            <w:noWrap/>
            <w:vAlign w:val="bottom"/>
            <w:hideMark/>
          </w:tcPr>
          <w:p w14:paraId="1F905D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005825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50B3852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89.35</w:t>
            </w:r>
          </w:p>
        </w:tc>
        <w:tc>
          <w:tcPr>
            <w:tcW w:w="0" w:type="auto"/>
            <w:shd w:val="clear" w:color="auto" w:fill="CCECFF"/>
            <w:noWrap/>
            <w:vAlign w:val="bottom"/>
            <w:hideMark/>
          </w:tcPr>
          <w:p w14:paraId="12073E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3AEBD7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04B315B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134.26</w:t>
            </w:r>
          </w:p>
        </w:tc>
        <w:tc>
          <w:tcPr>
            <w:tcW w:w="0" w:type="auto"/>
            <w:shd w:val="clear" w:color="auto" w:fill="CCECFF"/>
            <w:noWrap/>
            <w:vAlign w:val="bottom"/>
            <w:hideMark/>
          </w:tcPr>
          <w:p w14:paraId="655591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bottom"/>
            <w:hideMark/>
          </w:tcPr>
          <w:p w14:paraId="1EAF81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bottom"/>
            <w:hideMark/>
          </w:tcPr>
          <w:p w14:paraId="4DFF6C6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82.92</w:t>
            </w:r>
          </w:p>
        </w:tc>
        <w:tc>
          <w:tcPr>
            <w:tcW w:w="0" w:type="auto"/>
            <w:shd w:val="clear" w:color="auto" w:fill="CCECFF"/>
            <w:noWrap/>
            <w:vAlign w:val="bottom"/>
            <w:hideMark/>
          </w:tcPr>
          <w:p w14:paraId="5AEE0B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3424D0D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36BDD7D"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29</w:t>
      </w:r>
    </w:p>
    <w:p w14:paraId="5C1CA5AD"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869DF5A">
          <v:rect id="_x0000_i1056" style="width:0;height:1.5pt" o:hralign="center" o:hrstd="t" o:hrnoshade="t" o:hr="t" fillcolor="black" stroked="f"/>
        </w:pict>
      </w:r>
    </w:p>
    <w:p w14:paraId="520CD09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0AA01A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250F09C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Number of shares</w:t>
      </w:r>
    </w:p>
    <w:p w14:paraId="4CF6555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213563E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of December 31, 2022, the number of shares outstanding, net of treasury shares, was 86.2 million, compared to 87.5 million as of December 31, 2021.</w:t>
      </w:r>
    </w:p>
    <w:p w14:paraId="184607E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1A92BB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During 2022, the weighted average number of shares outstanding (excluding dilution and treasury shares) decreased to 87.1 million from 87.5 million in 2021. Assuming dilution, the weighted average number of shares outstanding for the full year 2022 decreased to 87.2 million from 87.7 million in 2021. </w:t>
      </w:r>
    </w:p>
    <w:p w14:paraId="61FED15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Stock options (if exercised) and granted Restricted Stock Units (RSUs) and Performance Shares (PSs) could increase the number of shares outstanding as of December 31, 2022 by 0.3 million shares in the aggregate. Combined, this would add 0.4% to the number of shares outstanding as of December 31, 2022. In November 2021, the Board of Directors approved a new stock repurchase program that authorizes the Company to repurchase up to $1.5 billion or up to 17 million shares (whichever comes first) between January 2022 and the end of 2024. On December 15, 2022, the Board of Directors approved the retirement of 10.0 million treasury shares. On December 31, 2022, the Company had 5.0 million treasury shares.</w:t>
      </w:r>
    </w:p>
    <w:p w14:paraId="07B0CEF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Shareholders</w:t>
      </w:r>
    </w:p>
    <w:p w14:paraId="2501B37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Of the shares held by institutional investors, Autoliv estimates that around 47% were held by Sweden-based shareholders, around 31% by US-based shareholders and around 9% by UK-based shareholders. Most of the remaining Autoliv shares were held in Switzerland, Norway, Germany and France.</w:t>
      </w:r>
    </w:p>
    <w:p w14:paraId="4D4E201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18"/>
          <w:szCs w:val="18"/>
        </w:rPr>
        <w:t>Dividends</w:t>
      </w:r>
    </w:p>
    <w:p w14:paraId="4930E51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has a history of paying quarterly cash dividends. Declared dividends are announced in press releases and published on Autoliv’s corporate website. The Board of Directors revisits dividends on a quarterly basis. There can be no assurance that the Board of Directors will declare dividends in the future. See Autoliv’s corporate website for additional details regarding historical dividends.</w:t>
      </w:r>
    </w:p>
    <w:p w14:paraId="73D2B1E5"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Stock incentive plan</w:t>
      </w:r>
    </w:p>
    <w:p w14:paraId="74FFA40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employees participate in the Autoliv, Inc. 1997 Stock Incentive Plan, as amended (the “Stock Incentive Plan”) and receive Autoliv stock-based awards from time to time. Additional information regarding the securities authorized for issuance under the Stock Incentive Plan is included in Item 12 of this Annual Report.</w:t>
      </w:r>
    </w:p>
    <w:p w14:paraId="0E43F0D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10202"/>
          <w:kern w:val="0"/>
          <w:sz w:val="18"/>
          <w:szCs w:val="18"/>
        </w:rPr>
        <w:lastRenderedPageBreak/>
        <w:t>Autoliv has adopted a Stock Ownership Policy for Executives requiring the Company’s Chief Executive Officer (CEO) to accumulate and hold the number of Autoliv shares having a value of twice his annual base salary. For other executives, the minimum requirement is, over time, a holding equal to each executive’s annual base salary.</w:t>
      </w:r>
    </w:p>
    <w:p w14:paraId="5F7A40C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10202"/>
          <w:kern w:val="0"/>
          <w:sz w:val="18"/>
          <w:szCs w:val="18"/>
        </w:rPr>
        <w:t>Stock repurchase program</w:t>
      </w:r>
    </w:p>
    <w:p w14:paraId="70146E6E" w14:textId="77777777" w:rsidR="004B2A77" w:rsidRPr="004B2A77" w:rsidRDefault="004B2A77" w:rsidP="004B2A77">
      <w:pPr>
        <w:widowControl/>
        <w:spacing w:before="120"/>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following table provides information with respect to common stock repurchases by the Company during the three months period ended December 31, 2022.</w:t>
      </w:r>
    </w:p>
    <w:p w14:paraId="5ADD652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3205"/>
        <w:gridCol w:w="303"/>
        <w:gridCol w:w="200"/>
        <w:gridCol w:w="2227"/>
        <w:gridCol w:w="198"/>
        <w:gridCol w:w="372"/>
        <w:gridCol w:w="233"/>
        <w:gridCol w:w="2161"/>
        <w:gridCol w:w="198"/>
        <w:gridCol w:w="303"/>
        <w:gridCol w:w="289"/>
        <w:gridCol w:w="4934"/>
        <w:gridCol w:w="201"/>
        <w:gridCol w:w="303"/>
        <w:gridCol w:w="290"/>
        <w:gridCol w:w="4980"/>
        <w:gridCol w:w="217"/>
      </w:tblGrid>
      <w:tr w:rsidR="004B2A77" w:rsidRPr="004B2A77" w14:paraId="4CC3043C" w14:textId="77777777" w:rsidTr="004B2A77">
        <w:trPr>
          <w:tblCellSpacing w:w="15" w:type="dxa"/>
        </w:trPr>
        <w:tc>
          <w:tcPr>
            <w:tcW w:w="4009" w:type="dxa"/>
            <w:vAlign w:val="center"/>
            <w:hideMark/>
          </w:tcPr>
          <w:p w14:paraId="7A7D5D8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40" w:type="dxa"/>
            <w:vAlign w:val="center"/>
            <w:hideMark/>
          </w:tcPr>
          <w:p w14:paraId="367918B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EB72D0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37" w:type="dxa"/>
            <w:vAlign w:val="center"/>
            <w:hideMark/>
          </w:tcPr>
          <w:p w14:paraId="344756F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2FE0DB8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34" w:type="dxa"/>
            <w:vAlign w:val="center"/>
            <w:hideMark/>
          </w:tcPr>
          <w:p w14:paraId="6052F66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69C2B86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02" w:type="dxa"/>
            <w:vAlign w:val="center"/>
            <w:hideMark/>
          </w:tcPr>
          <w:p w14:paraId="6E287CF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224DEE4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0" w:type="dxa"/>
            <w:vAlign w:val="center"/>
            <w:hideMark/>
          </w:tcPr>
          <w:p w14:paraId="22BA498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FA4451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949" w:type="dxa"/>
            <w:vAlign w:val="center"/>
            <w:hideMark/>
          </w:tcPr>
          <w:p w14:paraId="3BFB7D4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A01617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0" w:type="dxa"/>
            <w:vAlign w:val="center"/>
            <w:hideMark/>
          </w:tcPr>
          <w:p w14:paraId="6205AC5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0EB1345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949" w:type="dxa"/>
            <w:vAlign w:val="center"/>
            <w:hideMark/>
          </w:tcPr>
          <w:p w14:paraId="3F32947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1275D041"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C71AAB8" w14:textId="77777777" w:rsidTr="004B2A77">
        <w:trPr>
          <w:trHeight w:val="160"/>
          <w:tblCellSpacing w:w="15" w:type="dxa"/>
        </w:trPr>
        <w:tc>
          <w:tcPr>
            <w:tcW w:w="0" w:type="auto"/>
            <w:shd w:val="clear" w:color="auto" w:fill="FFFFFF"/>
            <w:vAlign w:val="bottom"/>
            <w:hideMark/>
          </w:tcPr>
          <w:p w14:paraId="70865B9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6D74C256"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6"/>
            <w:tcBorders>
              <w:bottom w:val="single" w:sz="4" w:space="0" w:color="000000"/>
            </w:tcBorders>
            <w:shd w:val="clear" w:color="auto" w:fill="FFFFFF"/>
            <w:vAlign w:val="bottom"/>
            <w:hideMark/>
          </w:tcPr>
          <w:p w14:paraId="335061A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New York Stock Exchange (NYSE)</w:t>
            </w:r>
          </w:p>
        </w:tc>
        <w:tc>
          <w:tcPr>
            <w:tcW w:w="0" w:type="auto"/>
            <w:shd w:val="clear" w:color="auto" w:fill="FFFFFF"/>
            <w:vAlign w:val="bottom"/>
            <w:hideMark/>
          </w:tcPr>
          <w:p w14:paraId="2DBEA8E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6631F22"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shd w:val="clear" w:color="auto" w:fill="FFFFFF"/>
            <w:vAlign w:val="bottom"/>
            <w:hideMark/>
          </w:tcPr>
          <w:p w14:paraId="23AE1413"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6844E3A2"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35DDA9AD"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shd w:val="clear" w:color="auto" w:fill="FFFFFF"/>
            <w:vAlign w:val="bottom"/>
            <w:hideMark/>
          </w:tcPr>
          <w:p w14:paraId="13C313F0"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3DE0999B"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r>
      <w:tr w:rsidR="004B2A77" w:rsidRPr="004B2A77" w14:paraId="508701B9" w14:textId="77777777" w:rsidTr="004B2A77">
        <w:trPr>
          <w:trHeight w:val="160"/>
          <w:tblCellSpacing w:w="15" w:type="dxa"/>
        </w:trPr>
        <w:tc>
          <w:tcPr>
            <w:tcW w:w="0" w:type="auto"/>
            <w:tcBorders>
              <w:bottom w:val="single" w:sz="4" w:space="0" w:color="000000"/>
            </w:tcBorders>
            <w:shd w:val="clear" w:color="auto" w:fill="FFFFFF"/>
            <w:vAlign w:val="bottom"/>
            <w:hideMark/>
          </w:tcPr>
          <w:p w14:paraId="5FAF45C2"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Period</w:t>
            </w:r>
          </w:p>
        </w:tc>
        <w:tc>
          <w:tcPr>
            <w:tcW w:w="0" w:type="auto"/>
            <w:shd w:val="clear" w:color="auto" w:fill="FFFFFF"/>
            <w:vAlign w:val="bottom"/>
            <w:hideMark/>
          </w:tcPr>
          <w:p w14:paraId="6214197D"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tcBorders>
              <w:bottom w:val="single" w:sz="4" w:space="0" w:color="000000"/>
            </w:tcBorders>
            <w:shd w:val="clear" w:color="auto" w:fill="FFFFFF"/>
            <w:vAlign w:val="bottom"/>
            <w:hideMark/>
          </w:tcPr>
          <w:p w14:paraId="3822AD7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Total Number of Shares Purchased (1)</w:t>
            </w:r>
          </w:p>
        </w:tc>
        <w:tc>
          <w:tcPr>
            <w:tcW w:w="0" w:type="auto"/>
            <w:shd w:val="clear" w:color="auto" w:fill="FFFFFF"/>
            <w:vAlign w:val="bottom"/>
            <w:hideMark/>
          </w:tcPr>
          <w:p w14:paraId="2565C55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C51426C"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tcBorders>
              <w:bottom w:val="single" w:sz="4" w:space="0" w:color="000000"/>
            </w:tcBorders>
            <w:shd w:val="clear" w:color="auto" w:fill="FFFFFF"/>
            <w:vAlign w:val="bottom"/>
            <w:hideMark/>
          </w:tcPr>
          <w:p w14:paraId="646E079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Average Price Paid per Share (USD) (2)</w:t>
            </w:r>
          </w:p>
        </w:tc>
        <w:tc>
          <w:tcPr>
            <w:tcW w:w="0" w:type="auto"/>
            <w:shd w:val="clear" w:color="auto" w:fill="FFFFFF"/>
            <w:vAlign w:val="bottom"/>
            <w:hideMark/>
          </w:tcPr>
          <w:p w14:paraId="6C2539D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B27CF3B"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tcBorders>
              <w:bottom w:val="single" w:sz="4" w:space="0" w:color="000000"/>
            </w:tcBorders>
            <w:shd w:val="clear" w:color="auto" w:fill="FFFFFF"/>
            <w:vAlign w:val="bottom"/>
            <w:hideMark/>
          </w:tcPr>
          <w:p w14:paraId="7145EF3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Total Number of Shares Purchased as Part of Publicly Announced Plans or Programs (3)</w:t>
            </w:r>
          </w:p>
        </w:tc>
        <w:tc>
          <w:tcPr>
            <w:tcW w:w="0" w:type="auto"/>
            <w:shd w:val="clear" w:color="auto" w:fill="FFFFFF"/>
            <w:vAlign w:val="bottom"/>
            <w:hideMark/>
          </w:tcPr>
          <w:p w14:paraId="22F6D04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1A1B9D1"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tcBorders>
              <w:bottom w:val="single" w:sz="4" w:space="0" w:color="000000"/>
            </w:tcBorders>
            <w:shd w:val="clear" w:color="auto" w:fill="FFFFFF"/>
            <w:vAlign w:val="bottom"/>
            <w:hideMark/>
          </w:tcPr>
          <w:p w14:paraId="6462685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Maximum Number of Shares that May Yet Be Purchased Under the Plans or Programs (3)</w:t>
            </w:r>
          </w:p>
        </w:tc>
        <w:tc>
          <w:tcPr>
            <w:tcW w:w="0" w:type="auto"/>
            <w:shd w:val="clear" w:color="auto" w:fill="FFFFFF"/>
            <w:vAlign w:val="bottom"/>
            <w:hideMark/>
          </w:tcPr>
          <w:p w14:paraId="2E4963D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0E788732" w14:textId="77777777" w:rsidTr="004B2A77">
        <w:trPr>
          <w:trHeight w:val="180"/>
          <w:tblCellSpacing w:w="15" w:type="dxa"/>
        </w:trPr>
        <w:tc>
          <w:tcPr>
            <w:tcW w:w="0" w:type="auto"/>
            <w:shd w:val="clear" w:color="auto" w:fill="CFF0FC"/>
            <w:vAlign w:val="bottom"/>
            <w:hideMark/>
          </w:tcPr>
          <w:p w14:paraId="6659E3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October 1-31, 2022</w:t>
            </w:r>
          </w:p>
        </w:tc>
        <w:tc>
          <w:tcPr>
            <w:tcW w:w="0" w:type="auto"/>
            <w:shd w:val="clear" w:color="auto" w:fill="CFF0FC"/>
            <w:vAlign w:val="bottom"/>
            <w:hideMark/>
          </w:tcPr>
          <w:p w14:paraId="218922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50FE0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D118AF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249,090</w:t>
            </w:r>
          </w:p>
        </w:tc>
        <w:tc>
          <w:tcPr>
            <w:tcW w:w="0" w:type="auto"/>
            <w:shd w:val="clear" w:color="auto" w:fill="CFF0FC"/>
            <w:noWrap/>
            <w:vAlign w:val="bottom"/>
            <w:hideMark/>
          </w:tcPr>
          <w:p w14:paraId="550DD2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E59A9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0C280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0BF8EB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80.31</w:t>
            </w:r>
          </w:p>
        </w:tc>
        <w:tc>
          <w:tcPr>
            <w:tcW w:w="0" w:type="auto"/>
            <w:shd w:val="clear" w:color="auto" w:fill="CFF0FC"/>
            <w:noWrap/>
            <w:vAlign w:val="bottom"/>
            <w:hideMark/>
          </w:tcPr>
          <w:p w14:paraId="2FD3C0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99D1C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B6A13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F8173D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1,039,981</w:t>
            </w:r>
          </w:p>
        </w:tc>
        <w:tc>
          <w:tcPr>
            <w:tcW w:w="0" w:type="auto"/>
            <w:shd w:val="clear" w:color="auto" w:fill="CFF0FC"/>
            <w:noWrap/>
            <w:vAlign w:val="bottom"/>
            <w:hideMark/>
          </w:tcPr>
          <w:p w14:paraId="6445EE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9D988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955438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70B728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15,960,019</w:t>
            </w:r>
          </w:p>
        </w:tc>
        <w:tc>
          <w:tcPr>
            <w:tcW w:w="0" w:type="auto"/>
            <w:shd w:val="clear" w:color="auto" w:fill="CFF0FC"/>
            <w:noWrap/>
            <w:vAlign w:val="bottom"/>
            <w:hideMark/>
          </w:tcPr>
          <w:p w14:paraId="4D353D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3D4FF70" w14:textId="77777777" w:rsidTr="004B2A77">
        <w:trPr>
          <w:trHeight w:val="180"/>
          <w:tblCellSpacing w:w="15" w:type="dxa"/>
        </w:trPr>
        <w:tc>
          <w:tcPr>
            <w:tcW w:w="0" w:type="auto"/>
            <w:shd w:val="clear" w:color="auto" w:fill="FFFFFF"/>
            <w:vAlign w:val="bottom"/>
            <w:hideMark/>
          </w:tcPr>
          <w:p w14:paraId="40E744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November 1-30, 2022</w:t>
            </w:r>
          </w:p>
        </w:tc>
        <w:tc>
          <w:tcPr>
            <w:tcW w:w="0" w:type="auto"/>
            <w:shd w:val="clear" w:color="auto" w:fill="FFFFFF"/>
            <w:vAlign w:val="bottom"/>
            <w:hideMark/>
          </w:tcPr>
          <w:p w14:paraId="033084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74C04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A592F4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400,591</w:t>
            </w:r>
          </w:p>
        </w:tc>
        <w:tc>
          <w:tcPr>
            <w:tcW w:w="0" w:type="auto"/>
            <w:shd w:val="clear" w:color="auto" w:fill="FFFFFF"/>
            <w:noWrap/>
            <w:vAlign w:val="bottom"/>
            <w:hideMark/>
          </w:tcPr>
          <w:p w14:paraId="0A77DB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33A66A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28200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0522A5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87.38</w:t>
            </w:r>
          </w:p>
        </w:tc>
        <w:tc>
          <w:tcPr>
            <w:tcW w:w="0" w:type="auto"/>
            <w:shd w:val="clear" w:color="auto" w:fill="FFFFFF"/>
            <w:noWrap/>
            <w:vAlign w:val="bottom"/>
            <w:hideMark/>
          </w:tcPr>
          <w:p w14:paraId="5B2F37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D6E39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88F63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FDB377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1,440,572</w:t>
            </w:r>
          </w:p>
        </w:tc>
        <w:tc>
          <w:tcPr>
            <w:tcW w:w="0" w:type="auto"/>
            <w:shd w:val="clear" w:color="auto" w:fill="FFFFFF"/>
            <w:noWrap/>
            <w:vAlign w:val="bottom"/>
            <w:hideMark/>
          </w:tcPr>
          <w:p w14:paraId="57ECA7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CDC11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18875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B0E8B4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15,559,428</w:t>
            </w:r>
          </w:p>
        </w:tc>
        <w:tc>
          <w:tcPr>
            <w:tcW w:w="0" w:type="auto"/>
            <w:shd w:val="clear" w:color="auto" w:fill="FFFFFF"/>
            <w:noWrap/>
            <w:vAlign w:val="bottom"/>
            <w:hideMark/>
          </w:tcPr>
          <w:p w14:paraId="3802F0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8803445" w14:textId="77777777" w:rsidTr="004B2A77">
        <w:trPr>
          <w:trHeight w:val="180"/>
          <w:tblCellSpacing w:w="15" w:type="dxa"/>
        </w:trPr>
        <w:tc>
          <w:tcPr>
            <w:tcW w:w="0" w:type="auto"/>
            <w:shd w:val="clear" w:color="auto" w:fill="CFF0FC"/>
            <w:vAlign w:val="bottom"/>
            <w:hideMark/>
          </w:tcPr>
          <w:p w14:paraId="7D584E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December 1-31, 2022</w:t>
            </w:r>
          </w:p>
        </w:tc>
        <w:tc>
          <w:tcPr>
            <w:tcW w:w="0" w:type="auto"/>
            <w:shd w:val="clear" w:color="auto" w:fill="CFF0FC"/>
            <w:vAlign w:val="bottom"/>
            <w:hideMark/>
          </w:tcPr>
          <w:p w14:paraId="3FB7CE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98BF66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978C65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095E4A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16F425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45014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F1D8BB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1B85C6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627B9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D1515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D8424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1,440,572</w:t>
            </w:r>
          </w:p>
        </w:tc>
        <w:tc>
          <w:tcPr>
            <w:tcW w:w="0" w:type="auto"/>
            <w:shd w:val="clear" w:color="auto" w:fill="CFF0FC"/>
            <w:noWrap/>
            <w:vAlign w:val="bottom"/>
            <w:hideMark/>
          </w:tcPr>
          <w:p w14:paraId="6F731C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E0E71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B1D72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3C2AA2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15,559,428</w:t>
            </w:r>
          </w:p>
        </w:tc>
        <w:tc>
          <w:tcPr>
            <w:tcW w:w="0" w:type="auto"/>
            <w:shd w:val="clear" w:color="auto" w:fill="CFF0FC"/>
            <w:noWrap/>
            <w:vAlign w:val="bottom"/>
            <w:hideMark/>
          </w:tcPr>
          <w:p w14:paraId="4E059D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79621D2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(1) The repurchases are being executed from time to time, subject to general business and market conditions and other investment opportunities, through open market purchases or privately negotiated transactions, including through Rule 10b5-1 plans. For accounting purposes, shares repurchased under our stock repurchase programs are recorded based upon the settlement date of the applicable trade. </w:t>
      </w:r>
    </w:p>
    <w:p w14:paraId="44050BB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(2) Average price paid per share includes costs associated with the repurchases.</w:t>
      </w:r>
    </w:p>
    <w:p w14:paraId="109FBF0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(3) On November 16, 2021, the Company announced that its Board of Directors approved a new stock repurchase program that authorizes the Company to repurchase up to $1.5 billion or up to 17 million common shares, whichever comes first, between January 2022 and the end of 2024.</w:t>
      </w:r>
    </w:p>
    <w:p w14:paraId="5B6F5A6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2"/>
        </w:rPr>
        <w:t> </w:t>
      </w:r>
    </w:p>
    <w:p w14:paraId="59ED42B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2"/>
        </w:rPr>
        <w:t> </w:t>
      </w:r>
    </w:p>
    <w:p w14:paraId="7E246F7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6. [RESERVED]</w:t>
      </w:r>
    </w:p>
    <w:p w14:paraId="56D623E4"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30</w:t>
      </w:r>
    </w:p>
    <w:p w14:paraId="702BCA0D"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0AA85E5">
          <v:rect id="_x0000_i1057" style="width:0;height:1.5pt" o:hralign="center" o:hrstd="t" o:hrnoshade="t" o:hr="t" fillcolor="black" stroked="f"/>
        </w:pict>
      </w:r>
    </w:p>
    <w:p w14:paraId="5AF347F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21C904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7. Management’s Discussion and Analysis of Financial Condition and Results of Operations</w:t>
      </w:r>
    </w:p>
    <w:p w14:paraId="5CD8649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IMPORTANT TRENDS</w:t>
      </w:r>
    </w:p>
    <w:p w14:paraId="7498ACE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discussions and analysis in this section are focused on the Company’s results of operations for the year ended December 31, 2022 compared to the year ended December 31, 2021. Discussions of the Company's results of operations for the year ended December 31, 2021 compared to the year ended December 31, 2020 can be found in Part II, Item 7. Management's Discussion and Analysis of Financial Condition and Results of Operations in the Company's Form 10-K for the year ended December 31, 2021, which was filed with the United States Securities and Exchange Commission on February 22, 2022.</w:t>
      </w:r>
    </w:p>
    <w:p w14:paraId="202F14C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Autoliv, Inc. (the “Company”) provides automotive safety systems to the automotive industry with a broad range of product offerings, primarily passive safety systems. In the year ended December 31, 2022, a number of factors influenced the Company’s results of operations, including:</w:t>
      </w:r>
    </w:p>
    <w:p w14:paraId="493C1857" w14:textId="77777777" w:rsidR="004B2A77" w:rsidRPr="004B2A77" w:rsidRDefault="004B2A77" w:rsidP="004B2A77">
      <w:pPr>
        <w:widowControl/>
        <w:rPr>
          <w:rFonts w:ascii="微软雅黑" w:eastAsia="微软雅黑" w:hAnsi="微软雅黑" w:cs="宋体"/>
          <w:color w:val="000000"/>
          <w:kern w:val="0"/>
          <w:sz w:val="27"/>
          <w:szCs w:val="27"/>
        </w:rPr>
      </w:pPr>
      <w:r w:rsidRPr="004B2A77">
        <w:rPr>
          <w:rFonts w:ascii="Times New Roman" w:eastAsia="微软雅黑" w:hAnsi="Times New Roman" w:cs="Times New Roman"/>
          <w:color w:val="000000"/>
          <w:kern w:val="0"/>
          <w:sz w:val="18"/>
          <w:szCs w:val="18"/>
        </w:rPr>
        <w:t>•</w:t>
      </w:r>
    </w:p>
    <w:p w14:paraId="217E8E7C"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Industry supply chain disruptions and the global semiconductor shortage limited the light vehicle production (LVP) recovery and caused high customer call-off volatility</w:t>
      </w:r>
    </w:p>
    <w:p w14:paraId="0F2CEC76"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4978344C"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Raw material price increases and corresponding inflation compensation negotiations with customers</w:t>
      </w:r>
    </w:p>
    <w:p w14:paraId="237B21C0"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45CA89EF"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COVID-19 pandemic</w:t>
      </w:r>
    </w:p>
    <w:p w14:paraId="061A5EBC"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3CB0FBA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Continued growth above LVP driven by price, higher content per vehicle, and execution of strong order book</w:t>
      </w:r>
    </w:p>
    <w:p w14:paraId="6CB3400F"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33AD6C19"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Order intake adding to an already strong customer base </w:t>
      </w:r>
    </w:p>
    <w:p w14:paraId="1F18BD3F"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1320DC47"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Strategic and structural initiatives </w:t>
      </w:r>
    </w:p>
    <w:p w14:paraId="6EAF40B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5452C422"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Continued focus on operational excellence and quality</w:t>
      </w:r>
    </w:p>
    <w:p w14:paraId="063B3EC5" w14:textId="77777777" w:rsidR="004B2A77" w:rsidRPr="004B2A77" w:rsidRDefault="004B2A77" w:rsidP="004B2A77">
      <w:pPr>
        <w:widowControl/>
        <w:rPr>
          <w:rFonts w:ascii="Times New Roman" w:eastAsia="宋体" w:hAnsi="Times New Roman" w:cs="Times New Roman" w:hint="eastAsia"/>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1299"/>
        <w:gridCol w:w="229"/>
        <w:gridCol w:w="1479"/>
        <w:gridCol w:w="230"/>
        <w:gridCol w:w="343"/>
        <w:gridCol w:w="230"/>
        <w:gridCol w:w="1383"/>
        <w:gridCol w:w="230"/>
        <w:gridCol w:w="533"/>
        <w:gridCol w:w="230"/>
        <w:gridCol w:w="1482"/>
        <w:gridCol w:w="230"/>
        <w:gridCol w:w="345"/>
        <w:gridCol w:w="230"/>
        <w:gridCol w:w="1362"/>
        <w:gridCol w:w="230"/>
        <w:gridCol w:w="549"/>
      </w:tblGrid>
      <w:tr w:rsidR="004B2A77" w:rsidRPr="004B2A77" w14:paraId="1A0250DA" w14:textId="77777777" w:rsidTr="004B2A77">
        <w:trPr>
          <w:tblCellSpacing w:w="15" w:type="dxa"/>
        </w:trPr>
        <w:tc>
          <w:tcPr>
            <w:tcW w:w="11274" w:type="dxa"/>
            <w:vAlign w:val="center"/>
            <w:hideMark/>
          </w:tcPr>
          <w:p w14:paraId="29E3CD0E"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0" w:type="dxa"/>
            <w:vAlign w:val="center"/>
            <w:hideMark/>
          </w:tcPr>
          <w:p w14:paraId="233E627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51" w:type="dxa"/>
            <w:vAlign w:val="center"/>
            <w:hideMark/>
          </w:tcPr>
          <w:p w14:paraId="2B55051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77B024B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3" w:type="dxa"/>
            <w:vAlign w:val="center"/>
            <w:hideMark/>
          </w:tcPr>
          <w:p w14:paraId="3B7E05A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6CACC5D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55" w:type="dxa"/>
            <w:vAlign w:val="center"/>
            <w:hideMark/>
          </w:tcPr>
          <w:p w14:paraId="3B2EBCF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0B1362D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503" w:type="dxa"/>
            <w:vAlign w:val="center"/>
            <w:hideMark/>
          </w:tcPr>
          <w:p w14:paraId="01C46EB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67D7047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53" w:type="dxa"/>
            <w:vAlign w:val="center"/>
            <w:hideMark/>
          </w:tcPr>
          <w:p w14:paraId="3ED341B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498CFD5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5" w:type="dxa"/>
            <w:vAlign w:val="center"/>
            <w:hideMark/>
          </w:tcPr>
          <w:p w14:paraId="40DF059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46E61A5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34" w:type="dxa"/>
            <w:vAlign w:val="center"/>
            <w:hideMark/>
          </w:tcPr>
          <w:p w14:paraId="048C729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1B13CFB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504" w:type="dxa"/>
            <w:vAlign w:val="center"/>
            <w:hideMark/>
          </w:tcPr>
          <w:p w14:paraId="6213507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6B81808" w14:textId="77777777" w:rsidTr="004B2A77">
        <w:trPr>
          <w:trHeight w:val="160"/>
          <w:tblCellSpacing w:w="15" w:type="dxa"/>
        </w:trPr>
        <w:tc>
          <w:tcPr>
            <w:tcW w:w="0" w:type="auto"/>
            <w:shd w:val="clear" w:color="auto" w:fill="FFFFFF"/>
            <w:vAlign w:val="bottom"/>
            <w:hideMark/>
          </w:tcPr>
          <w:p w14:paraId="65E4857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0AE066D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5DD62CA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C7D0299"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62D99D4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51742DD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110A5D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5586E220" w14:textId="77777777" w:rsidTr="004B2A77">
        <w:trPr>
          <w:trHeight w:val="160"/>
          <w:tblCellSpacing w:w="15" w:type="dxa"/>
        </w:trPr>
        <w:tc>
          <w:tcPr>
            <w:tcW w:w="0" w:type="auto"/>
            <w:shd w:val="clear" w:color="auto" w:fill="FFFFFF"/>
            <w:vAlign w:val="bottom"/>
            <w:hideMark/>
          </w:tcPr>
          <w:p w14:paraId="7F7EB169"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YEARS ENDED DEC. 31 (DOLLARS IN MILLIONS, EXCEPT EPS)</w:t>
            </w:r>
          </w:p>
        </w:tc>
        <w:tc>
          <w:tcPr>
            <w:tcW w:w="0" w:type="auto"/>
            <w:gridSpan w:val="2"/>
            <w:tcBorders>
              <w:bottom w:val="single" w:sz="4" w:space="0" w:color="000000"/>
            </w:tcBorders>
            <w:shd w:val="clear" w:color="auto" w:fill="FFFFFF"/>
            <w:vAlign w:val="bottom"/>
            <w:hideMark/>
          </w:tcPr>
          <w:p w14:paraId="3A69066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Reported</w:t>
            </w:r>
            <w:r w:rsidRPr="004B2A77">
              <w:rPr>
                <w:rFonts w:ascii="Arial" w:eastAsia="微软雅黑" w:hAnsi="Arial" w:cs="Arial"/>
                <w:b/>
                <w:bCs/>
                <w:color w:val="000000"/>
                <w:kern w:val="0"/>
                <w:sz w:val="11"/>
                <w:szCs w:val="11"/>
              </w:rPr>
              <w:t>1)</w:t>
            </w:r>
          </w:p>
        </w:tc>
        <w:tc>
          <w:tcPr>
            <w:tcW w:w="0" w:type="auto"/>
            <w:shd w:val="clear" w:color="auto" w:fill="FFFFFF"/>
            <w:vAlign w:val="bottom"/>
            <w:hideMark/>
          </w:tcPr>
          <w:p w14:paraId="6A28520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7E0770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942BA6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change</w:t>
            </w:r>
          </w:p>
        </w:tc>
        <w:tc>
          <w:tcPr>
            <w:tcW w:w="0" w:type="auto"/>
            <w:shd w:val="clear" w:color="auto" w:fill="FFFFFF"/>
            <w:vAlign w:val="bottom"/>
            <w:hideMark/>
          </w:tcPr>
          <w:p w14:paraId="3FF6EFF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F60C70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EC0FBE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Reported</w:t>
            </w:r>
            <w:r w:rsidRPr="004B2A77">
              <w:rPr>
                <w:rFonts w:ascii="Arial" w:eastAsia="微软雅黑" w:hAnsi="Arial" w:cs="Arial"/>
                <w:b/>
                <w:bCs/>
                <w:color w:val="000000"/>
                <w:kern w:val="0"/>
                <w:sz w:val="11"/>
                <w:szCs w:val="11"/>
              </w:rPr>
              <w:t>1)</w:t>
            </w:r>
          </w:p>
        </w:tc>
        <w:tc>
          <w:tcPr>
            <w:tcW w:w="0" w:type="auto"/>
            <w:shd w:val="clear" w:color="auto" w:fill="FFFFFF"/>
            <w:vAlign w:val="bottom"/>
            <w:hideMark/>
          </w:tcPr>
          <w:p w14:paraId="0C8D10D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ACC7B07"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1986A6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change</w:t>
            </w:r>
          </w:p>
        </w:tc>
        <w:tc>
          <w:tcPr>
            <w:tcW w:w="0" w:type="auto"/>
            <w:shd w:val="clear" w:color="auto" w:fill="FFFFFF"/>
            <w:vAlign w:val="bottom"/>
            <w:hideMark/>
          </w:tcPr>
          <w:p w14:paraId="3F35AC8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927C39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1C904B58" w14:textId="77777777" w:rsidTr="004B2A77">
        <w:trPr>
          <w:trHeight w:val="180"/>
          <w:tblCellSpacing w:w="15" w:type="dxa"/>
        </w:trPr>
        <w:tc>
          <w:tcPr>
            <w:tcW w:w="0" w:type="auto"/>
            <w:shd w:val="clear" w:color="auto" w:fill="CFF0FC"/>
            <w:hideMark/>
          </w:tcPr>
          <w:p w14:paraId="329DCB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Global light vehicle production (in thousands)</w:t>
            </w:r>
          </w:p>
        </w:tc>
        <w:tc>
          <w:tcPr>
            <w:tcW w:w="0" w:type="auto"/>
            <w:shd w:val="clear" w:color="auto" w:fill="CFF0FC"/>
            <w:noWrap/>
            <w:vAlign w:val="bottom"/>
            <w:hideMark/>
          </w:tcPr>
          <w:p w14:paraId="6AA434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87C662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79,289</w:t>
            </w:r>
          </w:p>
        </w:tc>
        <w:tc>
          <w:tcPr>
            <w:tcW w:w="0" w:type="auto"/>
            <w:shd w:val="clear" w:color="auto" w:fill="CFF0FC"/>
            <w:noWrap/>
            <w:vAlign w:val="bottom"/>
            <w:hideMark/>
          </w:tcPr>
          <w:p w14:paraId="1767F2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9D227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E32FC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513048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6.9</w:t>
            </w:r>
          </w:p>
        </w:tc>
        <w:tc>
          <w:tcPr>
            <w:tcW w:w="0" w:type="auto"/>
            <w:shd w:val="clear" w:color="auto" w:fill="CFF0FC"/>
            <w:noWrap/>
            <w:vAlign w:val="bottom"/>
            <w:hideMark/>
          </w:tcPr>
          <w:p w14:paraId="25A0BC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26898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21B710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7087EA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74,136</w:t>
            </w:r>
          </w:p>
        </w:tc>
        <w:tc>
          <w:tcPr>
            <w:tcW w:w="0" w:type="auto"/>
            <w:shd w:val="clear" w:color="auto" w:fill="CFF0FC"/>
            <w:noWrap/>
            <w:vAlign w:val="bottom"/>
            <w:hideMark/>
          </w:tcPr>
          <w:p w14:paraId="6BF01F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5EA6A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D06A0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256A2B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3.6</w:t>
            </w:r>
          </w:p>
        </w:tc>
        <w:tc>
          <w:tcPr>
            <w:tcW w:w="0" w:type="auto"/>
            <w:shd w:val="clear" w:color="auto" w:fill="CFF0FC"/>
            <w:noWrap/>
            <w:vAlign w:val="bottom"/>
            <w:hideMark/>
          </w:tcPr>
          <w:p w14:paraId="10AE26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3F657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2F1CE690" w14:textId="77777777" w:rsidTr="004B2A77">
        <w:trPr>
          <w:trHeight w:val="180"/>
          <w:tblCellSpacing w:w="15" w:type="dxa"/>
        </w:trPr>
        <w:tc>
          <w:tcPr>
            <w:tcW w:w="0" w:type="auto"/>
            <w:shd w:val="clear" w:color="auto" w:fill="FFFFFF"/>
            <w:hideMark/>
          </w:tcPr>
          <w:p w14:paraId="66A741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Consolidated net sales</w:t>
            </w:r>
          </w:p>
        </w:tc>
        <w:tc>
          <w:tcPr>
            <w:tcW w:w="0" w:type="auto"/>
            <w:shd w:val="clear" w:color="auto" w:fill="FFFFFF"/>
            <w:noWrap/>
            <w:vAlign w:val="bottom"/>
            <w:hideMark/>
          </w:tcPr>
          <w:p w14:paraId="39874B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166A011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8,842</w:t>
            </w:r>
          </w:p>
        </w:tc>
        <w:tc>
          <w:tcPr>
            <w:tcW w:w="0" w:type="auto"/>
            <w:shd w:val="clear" w:color="auto" w:fill="FFFFFF"/>
            <w:noWrap/>
            <w:vAlign w:val="bottom"/>
            <w:hideMark/>
          </w:tcPr>
          <w:p w14:paraId="7BB9AB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CFF96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43EC3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6EDA53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7.4</w:t>
            </w:r>
          </w:p>
        </w:tc>
        <w:tc>
          <w:tcPr>
            <w:tcW w:w="0" w:type="auto"/>
            <w:shd w:val="clear" w:color="auto" w:fill="FFFFFF"/>
            <w:noWrap/>
            <w:vAlign w:val="bottom"/>
            <w:hideMark/>
          </w:tcPr>
          <w:p w14:paraId="25E73E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3618E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40A95A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C02D50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8,230</w:t>
            </w:r>
          </w:p>
        </w:tc>
        <w:tc>
          <w:tcPr>
            <w:tcW w:w="0" w:type="auto"/>
            <w:shd w:val="clear" w:color="auto" w:fill="FFFFFF"/>
            <w:noWrap/>
            <w:vAlign w:val="bottom"/>
            <w:hideMark/>
          </w:tcPr>
          <w:p w14:paraId="53B3E5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771BB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138E4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E9C9BF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FFFFFF"/>
            <w:noWrap/>
            <w:vAlign w:val="bottom"/>
            <w:hideMark/>
          </w:tcPr>
          <w:p w14:paraId="791771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36BF1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7EABF7C3" w14:textId="77777777" w:rsidTr="004B2A77">
        <w:trPr>
          <w:trHeight w:val="180"/>
          <w:tblCellSpacing w:w="15" w:type="dxa"/>
        </w:trPr>
        <w:tc>
          <w:tcPr>
            <w:tcW w:w="0" w:type="auto"/>
            <w:shd w:val="clear" w:color="auto" w:fill="CFF0FC"/>
            <w:hideMark/>
          </w:tcPr>
          <w:p w14:paraId="02C5F0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income</w:t>
            </w:r>
          </w:p>
        </w:tc>
        <w:tc>
          <w:tcPr>
            <w:tcW w:w="0" w:type="auto"/>
            <w:shd w:val="clear" w:color="auto" w:fill="CFF0FC"/>
            <w:noWrap/>
            <w:vAlign w:val="bottom"/>
            <w:hideMark/>
          </w:tcPr>
          <w:p w14:paraId="7E986A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840BA1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659</w:t>
            </w:r>
          </w:p>
        </w:tc>
        <w:tc>
          <w:tcPr>
            <w:tcW w:w="0" w:type="auto"/>
            <w:shd w:val="clear" w:color="auto" w:fill="CFF0FC"/>
            <w:noWrap/>
            <w:vAlign w:val="bottom"/>
            <w:hideMark/>
          </w:tcPr>
          <w:p w14:paraId="263046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518C1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1BC5B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20EFDA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(2.3</w:t>
            </w:r>
          </w:p>
        </w:tc>
        <w:tc>
          <w:tcPr>
            <w:tcW w:w="0" w:type="auto"/>
            <w:shd w:val="clear" w:color="auto" w:fill="CFF0FC"/>
            <w:noWrap/>
            <w:vAlign w:val="bottom"/>
            <w:hideMark/>
          </w:tcPr>
          <w:p w14:paraId="442542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47A3A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402D12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C30380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675</w:t>
            </w:r>
          </w:p>
        </w:tc>
        <w:tc>
          <w:tcPr>
            <w:tcW w:w="0" w:type="auto"/>
            <w:shd w:val="clear" w:color="auto" w:fill="CFF0FC"/>
            <w:noWrap/>
            <w:vAlign w:val="bottom"/>
            <w:hideMark/>
          </w:tcPr>
          <w:p w14:paraId="00E31F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44962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E4682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215C12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77</w:t>
            </w:r>
          </w:p>
        </w:tc>
        <w:tc>
          <w:tcPr>
            <w:tcW w:w="0" w:type="auto"/>
            <w:shd w:val="clear" w:color="auto" w:fill="CFF0FC"/>
            <w:noWrap/>
            <w:vAlign w:val="bottom"/>
            <w:hideMark/>
          </w:tcPr>
          <w:p w14:paraId="779F54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66C95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895E534" w14:textId="77777777" w:rsidTr="004B2A77">
        <w:trPr>
          <w:trHeight w:val="180"/>
          <w:tblCellSpacing w:w="15" w:type="dxa"/>
        </w:trPr>
        <w:tc>
          <w:tcPr>
            <w:tcW w:w="0" w:type="auto"/>
            <w:shd w:val="clear" w:color="auto" w:fill="FFFFFF"/>
            <w:hideMark/>
          </w:tcPr>
          <w:p w14:paraId="264CFD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margin, %</w:t>
            </w:r>
          </w:p>
        </w:tc>
        <w:tc>
          <w:tcPr>
            <w:tcW w:w="0" w:type="auto"/>
            <w:shd w:val="clear" w:color="auto" w:fill="FFFFFF"/>
            <w:noWrap/>
            <w:vAlign w:val="bottom"/>
            <w:hideMark/>
          </w:tcPr>
          <w:p w14:paraId="729CAB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F7BE8C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7.5</w:t>
            </w:r>
          </w:p>
        </w:tc>
        <w:tc>
          <w:tcPr>
            <w:tcW w:w="0" w:type="auto"/>
            <w:shd w:val="clear" w:color="auto" w:fill="FFFFFF"/>
            <w:noWrap/>
            <w:vAlign w:val="bottom"/>
            <w:hideMark/>
          </w:tcPr>
          <w:p w14:paraId="4F9EF4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01DD3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33F7F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5FAB06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(0.7</w:t>
            </w:r>
          </w:p>
        </w:tc>
        <w:tc>
          <w:tcPr>
            <w:tcW w:w="0" w:type="auto"/>
            <w:shd w:val="clear" w:color="auto" w:fill="FFFFFF"/>
            <w:noWrap/>
            <w:vAlign w:val="bottom"/>
            <w:hideMark/>
          </w:tcPr>
          <w:p w14:paraId="1D4F2C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15BA7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pp</w:t>
            </w:r>
          </w:p>
        </w:tc>
        <w:tc>
          <w:tcPr>
            <w:tcW w:w="0" w:type="auto"/>
            <w:shd w:val="clear" w:color="auto" w:fill="FFFFFF"/>
            <w:noWrap/>
            <w:vAlign w:val="bottom"/>
            <w:hideMark/>
          </w:tcPr>
          <w:p w14:paraId="3435D3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FF94B0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8.2</w:t>
            </w:r>
          </w:p>
        </w:tc>
        <w:tc>
          <w:tcPr>
            <w:tcW w:w="0" w:type="auto"/>
            <w:shd w:val="clear" w:color="auto" w:fill="FFFFFF"/>
            <w:noWrap/>
            <w:vAlign w:val="bottom"/>
            <w:hideMark/>
          </w:tcPr>
          <w:p w14:paraId="69C141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60DB7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73372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BBE00A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3.1</w:t>
            </w:r>
          </w:p>
        </w:tc>
        <w:tc>
          <w:tcPr>
            <w:tcW w:w="0" w:type="auto"/>
            <w:shd w:val="clear" w:color="auto" w:fill="FFFFFF"/>
            <w:noWrap/>
            <w:vAlign w:val="bottom"/>
            <w:hideMark/>
          </w:tcPr>
          <w:p w14:paraId="632C15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D4C70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pp</w:t>
            </w:r>
          </w:p>
        </w:tc>
      </w:tr>
      <w:tr w:rsidR="004B2A77" w:rsidRPr="004B2A77" w14:paraId="5AF7AC39" w14:textId="77777777" w:rsidTr="004B2A77">
        <w:trPr>
          <w:trHeight w:val="180"/>
          <w:tblCellSpacing w:w="15" w:type="dxa"/>
        </w:trPr>
        <w:tc>
          <w:tcPr>
            <w:tcW w:w="0" w:type="auto"/>
            <w:shd w:val="clear" w:color="auto" w:fill="CFF0FC"/>
            <w:hideMark/>
          </w:tcPr>
          <w:p w14:paraId="5986EE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income attributable to controlling interest</w:t>
            </w:r>
          </w:p>
        </w:tc>
        <w:tc>
          <w:tcPr>
            <w:tcW w:w="0" w:type="auto"/>
            <w:shd w:val="clear" w:color="auto" w:fill="CFF0FC"/>
            <w:noWrap/>
            <w:vAlign w:val="bottom"/>
            <w:hideMark/>
          </w:tcPr>
          <w:p w14:paraId="28710E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43A17D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423</w:t>
            </w:r>
          </w:p>
        </w:tc>
        <w:tc>
          <w:tcPr>
            <w:tcW w:w="0" w:type="auto"/>
            <w:shd w:val="clear" w:color="auto" w:fill="CFF0FC"/>
            <w:noWrap/>
            <w:vAlign w:val="bottom"/>
            <w:hideMark/>
          </w:tcPr>
          <w:p w14:paraId="13B142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25AFA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744E0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8630A2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(2.8</w:t>
            </w:r>
          </w:p>
        </w:tc>
        <w:tc>
          <w:tcPr>
            <w:tcW w:w="0" w:type="auto"/>
            <w:shd w:val="clear" w:color="auto" w:fill="CFF0FC"/>
            <w:noWrap/>
            <w:vAlign w:val="bottom"/>
            <w:hideMark/>
          </w:tcPr>
          <w:p w14:paraId="4A89F9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A3664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03C2B4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FA37F8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435</w:t>
            </w:r>
          </w:p>
        </w:tc>
        <w:tc>
          <w:tcPr>
            <w:tcW w:w="0" w:type="auto"/>
            <w:shd w:val="clear" w:color="auto" w:fill="CFF0FC"/>
            <w:noWrap/>
            <w:vAlign w:val="bottom"/>
            <w:hideMark/>
          </w:tcPr>
          <w:p w14:paraId="1E6118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DF387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295F1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D63D2B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133</w:t>
            </w:r>
          </w:p>
        </w:tc>
        <w:tc>
          <w:tcPr>
            <w:tcW w:w="0" w:type="auto"/>
            <w:shd w:val="clear" w:color="auto" w:fill="CFF0FC"/>
            <w:noWrap/>
            <w:vAlign w:val="bottom"/>
            <w:hideMark/>
          </w:tcPr>
          <w:p w14:paraId="599731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842EF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317808EB" w14:textId="77777777" w:rsidTr="004B2A77">
        <w:trPr>
          <w:trHeight w:val="180"/>
          <w:tblCellSpacing w:w="15" w:type="dxa"/>
        </w:trPr>
        <w:tc>
          <w:tcPr>
            <w:tcW w:w="0" w:type="auto"/>
            <w:shd w:val="clear" w:color="auto" w:fill="FFFFFF"/>
            <w:hideMark/>
          </w:tcPr>
          <w:p w14:paraId="6A96EB7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Earnings per share</w:t>
            </w:r>
            <w:r w:rsidRPr="004B2A77">
              <w:rPr>
                <w:rFonts w:ascii="Arial" w:eastAsia="微软雅黑" w:hAnsi="Arial" w:cs="Arial"/>
                <w:color w:val="000000"/>
                <w:kern w:val="0"/>
                <w:sz w:val="12"/>
                <w:szCs w:val="12"/>
              </w:rPr>
              <w:t>2)</w:t>
            </w:r>
          </w:p>
        </w:tc>
        <w:tc>
          <w:tcPr>
            <w:tcW w:w="0" w:type="auto"/>
            <w:shd w:val="clear" w:color="auto" w:fill="FFFFFF"/>
            <w:noWrap/>
            <w:vAlign w:val="bottom"/>
            <w:hideMark/>
          </w:tcPr>
          <w:p w14:paraId="3AD4D9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2AE9AD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4.85</w:t>
            </w:r>
          </w:p>
        </w:tc>
        <w:tc>
          <w:tcPr>
            <w:tcW w:w="0" w:type="auto"/>
            <w:shd w:val="clear" w:color="auto" w:fill="FFFFFF"/>
            <w:noWrap/>
            <w:vAlign w:val="bottom"/>
            <w:hideMark/>
          </w:tcPr>
          <w:p w14:paraId="4F76BB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914C8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D6ACE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5924C7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(2.2</w:t>
            </w:r>
          </w:p>
        </w:tc>
        <w:tc>
          <w:tcPr>
            <w:tcW w:w="0" w:type="auto"/>
            <w:shd w:val="clear" w:color="auto" w:fill="FFFFFF"/>
            <w:noWrap/>
            <w:vAlign w:val="bottom"/>
            <w:hideMark/>
          </w:tcPr>
          <w:p w14:paraId="288C6B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E0B2A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7D7BB6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E130B2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4.96</w:t>
            </w:r>
          </w:p>
        </w:tc>
        <w:tc>
          <w:tcPr>
            <w:tcW w:w="0" w:type="auto"/>
            <w:shd w:val="clear" w:color="auto" w:fill="FFFFFF"/>
            <w:noWrap/>
            <w:vAlign w:val="bottom"/>
            <w:hideMark/>
          </w:tcPr>
          <w:p w14:paraId="0B9FCB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C613C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967EA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28C09A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132</w:t>
            </w:r>
          </w:p>
        </w:tc>
        <w:tc>
          <w:tcPr>
            <w:tcW w:w="0" w:type="auto"/>
            <w:shd w:val="clear" w:color="auto" w:fill="FFFFFF"/>
            <w:noWrap/>
            <w:vAlign w:val="bottom"/>
            <w:hideMark/>
          </w:tcPr>
          <w:p w14:paraId="015A7C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5A62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2D250873" w14:textId="77777777" w:rsidTr="004B2A77">
        <w:trPr>
          <w:trHeight w:val="180"/>
          <w:tblCellSpacing w:w="15" w:type="dxa"/>
        </w:trPr>
        <w:tc>
          <w:tcPr>
            <w:tcW w:w="0" w:type="auto"/>
            <w:shd w:val="clear" w:color="auto" w:fill="CFF0FC"/>
            <w:hideMark/>
          </w:tcPr>
          <w:p w14:paraId="64FAF2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cash provided by operating activities</w:t>
            </w:r>
          </w:p>
        </w:tc>
        <w:tc>
          <w:tcPr>
            <w:tcW w:w="0" w:type="auto"/>
            <w:shd w:val="clear" w:color="auto" w:fill="CFF0FC"/>
            <w:noWrap/>
            <w:vAlign w:val="bottom"/>
            <w:hideMark/>
          </w:tcPr>
          <w:p w14:paraId="0A2D7A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DB7D35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713</w:t>
            </w:r>
          </w:p>
        </w:tc>
        <w:tc>
          <w:tcPr>
            <w:tcW w:w="0" w:type="auto"/>
            <w:shd w:val="clear" w:color="auto" w:fill="CFF0FC"/>
            <w:noWrap/>
            <w:vAlign w:val="bottom"/>
            <w:hideMark/>
          </w:tcPr>
          <w:p w14:paraId="6033DE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0FD77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6D2FF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78F648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(5.4</w:t>
            </w:r>
          </w:p>
        </w:tc>
        <w:tc>
          <w:tcPr>
            <w:tcW w:w="0" w:type="auto"/>
            <w:shd w:val="clear" w:color="auto" w:fill="CFF0FC"/>
            <w:noWrap/>
            <w:vAlign w:val="bottom"/>
            <w:hideMark/>
          </w:tcPr>
          <w:p w14:paraId="53112B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4D1A71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0A03BB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C3C11E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754</w:t>
            </w:r>
          </w:p>
        </w:tc>
        <w:tc>
          <w:tcPr>
            <w:tcW w:w="0" w:type="auto"/>
            <w:shd w:val="clear" w:color="auto" w:fill="CFF0FC"/>
            <w:noWrap/>
            <w:vAlign w:val="bottom"/>
            <w:hideMark/>
          </w:tcPr>
          <w:p w14:paraId="3787E2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3006D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287BB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2E3A0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CFF0FC"/>
            <w:noWrap/>
            <w:vAlign w:val="bottom"/>
            <w:hideMark/>
          </w:tcPr>
          <w:p w14:paraId="747450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D4E3A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4E3EBE2" w14:textId="77777777" w:rsidTr="004B2A77">
        <w:trPr>
          <w:trHeight w:val="180"/>
          <w:tblCellSpacing w:w="15" w:type="dxa"/>
        </w:trPr>
        <w:tc>
          <w:tcPr>
            <w:tcW w:w="0" w:type="auto"/>
            <w:shd w:val="clear" w:color="auto" w:fill="FFFFFF"/>
            <w:hideMark/>
          </w:tcPr>
          <w:p w14:paraId="00C1DF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Return on capital employed, %</w:t>
            </w:r>
          </w:p>
        </w:tc>
        <w:tc>
          <w:tcPr>
            <w:tcW w:w="0" w:type="auto"/>
            <w:shd w:val="clear" w:color="auto" w:fill="FFFFFF"/>
            <w:noWrap/>
            <w:vAlign w:val="bottom"/>
            <w:hideMark/>
          </w:tcPr>
          <w:p w14:paraId="28B63B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2121D5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17.5</w:t>
            </w:r>
          </w:p>
        </w:tc>
        <w:tc>
          <w:tcPr>
            <w:tcW w:w="0" w:type="auto"/>
            <w:shd w:val="clear" w:color="auto" w:fill="FFFFFF"/>
            <w:noWrap/>
            <w:vAlign w:val="bottom"/>
            <w:hideMark/>
          </w:tcPr>
          <w:p w14:paraId="3BFC4A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8CA2D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F3ED4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868E55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(0.7</w:t>
            </w:r>
          </w:p>
        </w:tc>
        <w:tc>
          <w:tcPr>
            <w:tcW w:w="0" w:type="auto"/>
            <w:shd w:val="clear" w:color="auto" w:fill="FFFFFF"/>
            <w:noWrap/>
            <w:vAlign w:val="bottom"/>
            <w:hideMark/>
          </w:tcPr>
          <w:p w14:paraId="3B322E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F2898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pp</w:t>
            </w:r>
          </w:p>
        </w:tc>
        <w:tc>
          <w:tcPr>
            <w:tcW w:w="0" w:type="auto"/>
            <w:shd w:val="clear" w:color="auto" w:fill="FFFFFF"/>
            <w:noWrap/>
            <w:vAlign w:val="bottom"/>
            <w:hideMark/>
          </w:tcPr>
          <w:p w14:paraId="23657E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A5932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18.3</w:t>
            </w:r>
          </w:p>
        </w:tc>
        <w:tc>
          <w:tcPr>
            <w:tcW w:w="0" w:type="auto"/>
            <w:shd w:val="clear" w:color="auto" w:fill="FFFFFF"/>
            <w:noWrap/>
            <w:vAlign w:val="bottom"/>
            <w:hideMark/>
          </w:tcPr>
          <w:p w14:paraId="760A47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368FC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DB98D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26781C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7.9</w:t>
            </w:r>
          </w:p>
        </w:tc>
        <w:tc>
          <w:tcPr>
            <w:tcW w:w="0" w:type="auto"/>
            <w:shd w:val="clear" w:color="auto" w:fill="FFFFFF"/>
            <w:noWrap/>
            <w:vAlign w:val="bottom"/>
            <w:hideMark/>
          </w:tcPr>
          <w:p w14:paraId="57EA8D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C3128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pp</w:t>
            </w:r>
          </w:p>
        </w:tc>
      </w:tr>
    </w:tbl>
    <w:p w14:paraId="16DD3C1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Reported figures impacted by costs for capacity alignments and antitrust related matters. See section Items affecting comparability and Note 11 to the Consolidated Financial Statements included herein.</w:t>
      </w:r>
    </w:p>
    <w:p w14:paraId="4057AD1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2) Assuming dilution and net of treasury shares.</w:t>
      </w:r>
    </w:p>
    <w:p w14:paraId="7E97A6D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SUPPLY CHAIN</w:t>
      </w:r>
    </w:p>
    <w:p w14:paraId="1AE95AE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LVP in 2022 was limited by the global semiconductor shortage and other industry supply chain disruptions. 2022 saw global LVP growth year-over-year by around 6.9% (according to S&amp;P Global January 2023). Supply chain disruptions led to low customer demand visibility and material changes to customer call-offs with short notice which negatively impacted our production efficiency and profitability in 2022. Rising raw material costs amounted to around 4.5pp in operating margin headwind in 2022, which to a large extent was offset by commercial customer recoveries.</w:t>
      </w:r>
    </w:p>
    <w:p w14:paraId="0550477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Company expects the current industry-wide supply chain disruptions to be a limiting factor for the global LVP in the first half year of 2023, while the Company expects that demand and supply will be in better balance in the second half of 2023.</w:t>
      </w:r>
    </w:p>
    <w:p w14:paraId="73D2CFB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COVID-19</w:t>
      </w:r>
    </w:p>
    <w:p w14:paraId="7977626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Direct COVID-19 related costs, such as personal protective equipment, quarantine costs and similar items, were around $15 million in 2022. Governmental support in connection with furloughing, short-term work weeks, and other similar activities were around $8 million in 2022. </w:t>
      </w:r>
    </w:p>
    <w:p w14:paraId="7406781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INFLATION</w:t>
      </w:r>
    </w:p>
    <w:p w14:paraId="373AA5A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expects the raw material price changes in 2023 will to a large extent be reflected in price changes in the Company's products, albeit with delays of several months. The Company also expects significant cost pressure from broad based inflation relating to labor, logistics, utilities and other items. The Company continues to execute on productivity and cost reduction activities to offset this inflation, and the Company has also initiated challenging discussions with its customers on non-raw material cost inflation. The Company believes price adjustments will gradually offset the non-raw material cost inflation as the market digests these new realities, with limited positive effects in the first quarter and gradual improvement as the year progresses.</w:t>
      </w:r>
    </w:p>
    <w:p w14:paraId="5FF215F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THE WAR IN UKRAINE</w:t>
      </w:r>
    </w:p>
    <w:p w14:paraId="654283B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direct impact of the war in Ukraine on our business has been relatively limited. In 2021, sales in Russia were less than 1.0% of the Company's total sales, declining to less than 0.1% in 2022. Autoliv has one facility with fewer than 20 employees in Russia, down from close to 200 employees before the start of the war. Our operations in Russia are currently suspended. Autoliv net assets in Russia consists of USD cash items, which amount to around $8 million. Autoliv has no operations in Ukraine.</w:t>
      </w:r>
    </w:p>
    <w:p w14:paraId="43C31603"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31</w:t>
      </w:r>
    </w:p>
    <w:p w14:paraId="2E303C78"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8DF61F4">
          <v:rect id="_x0000_i1058" style="width:0;height:1.5pt" o:hralign="center" o:hrstd="t" o:hrnoshade="t" o:hr="t" fillcolor="black" stroked="f"/>
        </w:pict>
      </w:r>
    </w:p>
    <w:p w14:paraId="0B8C971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B8D42D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GROWTH IMPACTED BY LIGHT VEHICLE PRODUCTION, SAFETY CONTENT PER VEHICLE, AND STRONG ORDER BOOK</w:t>
      </w:r>
    </w:p>
    <w:p w14:paraId="654A2B1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most important driver for Autoliv’s sales is the LVP. During the past ten years, LVP has shown year-over-year growth with the exception of the years 2018-2020. Despite strong end-consumer demand for new vehicles, global LVP only grew by 6.9% in 2022 - much below the 8.9% expected by S&amp;P Global in the beginning of the year. For Europe, the LVP growth of 18% that was expected in the beginning of the year became a decline of 1%. This was mainly a result of distressed global automotive supply chains and limited semiconductor availability impacted by the COVID-19 pandemic.</w:t>
      </w:r>
    </w:p>
    <w:p w14:paraId="6964DEC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During 2022, the Company experienced a limited improvement in global LVP in the second half of the year, compared to a relatively weaker first half of the year, indicating a somewhat improved availability of semiconductors and stability of global automotive supply chains in the second half of the year. </w:t>
      </w:r>
    </w:p>
    <w:p w14:paraId="5DC3AA6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2257"/>
        <w:gridCol w:w="3098"/>
        <w:gridCol w:w="228"/>
        <w:gridCol w:w="2062"/>
        <w:gridCol w:w="227"/>
        <w:gridCol w:w="368"/>
        <w:gridCol w:w="227"/>
        <w:gridCol w:w="1780"/>
        <w:gridCol w:w="228"/>
        <w:gridCol w:w="369"/>
        <w:gridCol w:w="227"/>
        <w:gridCol w:w="1575"/>
        <w:gridCol w:w="227"/>
        <w:gridCol w:w="370"/>
        <w:gridCol w:w="227"/>
        <w:gridCol w:w="1784"/>
        <w:gridCol w:w="228"/>
        <w:gridCol w:w="374"/>
        <w:gridCol w:w="227"/>
        <w:gridCol w:w="1579"/>
        <w:gridCol w:w="227"/>
        <w:gridCol w:w="374"/>
        <w:gridCol w:w="227"/>
        <w:gridCol w:w="1829"/>
        <w:gridCol w:w="295"/>
      </w:tblGrid>
      <w:tr w:rsidR="004B2A77" w:rsidRPr="004B2A77" w14:paraId="7F4FD8EC" w14:textId="77777777" w:rsidTr="004B2A77">
        <w:trPr>
          <w:tblCellSpacing w:w="15" w:type="dxa"/>
        </w:trPr>
        <w:tc>
          <w:tcPr>
            <w:tcW w:w="2220" w:type="dxa"/>
            <w:vAlign w:val="center"/>
            <w:hideMark/>
          </w:tcPr>
          <w:p w14:paraId="366CDBAE"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081" w:type="dxa"/>
            <w:vAlign w:val="center"/>
            <w:hideMark/>
          </w:tcPr>
          <w:p w14:paraId="093466C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3A57752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1" w:type="dxa"/>
            <w:vAlign w:val="center"/>
            <w:hideMark/>
          </w:tcPr>
          <w:p w14:paraId="4835132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372BD64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0" w:type="dxa"/>
            <w:vAlign w:val="center"/>
            <w:hideMark/>
          </w:tcPr>
          <w:p w14:paraId="27C7E38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3A701F9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58" w:type="dxa"/>
            <w:vAlign w:val="center"/>
            <w:hideMark/>
          </w:tcPr>
          <w:p w14:paraId="7A7989A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23A2875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0" w:type="dxa"/>
            <w:vAlign w:val="center"/>
            <w:hideMark/>
          </w:tcPr>
          <w:p w14:paraId="2D2DD20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51DEC80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51" w:type="dxa"/>
            <w:vAlign w:val="center"/>
            <w:hideMark/>
          </w:tcPr>
          <w:p w14:paraId="6AABC56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5AC1B22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2" w:type="dxa"/>
            <w:vAlign w:val="center"/>
            <w:hideMark/>
          </w:tcPr>
          <w:p w14:paraId="53DB530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200E53B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2" w:type="dxa"/>
            <w:vAlign w:val="center"/>
            <w:hideMark/>
          </w:tcPr>
          <w:p w14:paraId="60ADA70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00EECAA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6" w:type="dxa"/>
            <w:vAlign w:val="center"/>
            <w:hideMark/>
          </w:tcPr>
          <w:p w14:paraId="63E1718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5ACE75A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55" w:type="dxa"/>
            <w:vAlign w:val="center"/>
            <w:hideMark/>
          </w:tcPr>
          <w:p w14:paraId="3D858DB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479BA3B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6" w:type="dxa"/>
            <w:vAlign w:val="center"/>
            <w:hideMark/>
          </w:tcPr>
          <w:p w14:paraId="38E385D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0B920FA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8" w:type="dxa"/>
            <w:vAlign w:val="center"/>
            <w:hideMark/>
          </w:tcPr>
          <w:p w14:paraId="7D6E3F6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0982F078"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7639E38" w14:textId="77777777" w:rsidTr="004B2A77">
        <w:trPr>
          <w:trHeight w:val="200"/>
          <w:tblCellSpacing w:w="15" w:type="dxa"/>
        </w:trPr>
        <w:tc>
          <w:tcPr>
            <w:tcW w:w="0" w:type="auto"/>
            <w:gridSpan w:val="4"/>
            <w:shd w:val="clear" w:color="auto" w:fill="FFFFFF"/>
            <w:vAlign w:val="bottom"/>
            <w:hideMark/>
          </w:tcPr>
          <w:p w14:paraId="3541D1D1"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20"/>
                <w:szCs w:val="20"/>
              </w:rPr>
              <w:t>Light Vehicle Production</w:t>
            </w:r>
            <w:r w:rsidRPr="004B2A77">
              <w:rPr>
                <w:rFonts w:ascii="Arial" w:eastAsia="微软雅黑" w:hAnsi="Arial" w:cs="Arial"/>
                <w:color w:val="000000"/>
                <w:kern w:val="0"/>
                <w:sz w:val="13"/>
                <w:szCs w:val="13"/>
              </w:rPr>
              <w:t>1)</w:t>
            </w:r>
          </w:p>
        </w:tc>
        <w:tc>
          <w:tcPr>
            <w:tcW w:w="0" w:type="auto"/>
            <w:shd w:val="clear" w:color="auto" w:fill="FFFFFF"/>
            <w:vAlign w:val="bottom"/>
            <w:hideMark/>
          </w:tcPr>
          <w:p w14:paraId="391B10F9"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shd w:val="clear" w:color="auto" w:fill="FFFFFF"/>
            <w:vAlign w:val="bottom"/>
            <w:hideMark/>
          </w:tcPr>
          <w:p w14:paraId="5E66F653"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2F04AE23"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1994257"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4F92E456"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514EA430"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50FDA352"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2D6F717C"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27615CB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5D2EBAEF"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4C65696"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27F4AAAF"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7044CE84"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1AB3A115"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7837514E"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7D3723C1"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r>
      <w:tr w:rsidR="004B2A77" w:rsidRPr="004B2A77" w14:paraId="59B7CF3A" w14:textId="77777777" w:rsidTr="004B2A77">
        <w:trPr>
          <w:trHeight w:val="160"/>
          <w:tblCellSpacing w:w="15" w:type="dxa"/>
        </w:trPr>
        <w:tc>
          <w:tcPr>
            <w:tcW w:w="0" w:type="auto"/>
            <w:shd w:val="clear" w:color="auto" w:fill="FFFFFF"/>
            <w:vAlign w:val="center"/>
            <w:hideMark/>
          </w:tcPr>
          <w:p w14:paraId="53B9B4F7"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center"/>
            <w:hideMark/>
          </w:tcPr>
          <w:p w14:paraId="166053C8"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center"/>
            <w:hideMark/>
          </w:tcPr>
          <w:p w14:paraId="087AD04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center"/>
            <w:hideMark/>
          </w:tcPr>
          <w:p w14:paraId="6A9555E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center"/>
            <w:hideMark/>
          </w:tcPr>
          <w:p w14:paraId="7E0EB4B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6"/>
            <w:tcBorders>
              <w:bottom w:val="single" w:sz="4" w:space="0" w:color="000000"/>
            </w:tcBorders>
            <w:shd w:val="clear" w:color="auto" w:fill="FFFFFF"/>
            <w:vAlign w:val="center"/>
            <w:hideMark/>
          </w:tcPr>
          <w:p w14:paraId="1538039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center"/>
            <w:hideMark/>
          </w:tcPr>
          <w:p w14:paraId="20ED639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center"/>
            <w:hideMark/>
          </w:tcPr>
          <w:p w14:paraId="4E1234C7"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6"/>
            <w:tcBorders>
              <w:bottom w:val="single" w:sz="4" w:space="0" w:color="000000"/>
            </w:tcBorders>
            <w:shd w:val="clear" w:color="auto" w:fill="FFFFFF"/>
            <w:vAlign w:val="center"/>
            <w:hideMark/>
          </w:tcPr>
          <w:p w14:paraId="2B7F947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Change 2022 vs 2021</w:t>
            </w:r>
          </w:p>
        </w:tc>
        <w:tc>
          <w:tcPr>
            <w:tcW w:w="0" w:type="auto"/>
            <w:shd w:val="clear" w:color="auto" w:fill="FFFFFF"/>
            <w:vAlign w:val="center"/>
            <w:hideMark/>
          </w:tcPr>
          <w:p w14:paraId="586FF28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6B8D9A6C" w14:textId="77777777" w:rsidTr="004B2A77">
        <w:trPr>
          <w:trHeight w:val="160"/>
          <w:tblCellSpacing w:w="15" w:type="dxa"/>
        </w:trPr>
        <w:tc>
          <w:tcPr>
            <w:tcW w:w="0" w:type="auto"/>
            <w:shd w:val="clear" w:color="auto" w:fill="FFFFFF"/>
            <w:vAlign w:val="center"/>
            <w:hideMark/>
          </w:tcPr>
          <w:p w14:paraId="7B95C80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lastRenderedPageBreak/>
              <w:t> </w:t>
            </w:r>
          </w:p>
        </w:tc>
        <w:tc>
          <w:tcPr>
            <w:tcW w:w="0" w:type="auto"/>
            <w:shd w:val="clear" w:color="auto" w:fill="FFFFFF"/>
            <w:vAlign w:val="center"/>
            <w:hideMark/>
          </w:tcPr>
          <w:p w14:paraId="3C2773DC"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5094852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(000´)</w:t>
            </w:r>
            <w:r w:rsidRPr="004B2A77">
              <w:rPr>
                <w:rFonts w:ascii="Arial" w:eastAsia="微软雅黑" w:hAnsi="Arial" w:cs="Arial"/>
                <w:b/>
                <w:bCs/>
                <w:color w:val="000000"/>
                <w:kern w:val="0"/>
                <w:sz w:val="16"/>
                <w:szCs w:val="16"/>
              </w:rPr>
              <w:br/>
              <w:t>units</w:t>
            </w:r>
          </w:p>
        </w:tc>
        <w:tc>
          <w:tcPr>
            <w:tcW w:w="0" w:type="auto"/>
            <w:shd w:val="clear" w:color="auto" w:fill="FFFFFF"/>
            <w:vAlign w:val="bottom"/>
            <w:hideMark/>
          </w:tcPr>
          <w:p w14:paraId="6CC4246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BB515A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2D0B7A5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 global</w:t>
            </w:r>
          </w:p>
        </w:tc>
        <w:tc>
          <w:tcPr>
            <w:tcW w:w="0" w:type="auto"/>
            <w:shd w:val="clear" w:color="auto" w:fill="FFFFFF"/>
            <w:vAlign w:val="bottom"/>
            <w:hideMark/>
          </w:tcPr>
          <w:p w14:paraId="2C61F01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44485E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13D30B0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(000´)</w:t>
            </w:r>
            <w:r w:rsidRPr="004B2A77">
              <w:rPr>
                <w:rFonts w:ascii="Arial" w:eastAsia="微软雅黑" w:hAnsi="Arial" w:cs="Arial"/>
                <w:b/>
                <w:bCs/>
                <w:color w:val="000000"/>
                <w:kern w:val="0"/>
                <w:sz w:val="16"/>
                <w:szCs w:val="16"/>
              </w:rPr>
              <w:br/>
              <w:t>units</w:t>
            </w:r>
          </w:p>
        </w:tc>
        <w:tc>
          <w:tcPr>
            <w:tcW w:w="0" w:type="auto"/>
            <w:shd w:val="clear" w:color="auto" w:fill="FFFFFF"/>
            <w:vAlign w:val="bottom"/>
            <w:hideMark/>
          </w:tcPr>
          <w:p w14:paraId="225ABFE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E8172F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17232F7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 global</w:t>
            </w:r>
          </w:p>
        </w:tc>
        <w:tc>
          <w:tcPr>
            <w:tcW w:w="0" w:type="auto"/>
            <w:shd w:val="clear" w:color="auto" w:fill="FFFFFF"/>
            <w:vAlign w:val="bottom"/>
            <w:hideMark/>
          </w:tcPr>
          <w:p w14:paraId="3BE1A12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59EF5D3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ED79B8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(000´)</w:t>
            </w:r>
            <w:r w:rsidRPr="004B2A77">
              <w:rPr>
                <w:rFonts w:ascii="Arial" w:eastAsia="微软雅黑" w:hAnsi="Arial" w:cs="Arial"/>
                <w:b/>
                <w:bCs/>
                <w:color w:val="000000"/>
                <w:kern w:val="0"/>
                <w:sz w:val="16"/>
                <w:szCs w:val="16"/>
              </w:rPr>
              <w:br/>
              <w:t>units</w:t>
            </w:r>
          </w:p>
        </w:tc>
        <w:tc>
          <w:tcPr>
            <w:tcW w:w="0" w:type="auto"/>
            <w:shd w:val="clear" w:color="auto" w:fill="FFFFFF"/>
            <w:vAlign w:val="bottom"/>
            <w:hideMark/>
          </w:tcPr>
          <w:p w14:paraId="4075C19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0907EE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260E42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w:t>
            </w:r>
          </w:p>
        </w:tc>
        <w:tc>
          <w:tcPr>
            <w:tcW w:w="0" w:type="auto"/>
            <w:shd w:val="clear" w:color="auto" w:fill="FFFFFF"/>
            <w:vAlign w:val="bottom"/>
            <w:hideMark/>
          </w:tcPr>
          <w:p w14:paraId="1A1D27D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28B11DD1" w14:textId="77777777" w:rsidTr="004B2A77">
        <w:trPr>
          <w:trHeight w:val="180"/>
          <w:tblCellSpacing w:w="15" w:type="dxa"/>
        </w:trPr>
        <w:tc>
          <w:tcPr>
            <w:tcW w:w="0" w:type="auto"/>
            <w:shd w:val="clear" w:color="auto" w:fill="CFF0FC"/>
            <w:vAlign w:val="center"/>
            <w:hideMark/>
          </w:tcPr>
          <w:p w14:paraId="326A1A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Americas</w:t>
            </w:r>
          </w:p>
        </w:tc>
        <w:tc>
          <w:tcPr>
            <w:tcW w:w="0" w:type="auto"/>
            <w:shd w:val="clear" w:color="auto" w:fill="CFF0FC"/>
            <w:vAlign w:val="center"/>
            <w:hideMark/>
          </w:tcPr>
          <w:p w14:paraId="2B77E4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3176D4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6BF18C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15,879</w:t>
            </w:r>
          </w:p>
        </w:tc>
        <w:tc>
          <w:tcPr>
            <w:tcW w:w="0" w:type="auto"/>
            <w:shd w:val="clear" w:color="auto" w:fill="CFF0FC"/>
            <w:noWrap/>
            <w:vAlign w:val="center"/>
            <w:hideMark/>
          </w:tcPr>
          <w:p w14:paraId="5C2789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3C664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1CFFFF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40B094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20</w:t>
            </w:r>
          </w:p>
        </w:tc>
        <w:tc>
          <w:tcPr>
            <w:tcW w:w="0" w:type="auto"/>
            <w:shd w:val="clear" w:color="auto" w:fill="CFF0FC"/>
            <w:noWrap/>
            <w:vAlign w:val="center"/>
            <w:hideMark/>
          </w:tcPr>
          <w:p w14:paraId="567000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21D3C79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49C0B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177B07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14,518</w:t>
            </w:r>
          </w:p>
        </w:tc>
        <w:tc>
          <w:tcPr>
            <w:tcW w:w="0" w:type="auto"/>
            <w:shd w:val="clear" w:color="auto" w:fill="CFF0FC"/>
            <w:noWrap/>
            <w:vAlign w:val="center"/>
            <w:hideMark/>
          </w:tcPr>
          <w:p w14:paraId="67B921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443840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3D1375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E868E5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20</w:t>
            </w:r>
          </w:p>
        </w:tc>
        <w:tc>
          <w:tcPr>
            <w:tcW w:w="0" w:type="auto"/>
            <w:shd w:val="clear" w:color="auto" w:fill="CFF0FC"/>
            <w:noWrap/>
            <w:vAlign w:val="center"/>
            <w:hideMark/>
          </w:tcPr>
          <w:p w14:paraId="7B0E80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766009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D6B24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27608A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1,361</w:t>
            </w:r>
          </w:p>
        </w:tc>
        <w:tc>
          <w:tcPr>
            <w:tcW w:w="0" w:type="auto"/>
            <w:shd w:val="clear" w:color="auto" w:fill="CFF0FC"/>
            <w:noWrap/>
            <w:vAlign w:val="center"/>
            <w:hideMark/>
          </w:tcPr>
          <w:p w14:paraId="353697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A6D68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226141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820365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w:t>
            </w:r>
          </w:p>
        </w:tc>
        <w:tc>
          <w:tcPr>
            <w:tcW w:w="0" w:type="auto"/>
            <w:shd w:val="clear" w:color="auto" w:fill="CFF0FC"/>
            <w:noWrap/>
            <w:vAlign w:val="center"/>
            <w:hideMark/>
          </w:tcPr>
          <w:p w14:paraId="56D0F0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7598798F" w14:textId="77777777" w:rsidTr="004B2A77">
        <w:trPr>
          <w:trHeight w:val="180"/>
          <w:tblCellSpacing w:w="15" w:type="dxa"/>
        </w:trPr>
        <w:tc>
          <w:tcPr>
            <w:tcW w:w="0" w:type="auto"/>
            <w:shd w:val="clear" w:color="auto" w:fill="FFFFFF"/>
            <w:vAlign w:val="center"/>
            <w:hideMark/>
          </w:tcPr>
          <w:p w14:paraId="2DD19E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DBADB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North America</w:t>
            </w:r>
          </w:p>
        </w:tc>
        <w:tc>
          <w:tcPr>
            <w:tcW w:w="0" w:type="auto"/>
            <w:shd w:val="clear" w:color="auto" w:fill="FFFFFF"/>
            <w:noWrap/>
            <w:vAlign w:val="center"/>
            <w:hideMark/>
          </w:tcPr>
          <w:p w14:paraId="647B55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A81D73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13,078</w:t>
            </w:r>
          </w:p>
        </w:tc>
        <w:tc>
          <w:tcPr>
            <w:tcW w:w="0" w:type="auto"/>
            <w:shd w:val="clear" w:color="auto" w:fill="FFFFFF"/>
            <w:noWrap/>
            <w:vAlign w:val="center"/>
            <w:hideMark/>
          </w:tcPr>
          <w:p w14:paraId="1229E2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BD49F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6EE01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3BCDF5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16</w:t>
            </w:r>
          </w:p>
        </w:tc>
        <w:tc>
          <w:tcPr>
            <w:tcW w:w="0" w:type="auto"/>
            <w:shd w:val="clear" w:color="auto" w:fill="FFFFFF"/>
            <w:noWrap/>
            <w:vAlign w:val="center"/>
            <w:hideMark/>
          </w:tcPr>
          <w:p w14:paraId="7FD039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7243BF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C0A38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F25886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11,933</w:t>
            </w:r>
          </w:p>
        </w:tc>
        <w:tc>
          <w:tcPr>
            <w:tcW w:w="0" w:type="auto"/>
            <w:shd w:val="clear" w:color="auto" w:fill="FFFFFF"/>
            <w:noWrap/>
            <w:vAlign w:val="center"/>
            <w:hideMark/>
          </w:tcPr>
          <w:p w14:paraId="7DEE6F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F4B53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7C72D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F16412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16</w:t>
            </w:r>
          </w:p>
        </w:tc>
        <w:tc>
          <w:tcPr>
            <w:tcW w:w="0" w:type="auto"/>
            <w:shd w:val="clear" w:color="auto" w:fill="FFFFFF"/>
            <w:noWrap/>
            <w:vAlign w:val="center"/>
            <w:hideMark/>
          </w:tcPr>
          <w:p w14:paraId="53CE3B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29BD33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A7908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04900B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1,145</w:t>
            </w:r>
          </w:p>
        </w:tc>
        <w:tc>
          <w:tcPr>
            <w:tcW w:w="0" w:type="auto"/>
            <w:shd w:val="clear" w:color="auto" w:fill="FFFFFF"/>
            <w:noWrap/>
            <w:vAlign w:val="center"/>
            <w:hideMark/>
          </w:tcPr>
          <w:p w14:paraId="3BACD5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07B0C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BA796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73B02E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10</w:t>
            </w:r>
          </w:p>
        </w:tc>
        <w:tc>
          <w:tcPr>
            <w:tcW w:w="0" w:type="auto"/>
            <w:shd w:val="clear" w:color="auto" w:fill="FFFFFF"/>
            <w:noWrap/>
            <w:vAlign w:val="center"/>
            <w:hideMark/>
          </w:tcPr>
          <w:p w14:paraId="1DEBAE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32AEFE03" w14:textId="77777777" w:rsidTr="004B2A77">
        <w:trPr>
          <w:trHeight w:val="180"/>
          <w:tblCellSpacing w:w="15" w:type="dxa"/>
        </w:trPr>
        <w:tc>
          <w:tcPr>
            <w:tcW w:w="0" w:type="auto"/>
            <w:shd w:val="clear" w:color="auto" w:fill="CFF0FC"/>
            <w:vAlign w:val="center"/>
            <w:hideMark/>
          </w:tcPr>
          <w:p w14:paraId="757C5F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F7906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South America</w:t>
            </w:r>
          </w:p>
        </w:tc>
        <w:tc>
          <w:tcPr>
            <w:tcW w:w="0" w:type="auto"/>
            <w:shd w:val="clear" w:color="auto" w:fill="CFF0FC"/>
            <w:noWrap/>
            <w:vAlign w:val="center"/>
            <w:hideMark/>
          </w:tcPr>
          <w:p w14:paraId="20F768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4E680A8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2,801</w:t>
            </w:r>
          </w:p>
        </w:tc>
        <w:tc>
          <w:tcPr>
            <w:tcW w:w="0" w:type="auto"/>
            <w:shd w:val="clear" w:color="auto" w:fill="CFF0FC"/>
            <w:noWrap/>
            <w:vAlign w:val="center"/>
            <w:hideMark/>
          </w:tcPr>
          <w:p w14:paraId="08682F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FF577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26EFF7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F018FD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4</w:t>
            </w:r>
          </w:p>
        </w:tc>
        <w:tc>
          <w:tcPr>
            <w:tcW w:w="0" w:type="auto"/>
            <w:shd w:val="clear" w:color="auto" w:fill="CFF0FC"/>
            <w:noWrap/>
            <w:vAlign w:val="center"/>
            <w:hideMark/>
          </w:tcPr>
          <w:p w14:paraId="59F72E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7ACB3B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61AAED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56100E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2,585</w:t>
            </w:r>
          </w:p>
        </w:tc>
        <w:tc>
          <w:tcPr>
            <w:tcW w:w="0" w:type="auto"/>
            <w:shd w:val="clear" w:color="auto" w:fill="CFF0FC"/>
            <w:noWrap/>
            <w:vAlign w:val="center"/>
            <w:hideMark/>
          </w:tcPr>
          <w:p w14:paraId="256C31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42B5B8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072FA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5FC682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CFF0FC"/>
            <w:noWrap/>
            <w:vAlign w:val="center"/>
            <w:hideMark/>
          </w:tcPr>
          <w:p w14:paraId="1F3579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618C17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65B8F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19471A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216</w:t>
            </w:r>
          </w:p>
        </w:tc>
        <w:tc>
          <w:tcPr>
            <w:tcW w:w="0" w:type="auto"/>
            <w:shd w:val="clear" w:color="auto" w:fill="CFF0FC"/>
            <w:noWrap/>
            <w:vAlign w:val="center"/>
            <w:hideMark/>
          </w:tcPr>
          <w:p w14:paraId="06DA06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54060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41C461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5E1384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8</w:t>
            </w:r>
          </w:p>
        </w:tc>
        <w:tc>
          <w:tcPr>
            <w:tcW w:w="0" w:type="auto"/>
            <w:shd w:val="clear" w:color="auto" w:fill="CFF0FC"/>
            <w:noWrap/>
            <w:vAlign w:val="center"/>
            <w:hideMark/>
          </w:tcPr>
          <w:p w14:paraId="4C389B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0D10AEF9" w14:textId="77777777" w:rsidTr="004B2A77">
        <w:trPr>
          <w:trHeight w:val="180"/>
          <w:tblCellSpacing w:w="15" w:type="dxa"/>
        </w:trPr>
        <w:tc>
          <w:tcPr>
            <w:tcW w:w="0" w:type="auto"/>
            <w:shd w:val="clear" w:color="auto" w:fill="FFFFFF"/>
            <w:vAlign w:val="center"/>
            <w:hideMark/>
          </w:tcPr>
          <w:p w14:paraId="7E537E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Europe</w:t>
            </w:r>
          </w:p>
        </w:tc>
        <w:tc>
          <w:tcPr>
            <w:tcW w:w="0" w:type="auto"/>
            <w:shd w:val="clear" w:color="auto" w:fill="FFFFFF"/>
            <w:vAlign w:val="center"/>
            <w:hideMark/>
          </w:tcPr>
          <w:p w14:paraId="64168A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FC138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29A818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15,561</w:t>
            </w:r>
          </w:p>
        </w:tc>
        <w:tc>
          <w:tcPr>
            <w:tcW w:w="0" w:type="auto"/>
            <w:shd w:val="clear" w:color="auto" w:fill="FFFFFF"/>
            <w:noWrap/>
            <w:vAlign w:val="center"/>
            <w:hideMark/>
          </w:tcPr>
          <w:p w14:paraId="3C68B6F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83F28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A072D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0737A4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20</w:t>
            </w:r>
          </w:p>
        </w:tc>
        <w:tc>
          <w:tcPr>
            <w:tcW w:w="0" w:type="auto"/>
            <w:shd w:val="clear" w:color="auto" w:fill="FFFFFF"/>
            <w:noWrap/>
            <w:vAlign w:val="center"/>
            <w:hideMark/>
          </w:tcPr>
          <w:p w14:paraId="39274A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336837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0195D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82646B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15,765</w:t>
            </w:r>
          </w:p>
        </w:tc>
        <w:tc>
          <w:tcPr>
            <w:tcW w:w="0" w:type="auto"/>
            <w:shd w:val="clear" w:color="auto" w:fill="FFFFFF"/>
            <w:noWrap/>
            <w:vAlign w:val="center"/>
            <w:hideMark/>
          </w:tcPr>
          <w:p w14:paraId="5F7363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8CA4A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3936C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9BD576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21</w:t>
            </w:r>
          </w:p>
        </w:tc>
        <w:tc>
          <w:tcPr>
            <w:tcW w:w="0" w:type="auto"/>
            <w:shd w:val="clear" w:color="auto" w:fill="FFFFFF"/>
            <w:noWrap/>
            <w:vAlign w:val="center"/>
            <w:hideMark/>
          </w:tcPr>
          <w:p w14:paraId="2FCFF9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589D6B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A2E1E5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64FCEB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(204</w:t>
            </w:r>
          </w:p>
        </w:tc>
        <w:tc>
          <w:tcPr>
            <w:tcW w:w="0" w:type="auto"/>
            <w:shd w:val="clear" w:color="auto" w:fill="FFFFFF"/>
            <w:noWrap/>
            <w:vAlign w:val="center"/>
            <w:hideMark/>
          </w:tcPr>
          <w:p w14:paraId="7EBA49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4B943A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086AD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9C9327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w:t>
            </w:r>
          </w:p>
        </w:tc>
        <w:tc>
          <w:tcPr>
            <w:tcW w:w="0" w:type="auto"/>
            <w:shd w:val="clear" w:color="auto" w:fill="FFFFFF"/>
            <w:noWrap/>
            <w:vAlign w:val="center"/>
            <w:hideMark/>
          </w:tcPr>
          <w:p w14:paraId="56A182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2675DE56" w14:textId="77777777" w:rsidTr="004B2A77">
        <w:trPr>
          <w:trHeight w:val="180"/>
          <w:tblCellSpacing w:w="15" w:type="dxa"/>
        </w:trPr>
        <w:tc>
          <w:tcPr>
            <w:tcW w:w="0" w:type="auto"/>
            <w:shd w:val="clear" w:color="auto" w:fill="CFF0FC"/>
            <w:vAlign w:val="center"/>
            <w:hideMark/>
          </w:tcPr>
          <w:p w14:paraId="541548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Asia</w:t>
            </w:r>
          </w:p>
        </w:tc>
        <w:tc>
          <w:tcPr>
            <w:tcW w:w="0" w:type="auto"/>
            <w:shd w:val="clear" w:color="auto" w:fill="CFF0FC"/>
            <w:vAlign w:val="center"/>
            <w:hideMark/>
          </w:tcPr>
          <w:p w14:paraId="4F8FBE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87E8F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A447D0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45,638</w:t>
            </w:r>
          </w:p>
        </w:tc>
        <w:tc>
          <w:tcPr>
            <w:tcW w:w="0" w:type="auto"/>
            <w:shd w:val="clear" w:color="auto" w:fill="CFF0FC"/>
            <w:noWrap/>
            <w:vAlign w:val="center"/>
            <w:hideMark/>
          </w:tcPr>
          <w:p w14:paraId="007CA8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494B54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6A05FE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30F1F6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58</w:t>
            </w:r>
          </w:p>
        </w:tc>
        <w:tc>
          <w:tcPr>
            <w:tcW w:w="0" w:type="auto"/>
            <w:shd w:val="clear" w:color="auto" w:fill="CFF0FC"/>
            <w:noWrap/>
            <w:vAlign w:val="center"/>
            <w:hideMark/>
          </w:tcPr>
          <w:p w14:paraId="763498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5AC45C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3A2A16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B9E71D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41,840</w:t>
            </w:r>
          </w:p>
        </w:tc>
        <w:tc>
          <w:tcPr>
            <w:tcW w:w="0" w:type="auto"/>
            <w:shd w:val="clear" w:color="auto" w:fill="CFF0FC"/>
            <w:noWrap/>
            <w:vAlign w:val="center"/>
            <w:hideMark/>
          </w:tcPr>
          <w:p w14:paraId="0881CD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6B288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3A2659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C4C73C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56</w:t>
            </w:r>
          </w:p>
        </w:tc>
        <w:tc>
          <w:tcPr>
            <w:tcW w:w="0" w:type="auto"/>
            <w:shd w:val="clear" w:color="auto" w:fill="CFF0FC"/>
            <w:noWrap/>
            <w:vAlign w:val="center"/>
            <w:hideMark/>
          </w:tcPr>
          <w:p w14:paraId="4C01AE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7799A4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C3AA8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16DBBB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3,798</w:t>
            </w:r>
          </w:p>
        </w:tc>
        <w:tc>
          <w:tcPr>
            <w:tcW w:w="0" w:type="auto"/>
            <w:shd w:val="clear" w:color="auto" w:fill="CFF0FC"/>
            <w:noWrap/>
            <w:vAlign w:val="center"/>
            <w:hideMark/>
          </w:tcPr>
          <w:p w14:paraId="79C859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61D04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7237B8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E9BBCA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9</w:t>
            </w:r>
          </w:p>
        </w:tc>
        <w:tc>
          <w:tcPr>
            <w:tcW w:w="0" w:type="auto"/>
            <w:shd w:val="clear" w:color="auto" w:fill="CFF0FC"/>
            <w:noWrap/>
            <w:vAlign w:val="center"/>
            <w:hideMark/>
          </w:tcPr>
          <w:p w14:paraId="17A16A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386EE1C3" w14:textId="77777777" w:rsidTr="004B2A77">
        <w:trPr>
          <w:trHeight w:val="180"/>
          <w:tblCellSpacing w:w="15" w:type="dxa"/>
        </w:trPr>
        <w:tc>
          <w:tcPr>
            <w:tcW w:w="0" w:type="auto"/>
            <w:shd w:val="clear" w:color="auto" w:fill="FFFFFF"/>
            <w:vAlign w:val="center"/>
            <w:hideMark/>
          </w:tcPr>
          <w:p w14:paraId="12DF4E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BE0D1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China</w:t>
            </w:r>
          </w:p>
        </w:tc>
        <w:tc>
          <w:tcPr>
            <w:tcW w:w="0" w:type="auto"/>
            <w:shd w:val="clear" w:color="auto" w:fill="FFFFFF"/>
            <w:noWrap/>
            <w:vAlign w:val="center"/>
            <w:hideMark/>
          </w:tcPr>
          <w:p w14:paraId="1AC72A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5C4FC4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25,229</w:t>
            </w:r>
          </w:p>
        </w:tc>
        <w:tc>
          <w:tcPr>
            <w:tcW w:w="0" w:type="auto"/>
            <w:shd w:val="clear" w:color="auto" w:fill="FFFFFF"/>
            <w:noWrap/>
            <w:vAlign w:val="center"/>
            <w:hideMark/>
          </w:tcPr>
          <w:p w14:paraId="510E80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4598A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6A2B1B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2CE67E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32</w:t>
            </w:r>
          </w:p>
        </w:tc>
        <w:tc>
          <w:tcPr>
            <w:tcW w:w="0" w:type="auto"/>
            <w:shd w:val="clear" w:color="auto" w:fill="FFFFFF"/>
            <w:noWrap/>
            <w:vAlign w:val="center"/>
            <w:hideMark/>
          </w:tcPr>
          <w:p w14:paraId="13746F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74DB85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49FFD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8D820C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23,290</w:t>
            </w:r>
          </w:p>
        </w:tc>
        <w:tc>
          <w:tcPr>
            <w:tcW w:w="0" w:type="auto"/>
            <w:shd w:val="clear" w:color="auto" w:fill="FFFFFF"/>
            <w:noWrap/>
            <w:vAlign w:val="center"/>
            <w:hideMark/>
          </w:tcPr>
          <w:p w14:paraId="066F19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F43C2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593AF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DB5E54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31</w:t>
            </w:r>
          </w:p>
        </w:tc>
        <w:tc>
          <w:tcPr>
            <w:tcW w:w="0" w:type="auto"/>
            <w:shd w:val="clear" w:color="auto" w:fill="FFFFFF"/>
            <w:noWrap/>
            <w:vAlign w:val="center"/>
            <w:hideMark/>
          </w:tcPr>
          <w:p w14:paraId="262927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13CD58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7C7FF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EAF75F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1,939</w:t>
            </w:r>
          </w:p>
        </w:tc>
        <w:tc>
          <w:tcPr>
            <w:tcW w:w="0" w:type="auto"/>
            <w:shd w:val="clear" w:color="auto" w:fill="FFFFFF"/>
            <w:noWrap/>
            <w:vAlign w:val="center"/>
            <w:hideMark/>
          </w:tcPr>
          <w:p w14:paraId="0C4D2C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7AECF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850DE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17A8CC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8</w:t>
            </w:r>
          </w:p>
        </w:tc>
        <w:tc>
          <w:tcPr>
            <w:tcW w:w="0" w:type="auto"/>
            <w:shd w:val="clear" w:color="auto" w:fill="FFFFFF"/>
            <w:noWrap/>
            <w:vAlign w:val="center"/>
            <w:hideMark/>
          </w:tcPr>
          <w:p w14:paraId="457870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1E62B35D" w14:textId="77777777" w:rsidTr="004B2A77">
        <w:trPr>
          <w:trHeight w:val="180"/>
          <w:tblCellSpacing w:w="15" w:type="dxa"/>
        </w:trPr>
        <w:tc>
          <w:tcPr>
            <w:tcW w:w="0" w:type="auto"/>
            <w:shd w:val="clear" w:color="auto" w:fill="CFF0FC"/>
            <w:vAlign w:val="center"/>
            <w:hideMark/>
          </w:tcPr>
          <w:p w14:paraId="10D7BD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F8117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Japan</w:t>
            </w:r>
          </w:p>
        </w:tc>
        <w:tc>
          <w:tcPr>
            <w:tcW w:w="0" w:type="auto"/>
            <w:shd w:val="clear" w:color="auto" w:fill="CFF0FC"/>
            <w:noWrap/>
            <w:vAlign w:val="center"/>
            <w:hideMark/>
          </w:tcPr>
          <w:p w14:paraId="567BE7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A6CD7E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7,290</w:t>
            </w:r>
          </w:p>
        </w:tc>
        <w:tc>
          <w:tcPr>
            <w:tcW w:w="0" w:type="auto"/>
            <w:shd w:val="clear" w:color="auto" w:fill="CFF0FC"/>
            <w:noWrap/>
            <w:vAlign w:val="center"/>
            <w:hideMark/>
          </w:tcPr>
          <w:p w14:paraId="6CA411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D4473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76044A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D9DF09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9</w:t>
            </w:r>
          </w:p>
        </w:tc>
        <w:tc>
          <w:tcPr>
            <w:tcW w:w="0" w:type="auto"/>
            <w:shd w:val="clear" w:color="auto" w:fill="CFF0FC"/>
            <w:noWrap/>
            <w:vAlign w:val="center"/>
            <w:hideMark/>
          </w:tcPr>
          <w:p w14:paraId="4F24C2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504B5D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764254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9A3169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7,307</w:t>
            </w:r>
          </w:p>
        </w:tc>
        <w:tc>
          <w:tcPr>
            <w:tcW w:w="0" w:type="auto"/>
            <w:shd w:val="clear" w:color="auto" w:fill="CFF0FC"/>
            <w:noWrap/>
            <w:vAlign w:val="center"/>
            <w:hideMark/>
          </w:tcPr>
          <w:p w14:paraId="30A752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E181E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1E4D94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14DB4B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w:t>
            </w:r>
          </w:p>
        </w:tc>
        <w:tc>
          <w:tcPr>
            <w:tcW w:w="0" w:type="auto"/>
            <w:shd w:val="clear" w:color="auto" w:fill="CFF0FC"/>
            <w:noWrap/>
            <w:vAlign w:val="center"/>
            <w:hideMark/>
          </w:tcPr>
          <w:p w14:paraId="3D1AEB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4CB86D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A5632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7E74E6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w:t>
            </w:r>
          </w:p>
        </w:tc>
        <w:tc>
          <w:tcPr>
            <w:tcW w:w="0" w:type="auto"/>
            <w:shd w:val="clear" w:color="auto" w:fill="CFF0FC"/>
            <w:noWrap/>
            <w:vAlign w:val="center"/>
            <w:hideMark/>
          </w:tcPr>
          <w:p w14:paraId="3FB738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72FDAA1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872CF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79711C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(0</w:t>
            </w:r>
          </w:p>
        </w:tc>
        <w:tc>
          <w:tcPr>
            <w:tcW w:w="0" w:type="auto"/>
            <w:shd w:val="clear" w:color="auto" w:fill="CFF0FC"/>
            <w:noWrap/>
            <w:vAlign w:val="center"/>
            <w:hideMark/>
          </w:tcPr>
          <w:p w14:paraId="399183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7BCD2589" w14:textId="77777777" w:rsidTr="004B2A77">
        <w:trPr>
          <w:trHeight w:val="180"/>
          <w:tblCellSpacing w:w="15" w:type="dxa"/>
        </w:trPr>
        <w:tc>
          <w:tcPr>
            <w:tcW w:w="0" w:type="auto"/>
            <w:shd w:val="clear" w:color="auto" w:fill="FFFFFF"/>
            <w:vAlign w:val="center"/>
            <w:hideMark/>
          </w:tcPr>
          <w:p w14:paraId="4B87B1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FC3B0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South Korea</w:t>
            </w:r>
          </w:p>
        </w:tc>
        <w:tc>
          <w:tcPr>
            <w:tcW w:w="0" w:type="auto"/>
            <w:shd w:val="clear" w:color="auto" w:fill="FFFFFF"/>
            <w:noWrap/>
            <w:vAlign w:val="center"/>
            <w:hideMark/>
          </w:tcPr>
          <w:p w14:paraId="015E4D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9C52BC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3,695</w:t>
            </w:r>
          </w:p>
        </w:tc>
        <w:tc>
          <w:tcPr>
            <w:tcW w:w="0" w:type="auto"/>
            <w:shd w:val="clear" w:color="auto" w:fill="FFFFFF"/>
            <w:noWrap/>
            <w:vAlign w:val="center"/>
            <w:hideMark/>
          </w:tcPr>
          <w:p w14:paraId="3C2DEB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8ACBF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64AA4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8A4532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5</w:t>
            </w:r>
          </w:p>
        </w:tc>
        <w:tc>
          <w:tcPr>
            <w:tcW w:w="0" w:type="auto"/>
            <w:shd w:val="clear" w:color="auto" w:fill="FFFFFF"/>
            <w:noWrap/>
            <w:vAlign w:val="center"/>
            <w:hideMark/>
          </w:tcPr>
          <w:p w14:paraId="731621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331BCF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CF812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3F7E8B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3,407</w:t>
            </w:r>
          </w:p>
        </w:tc>
        <w:tc>
          <w:tcPr>
            <w:tcW w:w="0" w:type="auto"/>
            <w:shd w:val="clear" w:color="auto" w:fill="FFFFFF"/>
            <w:noWrap/>
            <w:vAlign w:val="center"/>
            <w:hideMark/>
          </w:tcPr>
          <w:p w14:paraId="38A8C0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CDBA1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0DB77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E774E7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FFFFFF"/>
            <w:noWrap/>
            <w:vAlign w:val="center"/>
            <w:hideMark/>
          </w:tcPr>
          <w:p w14:paraId="120AEF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488541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B2304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96E1E6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288</w:t>
            </w:r>
          </w:p>
        </w:tc>
        <w:tc>
          <w:tcPr>
            <w:tcW w:w="0" w:type="auto"/>
            <w:shd w:val="clear" w:color="auto" w:fill="FFFFFF"/>
            <w:noWrap/>
            <w:vAlign w:val="center"/>
            <w:hideMark/>
          </w:tcPr>
          <w:p w14:paraId="2090DD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08056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067F09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29D59B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8</w:t>
            </w:r>
          </w:p>
        </w:tc>
        <w:tc>
          <w:tcPr>
            <w:tcW w:w="0" w:type="auto"/>
            <w:shd w:val="clear" w:color="auto" w:fill="FFFFFF"/>
            <w:noWrap/>
            <w:vAlign w:val="center"/>
            <w:hideMark/>
          </w:tcPr>
          <w:p w14:paraId="798845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7152ADDB" w14:textId="77777777" w:rsidTr="004B2A77">
        <w:trPr>
          <w:trHeight w:val="180"/>
          <w:tblCellSpacing w:w="15" w:type="dxa"/>
        </w:trPr>
        <w:tc>
          <w:tcPr>
            <w:tcW w:w="0" w:type="auto"/>
            <w:shd w:val="clear" w:color="auto" w:fill="CFF0FC"/>
            <w:vAlign w:val="center"/>
            <w:hideMark/>
          </w:tcPr>
          <w:p w14:paraId="0825EC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1F5CF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India</w:t>
            </w:r>
          </w:p>
        </w:tc>
        <w:tc>
          <w:tcPr>
            <w:tcW w:w="0" w:type="auto"/>
            <w:shd w:val="clear" w:color="auto" w:fill="CFF0FC"/>
            <w:noWrap/>
            <w:vAlign w:val="center"/>
            <w:hideMark/>
          </w:tcPr>
          <w:p w14:paraId="3E22E7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C0BA91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5,078</w:t>
            </w:r>
          </w:p>
        </w:tc>
        <w:tc>
          <w:tcPr>
            <w:tcW w:w="0" w:type="auto"/>
            <w:shd w:val="clear" w:color="auto" w:fill="CFF0FC"/>
            <w:noWrap/>
            <w:vAlign w:val="center"/>
            <w:hideMark/>
          </w:tcPr>
          <w:p w14:paraId="466318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2B64A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64AD2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F6C699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6</w:t>
            </w:r>
          </w:p>
        </w:tc>
        <w:tc>
          <w:tcPr>
            <w:tcW w:w="0" w:type="auto"/>
            <w:shd w:val="clear" w:color="auto" w:fill="CFF0FC"/>
            <w:noWrap/>
            <w:vAlign w:val="center"/>
            <w:hideMark/>
          </w:tcPr>
          <w:p w14:paraId="7D1BE7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327DA6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19598B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B49DB3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4,139</w:t>
            </w:r>
          </w:p>
        </w:tc>
        <w:tc>
          <w:tcPr>
            <w:tcW w:w="0" w:type="auto"/>
            <w:shd w:val="clear" w:color="auto" w:fill="CFF0FC"/>
            <w:noWrap/>
            <w:vAlign w:val="center"/>
            <w:hideMark/>
          </w:tcPr>
          <w:p w14:paraId="7B6A75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E2CE6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BA06B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43D33A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w:t>
            </w:r>
          </w:p>
        </w:tc>
        <w:tc>
          <w:tcPr>
            <w:tcW w:w="0" w:type="auto"/>
            <w:shd w:val="clear" w:color="auto" w:fill="CFF0FC"/>
            <w:noWrap/>
            <w:vAlign w:val="center"/>
            <w:hideMark/>
          </w:tcPr>
          <w:p w14:paraId="2AF298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37DEDC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7BC0FD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5C9C1E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939</w:t>
            </w:r>
          </w:p>
        </w:tc>
        <w:tc>
          <w:tcPr>
            <w:tcW w:w="0" w:type="auto"/>
            <w:shd w:val="clear" w:color="auto" w:fill="CFF0FC"/>
            <w:noWrap/>
            <w:vAlign w:val="center"/>
            <w:hideMark/>
          </w:tcPr>
          <w:p w14:paraId="1820DA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F6330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B3A6D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B906F8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23</w:t>
            </w:r>
          </w:p>
        </w:tc>
        <w:tc>
          <w:tcPr>
            <w:tcW w:w="0" w:type="auto"/>
            <w:shd w:val="clear" w:color="auto" w:fill="CFF0FC"/>
            <w:noWrap/>
            <w:vAlign w:val="center"/>
            <w:hideMark/>
          </w:tcPr>
          <w:p w14:paraId="1F1485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270AA5F7" w14:textId="77777777" w:rsidTr="004B2A77">
        <w:trPr>
          <w:trHeight w:val="180"/>
          <w:tblCellSpacing w:w="15" w:type="dxa"/>
        </w:trPr>
        <w:tc>
          <w:tcPr>
            <w:tcW w:w="0" w:type="auto"/>
            <w:shd w:val="clear" w:color="auto" w:fill="FFFFFF"/>
            <w:vAlign w:val="center"/>
            <w:hideMark/>
          </w:tcPr>
          <w:p w14:paraId="0BE49E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C9D82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Other Asia</w:t>
            </w:r>
          </w:p>
        </w:tc>
        <w:tc>
          <w:tcPr>
            <w:tcW w:w="0" w:type="auto"/>
            <w:shd w:val="clear" w:color="auto" w:fill="FFFFFF"/>
            <w:noWrap/>
            <w:vAlign w:val="center"/>
            <w:hideMark/>
          </w:tcPr>
          <w:p w14:paraId="219116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6230BB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4,345</w:t>
            </w:r>
          </w:p>
        </w:tc>
        <w:tc>
          <w:tcPr>
            <w:tcW w:w="0" w:type="auto"/>
            <w:shd w:val="clear" w:color="auto" w:fill="FFFFFF"/>
            <w:noWrap/>
            <w:vAlign w:val="center"/>
            <w:hideMark/>
          </w:tcPr>
          <w:p w14:paraId="1985FD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457CE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77A1D1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5F368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5</w:t>
            </w:r>
          </w:p>
        </w:tc>
        <w:tc>
          <w:tcPr>
            <w:tcW w:w="0" w:type="auto"/>
            <w:shd w:val="clear" w:color="auto" w:fill="FFFFFF"/>
            <w:noWrap/>
            <w:vAlign w:val="center"/>
            <w:hideMark/>
          </w:tcPr>
          <w:p w14:paraId="35F8EE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29DC5E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063212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A02236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3,698</w:t>
            </w:r>
          </w:p>
        </w:tc>
        <w:tc>
          <w:tcPr>
            <w:tcW w:w="0" w:type="auto"/>
            <w:shd w:val="clear" w:color="auto" w:fill="FFFFFF"/>
            <w:noWrap/>
            <w:vAlign w:val="center"/>
            <w:hideMark/>
          </w:tcPr>
          <w:p w14:paraId="4F14E9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0539C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2AF8F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4292FB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FFFFFF"/>
            <w:noWrap/>
            <w:vAlign w:val="center"/>
            <w:hideMark/>
          </w:tcPr>
          <w:p w14:paraId="2B18E1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747D26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003150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EE0696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647</w:t>
            </w:r>
          </w:p>
        </w:tc>
        <w:tc>
          <w:tcPr>
            <w:tcW w:w="0" w:type="auto"/>
            <w:shd w:val="clear" w:color="auto" w:fill="FFFFFF"/>
            <w:noWrap/>
            <w:vAlign w:val="center"/>
            <w:hideMark/>
          </w:tcPr>
          <w:p w14:paraId="0238C9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7A63B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F53A0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6339CE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17</w:t>
            </w:r>
          </w:p>
        </w:tc>
        <w:tc>
          <w:tcPr>
            <w:tcW w:w="0" w:type="auto"/>
            <w:shd w:val="clear" w:color="auto" w:fill="FFFFFF"/>
            <w:noWrap/>
            <w:vAlign w:val="center"/>
            <w:hideMark/>
          </w:tcPr>
          <w:p w14:paraId="651664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21ECC636" w14:textId="77777777" w:rsidTr="004B2A77">
        <w:trPr>
          <w:trHeight w:val="180"/>
          <w:tblCellSpacing w:w="15" w:type="dxa"/>
        </w:trPr>
        <w:tc>
          <w:tcPr>
            <w:tcW w:w="0" w:type="auto"/>
            <w:shd w:val="clear" w:color="auto" w:fill="CFF0FC"/>
            <w:vAlign w:val="center"/>
            <w:hideMark/>
          </w:tcPr>
          <w:p w14:paraId="5E8DC5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w:t>
            </w:r>
          </w:p>
        </w:tc>
        <w:tc>
          <w:tcPr>
            <w:tcW w:w="0" w:type="auto"/>
            <w:shd w:val="clear" w:color="auto" w:fill="CFF0FC"/>
            <w:vAlign w:val="center"/>
            <w:hideMark/>
          </w:tcPr>
          <w:p w14:paraId="7FED17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center"/>
            <w:hideMark/>
          </w:tcPr>
          <w:p w14:paraId="45B38C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center"/>
            <w:hideMark/>
          </w:tcPr>
          <w:p w14:paraId="1415FD0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2,210</w:t>
            </w:r>
          </w:p>
        </w:tc>
        <w:tc>
          <w:tcPr>
            <w:tcW w:w="0" w:type="auto"/>
            <w:shd w:val="clear" w:color="auto" w:fill="CFF0FC"/>
            <w:noWrap/>
            <w:vAlign w:val="center"/>
            <w:hideMark/>
          </w:tcPr>
          <w:p w14:paraId="2A97FA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38382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74212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CD7A9A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w:t>
            </w:r>
          </w:p>
        </w:tc>
        <w:tc>
          <w:tcPr>
            <w:tcW w:w="0" w:type="auto"/>
            <w:shd w:val="clear" w:color="auto" w:fill="CFF0FC"/>
            <w:noWrap/>
            <w:vAlign w:val="center"/>
            <w:hideMark/>
          </w:tcPr>
          <w:p w14:paraId="489500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1744FA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center"/>
            <w:hideMark/>
          </w:tcPr>
          <w:p w14:paraId="4C5CF2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center"/>
            <w:hideMark/>
          </w:tcPr>
          <w:p w14:paraId="24E0717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2,013</w:t>
            </w:r>
          </w:p>
        </w:tc>
        <w:tc>
          <w:tcPr>
            <w:tcW w:w="0" w:type="auto"/>
            <w:shd w:val="clear" w:color="auto" w:fill="CFF0FC"/>
            <w:noWrap/>
            <w:vAlign w:val="center"/>
            <w:hideMark/>
          </w:tcPr>
          <w:p w14:paraId="516D0C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F7A5F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74B7B3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4672AC0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CFF0FC"/>
            <w:noWrap/>
            <w:vAlign w:val="center"/>
            <w:hideMark/>
          </w:tcPr>
          <w:p w14:paraId="383F98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7AC7C4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CBBC5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A901EA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197</w:t>
            </w:r>
          </w:p>
        </w:tc>
        <w:tc>
          <w:tcPr>
            <w:tcW w:w="0" w:type="auto"/>
            <w:shd w:val="clear" w:color="auto" w:fill="CFF0FC"/>
            <w:noWrap/>
            <w:vAlign w:val="center"/>
            <w:hideMark/>
          </w:tcPr>
          <w:p w14:paraId="75F42B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334E6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F7A93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C6F587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10</w:t>
            </w:r>
          </w:p>
        </w:tc>
        <w:tc>
          <w:tcPr>
            <w:tcW w:w="0" w:type="auto"/>
            <w:shd w:val="clear" w:color="auto" w:fill="CFF0FC"/>
            <w:noWrap/>
            <w:vAlign w:val="center"/>
            <w:hideMark/>
          </w:tcPr>
          <w:p w14:paraId="06A278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34011671" w14:textId="77777777" w:rsidTr="004B2A77">
        <w:trPr>
          <w:trHeight w:val="180"/>
          <w:tblCellSpacing w:w="15" w:type="dxa"/>
        </w:trPr>
        <w:tc>
          <w:tcPr>
            <w:tcW w:w="0" w:type="auto"/>
            <w:gridSpan w:val="2"/>
            <w:shd w:val="clear" w:color="auto" w:fill="FFFFFF"/>
            <w:vAlign w:val="center"/>
            <w:hideMark/>
          </w:tcPr>
          <w:p w14:paraId="137CC2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Global Total</w:t>
            </w:r>
          </w:p>
        </w:tc>
        <w:tc>
          <w:tcPr>
            <w:tcW w:w="0" w:type="auto"/>
            <w:shd w:val="clear" w:color="auto" w:fill="FFFFFF"/>
            <w:noWrap/>
            <w:vAlign w:val="center"/>
            <w:hideMark/>
          </w:tcPr>
          <w:p w14:paraId="3442AE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D3F20D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79,289</w:t>
            </w:r>
          </w:p>
        </w:tc>
        <w:tc>
          <w:tcPr>
            <w:tcW w:w="0" w:type="auto"/>
            <w:shd w:val="clear" w:color="auto" w:fill="FFFFFF"/>
            <w:noWrap/>
            <w:vAlign w:val="center"/>
            <w:hideMark/>
          </w:tcPr>
          <w:p w14:paraId="79DB62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06AEB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center"/>
            <w:hideMark/>
          </w:tcPr>
          <w:p w14:paraId="50CF014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071390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2A627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B48FE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A50D04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74,136</w:t>
            </w:r>
          </w:p>
        </w:tc>
        <w:tc>
          <w:tcPr>
            <w:tcW w:w="0" w:type="auto"/>
            <w:shd w:val="clear" w:color="auto" w:fill="FFFFFF"/>
            <w:noWrap/>
            <w:vAlign w:val="center"/>
            <w:hideMark/>
          </w:tcPr>
          <w:p w14:paraId="095216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D451B8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center"/>
            <w:hideMark/>
          </w:tcPr>
          <w:p w14:paraId="4F3E80D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BE237D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084E4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53597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40DC64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5,153</w:t>
            </w:r>
          </w:p>
        </w:tc>
        <w:tc>
          <w:tcPr>
            <w:tcW w:w="0" w:type="auto"/>
            <w:shd w:val="clear" w:color="auto" w:fill="FFFFFF"/>
            <w:noWrap/>
            <w:vAlign w:val="center"/>
            <w:hideMark/>
          </w:tcPr>
          <w:p w14:paraId="6F7B6E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D406C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B9EBE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40C581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i/>
                <w:iCs/>
                <w:color w:val="000000"/>
                <w:kern w:val="0"/>
                <w:sz w:val="18"/>
                <w:szCs w:val="18"/>
              </w:rPr>
              <w:t>7</w:t>
            </w:r>
          </w:p>
        </w:tc>
        <w:tc>
          <w:tcPr>
            <w:tcW w:w="0" w:type="auto"/>
            <w:shd w:val="clear" w:color="auto" w:fill="FFFFFF"/>
            <w:noWrap/>
            <w:vAlign w:val="center"/>
            <w:hideMark/>
          </w:tcPr>
          <w:p w14:paraId="189C01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i/>
                <w:iCs/>
                <w:color w:val="000000"/>
                <w:kern w:val="0"/>
                <w:sz w:val="18"/>
                <w:szCs w:val="18"/>
              </w:rPr>
              <w:t>%</w:t>
            </w:r>
          </w:p>
        </w:tc>
      </w:tr>
      <w:tr w:rsidR="004B2A77" w:rsidRPr="004B2A77" w14:paraId="0328305E" w14:textId="77777777" w:rsidTr="004B2A77">
        <w:trPr>
          <w:trHeight w:val="160"/>
          <w:tblCellSpacing w:w="15" w:type="dxa"/>
        </w:trPr>
        <w:tc>
          <w:tcPr>
            <w:tcW w:w="0" w:type="auto"/>
            <w:gridSpan w:val="24"/>
            <w:shd w:val="clear" w:color="auto" w:fill="FFFFFF"/>
            <w:vAlign w:val="bottom"/>
            <w:hideMark/>
          </w:tcPr>
          <w:p w14:paraId="28C6B0A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1"/>
                <w:szCs w:val="11"/>
              </w:rPr>
              <w:t xml:space="preserve"> 1) </w:t>
            </w:r>
            <w:r w:rsidRPr="004B2A77">
              <w:rPr>
                <w:rFonts w:ascii="Arial" w:eastAsia="微软雅黑" w:hAnsi="Arial" w:cs="Arial"/>
                <w:color w:val="000000"/>
                <w:kern w:val="0"/>
                <w:sz w:val="16"/>
                <w:szCs w:val="16"/>
              </w:rPr>
              <w:t>Source: S&amp;P Global</w:t>
            </w:r>
          </w:p>
        </w:tc>
        <w:tc>
          <w:tcPr>
            <w:tcW w:w="0" w:type="auto"/>
            <w:shd w:val="clear" w:color="auto" w:fill="FFFFFF"/>
            <w:vAlign w:val="bottom"/>
            <w:hideMark/>
          </w:tcPr>
          <w:p w14:paraId="697330E8"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bl>
    <w:p w14:paraId="37D431D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0"/>
          <w:szCs w:val="20"/>
        </w:rPr>
        <w:t> </w:t>
      </w:r>
    </w:p>
    <w:p w14:paraId="62888E3F" w14:textId="77777777" w:rsidR="004B2A77" w:rsidRPr="004B2A77" w:rsidRDefault="004B2A77" w:rsidP="004B2A77">
      <w:pPr>
        <w:widowControl/>
        <w:spacing w:before="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Chinese LVP, the world’s largest automotive market, increased by 2.0 million units or by 8% from 2021 to 2022. In Europe, an important market for automotive safety systems, LVP decreased by 1% or by approximately 0.2 million light vehicles during the same period. In North America, LVP increased by 1.1 million units, or by 10% compared to 2021. </w:t>
      </w:r>
    </w:p>
    <w:p w14:paraId="2BC5FDE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During 2022, Europe’s share of global LVP has declined to 20% from 21% while Americas' share was unchanged at 20% and China’s share increased to 32%. Japan’s share declined to 9% from 10% while India's share remained at 6%. </w:t>
      </w:r>
    </w:p>
    <w:p w14:paraId="65A93EE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Despite macro-economic uncertainties in parts of the world, we expect light vehicle markets to grow both in the short and long term, driven by pent-up end user demand and a rebuilding of new vehicle inventories. The growth is expected to take place in all regions.</w:t>
      </w:r>
    </w:p>
    <w:p w14:paraId="28E0386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Due to more stringent crash test rating requirements, by institutes such as Euro NCAP, increased government regulations and increasing consumer demand for more safety in emerging markets, the Company sees vehicle manufacturers installing more airbags and more advanced seatbelt systems in vehicles. This generally takes place when new models are introduced. The safety standards of vehicles are increasing in China, India, and other growth markets such as Brazil, partially due to new government regulations and crash test rating programs. For example, the Indian government has decided on a new traffic regulation that mandates more rigid crash test standards for light vehicles. This is supporting higher installation rates of airbags and more advanced seatbelts, impacting CPV positively. Commercial customer recoveries compensating for increased raw material costs also added to CPV in 2022, partly offset by negative effects from continued productivity related pricing pressure from vehicle manufacturers. The trend of increasing CPV was negatively impacted in 2022 by the unfavorable regional LVP mix development, as more than 75% of global LVP growth came from lower safety content regions such as China, India, Other Asia, and South America. This negative regional mix effect was more than offset by the overall increase in global CPV of more than 6% and the execution of the Company's strong order </w:t>
      </w:r>
      <w:r w:rsidRPr="004B2A77">
        <w:rPr>
          <w:rFonts w:ascii="Arial" w:eastAsia="宋体" w:hAnsi="Arial" w:cs="Arial"/>
          <w:color w:val="000000"/>
          <w:kern w:val="0"/>
          <w:sz w:val="18"/>
          <w:szCs w:val="18"/>
        </w:rPr>
        <w:lastRenderedPageBreak/>
        <w:t xml:space="preserve">book, which supported an organic growth (see section Non-U.S. GAAP Performance Measures) of 6.6 percentage points above growth in global LVP. The average global safety CPV (airbags, pedestrian safety, seatbelts, and steering wheels) amounted to around $255 in 2022. </w:t>
      </w:r>
    </w:p>
    <w:p w14:paraId="3CDFCE1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more stringent crash rating requirements and consumer demand for more safety should enable the global automotive safety market to grow around 2-3 percentage points per year faster than the global LVP during the next two years. This excludes the impact from cost inflation related price increases.</w:t>
      </w:r>
    </w:p>
    <w:p w14:paraId="70F2DF1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past years’ high order intake share has resulted in the Company's sales development outperforming the underlying LVP significantly in the past three years. In 2022, the Company's organic sales development outpaced global LVP by around 6.6 percentage points, due to increased safety content per vehicle and as an effect of recent years high order intake share.</w:t>
      </w:r>
    </w:p>
    <w:p w14:paraId="306543C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estimates that the sales to Electric Vehicles (not including PHEVs) amounted to more than $1 billion in 2022, decreasing our dependency on ICE vehicles. </w:t>
      </w:r>
    </w:p>
    <w:p w14:paraId="37E7169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32</w:t>
      </w:r>
    </w:p>
    <w:p w14:paraId="3759A59F"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CBDBD96">
          <v:rect id="_x0000_i1059" style="width:0;height:1.5pt" o:hralign="center" o:hrstd="t" o:hrnoshade="t" o:hr="t" fillcolor="black" stroked="f"/>
        </w:pict>
      </w:r>
    </w:p>
    <w:p w14:paraId="0533A2A7"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8F384A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WELL BALANCED GLOBAL FOOTPRINT </w:t>
      </w:r>
    </w:p>
    <w:p w14:paraId="21341BE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Company's regional sales mix continues to be balanced with 27% of sales in Europe, 33% in the Americas and 40% in Asia in 2022, compared to 28%, 31% and 41%, respectively, in 2021. In Asia, the Company's sales in the important Chinese market remained at 21% of total sales in 2022. The Company's sales in India increased to 4% of total sales in 2022 from 3% in 2021. </w:t>
      </w:r>
    </w:p>
    <w:p w14:paraId="671E8F8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balanced regional sales mix has been achieved through timely investments and strengthening of technical and support capabilities in growth markets. </w:t>
      </w:r>
    </w:p>
    <w:p w14:paraId="1A762E5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ORDER INTAKE ADDING TO AN ALREADY STRONG CUSTOMER BASE</w:t>
      </w:r>
    </w:p>
    <w:p w14:paraId="42DCFE8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order intake in 2022, with high win rates for new EV platforms with both new and traditional OEMs, added to the Company's already strong base, which includes supplying products to more than 1,300 vehicle models and around 100 car brands. The order intake in 2022 supports the Company's estimate that the Company's sales market share is moving towards around 45% in the next few years. The Company estimates that its sales market share was unchanged at around 43% in 2022. The lead time from order intake to start of production is typically 1-3 years. During this period the products are engineered into the vehicle to provide the expected protection for occupants in case of a crash and to meet legal and regulatory requirements, as well as other requirements from the vehicle manufacturer. This investment in new products is the main reason for the high level of RD&amp;E expenses, net. Additionally, the Company has to build up production capacity, in the form of new lines, to meet future product launches.</w:t>
      </w:r>
    </w:p>
    <w:p w14:paraId="331D2DA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Company's order intake share for 2022 continued on a high level. The estimated life-time sales for all orders booked in 2022 is around $10.7 billion, almost unchanged compared to around $10.8 billion in 2021, despite currency headwinds and lower LVP outlook in 2022. The 2022 order intake included high win rates with relatively new automakers and for new EV platforms. New order intake is defined as the sales value of awards for future business, received within that year. The life time value is calculated using </w:t>
      </w:r>
      <w:r w:rsidRPr="004B2A77">
        <w:rPr>
          <w:rFonts w:ascii="Arial" w:eastAsia="宋体" w:hAnsi="Arial" w:cs="Arial"/>
          <w:color w:val="000000"/>
          <w:kern w:val="0"/>
          <w:sz w:val="18"/>
          <w:szCs w:val="18"/>
        </w:rPr>
        <w:lastRenderedPageBreak/>
        <w:t>detailed assumptions of price and volumes over the years of production and the exchange rates prevailing at the time of receiving the order.</w:t>
      </w:r>
    </w:p>
    <w:p w14:paraId="016C2FE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Our sales growth has outperformed the change in global LVP by around 5-7 percentage points every year in the past five years. In 2022, the outperformance was 6.6 percentage points. During 2022, growth was positively affected through recent launches of several new models, including GMC Sierra/Chevrolet Silverado, Toyota Tundra, and Toyota Yaris as well as steering wheels sales to a number of Mercedes models. </w:t>
      </w:r>
    </w:p>
    <w:p w14:paraId="2E75EC5C"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STRATEGIC INITIATIVES AND STRUCTURAL IMPROVEMENTS</w:t>
      </w:r>
    </w:p>
    <w:p w14:paraId="7CF9578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2022 light vehicle market was hampered by an industry wide shortage of semi-conductors, a distressed global automotive supply chain and a raw material inflation which resulted in significant increases in cost for purchased material. In response, Autoliv management continued to implement strict cost control measures, including footprint and capacity alignments in Europe, Japan, South Korea as well as moving overhead functions to Best Cost Countries. </w:t>
      </w:r>
    </w:p>
    <w:p w14:paraId="04A057D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Additionally, the Company has introduced several initiatives in previous years, such as the Structural Efficiency Program 1 and 2. The first program was fully implemented in 2020 and the second program was fully implemented by 2022. </w:t>
      </w:r>
    </w:p>
    <w:p w14:paraId="1656710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provision, net of reversals, for restructuring activities in 2022 amounted to $13 million compared to $8 million in 2021. As of December 31, 2022, the Company had $31 million reserved in its balance sheet related to restructuring compared to $88 million last year. For more information, see Note 11, Restructuring, to the Consolidated Financial Statements included herein.</w:t>
      </w:r>
    </w:p>
    <w:p w14:paraId="0D39F90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addition to the structural improvements outlined above, the Company continues to implement the strategic initiatives to improve the efficiency of its value chain from end to end, not least through the Autoliv Production System and increased digitalization and automation. With several hundred projects in implementation or undergoing development, the Company has a high pace in the planning and implementation of the strategic initiatives and structural improvements. These initiatives are key drivers to the Company's medium-term targets and building the foundation to continue to create shareholder value. </w:t>
      </w:r>
    </w:p>
    <w:p w14:paraId="0414185B"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11F70A1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33</w:t>
      </w:r>
    </w:p>
    <w:p w14:paraId="4D4BD712"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61EE55C">
          <v:rect id="_x0000_i1060" style="width:0;height:1.5pt" o:hralign="center" o:hrstd="t" o:hrnoshade="t" o:hr="t" fillcolor="black" stroked="f"/>
        </w:pict>
      </w:r>
    </w:p>
    <w:p w14:paraId="7186B3E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7B0105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IMPROVED EFFICIENCIES THROUGH OPERATIONAL EXCELLENCE</w:t>
      </w:r>
    </w:p>
    <w:p w14:paraId="186EA8D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Pricing pressure is an inherent part of the automotive supplier business. Price reductions are generally higher on newer products with strong volume growth compared to older products, where both the possibilities to re-design the product to reduce costs and market growth are less. Price reductions can also depend on the business cycle and raw material price development. For the five-year period 2017-2021, the Company estimates the average reduction of product prices on existing programs to have been in the range of around 2-4% annually. In 2022, the pricing environment changed to some extent due to high raw material price and cost increases, which led to renegotiations with customers regarding </w:t>
      </w:r>
      <w:r w:rsidRPr="004B2A77">
        <w:rPr>
          <w:rFonts w:ascii="Arial" w:eastAsia="宋体" w:hAnsi="Arial" w:cs="Arial"/>
          <w:color w:val="000000"/>
          <w:kern w:val="0"/>
          <w:sz w:val="18"/>
          <w:szCs w:val="18"/>
        </w:rPr>
        <w:lastRenderedPageBreak/>
        <w:t>commercial terms. These discussions resulted in a net positive price development, gradually implemented throughout the year.</w:t>
      </w:r>
    </w:p>
    <w:p w14:paraId="68507A3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 key strategy for Autoliv to be and to remain cost competitive is to reduce labor costs, through continuously implementing productivity improvement programs, optimizing the Company's production footprint, and instituting restructuring and capacity alignment activities as well as other actions to address the Company's cost structure.</w:t>
      </w:r>
    </w:p>
    <w:p w14:paraId="726DE46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Company's productivity improvement target is to achieve at least 5% savings per year. To meet this target, Autoliv has developed a set of strategies to reduce costs in manufacturing: </w:t>
      </w:r>
    </w:p>
    <w:p w14:paraId="7CE01B61" w14:textId="77777777" w:rsidR="004B2A77" w:rsidRPr="004B2A77" w:rsidRDefault="004B2A77" w:rsidP="004B2A77">
      <w:pPr>
        <w:widowControl/>
        <w:rPr>
          <w:rFonts w:ascii="微软雅黑" w:eastAsia="微软雅黑" w:hAnsi="微软雅黑" w:cs="宋体"/>
          <w:color w:val="000000"/>
          <w:kern w:val="0"/>
          <w:sz w:val="27"/>
          <w:szCs w:val="27"/>
        </w:rPr>
      </w:pPr>
      <w:r w:rsidRPr="004B2A77">
        <w:rPr>
          <w:rFonts w:ascii="Times New Roman" w:eastAsia="微软雅黑" w:hAnsi="Times New Roman" w:cs="Times New Roman"/>
          <w:color w:val="000000"/>
          <w:kern w:val="0"/>
          <w:sz w:val="18"/>
          <w:szCs w:val="18"/>
        </w:rPr>
        <w:t>•</w:t>
      </w:r>
    </w:p>
    <w:p w14:paraId="3C87620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Autoliv production system (APS) is based on lean manufacturing methodology which aims to continuously increase output with less resources. APS provides the target conditions and tools to achieve the delivery of goods and services at the right time, in the right amount, at the required quality and at the lowest cost possible to all the Company's customers.</w:t>
      </w:r>
    </w:p>
    <w:p w14:paraId="30C8A83F"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1CEB3C79"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Autoliv One Product One Process (1P1P) strategy focuses on product and process standardization and reducing cost and complexity. The 1P1P strategy, combined with initiatives to reduce costs for components from external suppliers, ensures that the Company continuously optimize its supply base footprint, consolidate purchase volumes to fewer suppliers, improve productivity in the Company's supply chain, standardize components and redesign its products.</w:t>
      </w:r>
    </w:p>
    <w:p w14:paraId="077BC1A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31C0F963"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Strategic Initiatives, including Automation, Digitalization, Supply Chain Management Effectiveness and RD&amp;E Effectiveness.</w:t>
      </w:r>
    </w:p>
    <w:p w14:paraId="532C1D03" w14:textId="77777777" w:rsidR="004B2A77" w:rsidRPr="004B2A77" w:rsidRDefault="004B2A77" w:rsidP="004B2A77">
      <w:pPr>
        <w:widowControl/>
        <w:spacing w:before="120"/>
        <w:rPr>
          <w:rFonts w:ascii="Times New Roman" w:eastAsia="宋体" w:hAnsi="Times New Roman" w:cs="Times New Roman" w:hint="eastAsia"/>
          <w:color w:val="000000"/>
          <w:kern w:val="0"/>
          <w:sz w:val="20"/>
          <w:szCs w:val="20"/>
        </w:rPr>
      </w:pPr>
      <w:r w:rsidRPr="004B2A77">
        <w:rPr>
          <w:rFonts w:ascii="Arial" w:eastAsia="宋体" w:hAnsi="Arial" w:cs="Arial"/>
          <w:color w:val="000000"/>
          <w:kern w:val="0"/>
          <w:sz w:val="18"/>
          <w:szCs w:val="18"/>
        </w:rPr>
        <w:t xml:space="preserve">The Company's historic experience is that the continuous improvement strategies have enabled productivity improvement at or above its target of 5%. However, this was not the case in the past three years due to the COVID-19 pandemic related decline in LVP in 2020 and the high volatility in customer call-offs in 2021 and 2022 driven by the industry wide supply chain instability, especially for semiconductors. </w:t>
      </w:r>
    </w:p>
    <w:p w14:paraId="5E61D1F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foresees opportunities for further productivity on gains from LVP recovery and increased call-off stability when supply of semiconductors eventually improves, but also from increasing use of automation in its assembly for lean manufacturing processes. Additionally, automated cells typically perform the manufacturing process with reduced variability. This results in greater control and consistency of product quality.</w:t>
      </w:r>
    </w:p>
    <w:p w14:paraId="69C083FC"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FOCUS ON QUALITY</w:t>
      </w:r>
    </w:p>
    <w:p w14:paraId="19944E8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number of vehicle recalls in the automotive industry continues on a relatively high level. The Company expects overall recall numbers to remain high for years to come and, although the Company strives for the highest quality in its processes, it cannot be ruled out that the Company may also be adversely impacted by a future recall.</w:t>
      </w:r>
    </w:p>
    <w:p w14:paraId="6995BE8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Quality has been and always will be the Company's number one priority, and the Company continues to sharpen its focus in this area. The Company now holds a global market share in passive safety of around 43%, while the Company has been involved in less than 2% of recalls in the industry in the past ten years. This indicates that the Company is delivering on its quality strategy. For more information see product </w:t>
      </w:r>
      <w:r w:rsidRPr="004B2A77">
        <w:rPr>
          <w:rFonts w:ascii="Arial" w:eastAsia="宋体" w:hAnsi="Arial" w:cs="Arial"/>
          <w:color w:val="000000"/>
          <w:kern w:val="0"/>
          <w:sz w:val="18"/>
          <w:szCs w:val="18"/>
        </w:rPr>
        <w:lastRenderedPageBreak/>
        <w:t>warranty and recalls in Note 12, Product Related Liabilities, to the Consolidated Financial Statements in this Annual Report.</w:t>
      </w:r>
    </w:p>
    <w:p w14:paraId="30BA217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CHANGES IN COMPETITIVE LANDSCAPE </w:t>
      </w:r>
    </w:p>
    <w:p w14:paraId="6FA1F04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During the past eight years, Autoliv experienced significant changes in its competitive landscape. In 2015, TRW, a key competitor in passive safety, was acquired by German group ZF Friedrichshafen. In 2016, Key Safety Systems (“KSS”) was acquired by Ningbo Joyson Electronic Corp. Beginning in 2014, Takata, Autoliv's largest competitor at the time, experienced severe issues and recalls related to malfunctioning airbag inflators, leading the company to file for bankruptcy protection in the U.S. and Japan. In 2018, Joyson substantially acquired all of Takata's global assets and operations and combined it with KSS, forming the new company JSS.</w:t>
      </w:r>
    </w:p>
    <w:p w14:paraId="328C844D"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34</w:t>
      </w:r>
    </w:p>
    <w:p w14:paraId="53BC5F01"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A51A0EF">
          <v:rect id="_x0000_i1061" style="width:0;height:1.5pt" o:hralign="center" o:hrstd="t" o:hrnoshade="t" o:hr="t" fillcolor="black" stroked="f"/>
        </w:pict>
      </w:r>
    </w:p>
    <w:p w14:paraId="7C958BD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021C4B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CAPITAL STRUCTURE </w:t>
      </w:r>
    </w:p>
    <w:p w14:paraId="7A83863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net debt stood at $1,184 million on December 31, 2022. This was an increase of $132 million compared to December 31, 2021. Total interest-bearing debt at December 31, 2022 amounted to $1,766 million, a decrease of $242 million compared to December 31, 2021.</w:t>
      </w:r>
    </w:p>
    <w:p w14:paraId="22C052C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Cash flow from operations was $713 million in 2022 and $754 million in 2021. Capital expenditures, net amounted to $485 million in 2022 and $454 million in 2021. During 2022 and 2021 the Company paid dividends of $224 million and $165 million, respectively. </w:t>
      </w:r>
    </w:p>
    <w:p w14:paraId="4735817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It is the Company’s policy to maintain a financial leverage commensurate with a “strong investment grade credit rating”. The long-term target is to have a leverage ratio (see section Non-U.S. GAAP Performance Measures) of around 1.0x and to be within the range of 0.5x to 1.5x. At December 31, 2022, the current leverage ratio is 1.4x. The Company monitors its capital structure and the financial markets closely and intends to maintain a high level of financial flexibility while being shareholder friendly.</w:t>
      </w:r>
    </w:p>
    <w:p w14:paraId="6AB4FA9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part of the adjustment of the capital structure, the Company historically has repurchased shares of its common stock. During 2022, the Company repurchased and retired 1.44 million shares, under the stock repurchase program authorized by the Board of Directors in November 2021. This stock repurchase program authorizes the Company to repurchase up to $1.5 billion or up to 17 million shares (whichever comes first) between January 2022 and the end of 2024. In addition, in 2022, the Company retired 10 million shares of common stock that has been held in treasury. These shares were acquired between 2008 and 2014 under the prior stock repurchase program. After the retirement, the Company continues to hold around 5 million shares of common stock in treasury.</w:t>
      </w:r>
    </w:p>
    <w:p w14:paraId="3BFE417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2421EDB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 xml:space="preserve">OUTLOOK FOR 2023 </w:t>
      </w:r>
    </w:p>
    <w:p w14:paraId="44AA230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outlook indications for 2023 are mainly based on our customer call-offs, a full year 2023 global LVP growth of around 3%, that we achieve our targeted cost compensation effects and that customer call-off volatility is reduced.</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070"/>
        <w:gridCol w:w="280"/>
        <w:gridCol w:w="10264"/>
      </w:tblGrid>
      <w:tr w:rsidR="004B2A77" w:rsidRPr="004B2A77" w14:paraId="384A8E76" w14:textId="77777777" w:rsidTr="004B2A77">
        <w:trPr>
          <w:tblCellSpacing w:w="15" w:type="dxa"/>
        </w:trPr>
        <w:tc>
          <w:tcPr>
            <w:tcW w:w="10040" w:type="dxa"/>
            <w:vAlign w:val="center"/>
            <w:hideMark/>
          </w:tcPr>
          <w:p w14:paraId="4E0ECCA9"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50" w:type="dxa"/>
            <w:vAlign w:val="center"/>
            <w:hideMark/>
          </w:tcPr>
          <w:p w14:paraId="28CE58A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0234" w:type="dxa"/>
            <w:vAlign w:val="center"/>
            <w:hideMark/>
          </w:tcPr>
          <w:p w14:paraId="0F2C79D5"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A578EED" w14:textId="77777777" w:rsidTr="004B2A77">
        <w:trPr>
          <w:trHeight w:val="160"/>
          <w:tblCellSpacing w:w="15" w:type="dxa"/>
        </w:trPr>
        <w:tc>
          <w:tcPr>
            <w:tcW w:w="0" w:type="auto"/>
            <w:tcBorders>
              <w:bottom w:val="single" w:sz="4" w:space="0" w:color="000000"/>
            </w:tcBorders>
            <w:shd w:val="clear" w:color="auto" w:fill="FFFFFF"/>
            <w:vAlign w:val="bottom"/>
            <w:hideMark/>
          </w:tcPr>
          <w:p w14:paraId="1F48138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lastRenderedPageBreak/>
              <w:t>Financial measure</w:t>
            </w:r>
          </w:p>
        </w:tc>
        <w:tc>
          <w:tcPr>
            <w:tcW w:w="0" w:type="auto"/>
            <w:shd w:val="clear" w:color="auto" w:fill="FFFFFF"/>
            <w:vAlign w:val="center"/>
            <w:hideMark/>
          </w:tcPr>
          <w:p w14:paraId="2B228AB2"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672FA847"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Full year indication</w:t>
            </w:r>
          </w:p>
        </w:tc>
      </w:tr>
      <w:tr w:rsidR="004B2A77" w:rsidRPr="004B2A77" w14:paraId="53B7C7A8" w14:textId="77777777" w:rsidTr="004B2A77">
        <w:trPr>
          <w:trHeight w:val="180"/>
          <w:tblCellSpacing w:w="15" w:type="dxa"/>
        </w:trPr>
        <w:tc>
          <w:tcPr>
            <w:tcW w:w="0" w:type="auto"/>
            <w:shd w:val="clear" w:color="auto" w:fill="FFFFFF"/>
            <w:vAlign w:val="center"/>
            <w:hideMark/>
          </w:tcPr>
          <w:p w14:paraId="7C12D97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Organic sales growth</w:t>
            </w:r>
          </w:p>
        </w:tc>
        <w:tc>
          <w:tcPr>
            <w:tcW w:w="0" w:type="auto"/>
            <w:shd w:val="clear" w:color="auto" w:fill="FFFFFF"/>
            <w:vAlign w:val="center"/>
            <w:hideMark/>
          </w:tcPr>
          <w:p w14:paraId="7A2E5D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FC640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Around 15%</w:t>
            </w:r>
          </w:p>
        </w:tc>
      </w:tr>
      <w:tr w:rsidR="004B2A77" w:rsidRPr="004B2A77" w14:paraId="172EE8AA" w14:textId="77777777" w:rsidTr="004B2A77">
        <w:trPr>
          <w:trHeight w:val="180"/>
          <w:tblCellSpacing w:w="15" w:type="dxa"/>
        </w:trPr>
        <w:tc>
          <w:tcPr>
            <w:tcW w:w="0" w:type="auto"/>
            <w:shd w:val="clear" w:color="auto" w:fill="CFF0FC"/>
            <w:vAlign w:val="center"/>
            <w:hideMark/>
          </w:tcPr>
          <w:p w14:paraId="4C7356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Foreign exchange impact on net sales</w:t>
            </w:r>
          </w:p>
        </w:tc>
        <w:tc>
          <w:tcPr>
            <w:tcW w:w="0" w:type="auto"/>
            <w:shd w:val="clear" w:color="auto" w:fill="CFF0FC"/>
            <w:vAlign w:val="center"/>
            <w:hideMark/>
          </w:tcPr>
          <w:p w14:paraId="7FBC82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DE00B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Around 1% negative</w:t>
            </w:r>
          </w:p>
        </w:tc>
      </w:tr>
      <w:tr w:rsidR="004B2A77" w:rsidRPr="004B2A77" w14:paraId="233AF500" w14:textId="77777777" w:rsidTr="004B2A77">
        <w:trPr>
          <w:trHeight w:val="180"/>
          <w:tblCellSpacing w:w="15" w:type="dxa"/>
        </w:trPr>
        <w:tc>
          <w:tcPr>
            <w:tcW w:w="0" w:type="auto"/>
            <w:shd w:val="clear" w:color="auto" w:fill="FFFFFF"/>
            <w:vAlign w:val="center"/>
            <w:hideMark/>
          </w:tcPr>
          <w:p w14:paraId="7DA092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Adjusted operating margin</w:t>
            </w:r>
            <w:r w:rsidRPr="004B2A77">
              <w:rPr>
                <w:rFonts w:ascii="Arial" w:eastAsia="微软雅黑" w:hAnsi="Arial" w:cs="Arial"/>
                <w:color w:val="000000"/>
                <w:kern w:val="0"/>
                <w:sz w:val="12"/>
                <w:szCs w:val="12"/>
              </w:rPr>
              <w:t>1)</w:t>
            </w:r>
          </w:p>
        </w:tc>
        <w:tc>
          <w:tcPr>
            <w:tcW w:w="0" w:type="auto"/>
            <w:shd w:val="clear" w:color="auto" w:fill="FFFFFF"/>
            <w:vAlign w:val="center"/>
            <w:hideMark/>
          </w:tcPr>
          <w:p w14:paraId="14251D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EF40A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Around 8.5-9%</w:t>
            </w:r>
          </w:p>
        </w:tc>
      </w:tr>
      <w:tr w:rsidR="004B2A77" w:rsidRPr="004B2A77" w14:paraId="6DAD3F66" w14:textId="77777777" w:rsidTr="004B2A77">
        <w:trPr>
          <w:trHeight w:val="180"/>
          <w:tblCellSpacing w:w="15" w:type="dxa"/>
        </w:trPr>
        <w:tc>
          <w:tcPr>
            <w:tcW w:w="0" w:type="auto"/>
            <w:shd w:val="clear" w:color="auto" w:fill="CFF0FC"/>
            <w:vAlign w:val="center"/>
            <w:hideMark/>
          </w:tcPr>
          <w:p w14:paraId="27D5C5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Tax rate </w:t>
            </w:r>
            <w:r w:rsidRPr="004B2A77">
              <w:rPr>
                <w:rFonts w:ascii="Arial" w:eastAsia="微软雅黑" w:hAnsi="Arial" w:cs="Arial"/>
                <w:color w:val="000000"/>
                <w:kern w:val="0"/>
                <w:sz w:val="12"/>
                <w:szCs w:val="12"/>
              </w:rPr>
              <w:t>2)</w:t>
            </w:r>
          </w:p>
        </w:tc>
        <w:tc>
          <w:tcPr>
            <w:tcW w:w="0" w:type="auto"/>
            <w:shd w:val="clear" w:color="auto" w:fill="CFF0FC"/>
            <w:vAlign w:val="center"/>
            <w:hideMark/>
          </w:tcPr>
          <w:p w14:paraId="4EFD61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97FFA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Around 32%</w:t>
            </w:r>
          </w:p>
        </w:tc>
      </w:tr>
      <w:tr w:rsidR="004B2A77" w:rsidRPr="004B2A77" w14:paraId="74275A14" w14:textId="77777777" w:rsidTr="004B2A77">
        <w:trPr>
          <w:trHeight w:val="180"/>
          <w:tblCellSpacing w:w="15" w:type="dxa"/>
        </w:trPr>
        <w:tc>
          <w:tcPr>
            <w:tcW w:w="0" w:type="auto"/>
            <w:shd w:val="clear" w:color="auto" w:fill="FFFFFF"/>
            <w:vAlign w:val="center"/>
            <w:hideMark/>
          </w:tcPr>
          <w:p w14:paraId="2A662E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cash flow</w:t>
            </w:r>
            <w:r w:rsidRPr="004B2A77">
              <w:rPr>
                <w:rFonts w:ascii="Arial" w:eastAsia="微软雅黑" w:hAnsi="Arial" w:cs="Arial"/>
                <w:color w:val="000000"/>
                <w:kern w:val="0"/>
                <w:sz w:val="12"/>
                <w:szCs w:val="12"/>
              </w:rPr>
              <w:t>3)</w:t>
            </w:r>
          </w:p>
        </w:tc>
        <w:tc>
          <w:tcPr>
            <w:tcW w:w="0" w:type="auto"/>
            <w:shd w:val="clear" w:color="auto" w:fill="FFFFFF"/>
            <w:vAlign w:val="center"/>
            <w:hideMark/>
          </w:tcPr>
          <w:p w14:paraId="2D242D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FE1CA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Around $900 million</w:t>
            </w:r>
          </w:p>
        </w:tc>
      </w:tr>
      <w:tr w:rsidR="004B2A77" w:rsidRPr="004B2A77" w14:paraId="18433E35" w14:textId="77777777" w:rsidTr="004B2A77">
        <w:trPr>
          <w:trHeight w:val="180"/>
          <w:tblCellSpacing w:w="15" w:type="dxa"/>
        </w:trPr>
        <w:tc>
          <w:tcPr>
            <w:tcW w:w="0" w:type="auto"/>
            <w:shd w:val="clear" w:color="auto" w:fill="CFF0FC"/>
            <w:vAlign w:val="center"/>
            <w:hideMark/>
          </w:tcPr>
          <w:p w14:paraId="24B798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Capital expenditures, net % of sales</w:t>
            </w:r>
          </w:p>
        </w:tc>
        <w:tc>
          <w:tcPr>
            <w:tcW w:w="0" w:type="auto"/>
            <w:shd w:val="clear" w:color="auto" w:fill="CFF0FC"/>
            <w:vAlign w:val="center"/>
            <w:hideMark/>
          </w:tcPr>
          <w:p w14:paraId="3251A6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15E43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Around 6%</w:t>
            </w:r>
          </w:p>
        </w:tc>
      </w:tr>
    </w:tbl>
    <w:p w14:paraId="66B6479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1) Excluding costs for capacity alignments, anti-trust related matters and other discrete items. </w:t>
      </w:r>
    </w:p>
    <w:p w14:paraId="79E4D35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2) Excluding unusual tax items.</w:t>
      </w:r>
    </w:p>
    <w:p w14:paraId="5A8BA4C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3) Excluding unusual items.</w:t>
      </w:r>
    </w:p>
    <w:p w14:paraId="3A3DB59F"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forward-looking non-U.S. GAAP financial measures above are provided on a non-U.S. GAAP basis. Autoliv has not provided a U.S. GAAP reconciliation of these measures because items that impact these measures, such as costs related to capacity alignments and antitrust matters, cannot be reasonably predicted or determined. As a result, such reconciliation is not available without unreasonable efforts and Autoliv is unable to determine the probable significance of the unavailable information.</w:t>
      </w:r>
    </w:p>
    <w:p w14:paraId="6C6D5F3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SIGNIFICANT LEGAL MATTERS</w:t>
      </w:r>
      <w:r w:rsidRPr="004B2A77">
        <w:rPr>
          <w:rFonts w:ascii="Arial" w:eastAsia="宋体" w:hAnsi="Arial" w:cs="Arial"/>
          <w:b/>
          <w:bCs/>
          <w:color w:val="000000"/>
          <w:kern w:val="0"/>
          <w:sz w:val="18"/>
          <w:szCs w:val="18"/>
        </w:rPr>
        <w:t xml:space="preserve"> </w:t>
      </w:r>
    </w:p>
    <w:p w14:paraId="3AEB962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Item 3. Legal Proceedings and Note 17 Contingent Liabilities to the Consolidated Financial Statements in this Annual Report.</w:t>
      </w:r>
    </w:p>
    <w:p w14:paraId="7AEB4A4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2F8D5AEA"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35</w:t>
      </w:r>
    </w:p>
    <w:p w14:paraId="5CE583AB"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897D899">
          <v:rect id="_x0000_i1062" style="width:0;height:1.5pt" o:hralign="center" o:hrstd="t" o:hrnoshade="t" o:hr="t" fillcolor="black" stroked="f"/>
        </w:pict>
      </w:r>
    </w:p>
    <w:p w14:paraId="6BF92DF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164ECF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20"/>
          <w:szCs w:val="20"/>
        </w:rPr>
        <w:t>RESULTS OF OPERATIONS</w:t>
      </w:r>
    </w:p>
    <w:p w14:paraId="27E48FC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Consolidated net sales in 2022 increased by 7.4% compared to 2021. Excluding negative currency translation effects of 6.1%, the organic sales increased (Non-U.S. GAAP measure, see reconciliation table below) by 14.0%. </w:t>
      </w:r>
    </w:p>
    <w:p w14:paraId="066CDEC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Sales by Product</w:t>
      </w:r>
    </w:p>
    <w:p w14:paraId="19AA1F3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374"/>
        <w:gridCol w:w="290"/>
        <w:gridCol w:w="229"/>
        <w:gridCol w:w="1397"/>
        <w:gridCol w:w="228"/>
        <w:gridCol w:w="290"/>
        <w:gridCol w:w="229"/>
        <w:gridCol w:w="1422"/>
        <w:gridCol w:w="228"/>
        <w:gridCol w:w="216"/>
        <w:gridCol w:w="229"/>
        <w:gridCol w:w="1558"/>
        <w:gridCol w:w="229"/>
        <w:gridCol w:w="214"/>
        <w:gridCol w:w="229"/>
        <w:gridCol w:w="2743"/>
        <w:gridCol w:w="280"/>
        <w:gridCol w:w="216"/>
        <w:gridCol w:w="228"/>
        <w:gridCol w:w="2539"/>
        <w:gridCol w:w="246"/>
      </w:tblGrid>
      <w:tr w:rsidR="004B2A77" w:rsidRPr="004B2A77" w14:paraId="1A51170E" w14:textId="77777777" w:rsidTr="004B2A77">
        <w:trPr>
          <w:tblCellSpacing w:w="15" w:type="dxa"/>
        </w:trPr>
        <w:tc>
          <w:tcPr>
            <w:tcW w:w="7363" w:type="dxa"/>
            <w:vAlign w:val="center"/>
            <w:hideMark/>
          </w:tcPr>
          <w:p w14:paraId="2E7CC5BE"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61" w:type="dxa"/>
            <w:vAlign w:val="center"/>
            <w:hideMark/>
          </w:tcPr>
          <w:p w14:paraId="03BAE3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33B327B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72" w:type="dxa"/>
            <w:vAlign w:val="center"/>
            <w:hideMark/>
          </w:tcPr>
          <w:p w14:paraId="7B08230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023575B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1" w:type="dxa"/>
            <w:vAlign w:val="center"/>
            <w:hideMark/>
          </w:tcPr>
          <w:p w14:paraId="57F1350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5B8D62E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97" w:type="dxa"/>
            <w:vAlign w:val="center"/>
            <w:hideMark/>
          </w:tcPr>
          <w:p w14:paraId="5A1842A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6FC31CB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7" w:type="dxa"/>
            <w:vAlign w:val="center"/>
            <w:hideMark/>
          </w:tcPr>
          <w:p w14:paraId="2B30D2C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0B13B8F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33" w:type="dxa"/>
            <w:vAlign w:val="center"/>
            <w:hideMark/>
          </w:tcPr>
          <w:p w14:paraId="0EAAF7C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4FF05B4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5" w:type="dxa"/>
            <w:vAlign w:val="center"/>
            <w:hideMark/>
          </w:tcPr>
          <w:p w14:paraId="52EB297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22A245D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25" w:type="dxa"/>
            <w:vAlign w:val="center"/>
            <w:hideMark/>
          </w:tcPr>
          <w:p w14:paraId="465E4F3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2B12432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7" w:type="dxa"/>
            <w:vAlign w:val="center"/>
            <w:hideMark/>
          </w:tcPr>
          <w:p w14:paraId="76A71C4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03F4222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20" w:type="dxa"/>
            <w:vAlign w:val="center"/>
            <w:hideMark/>
          </w:tcPr>
          <w:p w14:paraId="47CF67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7ABF5C9E"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90654AD" w14:textId="77777777" w:rsidTr="004B2A77">
        <w:trPr>
          <w:trHeight w:val="160"/>
          <w:tblCellSpacing w:w="15" w:type="dxa"/>
        </w:trPr>
        <w:tc>
          <w:tcPr>
            <w:tcW w:w="0" w:type="auto"/>
            <w:shd w:val="clear" w:color="auto" w:fill="FFFFFF"/>
            <w:vAlign w:val="bottom"/>
            <w:hideMark/>
          </w:tcPr>
          <w:p w14:paraId="33EE3F1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55F7286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shd w:val="clear" w:color="auto" w:fill="FFFFFF"/>
            <w:vAlign w:val="bottom"/>
            <w:hideMark/>
          </w:tcPr>
          <w:p w14:paraId="05D4CE9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5006E11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2F5B52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shd w:val="clear" w:color="auto" w:fill="FFFFFF"/>
            <w:vAlign w:val="bottom"/>
            <w:hideMark/>
          </w:tcPr>
          <w:p w14:paraId="173265F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37D95D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3E8F61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shd w:val="clear" w:color="auto" w:fill="FFFFFF"/>
            <w:vAlign w:val="bottom"/>
            <w:hideMark/>
          </w:tcPr>
          <w:p w14:paraId="1B35028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5BADF34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B5A60D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154178C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Components of Change in Net Sales</w:t>
            </w:r>
          </w:p>
        </w:tc>
        <w:tc>
          <w:tcPr>
            <w:tcW w:w="0" w:type="auto"/>
            <w:shd w:val="clear" w:color="auto" w:fill="FFFFFF"/>
            <w:vAlign w:val="bottom"/>
            <w:hideMark/>
          </w:tcPr>
          <w:p w14:paraId="0BC393B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44CD488C" w14:textId="77777777" w:rsidTr="004B2A77">
        <w:trPr>
          <w:trHeight w:val="160"/>
          <w:tblCellSpacing w:w="15" w:type="dxa"/>
        </w:trPr>
        <w:tc>
          <w:tcPr>
            <w:tcW w:w="0" w:type="auto"/>
            <w:shd w:val="clear" w:color="auto" w:fill="FFFFFF"/>
            <w:vAlign w:val="bottom"/>
            <w:hideMark/>
          </w:tcPr>
          <w:p w14:paraId="32EB6D7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CD2D79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FA60E5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70808F1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EFF739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9029E9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748B7AF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5F9743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DEBCF5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Reported</w:t>
            </w:r>
            <w:r w:rsidRPr="004B2A77">
              <w:rPr>
                <w:rFonts w:ascii="Arial" w:eastAsia="微软雅黑" w:hAnsi="Arial" w:cs="Arial"/>
                <w:b/>
                <w:bCs/>
                <w:color w:val="000000"/>
                <w:kern w:val="0"/>
                <w:sz w:val="16"/>
                <w:szCs w:val="16"/>
              </w:rPr>
              <w:br/>
              <w:t>change</w:t>
            </w:r>
          </w:p>
        </w:tc>
        <w:tc>
          <w:tcPr>
            <w:tcW w:w="0" w:type="auto"/>
            <w:shd w:val="clear" w:color="auto" w:fill="FFFFFF"/>
            <w:vAlign w:val="bottom"/>
            <w:hideMark/>
          </w:tcPr>
          <w:p w14:paraId="0A7D743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9E09D3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8FC90D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Currency effects</w:t>
            </w:r>
            <w:r w:rsidRPr="004B2A77">
              <w:rPr>
                <w:rFonts w:ascii="Arial" w:eastAsia="微软雅黑" w:hAnsi="Arial" w:cs="Arial"/>
                <w:b/>
                <w:bCs/>
                <w:color w:val="000000"/>
                <w:kern w:val="0"/>
                <w:sz w:val="11"/>
                <w:szCs w:val="11"/>
              </w:rPr>
              <w:t>1)</w:t>
            </w:r>
          </w:p>
        </w:tc>
        <w:tc>
          <w:tcPr>
            <w:tcW w:w="0" w:type="auto"/>
            <w:shd w:val="clear" w:color="auto" w:fill="FFFFFF"/>
            <w:vAlign w:val="bottom"/>
            <w:hideMark/>
          </w:tcPr>
          <w:p w14:paraId="5C4D489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BE7BE4D"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247C4ED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Organic</w:t>
            </w:r>
          </w:p>
        </w:tc>
        <w:tc>
          <w:tcPr>
            <w:tcW w:w="0" w:type="auto"/>
            <w:shd w:val="clear" w:color="auto" w:fill="FFFFFF"/>
            <w:vAlign w:val="bottom"/>
            <w:hideMark/>
          </w:tcPr>
          <w:p w14:paraId="4FE950C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285AA3B5" w14:textId="77777777" w:rsidTr="004B2A77">
        <w:trPr>
          <w:trHeight w:val="180"/>
          <w:tblCellSpacing w:w="15" w:type="dxa"/>
        </w:trPr>
        <w:tc>
          <w:tcPr>
            <w:tcW w:w="0" w:type="auto"/>
            <w:shd w:val="clear" w:color="auto" w:fill="CFF0FC"/>
            <w:vAlign w:val="center"/>
            <w:hideMark/>
          </w:tcPr>
          <w:p w14:paraId="126503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Airbags, Steering Wheels and Other</w:t>
            </w:r>
            <w:r w:rsidRPr="004B2A77">
              <w:rPr>
                <w:rFonts w:ascii="Arial" w:eastAsia="微软雅黑" w:hAnsi="Arial" w:cs="Arial"/>
                <w:color w:val="000000"/>
                <w:kern w:val="0"/>
                <w:sz w:val="12"/>
                <w:szCs w:val="12"/>
              </w:rPr>
              <w:t>2)</w:t>
            </w:r>
          </w:p>
        </w:tc>
        <w:tc>
          <w:tcPr>
            <w:tcW w:w="0" w:type="auto"/>
            <w:shd w:val="clear" w:color="auto" w:fill="CFF0FC"/>
            <w:vAlign w:val="bottom"/>
            <w:hideMark/>
          </w:tcPr>
          <w:p w14:paraId="484A84A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DD094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5D425F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5,807</w:t>
            </w:r>
          </w:p>
        </w:tc>
        <w:tc>
          <w:tcPr>
            <w:tcW w:w="0" w:type="auto"/>
            <w:shd w:val="clear" w:color="auto" w:fill="CFF0FC"/>
            <w:noWrap/>
            <w:vAlign w:val="bottom"/>
            <w:hideMark/>
          </w:tcPr>
          <w:p w14:paraId="66C0DF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04088F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6D33D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0F8B10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5,380</w:t>
            </w:r>
          </w:p>
        </w:tc>
        <w:tc>
          <w:tcPr>
            <w:tcW w:w="0" w:type="auto"/>
            <w:shd w:val="clear" w:color="auto" w:fill="CFF0FC"/>
            <w:noWrap/>
            <w:vAlign w:val="bottom"/>
            <w:hideMark/>
          </w:tcPr>
          <w:p w14:paraId="1FAC5B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249629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45731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021A9C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7.9</w:t>
            </w:r>
          </w:p>
        </w:tc>
        <w:tc>
          <w:tcPr>
            <w:tcW w:w="0" w:type="auto"/>
            <w:shd w:val="clear" w:color="auto" w:fill="CFF0FC"/>
            <w:noWrap/>
            <w:vAlign w:val="bottom"/>
            <w:hideMark/>
          </w:tcPr>
          <w:p w14:paraId="067C23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36E5D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BFE40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3ECB80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(5.9</w:t>
            </w:r>
          </w:p>
        </w:tc>
        <w:tc>
          <w:tcPr>
            <w:tcW w:w="0" w:type="auto"/>
            <w:shd w:val="clear" w:color="auto" w:fill="CFF0FC"/>
            <w:noWrap/>
            <w:vAlign w:val="bottom"/>
            <w:hideMark/>
          </w:tcPr>
          <w:p w14:paraId="2B5B9A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4331F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856CA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49D5C8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14.0</w:t>
            </w:r>
          </w:p>
        </w:tc>
        <w:tc>
          <w:tcPr>
            <w:tcW w:w="0" w:type="auto"/>
            <w:shd w:val="clear" w:color="auto" w:fill="CFF0FC"/>
            <w:noWrap/>
            <w:vAlign w:val="bottom"/>
            <w:hideMark/>
          </w:tcPr>
          <w:p w14:paraId="03F350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47EF6B3" w14:textId="77777777" w:rsidTr="004B2A77">
        <w:trPr>
          <w:trHeight w:val="180"/>
          <w:tblCellSpacing w:w="15" w:type="dxa"/>
        </w:trPr>
        <w:tc>
          <w:tcPr>
            <w:tcW w:w="0" w:type="auto"/>
            <w:shd w:val="clear" w:color="auto" w:fill="FFFFFF"/>
            <w:hideMark/>
          </w:tcPr>
          <w:p w14:paraId="384725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Seatbelt products</w:t>
            </w:r>
            <w:r w:rsidRPr="004B2A77">
              <w:rPr>
                <w:rFonts w:ascii="Arial" w:eastAsia="微软雅黑" w:hAnsi="Arial" w:cs="Arial"/>
                <w:color w:val="000000"/>
                <w:kern w:val="0"/>
                <w:sz w:val="12"/>
                <w:szCs w:val="12"/>
              </w:rPr>
              <w:t>2)</w:t>
            </w:r>
          </w:p>
        </w:tc>
        <w:tc>
          <w:tcPr>
            <w:tcW w:w="0" w:type="auto"/>
            <w:shd w:val="clear" w:color="auto" w:fill="FFFFFF"/>
            <w:vAlign w:val="bottom"/>
            <w:hideMark/>
          </w:tcPr>
          <w:p w14:paraId="1C6DFC6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27976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48CC9FF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3,035</w:t>
            </w:r>
          </w:p>
        </w:tc>
        <w:tc>
          <w:tcPr>
            <w:tcW w:w="0" w:type="auto"/>
            <w:shd w:val="clear" w:color="auto" w:fill="FFFFFF"/>
            <w:noWrap/>
            <w:vAlign w:val="bottom"/>
            <w:hideMark/>
          </w:tcPr>
          <w:p w14:paraId="6D211A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9F21AD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7FCEF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4D89F25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2,850</w:t>
            </w:r>
          </w:p>
        </w:tc>
        <w:tc>
          <w:tcPr>
            <w:tcW w:w="0" w:type="auto"/>
            <w:shd w:val="clear" w:color="auto" w:fill="FFFFFF"/>
            <w:noWrap/>
            <w:vAlign w:val="bottom"/>
            <w:hideMark/>
          </w:tcPr>
          <w:p w14:paraId="402372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AEA035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E8DD8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2BC2D5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6.5</w:t>
            </w:r>
          </w:p>
        </w:tc>
        <w:tc>
          <w:tcPr>
            <w:tcW w:w="0" w:type="auto"/>
            <w:shd w:val="clear" w:color="auto" w:fill="FFFFFF"/>
            <w:noWrap/>
            <w:vAlign w:val="bottom"/>
            <w:hideMark/>
          </w:tcPr>
          <w:p w14:paraId="182369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1911F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76960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09F3ED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(6.4</w:t>
            </w:r>
          </w:p>
        </w:tc>
        <w:tc>
          <w:tcPr>
            <w:tcW w:w="0" w:type="auto"/>
            <w:shd w:val="clear" w:color="auto" w:fill="FFFFFF"/>
            <w:noWrap/>
            <w:vAlign w:val="bottom"/>
            <w:hideMark/>
          </w:tcPr>
          <w:p w14:paraId="783A76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5E7AA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371E7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3DCD57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13.0</w:t>
            </w:r>
          </w:p>
        </w:tc>
        <w:tc>
          <w:tcPr>
            <w:tcW w:w="0" w:type="auto"/>
            <w:shd w:val="clear" w:color="auto" w:fill="FFFFFF"/>
            <w:noWrap/>
            <w:vAlign w:val="bottom"/>
            <w:hideMark/>
          </w:tcPr>
          <w:p w14:paraId="59F5C4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123AE81" w14:textId="77777777" w:rsidTr="004B2A77">
        <w:trPr>
          <w:trHeight w:val="180"/>
          <w:tblCellSpacing w:w="15" w:type="dxa"/>
        </w:trPr>
        <w:tc>
          <w:tcPr>
            <w:tcW w:w="0" w:type="auto"/>
            <w:shd w:val="clear" w:color="auto" w:fill="CFF0FC"/>
            <w:hideMark/>
          </w:tcPr>
          <w:p w14:paraId="55CB19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w:t>
            </w:r>
          </w:p>
        </w:tc>
        <w:tc>
          <w:tcPr>
            <w:tcW w:w="0" w:type="auto"/>
            <w:shd w:val="clear" w:color="auto" w:fill="CFF0FC"/>
            <w:vAlign w:val="bottom"/>
            <w:hideMark/>
          </w:tcPr>
          <w:p w14:paraId="6B977F5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DFDD01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7D24593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8,842</w:t>
            </w:r>
          </w:p>
        </w:tc>
        <w:tc>
          <w:tcPr>
            <w:tcW w:w="0" w:type="auto"/>
            <w:shd w:val="clear" w:color="auto" w:fill="CFF0FC"/>
            <w:noWrap/>
            <w:vAlign w:val="bottom"/>
            <w:hideMark/>
          </w:tcPr>
          <w:p w14:paraId="767F9D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8D9516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414B5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0995542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8,230</w:t>
            </w:r>
          </w:p>
        </w:tc>
        <w:tc>
          <w:tcPr>
            <w:tcW w:w="0" w:type="auto"/>
            <w:shd w:val="clear" w:color="auto" w:fill="CFF0FC"/>
            <w:noWrap/>
            <w:vAlign w:val="bottom"/>
            <w:hideMark/>
          </w:tcPr>
          <w:p w14:paraId="40CAB9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C2D1A1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94E4B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BA41C7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7.4</w:t>
            </w:r>
          </w:p>
        </w:tc>
        <w:tc>
          <w:tcPr>
            <w:tcW w:w="0" w:type="auto"/>
            <w:shd w:val="clear" w:color="auto" w:fill="CFF0FC"/>
            <w:noWrap/>
            <w:vAlign w:val="bottom"/>
            <w:hideMark/>
          </w:tcPr>
          <w:p w14:paraId="21E574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7AA2CB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2577C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159511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(6.1</w:t>
            </w:r>
          </w:p>
        </w:tc>
        <w:tc>
          <w:tcPr>
            <w:tcW w:w="0" w:type="auto"/>
            <w:shd w:val="clear" w:color="auto" w:fill="CFF0FC"/>
            <w:noWrap/>
            <w:vAlign w:val="bottom"/>
            <w:hideMark/>
          </w:tcPr>
          <w:p w14:paraId="5A882D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355015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C5624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FB2AC7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14.0</w:t>
            </w:r>
          </w:p>
        </w:tc>
        <w:tc>
          <w:tcPr>
            <w:tcW w:w="0" w:type="auto"/>
            <w:shd w:val="clear" w:color="auto" w:fill="CFF0FC"/>
            <w:noWrap/>
            <w:vAlign w:val="bottom"/>
            <w:hideMark/>
          </w:tcPr>
          <w:p w14:paraId="348E46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r>
    </w:tbl>
    <w:p w14:paraId="60EA760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Effects from currency translations.</w:t>
      </w:r>
    </w:p>
    <w:p w14:paraId="1DBE213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2) Including Corporate and Other sales.</w:t>
      </w:r>
    </w:p>
    <w:p w14:paraId="220C0EF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largest contributor to the organic growth within Airbags, Steering Wheels and Other were inflatable curtains and steering wheels, followed by passenger airbags and side airbags.</w:t>
      </w:r>
    </w:p>
    <w:p w14:paraId="43A631F4" w14:textId="77777777" w:rsidR="004B2A77" w:rsidRPr="004B2A77" w:rsidRDefault="004B2A77" w:rsidP="004B2A77">
      <w:pPr>
        <w:widowControl/>
        <w:spacing w:before="120"/>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main contributors to the organic growth were Europe and Americas, followed by Asia excluding China, and China.</w:t>
      </w:r>
    </w:p>
    <w:p w14:paraId="59D747E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Sales by Region</w:t>
      </w:r>
    </w:p>
    <w:p w14:paraId="32EDBF0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7080"/>
        <w:gridCol w:w="293"/>
        <w:gridCol w:w="229"/>
        <w:gridCol w:w="1566"/>
        <w:gridCol w:w="228"/>
        <w:gridCol w:w="295"/>
        <w:gridCol w:w="228"/>
        <w:gridCol w:w="1498"/>
        <w:gridCol w:w="228"/>
        <w:gridCol w:w="206"/>
        <w:gridCol w:w="228"/>
        <w:gridCol w:w="1754"/>
        <w:gridCol w:w="280"/>
        <w:gridCol w:w="206"/>
        <w:gridCol w:w="228"/>
        <w:gridCol w:w="2793"/>
        <w:gridCol w:w="280"/>
        <w:gridCol w:w="206"/>
        <w:gridCol w:w="228"/>
        <w:gridCol w:w="2314"/>
        <w:gridCol w:w="246"/>
      </w:tblGrid>
      <w:tr w:rsidR="004B2A77" w:rsidRPr="004B2A77" w14:paraId="12EC3BB1" w14:textId="77777777" w:rsidTr="004B2A77">
        <w:trPr>
          <w:tblCellSpacing w:w="15" w:type="dxa"/>
        </w:trPr>
        <w:tc>
          <w:tcPr>
            <w:tcW w:w="7088" w:type="dxa"/>
            <w:vAlign w:val="center"/>
            <w:hideMark/>
          </w:tcPr>
          <w:p w14:paraId="65C68180"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64" w:type="dxa"/>
            <w:vAlign w:val="center"/>
            <w:hideMark/>
          </w:tcPr>
          <w:p w14:paraId="0B63056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70D354E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46" w:type="dxa"/>
            <w:vAlign w:val="center"/>
            <w:hideMark/>
          </w:tcPr>
          <w:p w14:paraId="766DE26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7092C52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7" w:type="dxa"/>
            <w:vAlign w:val="center"/>
            <w:hideMark/>
          </w:tcPr>
          <w:p w14:paraId="49A27D9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79B9505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77" w:type="dxa"/>
            <w:vAlign w:val="center"/>
            <w:hideMark/>
          </w:tcPr>
          <w:p w14:paraId="554BF9D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5EBB831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7" w:type="dxa"/>
            <w:vAlign w:val="center"/>
            <w:hideMark/>
          </w:tcPr>
          <w:p w14:paraId="5AA1041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6E26AE0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35" w:type="dxa"/>
            <w:vAlign w:val="center"/>
            <w:hideMark/>
          </w:tcPr>
          <w:p w14:paraId="5CF06F2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0EE4449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7" w:type="dxa"/>
            <w:vAlign w:val="center"/>
            <w:hideMark/>
          </w:tcPr>
          <w:p w14:paraId="66283B8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307FBE3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83" w:type="dxa"/>
            <w:vAlign w:val="center"/>
            <w:hideMark/>
          </w:tcPr>
          <w:p w14:paraId="2FB15BF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4220C7C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7" w:type="dxa"/>
            <w:vAlign w:val="center"/>
            <w:hideMark/>
          </w:tcPr>
          <w:p w14:paraId="7E9BE81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3E2498C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01" w:type="dxa"/>
            <w:vAlign w:val="center"/>
            <w:hideMark/>
          </w:tcPr>
          <w:p w14:paraId="1D06921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202051BB"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2487BC9" w14:textId="77777777" w:rsidTr="004B2A77">
        <w:trPr>
          <w:trHeight w:val="160"/>
          <w:tblCellSpacing w:w="15" w:type="dxa"/>
        </w:trPr>
        <w:tc>
          <w:tcPr>
            <w:tcW w:w="0" w:type="auto"/>
            <w:shd w:val="clear" w:color="auto" w:fill="FFFFFF"/>
            <w:vAlign w:val="bottom"/>
            <w:hideMark/>
          </w:tcPr>
          <w:p w14:paraId="0BBAB71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50EB34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shd w:val="clear" w:color="auto" w:fill="FFFFFF"/>
            <w:vAlign w:val="bottom"/>
            <w:hideMark/>
          </w:tcPr>
          <w:p w14:paraId="6FFFFD3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AA2D63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400D9B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shd w:val="clear" w:color="auto" w:fill="FFFFFF"/>
            <w:vAlign w:val="bottom"/>
            <w:hideMark/>
          </w:tcPr>
          <w:p w14:paraId="0FAD243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053FB1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0D3C33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shd w:val="clear" w:color="auto" w:fill="FFFFFF"/>
            <w:vAlign w:val="bottom"/>
            <w:hideMark/>
          </w:tcPr>
          <w:p w14:paraId="46F61C5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AA9C5F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E1B78F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4EFC10A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Components of Change in Net Sales</w:t>
            </w:r>
          </w:p>
        </w:tc>
        <w:tc>
          <w:tcPr>
            <w:tcW w:w="0" w:type="auto"/>
            <w:shd w:val="clear" w:color="auto" w:fill="FFFFFF"/>
            <w:vAlign w:val="bottom"/>
            <w:hideMark/>
          </w:tcPr>
          <w:p w14:paraId="371741E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75D2F315" w14:textId="77777777" w:rsidTr="004B2A77">
        <w:trPr>
          <w:trHeight w:val="160"/>
          <w:tblCellSpacing w:w="15" w:type="dxa"/>
        </w:trPr>
        <w:tc>
          <w:tcPr>
            <w:tcW w:w="0" w:type="auto"/>
            <w:shd w:val="clear" w:color="auto" w:fill="FFFFFF"/>
            <w:vAlign w:val="bottom"/>
            <w:hideMark/>
          </w:tcPr>
          <w:p w14:paraId="01C1965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AB0D2D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C95FA3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50AC2A7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7E5795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96C9FE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173E20B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57A5CE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24BFCB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Reported</w:t>
            </w:r>
            <w:r w:rsidRPr="004B2A77">
              <w:rPr>
                <w:rFonts w:ascii="Arial" w:eastAsia="微软雅黑" w:hAnsi="Arial" w:cs="Arial"/>
                <w:b/>
                <w:bCs/>
                <w:color w:val="000000"/>
                <w:kern w:val="0"/>
                <w:sz w:val="16"/>
                <w:szCs w:val="16"/>
              </w:rPr>
              <w:br/>
              <w:t>change</w:t>
            </w:r>
          </w:p>
        </w:tc>
        <w:tc>
          <w:tcPr>
            <w:tcW w:w="0" w:type="auto"/>
            <w:shd w:val="clear" w:color="auto" w:fill="FFFFFF"/>
            <w:vAlign w:val="bottom"/>
            <w:hideMark/>
          </w:tcPr>
          <w:p w14:paraId="382BB62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FF8BC2E"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4582DC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Currency effects</w:t>
            </w:r>
            <w:r w:rsidRPr="004B2A77">
              <w:rPr>
                <w:rFonts w:ascii="Arial" w:eastAsia="微软雅黑" w:hAnsi="Arial" w:cs="Arial"/>
                <w:b/>
                <w:bCs/>
                <w:color w:val="000000"/>
                <w:kern w:val="0"/>
                <w:sz w:val="11"/>
                <w:szCs w:val="11"/>
              </w:rPr>
              <w:t>1)</w:t>
            </w:r>
          </w:p>
        </w:tc>
        <w:tc>
          <w:tcPr>
            <w:tcW w:w="0" w:type="auto"/>
            <w:shd w:val="clear" w:color="auto" w:fill="FFFFFF"/>
            <w:vAlign w:val="bottom"/>
            <w:hideMark/>
          </w:tcPr>
          <w:p w14:paraId="45E0983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543B3710"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EBC418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Organic</w:t>
            </w:r>
          </w:p>
        </w:tc>
        <w:tc>
          <w:tcPr>
            <w:tcW w:w="0" w:type="auto"/>
            <w:shd w:val="clear" w:color="auto" w:fill="FFFFFF"/>
            <w:vAlign w:val="bottom"/>
            <w:hideMark/>
          </w:tcPr>
          <w:p w14:paraId="172B5E7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36752E00" w14:textId="77777777" w:rsidTr="004B2A77">
        <w:trPr>
          <w:trHeight w:val="180"/>
          <w:tblCellSpacing w:w="15" w:type="dxa"/>
        </w:trPr>
        <w:tc>
          <w:tcPr>
            <w:tcW w:w="0" w:type="auto"/>
            <w:shd w:val="clear" w:color="auto" w:fill="CFF0FC"/>
            <w:hideMark/>
          </w:tcPr>
          <w:p w14:paraId="38C46B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Asia</w:t>
            </w:r>
          </w:p>
        </w:tc>
        <w:tc>
          <w:tcPr>
            <w:tcW w:w="0" w:type="auto"/>
            <w:shd w:val="clear" w:color="auto" w:fill="CFF0FC"/>
            <w:vAlign w:val="bottom"/>
            <w:hideMark/>
          </w:tcPr>
          <w:p w14:paraId="62539BE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C9151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DE3034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3,521</w:t>
            </w:r>
          </w:p>
        </w:tc>
        <w:tc>
          <w:tcPr>
            <w:tcW w:w="0" w:type="auto"/>
            <w:shd w:val="clear" w:color="auto" w:fill="CFF0FC"/>
            <w:noWrap/>
            <w:vAlign w:val="bottom"/>
            <w:hideMark/>
          </w:tcPr>
          <w:p w14:paraId="7901D1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5C553E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E307BB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50606A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3,407</w:t>
            </w:r>
          </w:p>
        </w:tc>
        <w:tc>
          <w:tcPr>
            <w:tcW w:w="0" w:type="auto"/>
            <w:shd w:val="clear" w:color="auto" w:fill="CFF0FC"/>
            <w:noWrap/>
            <w:vAlign w:val="bottom"/>
            <w:hideMark/>
          </w:tcPr>
          <w:p w14:paraId="033AD85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38B469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11F20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225974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3.3</w:t>
            </w:r>
          </w:p>
        </w:tc>
        <w:tc>
          <w:tcPr>
            <w:tcW w:w="0" w:type="auto"/>
            <w:shd w:val="clear" w:color="auto" w:fill="CFF0FC"/>
            <w:noWrap/>
            <w:vAlign w:val="bottom"/>
            <w:hideMark/>
          </w:tcPr>
          <w:p w14:paraId="27294D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68C53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07B57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6D2E58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(7.9</w:t>
            </w:r>
          </w:p>
        </w:tc>
        <w:tc>
          <w:tcPr>
            <w:tcW w:w="0" w:type="auto"/>
            <w:shd w:val="clear" w:color="auto" w:fill="CFF0FC"/>
            <w:noWrap/>
            <w:vAlign w:val="bottom"/>
            <w:hideMark/>
          </w:tcPr>
          <w:p w14:paraId="33BCFB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3FB33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6F116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A0B81C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CFF0FC"/>
            <w:noWrap/>
            <w:vAlign w:val="bottom"/>
            <w:hideMark/>
          </w:tcPr>
          <w:p w14:paraId="567DE2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318E4C8" w14:textId="77777777" w:rsidTr="004B2A77">
        <w:trPr>
          <w:trHeight w:val="180"/>
          <w:tblCellSpacing w:w="15" w:type="dxa"/>
        </w:trPr>
        <w:tc>
          <w:tcPr>
            <w:tcW w:w="0" w:type="auto"/>
            <w:shd w:val="clear" w:color="auto" w:fill="FFFFFF"/>
            <w:hideMark/>
          </w:tcPr>
          <w:p w14:paraId="487277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Whereof: China</w:t>
            </w:r>
          </w:p>
        </w:tc>
        <w:tc>
          <w:tcPr>
            <w:tcW w:w="0" w:type="auto"/>
            <w:shd w:val="clear" w:color="auto" w:fill="FFFFFF"/>
            <w:vAlign w:val="bottom"/>
            <w:hideMark/>
          </w:tcPr>
          <w:p w14:paraId="6A53475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7E421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5EBF01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1,883</w:t>
            </w:r>
          </w:p>
        </w:tc>
        <w:tc>
          <w:tcPr>
            <w:tcW w:w="0" w:type="auto"/>
            <w:shd w:val="clear" w:color="auto" w:fill="FFFFFF"/>
            <w:noWrap/>
            <w:vAlign w:val="bottom"/>
            <w:hideMark/>
          </w:tcPr>
          <w:p w14:paraId="676675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0C306D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4E9D1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914175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1,766</w:t>
            </w:r>
          </w:p>
        </w:tc>
        <w:tc>
          <w:tcPr>
            <w:tcW w:w="0" w:type="auto"/>
            <w:shd w:val="clear" w:color="auto" w:fill="FFFFFF"/>
            <w:noWrap/>
            <w:vAlign w:val="bottom"/>
            <w:hideMark/>
          </w:tcPr>
          <w:p w14:paraId="62D04F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C79703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9D3FC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477610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6.6</w:t>
            </w:r>
          </w:p>
        </w:tc>
        <w:tc>
          <w:tcPr>
            <w:tcW w:w="0" w:type="auto"/>
            <w:shd w:val="clear" w:color="auto" w:fill="FFFFFF"/>
            <w:noWrap/>
            <w:vAlign w:val="bottom"/>
            <w:hideMark/>
          </w:tcPr>
          <w:p w14:paraId="12D2C3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A91C4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53323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5F21C9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(4.4</w:t>
            </w:r>
          </w:p>
        </w:tc>
        <w:tc>
          <w:tcPr>
            <w:tcW w:w="0" w:type="auto"/>
            <w:shd w:val="clear" w:color="auto" w:fill="FFFFFF"/>
            <w:noWrap/>
            <w:vAlign w:val="bottom"/>
            <w:hideMark/>
          </w:tcPr>
          <w:p w14:paraId="044067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bottom"/>
            <w:hideMark/>
          </w:tcPr>
          <w:p w14:paraId="35BDA0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6BDA5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494C59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11</w:t>
            </w:r>
          </w:p>
        </w:tc>
        <w:tc>
          <w:tcPr>
            <w:tcW w:w="0" w:type="auto"/>
            <w:shd w:val="clear" w:color="auto" w:fill="FFFFFF"/>
            <w:noWrap/>
            <w:vAlign w:val="bottom"/>
            <w:hideMark/>
          </w:tcPr>
          <w:p w14:paraId="0A6C98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59920EA5" w14:textId="77777777" w:rsidTr="004B2A77">
        <w:trPr>
          <w:trHeight w:val="180"/>
          <w:tblCellSpacing w:w="15" w:type="dxa"/>
        </w:trPr>
        <w:tc>
          <w:tcPr>
            <w:tcW w:w="0" w:type="auto"/>
            <w:shd w:val="clear" w:color="auto" w:fill="CFF0FC"/>
            <w:hideMark/>
          </w:tcPr>
          <w:p w14:paraId="6D0D7BDC" w14:textId="77777777" w:rsidR="004B2A77" w:rsidRPr="004B2A77" w:rsidRDefault="004B2A77" w:rsidP="004B2A77">
            <w:pPr>
              <w:widowControl/>
              <w:ind w:left="600"/>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Japan</w:t>
            </w:r>
          </w:p>
        </w:tc>
        <w:tc>
          <w:tcPr>
            <w:tcW w:w="0" w:type="auto"/>
            <w:shd w:val="clear" w:color="auto" w:fill="CFF0FC"/>
            <w:vAlign w:val="bottom"/>
            <w:hideMark/>
          </w:tcPr>
          <w:p w14:paraId="3955916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2B7C4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F05E90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686</w:t>
            </w:r>
          </w:p>
        </w:tc>
        <w:tc>
          <w:tcPr>
            <w:tcW w:w="0" w:type="auto"/>
            <w:shd w:val="clear" w:color="auto" w:fill="CFF0FC"/>
            <w:noWrap/>
            <w:vAlign w:val="bottom"/>
            <w:hideMark/>
          </w:tcPr>
          <w:p w14:paraId="20C8A0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BCFD52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F3088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0153C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733</w:t>
            </w:r>
          </w:p>
        </w:tc>
        <w:tc>
          <w:tcPr>
            <w:tcW w:w="0" w:type="auto"/>
            <w:shd w:val="clear" w:color="auto" w:fill="CFF0FC"/>
            <w:noWrap/>
            <w:vAlign w:val="bottom"/>
            <w:hideMark/>
          </w:tcPr>
          <w:p w14:paraId="41F69F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D3FA4D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DA28E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034A97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(6.4</w:t>
            </w:r>
          </w:p>
        </w:tc>
        <w:tc>
          <w:tcPr>
            <w:tcW w:w="0" w:type="auto"/>
            <w:shd w:val="clear" w:color="auto" w:fill="CFF0FC"/>
            <w:noWrap/>
            <w:vAlign w:val="bottom"/>
            <w:hideMark/>
          </w:tcPr>
          <w:p w14:paraId="5F56FE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760B4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3EDCB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4A2696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(16</w:t>
            </w:r>
          </w:p>
        </w:tc>
        <w:tc>
          <w:tcPr>
            <w:tcW w:w="0" w:type="auto"/>
            <w:shd w:val="clear" w:color="auto" w:fill="CFF0FC"/>
            <w:noWrap/>
            <w:vAlign w:val="bottom"/>
            <w:hideMark/>
          </w:tcPr>
          <w:p w14:paraId="35B21C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bottom"/>
            <w:hideMark/>
          </w:tcPr>
          <w:p w14:paraId="0CEE39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A1C80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27B94A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9.2</w:t>
            </w:r>
          </w:p>
        </w:tc>
        <w:tc>
          <w:tcPr>
            <w:tcW w:w="0" w:type="auto"/>
            <w:shd w:val="clear" w:color="auto" w:fill="CFF0FC"/>
            <w:noWrap/>
            <w:vAlign w:val="bottom"/>
            <w:hideMark/>
          </w:tcPr>
          <w:p w14:paraId="7A02D4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3F8A9A14" w14:textId="77777777" w:rsidTr="004B2A77">
        <w:trPr>
          <w:trHeight w:val="180"/>
          <w:tblCellSpacing w:w="15" w:type="dxa"/>
        </w:trPr>
        <w:tc>
          <w:tcPr>
            <w:tcW w:w="0" w:type="auto"/>
            <w:shd w:val="clear" w:color="auto" w:fill="FFFFFF"/>
            <w:hideMark/>
          </w:tcPr>
          <w:p w14:paraId="5348C38E" w14:textId="77777777" w:rsidR="004B2A77" w:rsidRPr="004B2A77" w:rsidRDefault="004B2A77" w:rsidP="004B2A77">
            <w:pPr>
              <w:widowControl/>
              <w:ind w:left="600"/>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Rest of Asia</w:t>
            </w:r>
          </w:p>
        </w:tc>
        <w:tc>
          <w:tcPr>
            <w:tcW w:w="0" w:type="auto"/>
            <w:shd w:val="clear" w:color="auto" w:fill="FFFFFF"/>
            <w:vAlign w:val="bottom"/>
            <w:hideMark/>
          </w:tcPr>
          <w:p w14:paraId="298302D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210CD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9A0924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952</w:t>
            </w:r>
          </w:p>
        </w:tc>
        <w:tc>
          <w:tcPr>
            <w:tcW w:w="0" w:type="auto"/>
            <w:shd w:val="clear" w:color="auto" w:fill="FFFFFF"/>
            <w:noWrap/>
            <w:vAlign w:val="bottom"/>
            <w:hideMark/>
          </w:tcPr>
          <w:p w14:paraId="2017C9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BA9EB0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0AB31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2A19A4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908</w:t>
            </w:r>
          </w:p>
        </w:tc>
        <w:tc>
          <w:tcPr>
            <w:tcW w:w="0" w:type="auto"/>
            <w:shd w:val="clear" w:color="auto" w:fill="FFFFFF"/>
            <w:noWrap/>
            <w:vAlign w:val="bottom"/>
            <w:hideMark/>
          </w:tcPr>
          <w:p w14:paraId="1CA765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CFB963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ABFA2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4D8BA8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4.8</w:t>
            </w:r>
          </w:p>
        </w:tc>
        <w:tc>
          <w:tcPr>
            <w:tcW w:w="0" w:type="auto"/>
            <w:shd w:val="clear" w:color="auto" w:fill="FFFFFF"/>
            <w:noWrap/>
            <w:vAlign w:val="bottom"/>
            <w:hideMark/>
          </w:tcPr>
          <w:p w14:paraId="697996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88140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1A12B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F03659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(8.6</w:t>
            </w:r>
          </w:p>
        </w:tc>
        <w:tc>
          <w:tcPr>
            <w:tcW w:w="0" w:type="auto"/>
            <w:shd w:val="clear" w:color="auto" w:fill="FFFFFF"/>
            <w:noWrap/>
            <w:vAlign w:val="bottom"/>
            <w:hideMark/>
          </w:tcPr>
          <w:p w14:paraId="705D74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bottom"/>
            <w:hideMark/>
          </w:tcPr>
          <w:p w14:paraId="4C3DC0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80C01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FAACDC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13</w:t>
            </w:r>
          </w:p>
        </w:tc>
        <w:tc>
          <w:tcPr>
            <w:tcW w:w="0" w:type="auto"/>
            <w:shd w:val="clear" w:color="auto" w:fill="FFFFFF"/>
            <w:noWrap/>
            <w:vAlign w:val="bottom"/>
            <w:hideMark/>
          </w:tcPr>
          <w:p w14:paraId="56A629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r>
      <w:tr w:rsidR="004B2A77" w:rsidRPr="004B2A77" w14:paraId="644B39F1" w14:textId="77777777" w:rsidTr="004B2A77">
        <w:trPr>
          <w:trHeight w:val="180"/>
          <w:tblCellSpacing w:w="15" w:type="dxa"/>
        </w:trPr>
        <w:tc>
          <w:tcPr>
            <w:tcW w:w="0" w:type="auto"/>
            <w:shd w:val="clear" w:color="auto" w:fill="CFF0FC"/>
            <w:hideMark/>
          </w:tcPr>
          <w:p w14:paraId="4345D2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Americas</w:t>
            </w:r>
          </w:p>
        </w:tc>
        <w:tc>
          <w:tcPr>
            <w:tcW w:w="0" w:type="auto"/>
            <w:shd w:val="clear" w:color="auto" w:fill="CFF0FC"/>
            <w:vAlign w:val="bottom"/>
            <w:hideMark/>
          </w:tcPr>
          <w:p w14:paraId="68B5AF2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D0D8E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C2C900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2,967</w:t>
            </w:r>
          </w:p>
        </w:tc>
        <w:tc>
          <w:tcPr>
            <w:tcW w:w="0" w:type="auto"/>
            <w:shd w:val="clear" w:color="auto" w:fill="CFF0FC"/>
            <w:noWrap/>
            <w:vAlign w:val="bottom"/>
            <w:hideMark/>
          </w:tcPr>
          <w:p w14:paraId="449DA3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E9FBC5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10A1D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C25BEB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2,535</w:t>
            </w:r>
          </w:p>
        </w:tc>
        <w:tc>
          <w:tcPr>
            <w:tcW w:w="0" w:type="auto"/>
            <w:shd w:val="clear" w:color="auto" w:fill="CFF0FC"/>
            <w:noWrap/>
            <w:vAlign w:val="bottom"/>
            <w:hideMark/>
          </w:tcPr>
          <w:p w14:paraId="4F11BD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6A2D95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079B5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839AA3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w:t>
            </w:r>
          </w:p>
        </w:tc>
        <w:tc>
          <w:tcPr>
            <w:tcW w:w="0" w:type="auto"/>
            <w:shd w:val="clear" w:color="auto" w:fill="CFF0FC"/>
            <w:noWrap/>
            <w:vAlign w:val="bottom"/>
            <w:hideMark/>
          </w:tcPr>
          <w:p w14:paraId="1744F4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B6B56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FEC16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F153A2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0.5</w:t>
            </w:r>
          </w:p>
        </w:tc>
        <w:tc>
          <w:tcPr>
            <w:tcW w:w="0" w:type="auto"/>
            <w:shd w:val="clear" w:color="auto" w:fill="CFF0FC"/>
            <w:noWrap/>
            <w:vAlign w:val="bottom"/>
            <w:hideMark/>
          </w:tcPr>
          <w:p w14:paraId="7C647B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35D650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9CBDE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D31DA4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w:t>
            </w:r>
          </w:p>
        </w:tc>
        <w:tc>
          <w:tcPr>
            <w:tcW w:w="0" w:type="auto"/>
            <w:shd w:val="clear" w:color="auto" w:fill="CFF0FC"/>
            <w:noWrap/>
            <w:vAlign w:val="bottom"/>
            <w:hideMark/>
          </w:tcPr>
          <w:p w14:paraId="1C903B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3A25A6BB" w14:textId="77777777" w:rsidTr="004B2A77">
        <w:trPr>
          <w:trHeight w:val="180"/>
          <w:tblCellSpacing w:w="15" w:type="dxa"/>
        </w:trPr>
        <w:tc>
          <w:tcPr>
            <w:tcW w:w="0" w:type="auto"/>
            <w:shd w:val="clear" w:color="auto" w:fill="FFFFFF"/>
            <w:hideMark/>
          </w:tcPr>
          <w:p w14:paraId="34FAB8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Europe</w:t>
            </w:r>
          </w:p>
        </w:tc>
        <w:tc>
          <w:tcPr>
            <w:tcW w:w="0" w:type="auto"/>
            <w:shd w:val="clear" w:color="auto" w:fill="FFFFFF"/>
            <w:vAlign w:val="bottom"/>
            <w:hideMark/>
          </w:tcPr>
          <w:p w14:paraId="1191748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143065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1FA8BB3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2,355</w:t>
            </w:r>
          </w:p>
        </w:tc>
        <w:tc>
          <w:tcPr>
            <w:tcW w:w="0" w:type="auto"/>
            <w:shd w:val="clear" w:color="auto" w:fill="FFFFFF"/>
            <w:noWrap/>
            <w:vAlign w:val="bottom"/>
            <w:hideMark/>
          </w:tcPr>
          <w:p w14:paraId="2722EF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24E600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13C7B7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FDD4ED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2,289</w:t>
            </w:r>
          </w:p>
        </w:tc>
        <w:tc>
          <w:tcPr>
            <w:tcW w:w="0" w:type="auto"/>
            <w:shd w:val="clear" w:color="auto" w:fill="FFFFFF"/>
            <w:noWrap/>
            <w:vAlign w:val="bottom"/>
            <w:hideMark/>
          </w:tcPr>
          <w:p w14:paraId="1826A8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E24F0B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A339F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97352B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2.9</w:t>
            </w:r>
          </w:p>
        </w:tc>
        <w:tc>
          <w:tcPr>
            <w:tcW w:w="0" w:type="auto"/>
            <w:shd w:val="clear" w:color="auto" w:fill="FFFFFF"/>
            <w:noWrap/>
            <w:vAlign w:val="bottom"/>
            <w:hideMark/>
          </w:tcPr>
          <w:p w14:paraId="58393F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743FA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5DF14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A21ACB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FFFFFF"/>
            <w:noWrap/>
            <w:vAlign w:val="bottom"/>
            <w:hideMark/>
          </w:tcPr>
          <w:p w14:paraId="48ECCA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F2D8C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184CB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E7802F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w:t>
            </w:r>
          </w:p>
        </w:tc>
        <w:tc>
          <w:tcPr>
            <w:tcW w:w="0" w:type="auto"/>
            <w:shd w:val="clear" w:color="auto" w:fill="FFFFFF"/>
            <w:noWrap/>
            <w:vAlign w:val="bottom"/>
            <w:hideMark/>
          </w:tcPr>
          <w:p w14:paraId="0D16AE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20BFA93" w14:textId="77777777" w:rsidTr="004B2A77">
        <w:trPr>
          <w:trHeight w:val="180"/>
          <w:tblCellSpacing w:w="15" w:type="dxa"/>
        </w:trPr>
        <w:tc>
          <w:tcPr>
            <w:tcW w:w="0" w:type="auto"/>
            <w:shd w:val="clear" w:color="auto" w:fill="CFF0FC"/>
            <w:hideMark/>
          </w:tcPr>
          <w:p w14:paraId="517A23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Global</w:t>
            </w:r>
          </w:p>
        </w:tc>
        <w:tc>
          <w:tcPr>
            <w:tcW w:w="0" w:type="auto"/>
            <w:shd w:val="clear" w:color="auto" w:fill="CFF0FC"/>
            <w:vAlign w:val="bottom"/>
            <w:hideMark/>
          </w:tcPr>
          <w:p w14:paraId="55AB489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70C2C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1915444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8,842</w:t>
            </w:r>
          </w:p>
        </w:tc>
        <w:tc>
          <w:tcPr>
            <w:tcW w:w="0" w:type="auto"/>
            <w:shd w:val="clear" w:color="auto" w:fill="CFF0FC"/>
            <w:noWrap/>
            <w:vAlign w:val="bottom"/>
            <w:hideMark/>
          </w:tcPr>
          <w:p w14:paraId="5FE967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823695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18C0B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1493245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8,230</w:t>
            </w:r>
          </w:p>
        </w:tc>
        <w:tc>
          <w:tcPr>
            <w:tcW w:w="0" w:type="auto"/>
            <w:shd w:val="clear" w:color="auto" w:fill="CFF0FC"/>
            <w:noWrap/>
            <w:vAlign w:val="bottom"/>
            <w:hideMark/>
          </w:tcPr>
          <w:p w14:paraId="6BE5D8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B9E384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FE1AF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00DBBD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7.4</w:t>
            </w:r>
          </w:p>
        </w:tc>
        <w:tc>
          <w:tcPr>
            <w:tcW w:w="0" w:type="auto"/>
            <w:shd w:val="clear" w:color="auto" w:fill="CFF0FC"/>
            <w:noWrap/>
            <w:vAlign w:val="bottom"/>
            <w:hideMark/>
          </w:tcPr>
          <w:p w14:paraId="29EAFA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36A8F9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B8586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C93E3B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(6.1</w:t>
            </w:r>
          </w:p>
        </w:tc>
        <w:tc>
          <w:tcPr>
            <w:tcW w:w="0" w:type="auto"/>
            <w:shd w:val="clear" w:color="auto" w:fill="CFF0FC"/>
            <w:noWrap/>
            <w:vAlign w:val="bottom"/>
            <w:hideMark/>
          </w:tcPr>
          <w:p w14:paraId="7093C0F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6F5F9E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24200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92C381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14</w:t>
            </w:r>
          </w:p>
        </w:tc>
        <w:tc>
          <w:tcPr>
            <w:tcW w:w="0" w:type="auto"/>
            <w:shd w:val="clear" w:color="auto" w:fill="CFF0FC"/>
            <w:noWrap/>
            <w:vAlign w:val="bottom"/>
            <w:hideMark/>
          </w:tcPr>
          <w:p w14:paraId="30705F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r>
    </w:tbl>
    <w:p w14:paraId="0098D42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1) Effects from currency translations. </w:t>
      </w:r>
    </w:p>
    <w:p w14:paraId="020F0A6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Autoliv’s global sales increased organically (Non-U.S. GAAP measure, see reconciliation table above) by 14.0% compared to 2021, which was 6.6 percentage points better than global LVP (according to S&amp;P Global, January 2023). Sales increased organically in all regions. The 6.6pp outperformance was driven by price increases and new product launches, partly offset by negative geographical mix effects. Autoliv outperformed LVP by around 15pp in Europe, by around 9pp in Japan, by around 7pp in Americas and by around 3pp in China, while we underperformed LVP by around 3pp in rest of Asia.</w:t>
      </w:r>
    </w:p>
    <w:p w14:paraId="160FA48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4559"/>
        <w:gridCol w:w="240"/>
        <w:gridCol w:w="2324"/>
        <w:gridCol w:w="239"/>
        <w:gridCol w:w="2324"/>
        <w:gridCol w:w="239"/>
        <w:gridCol w:w="2760"/>
        <w:gridCol w:w="239"/>
        <w:gridCol w:w="2188"/>
        <w:gridCol w:w="239"/>
        <w:gridCol w:w="2934"/>
        <w:gridCol w:w="239"/>
        <w:gridCol w:w="2090"/>
      </w:tblGrid>
      <w:tr w:rsidR="004B2A77" w:rsidRPr="004B2A77" w14:paraId="48C47733" w14:textId="77777777" w:rsidTr="004B2A77">
        <w:trPr>
          <w:tblCellSpacing w:w="15" w:type="dxa"/>
        </w:trPr>
        <w:tc>
          <w:tcPr>
            <w:tcW w:w="4525" w:type="dxa"/>
            <w:vAlign w:val="center"/>
            <w:hideMark/>
          </w:tcPr>
          <w:p w14:paraId="7128C05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11" w:type="dxa"/>
            <w:vAlign w:val="center"/>
            <w:hideMark/>
          </w:tcPr>
          <w:p w14:paraId="43670E7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98" w:type="dxa"/>
            <w:vAlign w:val="center"/>
            <w:hideMark/>
          </w:tcPr>
          <w:p w14:paraId="63A22F5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9" w:type="dxa"/>
            <w:vAlign w:val="center"/>
            <w:hideMark/>
          </w:tcPr>
          <w:p w14:paraId="5FFFD79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98" w:type="dxa"/>
            <w:vAlign w:val="center"/>
            <w:hideMark/>
          </w:tcPr>
          <w:p w14:paraId="74FF207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9" w:type="dxa"/>
            <w:vAlign w:val="center"/>
            <w:hideMark/>
          </w:tcPr>
          <w:p w14:paraId="7A8D2FD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35" w:type="dxa"/>
            <w:vAlign w:val="center"/>
            <w:hideMark/>
          </w:tcPr>
          <w:p w14:paraId="15708D4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9" w:type="dxa"/>
            <w:vAlign w:val="center"/>
            <w:hideMark/>
          </w:tcPr>
          <w:p w14:paraId="19E92F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56" w:type="dxa"/>
            <w:vAlign w:val="center"/>
            <w:hideMark/>
          </w:tcPr>
          <w:p w14:paraId="21CCE60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9" w:type="dxa"/>
            <w:vAlign w:val="center"/>
            <w:hideMark/>
          </w:tcPr>
          <w:p w14:paraId="4CA253D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909" w:type="dxa"/>
            <w:vAlign w:val="center"/>
            <w:hideMark/>
          </w:tcPr>
          <w:p w14:paraId="0A7663A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9" w:type="dxa"/>
            <w:vAlign w:val="center"/>
            <w:hideMark/>
          </w:tcPr>
          <w:p w14:paraId="7AD8BDC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8" w:type="dxa"/>
            <w:vAlign w:val="center"/>
            <w:hideMark/>
          </w:tcPr>
          <w:p w14:paraId="67F54E29"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D053665" w14:textId="77777777" w:rsidTr="004B2A77">
        <w:trPr>
          <w:trHeight w:val="160"/>
          <w:tblCellSpacing w:w="15" w:type="dxa"/>
        </w:trPr>
        <w:tc>
          <w:tcPr>
            <w:tcW w:w="0" w:type="auto"/>
            <w:shd w:val="clear" w:color="auto" w:fill="FFFFFF"/>
            <w:vAlign w:val="bottom"/>
            <w:hideMark/>
          </w:tcPr>
          <w:p w14:paraId="341DC67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2022 Organic growth1)</w:t>
            </w:r>
          </w:p>
        </w:tc>
        <w:tc>
          <w:tcPr>
            <w:tcW w:w="0" w:type="auto"/>
            <w:shd w:val="clear" w:color="auto" w:fill="FFFFFF"/>
            <w:vAlign w:val="bottom"/>
            <w:hideMark/>
          </w:tcPr>
          <w:p w14:paraId="7554262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3849E08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Americas</w:t>
            </w:r>
          </w:p>
        </w:tc>
        <w:tc>
          <w:tcPr>
            <w:tcW w:w="0" w:type="auto"/>
            <w:shd w:val="clear" w:color="auto" w:fill="FFFFFF"/>
            <w:vAlign w:val="bottom"/>
            <w:hideMark/>
          </w:tcPr>
          <w:p w14:paraId="05381DE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54E0B00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Europe</w:t>
            </w:r>
          </w:p>
        </w:tc>
        <w:tc>
          <w:tcPr>
            <w:tcW w:w="0" w:type="auto"/>
            <w:shd w:val="clear" w:color="auto" w:fill="FFFFFF"/>
            <w:vAlign w:val="bottom"/>
            <w:hideMark/>
          </w:tcPr>
          <w:p w14:paraId="4ACD55A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425BDD7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China</w:t>
            </w:r>
          </w:p>
        </w:tc>
        <w:tc>
          <w:tcPr>
            <w:tcW w:w="0" w:type="auto"/>
            <w:shd w:val="clear" w:color="auto" w:fill="FFFFFF"/>
            <w:vAlign w:val="bottom"/>
            <w:hideMark/>
          </w:tcPr>
          <w:p w14:paraId="594B99A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4452BF2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Japan</w:t>
            </w:r>
          </w:p>
        </w:tc>
        <w:tc>
          <w:tcPr>
            <w:tcW w:w="0" w:type="auto"/>
            <w:shd w:val="clear" w:color="auto" w:fill="FFFFFF"/>
            <w:vAlign w:val="bottom"/>
            <w:hideMark/>
          </w:tcPr>
          <w:p w14:paraId="357C6EC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01B2647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Rest of Asia</w:t>
            </w:r>
          </w:p>
        </w:tc>
        <w:tc>
          <w:tcPr>
            <w:tcW w:w="0" w:type="auto"/>
            <w:shd w:val="clear" w:color="auto" w:fill="FFFFFF"/>
            <w:vAlign w:val="bottom"/>
            <w:hideMark/>
          </w:tcPr>
          <w:p w14:paraId="33C50E7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29C8878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Global</w:t>
            </w:r>
          </w:p>
        </w:tc>
      </w:tr>
      <w:tr w:rsidR="004B2A77" w:rsidRPr="004B2A77" w14:paraId="1E3F508C" w14:textId="77777777" w:rsidTr="004B2A77">
        <w:trPr>
          <w:trHeight w:val="180"/>
          <w:tblCellSpacing w:w="15" w:type="dxa"/>
        </w:trPr>
        <w:tc>
          <w:tcPr>
            <w:tcW w:w="0" w:type="auto"/>
            <w:shd w:val="clear" w:color="auto" w:fill="CFF0FC"/>
            <w:vAlign w:val="center"/>
            <w:hideMark/>
          </w:tcPr>
          <w:p w14:paraId="1C0472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w:t>
            </w:r>
          </w:p>
        </w:tc>
        <w:tc>
          <w:tcPr>
            <w:tcW w:w="0" w:type="auto"/>
            <w:shd w:val="clear" w:color="auto" w:fill="CFF0FC"/>
            <w:vAlign w:val="center"/>
            <w:hideMark/>
          </w:tcPr>
          <w:p w14:paraId="7198EA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278ECB3"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w:t>
            </w:r>
          </w:p>
        </w:tc>
        <w:tc>
          <w:tcPr>
            <w:tcW w:w="0" w:type="auto"/>
            <w:shd w:val="clear" w:color="auto" w:fill="CFF0FC"/>
            <w:vAlign w:val="center"/>
            <w:hideMark/>
          </w:tcPr>
          <w:p w14:paraId="441D52D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3FFC458"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w:t>
            </w:r>
          </w:p>
        </w:tc>
        <w:tc>
          <w:tcPr>
            <w:tcW w:w="0" w:type="auto"/>
            <w:shd w:val="clear" w:color="auto" w:fill="CFF0FC"/>
            <w:vAlign w:val="center"/>
            <w:hideMark/>
          </w:tcPr>
          <w:p w14:paraId="761C2D52"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2039C53"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CFF0FC"/>
            <w:vAlign w:val="center"/>
            <w:hideMark/>
          </w:tcPr>
          <w:p w14:paraId="4F90E79B"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511FBC8"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9.2%</w:t>
            </w:r>
          </w:p>
        </w:tc>
        <w:tc>
          <w:tcPr>
            <w:tcW w:w="0" w:type="auto"/>
            <w:shd w:val="clear" w:color="auto" w:fill="CFF0FC"/>
            <w:vAlign w:val="center"/>
            <w:hideMark/>
          </w:tcPr>
          <w:p w14:paraId="1DF4CC4C"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34E52A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w:t>
            </w:r>
          </w:p>
        </w:tc>
        <w:tc>
          <w:tcPr>
            <w:tcW w:w="0" w:type="auto"/>
            <w:shd w:val="clear" w:color="auto" w:fill="CFF0FC"/>
            <w:vAlign w:val="center"/>
            <w:hideMark/>
          </w:tcPr>
          <w:p w14:paraId="7EC4CE37"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F280B1D"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14%</w:t>
            </w:r>
          </w:p>
        </w:tc>
      </w:tr>
      <w:tr w:rsidR="004B2A77" w:rsidRPr="004B2A77" w14:paraId="30455C9B" w14:textId="77777777" w:rsidTr="004B2A77">
        <w:trPr>
          <w:trHeight w:val="180"/>
          <w:tblCellSpacing w:w="15" w:type="dxa"/>
        </w:trPr>
        <w:tc>
          <w:tcPr>
            <w:tcW w:w="0" w:type="auto"/>
            <w:shd w:val="clear" w:color="auto" w:fill="FFFFFF"/>
            <w:vAlign w:val="center"/>
            <w:hideMark/>
          </w:tcPr>
          <w:p w14:paraId="7E01CB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Main growth drivers</w:t>
            </w:r>
          </w:p>
        </w:tc>
        <w:tc>
          <w:tcPr>
            <w:tcW w:w="0" w:type="auto"/>
            <w:shd w:val="clear" w:color="auto" w:fill="FFFFFF"/>
            <w:vAlign w:val="center"/>
            <w:hideMark/>
          </w:tcPr>
          <w:p w14:paraId="25F243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A1E86E6"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GM, Ford, Stellantis</w:t>
            </w:r>
          </w:p>
        </w:tc>
        <w:tc>
          <w:tcPr>
            <w:tcW w:w="0" w:type="auto"/>
            <w:shd w:val="clear" w:color="auto" w:fill="FFFFFF"/>
            <w:vAlign w:val="center"/>
            <w:hideMark/>
          </w:tcPr>
          <w:p w14:paraId="602A1772"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9D24DD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VW, Stellantis, Toyota</w:t>
            </w:r>
          </w:p>
        </w:tc>
        <w:tc>
          <w:tcPr>
            <w:tcW w:w="0" w:type="auto"/>
            <w:shd w:val="clear" w:color="auto" w:fill="FFFFFF"/>
            <w:vAlign w:val="center"/>
            <w:hideMark/>
          </w:tcPr>
          <w:p w14:paraId="24016B1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575B1A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Toyota, Geely, BYD</w:t>
            </w:r>
          </w:p>
        </w:tc>
        <w:tc>
          <w:tcPr>
            <w:tcW w:w="0" w:type="auto"/>
            <w:shd w:val="clear" w:color="auto" w:fill="FFFFFF"/>
            <w:vAlign w:val="center"/>
            <w:hideMark/>
          </w:tcPr>
          <w:p w14:paraId="6F2D809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FAB767A"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Subaru, Mitsubishi, Nissan</w:t>
            </w:r>
          </w:p>
        </w:tc>
        <w:tc>
          <w:tcPr>
            <w:tcW w:w="0" w:type="auto"/>
            <w:shd w:val="clear" w:color="auto" w:fill="FFFFFF"/>
            <w:vAlign w:val="center"/>
            <w:hideMark/>
          </w:tcPr>
          <w:p w14:paraId="2FECFAC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15CFFE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Tata, Suzuki, Hyundai</w:t>
            </w:r>
          </w:p>
        </w:tc>
        <w:tc>
          <w:tcPr>
            <w:tcW w:w="0" w:type="auto"/>
            <w:shd w:val="clear" w:color="auto" w:fill="FFFFFF"/>
            <w:vAlign w:val="center"/>
            <w:hideMark/>
          </w:tcPr>
          <w:p w14:paraId="57D129F0"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E42B5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Stellantis, Toyota, Ford</w:t>
            </w:r>
          </w:p>
        </w:tc>
      </w:tr>
      <w:tr w:rsidR="004B2A77" w:rsidRPr="004B2A77" w14:paraId="31FE6979" w14:textId="77777777" w:rsidTr="004B2A77">
        <w:trPr>
          <w:trHeight w:val="180"/>
          <w:tblCellSpacing w:w="15" w:type="dxa"/>
        </w:trPr>
        <w:tc>
          <w:tcPr>
            <w:tcW w:w="0" w:type="auto"/>
            <w:shd w:val="clear" w:color="auto" w:fill="CCECFF"/>
            <w:vAlign w:val="center"/>
            <w:hideMark/>
          </w:tcPr>
          <w:p w14:paraId="6FFE65B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Main decline drivers</w:t>
            </w:r>
          </w:p>
        </w:tc>
        <w:tc>
          <w:tcPr>
            <w:tcW w:w="0" w:type="auto"/>
            <w:shd w:val="clear" w:color="auto" w:fill="CCECFF"/>
            <w:vAlign w:val="center"/>
            <w:hideMark/>
          </w:tcPr>
          <w:p w14:paraId="0D9051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748535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Nissan</w:t>
            </w:r>
          </w:p>
        </w:tc>
        <w:tc>
          <w:tcPr>
            <w:tcW w:w="0" w:type="auto"/>
            <w:shd w:val="clear" w:color="auto" w:fill="CCECFF"/>
            <w:vAlign w:val="center"/>
            <w:hideMark/>
          </w:tcPr>
          <w:p w14:paraId="355DB4A3"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66E7A8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Nissan, Mitsubishi, Volvo</w:t>
            </w:r>
          </w:p>
        </w:tc>
        <w:tc>
          <w:tcPr>
            <w:tcW w:w="0" w:type="auto"/>
            <w:shd w:val="clear" w:color="auto" w:fill="CCECFF"/>
            <w:vAlign w:val="center"/>
            <w:hideMark/>
          </w:tcPr>
          <w:p w14:paraId="60328E6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0E8E4C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Great Wall, Hyundai, Mazda</w:t>
            </w:r>
          </w:p>
        </w:tc>
        <w:tc>
          <w:tcPr>
            <w:tcW w:w="0" w:type="auto"/>
            <w:shd w:val="clear" w:color="auto" w:fill="CCECFF"/>
            <w:vAlign w:val="center"/>
            <w:hideMark/>
          </w:tcPr>
          <w:p w14:paraId="04253B94"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236B4DD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n/a</w:t>
            </w:r>
          </w:p>
        </w:tc>
        <w:tc>
          <w:tcPr>
            <w:tcW w:w="0" w:type="auto"/>
            <w:shd w:val="clear" w:color="auto" w:fill="CCECFF"/>
            <w:vAlign w:val="center"/>
            <w:hideMark/>
          </w:tcPr>
          <w:p w14:paraId="66963055"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2AC9170E"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Nissan, Mitsubishi</w:t>
            </w:r>
          </w:p>
        </w:tc>
        <w:tc>
          <w:tcPr>
            <w:tcW w:w="0" w:type="auto"/>
            <w:shd w:val="clear" w:color="auto" w:fill="CCECFF"/>
            <w:vAlign w:val="center"/>
            <w:hideMark/>
          </w:tcPr>
          <w:p w14:paraId="7F863652"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5ADED78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6"/>
                <w:szCs w:val="16"/>
              </w:rPr>
              <w:t>Great Wall, Nissan</w:t>
            </w:r>
          </w:p>
        </w:tc>
      </w:tr>
      <w:tr w:rsidR="004B2A77" w:rsidRPr="004B2A77" w14:paraId="2EB259C0" w14:textId="77777777" w:rsidTr="004B2A77">
        <w:trPr>
          <w:trHeight w:val="160"/>
          <w:tblCellSpacing w:w="15" w:type="dxa"/>
        </w:trPr>
        <w:tc>
          <w:tcPr>
            <w:tcW w:w="0" w:type="auto"/>
            <w:shd w:val="clear" w:color="auto" w:fill="FFFFFF"/>
            <w:vAlign w:val="bottom"/>
            <w:hideMark/>
          </w:tcPr>
          <w:p w14:paraId="0821193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color w:val="000000"/>
                <w:kern w:val="0"/>
                <w:sz w:val="11"/>
                <w:szCs w:val="11"/>
              </w:rPr>
              <w:t>1)</w:t>
            </w:r>
            <w:r w:rsidRPr="004B2A77">
              <w:rPr>
                <w:rFonts w:ascii="Arial" w:eastAsia="微软雅黑" w:hAnsi="Arial" w:cs="Arial"/>
                <w:color w:val="000000"/>
                <w:kern w:val="0"/>
                <w:sz w:val="16"/>
                <w:szCs w:val="16"/>
              </w:rPr>
              <w:t> Non-U.S. GAAP Measure</w:t>
            </w:r>
          </w:p>
        </w:tc>
        <w:tc>
          <w:tcPr>
            <w:tcW w:w="0" w:type="auto"/>
            <w:shd w:val="clear" w:color="auto" w:fill="FFFFFF"/>
            <w:vAlign w:val="bottom"/>
            <w:hideMark/>
          </w:tcPr>
          <w:p w14:paraId="78D1B0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F7A22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B7A9B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99D30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E6CBC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C812C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29798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CD1DB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9D3AC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87FAE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566AF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F709F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0B29DA8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5FB0C388"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36</w:t>
      </w:r>
    </w:p>
    <w:p w14:paraId="1B4A207C"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45D5560">
          <v:rect id="_x0000_i1063" style="width:0;height:1.5pt" o:hralign="center" o:hrstd="t" o:hrnoshade="t" o:hr="t" fillcolor="black" stroked="f"/>
        </w:pict>
      </w:r>
    </w:p>
    <w:p w14:paraId="05CCF3F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2B8FA91"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Condensed Statement of Income</w:t>
      </w:r>
    </w:p>
    <w:p w14:paraId="2D71555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2051"/>
        <w:gridCol w:w="231"/>
        <w:gridCol w:w="2296"/>
        <w:gridCol w:w="280"/>
        <w:gridCol w:w="218"/>
        <w:gridCol w:w="231"/>
        <w:gridCol w:w="2192"/>
        <w:gridCol w:w="280"/>
        <w:gridCol w:w="136"/>
        <w:gridCol w:w="231"/>
        <w:gridCol w:w="2173"/>
        <w:gridCol w:w="295"/>
      </w:tblGrid>
      <w:tr w:rsidR="004B2A77" w:rsidRPr="004B2A77" w14:paraId="4DE0FAD9" w14:textId="77777777" w:rsidTr="004B2A77">
        <w:trPr>
          <w:tblCellSpacing w:w="15" w:type="dxa"/>
        </w:trPr>
        <w:tc>
          <w:tcPr>
            <w:tcW w:w="12123" w:type="dxa"/>
            <w:vAlign w:val="center"/>
            <w:hideMark/>
          </w:tcPr>
          <w:p w14:paraId="6FE4653D"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2" w:type="dxa"/>
            <w:vAlign w:val="center"/>
            <w:hideMark/>
          </w:tcPr>
          <w:p w14:paraId="280CC58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85" w:type="dxa"/>
            <w:vAlign w:val="center"/>
            <w:hideMark/>
          </w:tcPr>
          <w:p w14:paraId="0D039DC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5EC774F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9" w:type="dxa"/>
            <w:vAlign w:val="center"/>
            <w:hideMark/>
          </w:tcPr>
          <w:p w14:paraId="24DEF3A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183567C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80" w:type="dxa"/>
            <w:vAlign w:val="center"/>
            <w:hideMark/>
          </w:tcPr>
          <w:p w14:paraId="53DAA2D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05A60DB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06" w:type="dxa"/>
            <w:vAlign w:val="center"/>
            <w:hideMark/>
          </w:tcPr>
          <w:p w14:paraId="4E69DA4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4DE7049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59" w:type="dxa"/>
            <w:vAlign w:val="center"/>
            <w:hideMark/>
          </w:tcPr>
          <w:p w14:paraId="32A732C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5353B8A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23EF9AB" w14:textId="77777777" w:rsidTr="004B2A77">
        <w:trPr>
          <w:trHeight w:val="160"/>
          <w:tblCellSpacing w:w="15" w:type="dxa"/>
        </w:trPr>
        <w:tc>
          <w:tcPr>
            <w:tcW w:w="0" w:type="auto"/>
            <w:shd w:val="clear" w:color="auto" w:fill="FFFFFF"/>
            <w:vAlign w:val="bottom"/>
            <w:hideMark/>
          </w:tcPr>
          <w:p w14:paraId="4B04388A"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Times New Roman" w:eastAsia="微软雅黑" w:hAnsi="Times New Roman" w:cs="Times New Roman"/>
                <w:kern w:val="0"/>
                <w:sz w:val="16"/>
                <w:szCs w:val="16"/>
              </w:rPr>
              <w:t> </w:t>
            </w:r>
          </w:p>
        </w:tc>
        <w:tc>
          <w:tcPr>
            <w:tcW w:w="0" w:type="auto"/>
            <w:gridSpan w:val="6"/>
            <w:tcBorders>
              <w:bottom w:val="single" w:sz="4" w:space="0" w:color="000000"/>
            </w:tcBorders>
            <w:shd w:val="clear" w:color="auto" w:fill="FFFFFF"/>
            <w:vAlign w:val="bottom"/>
            <w:hideMark/>
          </w:tcPr>
          <w:p w14:paraId="7BF9DA9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Years ended December 31</w:t>
            </w:r>
          </w:p>
        </w:tc>
        <w:tc>
          <w:tcPr>
            <w:tcW w:w="0" w:type="auto"/>
            <w:shd w:val="clear" w:color="auto" w:fill="FFFFFF"/>
            <w:vAlign w:val="bottom"/>
            <w:hideMark/>
          </w:tcPr>
          <w:p w14:paraId="3B432E7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center"/>
            <w:hideMark/>
          </w:tcPr>
          <w:p w14:paraId="1B59746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Times New Roman" w:eastAsia="微软雅黑" w:hAnsi="Times New Roman" w:cs="Times New Roman"/>
                <w:kern w:val="0"/>
                <w:sz w:val="16"/>
                <w:szCs w:val="16"/>
              </w:rPr>
              <w:t> </w:t>
            </w:r>
          </w:p>
        </w:tc>
        <w:tc>
          <w:tcPr>
            <w:tcW w:w="0" w:type="auto"/>
            <w:gridSpan w:val="2"/>
            <w:shd w:val="clear" w:color="auto" w:fill="FFFFFF"/>
            <w:vAlign w:val="center"/>
            <w:hideMark/>
          </w:tcPr>
          <w:p w14:paraId="51D3549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Times New Roman" w:eastAsia="微软雅黑" w:hAnsi="Times New Roman" w:cs="Times New Roman"/>
                <w:kern w:val="0"/>
                <w:sz w:val="16"/>
                <w:szCs w:val="16"/>
              </w:rPr>
              <w:t> </w:t>
            </w:r>
          </w:p>
        </w:tc>
        <w:tc>
          <w:tcPr>
            <w:tcW w:w="0" w:type="auto"/>
            <w:shd w:val="clear" w:color="auto" w:fill="FFFFFF"/>
            <w:vAlign w:val="center"/>
            <w:hideMark/>
          </w:tcPr>
          <w:p w14:paraId="3361993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Times New Roman" w:eastAsia="微软雅黑" w:hAnsi="Times New Roman" w:cs="Times New Roman"/>
                <w:kern w:val="0"/>
                <w:sz w:val="16"/>
                <w:szCs w:val="16"/>
              </w:rPr>
              <w:t> </w:t>
            </w:r>
          </w:p>
        </w:tc>
      </w:tr>
      <w:tr w:rsidR="004B2A77" w:rsidRPr="004B2A77" w14:paraId="0EFFD550" w14:textId="77777777" w:rsidTr="004B2A77">
        <w:trPr>
          <w:trHeight w:val="160"/>
          <w:tblCellSpacing w:w="15" w:type="dxa"/>
        </w:trPr>
        <w:tc>
          <w:tcPr>
            <w:tcW w:w="0" w:type="auto"/>
            <w:shd w:val="clear" w:color="auto" w:fill="FFFFFF"/>
            <w:vAlign w:val="bottom"/>
            <w:hideMark/>
          </w:tcPr>
          <w:p w14:paraId="04FCDB2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lastRenderedPageBreak/>
              <w:t>(Dollars in millions, except per share data)</w:t>
            </w:r>
          </w:p>
        </w:tc>
        <w:tc>
          <w:tcPr>
            <w:tcW w:w="0" w:type="auto"/>
            <w:gridSpan w:val="2"/>
            <w:tcBorders>
              <w:bottom w:val="single" w:sz="4" w:space="0" w:color="000000"/>
            </w:tcBorders>
            <w:shd w:val="clear" w:color="auto" w:fill="FFFFFF"/>
            <w:vAlign w:val="bottom"/>
            <w:hideMark/>
          </w:tcPr>
          <w:p w14:paraId="7371472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5BC496E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center"/>
            <w:hideMark/>
          </w:tcPr>
          <w:p w14:paraId="1FDD60F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ADD25F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6107415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center"/>
            <w:hideMark/>
          </w:tcPr>
          <w:p w14:paraId="6E6265B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FE4354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Change</w:t>
            </w:r>
          </w:p>
        </w:tc>
        <w:tc>
          <w:tcPr>
            <w:tcW w:w="0" w:type="auto"/>
            <w:shd w:val="clear" w:color="auto" w:fill="FFFFFF"/>
            <w:vAlign w:val="bottom"/>
            <w:hideMark/>
          </w:tcPr>
          <w:p w14:paraId="00DBE57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66A8E38B" w14:textId="77777777" w:rsidTr="004B2A77">
        <w:trPr>
          <w:trHeight w:val="180"/>
          <w:tblCellSpacing w:w="15" w:type="dxa"/>
        </w:trPr>
        <w:tc>
          <w:tcPr>
            <w:tcW w:w="0" w:type="auto"/>
            <w:shd w:val="clear" w:color="auto" w:fill="CFF0FC"/>
            <w:vAlign w:val="center"/>
            <w:hideMark/>
          </w:tcPr>
          <w:p w14:paraId="07A71CE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Sales</w:t>
            </w:r>
          </w:p>
        </w:tc>
        <w:tc>
          <w:tcPr>
            <w:tcW w:w="0" w:type="auto"/>
            <w:shd w:val="clear" w:color="auto" w:fill="CFF0FC"/>
            <w:noWrap/>
            <w:vAlign w:val="center"/>
            <w:hideMark/>
          </w:tcPr>
          <w:p w14:paraId="310DA4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73724FC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8,842</w:t>
            </w:r>
          </w:p>
        </w:tc>
        <w:tc>
          <w:tcPr>
            <w:tcW w:w="0" w:type="auto"/>
            <w:shd w:val="clear" w:color="auto" w:fill="CFF0FC"/>
            <w:noWrap/>
            <w:vAlign w:val="center"/>
            <w:hideMark/>
          </w:tcPr>
          <w:p w14:paraId="036A80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7CA1D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FDED6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72DC494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8,230</w:t>
            </w:r>
          </w:p>
        </w:tc>
        <w:tc>
          <w:tcPr>
            <w:tcW w:w="0" w:type="auto"/>
            <w:shd w:val="clear" w:color="auto" w:fill="CFF0FC"/>
            <w:noWrap/>
            <w:vAlign w:val="center"/>
            <w:hideMark/>
          </w:tcPr>
          <w:p w14:paraId="07F43FD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404248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49F228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A11CE6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7.4</w:t>
            </w:r>
          </w:p>
        </w:tc>
        <w:tc>
          <w:tcPr>
            <w:tcW w:w="0" w:type="auto"/>
            <w:shd w:val="clear" w:color="auto" w:fill="CFF0FC"/>
            <w:noWrap/>
            <w:vAlign w:val="center"/>
            <w:hideMark/>
          </w:tcPr>
          <w:p w14:paraId="4828F7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37133FA0" w14:textId="77777777" w:rsidTr="004B2A77">
        <w:trPr>
          <w:trHeight w:val="180"/>
          <w:tblCellSpacing w:w="15" w:type="dxa"/>
        </w:trPr>
        <w:tc>
          <w:tcPr>
            <w:tcW w:w="0" w:type="auto"/>
            <w:shd w:val="clear" w:color="auto" w:fill="FFFFFF"/>
            <w:vAlign w:val="center"/>
            <w:hideMark/>
          </w:tcPr>
          <w:p w14:paraId="782E28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Gross profit</w:t>
            </w:r>
          </w:p>
        </w:tc>
        <w:tc>
          <w:tcPr>
            <w:tcW w:w="0" w:type="auto"/>
            <w:shd w:val="clear" w:color="auto" w:fill="FFFFFF"/>
            <w:noWrap/>
            <w:vAlign w:val="center"/>
            <w:hideMark/>
          </w:tcPr>
          <w:p w14:paraId="1DCB40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9847D3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1,396</w:t>
            </w:r>
          </w:p>
        </w:tc>
        <w:tc>
          <w:tcPr>
            <w:tcW w:w="0" w:type="auto"/>
            <w:shd w:val="clear" w:color="auto" w:fill="FFFFFF"/>
            <w:noWrap/>
            <w:vAlign w:val="center"/>
            <w:hideMark/>
          </w:tcPr>
          <w:p w14:paraId="0AC43E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58D9D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4D42F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B22AB0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1,511</w:t>
            </w:r>
          </w:p>
        </w:tc>
        <w:tc>
          <w:tcPr>
            <w:tcW w:w="0" w:type="auto"/>
            <w:shd w:val="clear" w:color="auto" w:fill="FFFFFF"/>
            <w:noWrap/>
            <w:vAlign w:val="center"/>
            <w:hideMark/>
          </w:tcPr>
          <w:p w14:paraId="1C08625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8B291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458F73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B40B22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(7.6</w:t>
            </w:r>
          </w:p>
        </w:tc>
        <w:tc>
          <w:tcPr>
            <w:tcW w:w="0" w:type="auto"/>
            <w:shd w:val="clear" w:color="auto" w:fill="FFFFFF"/>
            <w:noWrap/>
            <w:vAlign w:val="center"/>
            <w:hideMark/>
          </w:tcPr>
          <w:p w14:paraId="6BFF2A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112A76F5" w14:textId="77777777" w:rsidTr="004B2A77">
        <w:trPr>
          <w:trHeight w:val="180"/>
          <w:tblCellSpacing w:w="15" w:type="dxa"/>
        </w:trPr>
        <w:tc>
          <w:tcPr>
            <w:tcW w:w="0" w:type="auto"/>
            <w:shd w:val="clear" w:color="auto" w:fill="CFF0FC"/>
            <w:vAlign w:val="center"/>
            <w:hideMark/>
          </w:tcPr>
          <w:p w14:paraId="787CAE92" w14:textId="77777777" w:rsidR="004B2A77" w:rsidRPr="004B2A77" w:rsidRDefault="004B2A77" w:rsidP="004B2A77">
            <w:pPr>
              <w:widowControl/>
              <w:ind w:left="100"/>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of sales</w:t>
            </w:r>
          </w:p>
        </w:tc>
        <w:tc>
          <w:tcPr>
            <w:tcW w:w="0" w:type="auto"/>
            <w:shd w:val="clear" w:color="auto" w:fill="CFF0FC"/>
            <w:noWrap/>
            <w:vAlign w:val="center"/>
            <w:hideMark/>
          </w:tcPr>
          <w:p w14:paraId="624201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194F3C3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15.8</w:t>
            </w:r>
          </w:p>
        </w:tc>
        <w:tc>
          <w:tcPr>
            <w:tcW w:w="0" w:type="auto"/>
            <w:shd w:val="clear" w:color="auto" w:fill="CFF0FC"/>
            <w:noWrap/>
            <w:vAlign w:val="center"/>
            <w:hideMark/>
          </w:tcPr>
          <w:p w14:paraId="0FC56F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2451A9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6BEC16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B2A33C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18.4</w:t>
            </w:r>
          </w:p>
        </w:tc>
        <w:tc>
          <w:tcPr>
            <w:tcW w:w="0" w:type="auto"/>
            <w:shd w:val="clear" w:color="auto" w:fill="CFF0FC"/>
            <w:noWrap/>
            <w:vAlign w:val="center"/>
            <w:hideMark/>
          </w:tcPr>
          <w:p w14:paraId="7D1247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4141149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center"/>
            <w:hideMark/>
          </w:tcPr>
          <w:p w14:paraId="78BFA1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6AB3B5F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(2.6)pp</w:t>
            </w:r>
          </w:p>
        </w:tc>
        <w:tc>
          <w:tcPr>
            <w:tcW w:w="0" w:type="auto"/>
            <w:shd w:val="clear" w:color="auto" w:fill="CCECFF"/>
            <w:noWrap/>
            <w:vAlign w:val="center"/>
            <w:hideMark/>
          </w:tcPr>
          <w:p w14:paraId="0B59DA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A8F6A61" w14:textId="77777777" w:rsidTr="004B2A77">
        <w:trPr>
          <w:trHeight w:val="180"/>
          <w:tblCellSpacing w:w="15" w:type="dxa"/>
        </w:trPr>
        <w:tc>
          <w:tcPr>
            <w:tcW w:w="0" w:type="auto"/>
            <w:shd w:val="clear" w:color="auto" w:fill="FFFFFF"/>
            <w:vAlign w:val="center"/>
            <w:hideMark/>
          </w:tcPr>
          <w:p w14:paraId="252262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S,G&amp;A</w:t>
            </w:r>
          </w:p>
        </w:tc>
        <w:tc>
          <w:tcPr>
            <w:tcW w:w="0" w:type="auto"/>
            <w:shd w:val="clear" w:color="auto" w:fill="FFFFFF"/>
            <w:noWrap/>
            <w:vAlign w:val="center"/>
            <w:hideMark/>
          </w:tcPr>
          <w:p w14:paraId="331A7C2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A18BB0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(437</w:t>
            </w:r>
          </w:p>
        </w:tc>
        <w:tc>
          <w:tcPr>
            <w:tcW w:w="0" w:type="auto"/>
            <w:shd w:val="clear" w:color="auto" w:fill="FFFFFF"/>
            <w:noWrap/>
            <w:vAlign w:val="center"/>
            <w:hideMark/>
          </w:tcPr>
          <w:p w14:paraId="41CCE3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6C3AB0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28AC4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0AFC11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(432</w:t>
            </w:r>
          </w:p>
        </w:tc>
        <w:tc>
          <w:tcPr>
            <w:tcW w:w="0" w:type="auto"/>
            <w:shd w:val="clear" w:color="auto" w:fill="FFFFFF"/>
            <w:noWrap/>
            <w:vAlign w:val="center"/>
            <w:hideMark/>
          </w:tcPr>
          <w:p w14:paraId="318F18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59A020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6F10EB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720AE6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1.2</w:t>
            </w:r>
          </w:p>
        </w:tc>
        <w:tc>
          <w:tcPr>
            <w:tcW w:w="0" w:type="auto"/>
            <w:shd w:val="clear" w:color="auto" w:fill="FFFFFF"/>
            <w:noWrap/>
            <w:vAlign w:val="center"/>
            <w:hideMark/>
          </w:tcPr>
          <w:p w14:paraId="3BCEE0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97CEC22" w14:textId="77777777" w:rsidTr="004B2A77">
        <w:trPr>
          <w:trHeight w:val="180"/>
          <w:tblCellSpacing w:w="15" w:type="dxa"/>
        </w:trPr>
        <w:tc>
          <w:tcPr>
            <w:tcW w:w="0" w:type="auto"/>
            <w:shd w:val="clear" w:color="auto" w:fill="CFF0FC"/>
            <w:vAlign w:val="center"/>
            <w:hideMark/>
          </w:tcPr>
          <w:p w14:paraId="3AF0D0EC" w14:textId="77777777" w:rsidR="004B2A77" w:rsidRPr="004B2A77" w:rsidRDefault="004B2A77" w:rsidP="004B2A77">
            <w:pPr>
              <w:widowControl/>
              <w:ind w:left="100"/>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of sales</w:t>
            </w:r>
          </w:p>
        </w:tc>
        <w:tc>
          <w:tcPr>
            <w:tcW w:w="0" w:type="auto"/>
            <w:shd w:val="clear" w:color="auto" w:fill="CFF0FC"/>
            <w:noWrap/>
            <w:vAlign w:val="center"/>
            <w:hideMark/>
          </w:tcPr>
          <w:p w14:paraId="438BC4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406E8F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(4.9</w:t>
            </w:r>
          </w:p>
        </w:tc>
        <w:tc>
          <w:tcPr>
            <w:tcW w:w="0" w:type="auto"/>
            <w:shd w:val="clear" w:color="auto" w:fill="CFF0FC"/>
            <w:noWrap/>
            <w:vAlign w:val="center"/>
            <w:hideMark/>
          </w:tcPr>
          <w:p w14:paraId="78250E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40A811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ABE6A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46157D6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(5.2</w:t>
            </w:r>
          </w:p>
        </w:tc>
        <w:tc>
          <w:tcPr>
            <w:tcW w:w="0" w:type="auto"/>
            <w:shd w:val="clear" w:color="auto" w:fill="CFF0FC"/>
            <w:noWrap/>
            <w:vAlign w:val="center"/>
            <w:hideMark/>
          </w:tcPr>
          <w:p w14:paraId="417843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3DC2DEC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center"/>
            <w:hideMark/>
          </w:tcPr>
          <w:p w14:paraId="77E9E2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629B3B3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0.3</w:t>
            </w:r>
          </w:p>
        </w:tc>
        <w:tc>
          <w:tcPr>
            <w:tcW w:w="0" w:type="auto"/>
            <w:shd w:val="clear" w:color="auto" w:fill="CCECFF"/>
            <w:noWrap/>
            <w:vAlign w:val="center"/>
            <w:hideMark/>
          </w:tcPr>
          <w:p w14:paraId="783AF9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pp</w:t>
            </w:r>
          </w:p>
        </w:tc>
      </w:tr>
      <w:tr w:rsidR="004B2A77" w:rsidRPr="004B2A77" w14:paraId="49EE156F" w14:textId="77777777" w:rsidTr="004B2A77">
        <w:trPr>
          <w:trHeight w:val="180"/>
          <w:tblCellSpacing w:w="15" w:type="dxa"/>
        </w:trPr>
        <w:tc>
          <w:tcPr>
            <w:tcW w:w="0" w:type="auto"/>
            <w:shd w:val="clear" w:color="auto" w:fill="FFFFFF"/>
            <w:vAlign w:val="center"/>
            <w:hideMark/>
          </w:tcPr>
          <w:p w14:paraId="187B80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R,D&amp;E net</w:t>
            </w:r>
          </w:p>
        </w:tc>
        <w:tc>
          <w:tcPr>
            <w:tcW w:w="0" w:type="auto"/>
            <w:shd w:val="clear" w:color="auto" w:fill="FFFFFF"/>
            <w:noWrap/>
            <w:vAlign w:val="center"/>
            <w:hideMark/>
          </w:tcPr>
          <w:p w14:paraId="54F72E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9C4594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(390</w:t>
            </w:r>
          </w:p>
        </w:tc>
        <w:tc>
          <w:tcPr>
            <w:tcW w:w="0" w:type="auto"/>
            <w:shd w:val="clear" w:color="auto" w:fill="FFFFFF"/>
            <w:noWrap/>
            <w:vAlign w:val="center"/>
            <w:hideMark/>
          </w:tcPr>
          <w:p w14:paraId="6CA12E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7E805D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D9E41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B4B5C7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(391</w:t>
            </w:r>
          </w:p>
        </w:tc>
        <w:tc>
          <w:tcPr>
            <w:tcW w:w="0" w:type="auto"/>
            <w:shd w:val="clear" w:color="auto" w:fill="FFFFFF"/>
            <w:noWrap/>
            <w:vAlign w:val="center"/>
            <w:hideMark/>
          </w:tcPr>
          <w:p w14:paraId="75267B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605307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6C42CF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A17725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(0.1</w:t>
            </w:r>
          </w:p>
        </w:tc>
        <w:tc>
          <w:tcPr>
            <w:tcW w:w="0" w:type="auto"/>
            <w:shd w:val="clear" w:color="auto" w:fill="FFFFFF"/>
            <w:noWrap/>
            <w:vAlign w:val="center"/>
            <w:hideMark/>
          </w:tcPr>
          <w:p w14:paraId="50899A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4EDFD99" w14:textId="77777777" w:rsidTr="004B2A77">
        <w:trPr>
          <w:trHeight w:val="180"/>
          <w:tblCellSpacing w:w="15" w:type="dxa"/>
        </w:trPr>
        <w:tc>
          <w:tcPr>
            <w:tcW w:w="0" w:type="auto"/>
            <w:shd w:val="clear" w:color="auto" w:fill="CFF0FC"/>
            <w:vAlign w:val="center"/>
            <w:hideMark/>
          </w:tcPr>
          <w:p w14:paraId="4DB91AEA" w14:textId="77777777" w:rsidR="004B2A77" w:rsidRPr="004B2A77" w:rsidRDefault="004B2A77" w:rsidP="004B2A77">
            <w:pPr>
              <w:widowControl/>
              <w:ind w:left="100"/>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of sales</w:t>
            </w:r>
          </w:p>
        </w:tc>
        <w:tc>
          <w:tcPr>
            <w:tcW w:w="0" w:type="auto"/>
            <w:shd w:val="clear" w:color="auto" w:fill="CFF0FC"/>
            <w:noWrap/>
            <w:vAlign w:val="center"/>
            <w:hideMark/>
          </w:tcPr>
          <w:p w14:paraId="514A69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ECA0C2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(4.4</w:t>
            </w:r>
          </w:p>
        </w:tc>
        <w:tc>
          <w:tcPr>
            <w:tcW w:w="0" w:type="auto"/>
            <w:shd w:val="clear" w:color="auto" w:fill="CFF0FC"/>
            <w:noWrap/>
            <w:vAlign w:val="center"/>
            <w:hideMark/>
          </w:tcPr>
          <w:p w14:paraId="184037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7297C6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43B6F5B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CFC7CB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(4.7</w:t>
            </w:r>
          </w:p>
        </w:tc>
        <w:tc>
          <w:tcPr>
            <w:tcW w:w="0" w:type="auto"/>
            <w:shd w:val="clear" w:color="auto" w:fill="CFF0FC"/>
            <w:noWrap/>
            <w:vAlign w:val="center"/>
            <w:hideMark/>
          </w:tcPr>
          <w:p w14:paraId="5D4944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CFF0FC"/>
            <w:vAlign w:val="center"/>
            <w:hideMark/>
          </w:tcPr>
          <w:p w14:paraId="5EC89DE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center"/>
            <w:hideMark/>
          </w:tcPr>
          <w:p w14:paraId="515E8B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332AB0E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0.3</w:t>
            </w:r>
          </w:p>
        </w:tc>
        <w:tc>
          <w:tcPr>
            <w:tcW w:w="0" w:type="auto"/>
            <w:shd w:val="clear" w:color="auto" w:fill="CCECFF"/>
            <w:noWrap/>
            <w:vAlign w:val="center"/>
            <w:hideMark/>
          </w:tcPr>
          <w:p w14:paraId="07D080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pp</w:t>
            </w:r>
          </w:p>
        </w:tc>
      </w:tr>
      <w:tr w:rsidR="004B2A77" w:rsidRPr="004B2A77" w14:paraId="48BE8C91" w14:textId="77777777" w:rsidTr="004B2A77">
        <w:trPr>
          <w:trHeight w:val="180"/>
          <w:tblCellSpacing w:w="15" w:type="dxa"/>
        </w:trPr>
        <w:tc>
          <w:tcPr>
            <w:tcW w:w="0" w:type="auto"/>
            <w:shd w:val="clear" w:color="auto" w:fill="FFFFFF"/>
            <w:vAlign w:val="center"/>
            <w:hideMark/>
          </w:tcPr>
          <w:p w14:paraId="1926D5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income (expense), net</w:t>
            </w:r>
          </w:p>
        </w:tc>
        <w:tc>
          <w:tcPr>
            <w:tcW w:w="0" w:type="auto"/>
            <w:shd w:val="clear" w:color="auto" w:fill="FFFFFF"/>
            <w:noWrap/>
            <w:vAlign w:val="center"/>
            <w:hideMark/>
          </w:tcPr>
          <w:p w14:paraId="01C891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689123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93</w:t>
            </w:r>
          </w:p>
        </w:tc>
        <w:tc>
          <w:tcPr>
            <w:tcW w:w="0" w:type="auto"/>
            <w:shd w:val="clear" w:color="auto" w:fill="FFFFFF"/>
            <w:noWrap/>
            <w:vAlign w:val="center"/>
            <w:hideMark/>
          </w:tcPr>
          <w:p w14:paraId="538C40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6A145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3EC82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358299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FFFFFF"/>
            <w:noWrap/>
            <w:vAlign w:val="center"/>
            <w:hideMark/>
          </w:tcPr>
          <w:p w14:paraId="383F86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center"/>
            <w:hideMark/>
          </w:tcPr>
          <w:p w14:paraId="780B58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center"/>
            <w:hideMark/>
          </w:tcPr>
          <w:p w14:paraId="6659510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n/a</w:t>
            </w:r>
          </w:p>
        </w:tc>
        <w:tc>
          <w:tcPr>
            <w:tcW w:w="0" w:type="auto"/>
            <w:shd w:val="clear" w:color="auto" w:fill="FFFFFF"/>
            <w:vAlign w:val="center"/>
            <w:hideMark/>
          </w:tcPr>
          <w:p w14:paraId="0B86AD9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3A806F4" w14:textId="77777777" w:rsidTr="004B2A77">
        <w:trPr>
          <w:trHeight w:val="180"/>
          <w:tblCellSpacing w:w="15" w:type="dxa"/>
        </w:trPr>
        <w:tc>
          <w:tcPr>
            <w:tcW w:w="0" w:type="auto"/>
            <w:shd w:val="clear" w:color="auto" w:fill="CFF0FC"/>
            <w:vAlign w:val="center"/>
            <w:hideMark/>
          </w:tcPr>
          <w:p w14:paraId="512363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income</w:t>
            </w:r>
          </w:p>
        </w:tc>
        <w:tc>
          <w:tcPr>
            <w:tcW w:w="0" w:type="auto"/>
            <w:shd w:val="clear" w:color="auto" w:fill="CFF0FC"/>
            <w:noWrap/>
            <w:vAlign w:val="center"/>
            <w:hideMark/>
          </w:tcPr>
          <w:p w14:paraId="55A0A0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E3FB7F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659</w:t>
            </w:r>
          </w:p>
        </w:tc>
        <w:tc>
          <w:tcPr>
            <w:tcW w:w="0" w:type="auto"/>
            <w:shd w:val="clear" w:color="auto" w:fill="CFF0FC"/>
            <w:noWrap/>
            <w:vAlign w:val="center"/>
            <w:hideMark/>
          </w:tcPr>
          <w:p w14:paraId="3D81CA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373286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286989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3DAA9A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675</w:t>
            </w:r>
          </w:p>
        </w:tc>
        <w:tc>
          <w:tcPr>
            <w:tcW w:w="0" w:type="auto"/>
            <w:shd w:val="clear" w:color="auto" w:fill="CFF0FC"/>
            <w:noWrap/>
            <w:vAlign w:val="center"/>
            <w:hideMark/>
          </w:tcPr>
          <w:p w14:paraId="26AAE7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5901F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51838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D32ADA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(2.3</w:t>
            </w:r>
          </w:p>
        </w:tc>
        <w:tc>
          <w:tcPr>
            <w:tcW w:w="0" w:type="auto"/>
            <w:shd w:val="clear" w:color="auto" w:fill="CFF0FC"/>
            <w:noWrap/>
            <w:vAlign w:val="center"/>
            <w:hideMark/>
          </w:tcPr>
          <w:p w14:paraId="6C3D38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10186917" w14:textId="77777777" w:rsidTr="004B2A77">
        <w:trPr>
          <w:trHeight w:val="180"/>
          <w:tblCellSpacing w:w="15" w:type="dxa"/>
        </w:trPr>
        <w:tc>
          <w:tcPr>
            <w:tcW w:w="0" w:type="auto"/>
            <w:shd w:val="clear" w:color="auto" w:fill="FFFFFF"/>
            <w:vAlign w:val="center"/>
            <w:hideMark/>
          </w:tcPr>
          <w:p w14:paraId="601F76E9" w14:textId="77777777" w:rsidR="004B2A77" w:rsidRPr="004B2A77" w:rsidRDefault="004B2A77" w:rsidP="004B2A77">
            <w:pPr>
              <w:widowControl/>
              <w:ind w:left="100"/>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of sales</w:t>
            </w:r>
          </w:p>
        </w:tc>
        <w:tc>
          <w:tcPr>
            <w:tcW w:w="0" w:type="auto"/>
            <w:shd w:val="clear" w:color="auto" w:fill="FFFFFF"/>
            <w:noWrap/>
            <w:vAlign w:val="center"/>
            <w:hideMark/>
          </w:tcPr>
          <w:p w14:paraId="3221B2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1C1C56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7.5</w:t>
            </w:r>
          </w:p>
        </w:tc>
        <w:tc>
          <w:tcPr>
            <w:tcW w:w="0" w:type="auto"/>
            <w:shd w:val="clear" w:color="auto" w:fill="FFFFFF"/>
            <w:noWrap/>
            <w:vAlign w:val="center"/>
            <w:hideMark/>
          </w:tcPr>
          <w:p w14:paraId="11BFF3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0BE062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A3B5C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263971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8.2</w:t>
            </w:r>
          </w:p>
        </w:tc>
        <w:tc>
          <w:tcPr>
            <w:tcW w:w="0" w:type="auto"/>
            <w:shd w:val="clear" w:color="auto" w:fill="FFFFFF"/>
            <w:noWrap/>
            <w:vAlign w:val="center"/>
            <w:hideMark/>
          </w:tcPr>
          <w:p w14:paraId="11A706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4FC24C5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6BF7FB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381D38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(0.7)pp</w:t>
            </w:r>
          </w:p>
        </w:tc>
        <w:tc>
          <w:tcPr>
            <w:tcW w:w="0" w:type="auto"/>
            <w:shd w:val="clear" w:color="auto" w:fill="FFFFFF"/>
            <w:noWrap/>
            <w:vAlign w:val="center"/>
            <w:hideMark/>
          </w:tcPr>
          <w:p w14:paraId="469D00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0C149AD" w14:textId="77777777" w:rsidTr="004B2A77">
        <w:trPr>
          <w:trHeight w:val="180"/>
          <w:tblCellSpacing w:w="15" w:type="dxa"/>
        </w:trPr>
        <w:tc>
          <w:tcPr>
            <w:tcW w:w="0" w:type="auto"/>
            <w:shd w:val="clear" w:color="auto" w:fill="CFF0FC"/>
            <w:vAlign w:val="center"/>
            <w:hideMark/>
          </w:tcPr>
          <w:p w14:paraId="138453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Adjusted operating income</w:t>
            </w:r>
            <w:r w:rsidRPr="004B2A77">
              <w:rPr>
                <w:rFonts w:ascii="Arial" w:eastAsia="微软雅黑" w:hAnsi="Arial" w:cs="Arial"/>
                <w:color w:val="000000"/>
                <w:kern w:val="0"/>
                <w:sz w:val="12"/>
                <w:szCs w:val="12"/>
              </w:rPr>
              <w:t>3)</w:t>
            </w:r>
          </w:p>
        </w:tc>
        <w:tc>
          <w:tcPr>
            <w:tcW w:w="0" w:type="auto"/>
            <w:shd w:val="clear" w:color="auto" w:fill="CCECFF"/>
            <w:noWrap/>
            <w:vAlign w:val="center"/>
            <w:hideMark/>
          </w:tcPr>
          <w:p w14:paraId="56908F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02DF31F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598</w:t>
            </w:r>
          </w:p>
        </w:tc>
        <w:tc>
          <w:tcPr>
            <w:tcW w:w="0" w:type="auto"/>
            <w:shd w:val="clear" w:color="auto" w:fill="CCECFF"/>
            <w:noWrap/>
            <w:vAlign w:val="center"/>
            <w:hideMark/>
          </w:tcPr>
          <w:p w14:paraId="478DB2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1F60D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center"/>
            <w:hideMark/>
          </w:tcPr>
          <w:p w14:paraId="777F1B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6260F1E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683</w:t>
            </w:r>
          </w:p>
        </w:tc>
        <w:tc>
          <w:tcPr>
            <w:tcW w:w="0" w:type="auto"/>
            <w:shd w:val="clear" w:color="auto" w:fill="CCECFF"/>
            <w:noWrap/>
            <w:vAlign w:val="center"/>
            <w:hideMark/>
          </w:tcPr>
          <w:p w14:paraId="3C2C17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27E72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47F676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51A203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(12</w:t>
            </w:r>
          </w:p>
        </w:tc>
        <w:tc>
          <w:tcPr>
            <w:tcW w:w="0" w:type="auto"/>
            <w:shd w:val="clear" w:color="auto" w:fill="CFF0FC"/>
            <w:noWrap/>
            <w:vAlign w:val="center"/>
            <w:hideMark/>
          </w:tcPr>
          <w:p w14:paraId="6652C7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1162817" w14:textId="77777777" w:rsidTr="004B2A77">
        <w:trPr>
          <w:trHeight w:val="180"/>
          <w:tblCellSpacing w:w="15" w:type="dxa"/>
        </w:trPr>
        <w:tc>
          <w:tcPr>
            <w:tcW w:w="0" w:type="auto"/>
            <w:shd w:val="clear" w:color="auto" w:fill="FFFFFF"/>
            <w:vAlign w:val="center"/>
            <w:hideMark/>
          </w:tcPr>
          <w:p w14:paraId="623431AF" w14:textId="77777777" w:rsidR="004B2A77" w:rsidRPr="004B2A77" w:rsidRDefault="004B2A77" w:rsidP="004B2A77">
            <w:pPr>
              <w:widowControl/>
              <w:ind w:left="100"/>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of sales</w:t>
            </w:r>
          </w:p>
        </w:tc>
        <w:tc>
          <w:tcPr>
            <w:tcW w:w="0" w:type="auto"/>
            <w:shd w:val="clear" w:color="auto" w:fill="FFFFFF"/>
            <w:noWrap/>
            <w:vAlign w:val="center"/>
            <w:hideMark/>
          </w:tcPr>
          <w:p w14:paraId="0762FD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7BA361F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6.8</w:t>
            </w:r>
          </w:p>
        </w:tc>
        <w:tc>
          <w:tcPr>
            <w:tcW w:w="0" w:type="auto"/>
            <w:shd w:val="clear" w:color="auto" w:fill="FFFFFF"/>
            <w:noWrap/>
            <w:vAlign w:val="center"/>
            <w:hideMark/>
          </w:tcPr>
          <w:p w14:paraId="45F37F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2975FC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E6176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C0360B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8.3</w:t>
            </w:r>
          </w:p>
        </w:tc>
        <w:tc>
          <w:tcPr>
            <w:tcW w:w="0" w:type="auto"/>
            <w:shd w:val="clear" w:color="auto" w:fill="FFFFFF"/>
            <w:noWrap/>
            <w:vAlign w:val="center"/>
            <w:hideMark/>
          </w:tcPr>
          <w:p w14:paraId="58A29E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w:t>
            </w:r>
          </w:p>
        </w:tc>
        <w:tc>
          <w:tcPr>
            <w:tcW w:w="0" w:type="auto"/>
            <w:shd w:val="clear" w:color="auto" w:fill="FFFFFF"/>
            <w:vAlign w:val="center"/>
            <w:hideMark/>
          </w:tcPr>
          <w:p w14:paraId="71B039C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0A5A3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D7654F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(1.5)pp</w:t>
            </w:r>
          </w:p>
        </w:tc>
        <w:tc>
          <w:tcPr>
            <w:tcW w:w="0" w:type="auto"/>
            <w:shd w:val="clear" w:color="auto" w:fill="FFFFFF"/>
            <w:noWrap/>
            <w:vAlign w:val="center"/>
            <w:hideMark/>
          </w:tcPr>
          <w:p w14:paraId="7FA6E7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BDFBB06" w14:textId="77777777" w:rsidTr="004B2A77">
        <w:trPr>
          <w:trHeight w:val="180"/>
          <w:tblCellSpacing w:w="15" w:type="dxa"/>
        </w:trPr>
        <w:tc>
          <w:tcPr>
            <w:tcW w:w="0" w:type="auto"/>
            <w:shd w:val="clear" w:color="auto" w:fill="CFF0FC"/>
            <w:vAlign w:val="center"/>
            <w:hideMark/>
          </w:tcPr>
          <w:p w14:paraId="0A0CC4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Financial and non-operating items, net</w:t>
            </w:r>
          </w:p>
        </w:tc>
        <w:tc>
          <w:tcPr>
            <w:tcW w:w="0" w:type="auto"/>
            <w:shd w:val="clear" w:color="auto" w:fill="CFF0FC"/>
            <w:noWrap/>
            <w:vAlign w:val="bottom"/>
            <w:hideMark/>
          </w:tcPr>
          <w:p w14:paraId="26E52E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134DCA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(56</w:t>
            </w:r>
          </w:p>
        </w:tc>
        <w:tc>
          <w:tcPr>
            <w:tcW w:w="0" w:type="auto"/>
            <w:shd w:val="clear" w:color="auto" w:fill="CFF0FC"/>
            <w:noWrap/>
            <w:vAlign w:val="bottom"/>
            <w:hideMark/>
          </w:tcPr>
          <w:p w14:paraId="2401E6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78005B8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0C348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EC3C15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w:t>
            </w:r>
          </w:p>
        </w:tc>
        <w:tc>
          <w:tcPr>
            <w:tcW w:w="0" w:type="auto"/>
            <w:shd w:val="clear" w:color="auto" w:fill="CFF0FC"/>
            <w:noWrap/>
            <w:vAlign w:val="bottom"/>
            <w:hideMark/>
          </w:tcPr>
          <w:p w14:paraId="56DBDD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4BC77D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3F2717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59B02A1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(7.9</w:t>
            </w:r>
          </w:p>
        </w:tc>
        <w:tc>
          <w:tcPr>
            <w:tcW w:w="0" w:type="auto"/>
            <w:shd w:val="clear" w:color="auto" w:fill="CFF0FC"/>
            <w:noWrap/>
            <w:vAlign w:val="center"/>
            <w:hideMark/>
          </w:tcPr>
          <w:p w14:paraId="564B25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864E649" w14:textId="77777777" w:rsidTr="004B2A77">
        <w:trPr>
          <w:trHeight w:val="180"/>
          <w:tblCellSpacing w:w="15" w:type="dxa"/>
        </w:trPr>
        <w:tc>
          <w:tcPr>
            <w:tcW w:w="0" w:type="auto"/>
            <w:shd w:val="clear" w:color="auto" w:fill="FFFFFF"/>
            <w:vAlign w:val="center"/>
            <w:hideMark/>
          </w:tcPr>
          <w:p w14:paraId="71169B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before taxes</w:t>
            </w:r>
          </w:p>
        </w:tc>
        <w:tc>
          <w:tcPr>
            <w:tcW w:w="0" w:type="auto"/>
            <w:shd w:val="clear" w:color="auto" w:fill="FFFFFF"/>
            <w:noWrap/>
            <w:vAlign w:val="center"/>
            <w:hideMark/>
          </w:tcPr>
          <w:p w14:paraId="0B5126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33EDFA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603</w:t>
            </w:r>
          </w:p>
        </w:tc>
        <w:tc>
          <w:tcPr>
            <w:tcW w:w="0" w:type="auto"/>
            <w:shd w:val="clear" w:color="auto" w:fill="FFFFFF"/>
            <w:noWrap/>
            <w:vAlign w:val="center"/>
            <w:hideMark/>
          </w:tcPr>
          <w:p w14:paraId="5E1609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E6D5C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4873C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3269E7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614</w:t>
            </w:r>
          </w:p>
        </w:tc>
        <w:tc>
          <w:tcPr>
            <w:tcW w:w="0" w:type="auto"/>
            <w:shd w:val="clear" w:color="auto" w:fill="FFFFFF"/>
            <w:noWrap/>
            <w:vAlign w:val="center"/>
            <w:hideMark/>
          </w:tcPr>
          <w:p w14:paraId="1B9AAF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85CB9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8545E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7A7481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w:t>
            </w:r>
          </w:p>
        </w:tc>
        <w:tc>
          <w:tcPr>
            <w:tcW w:w="0" w:type="auto"/>
            <w:shd w:val="clear" w:color="auto" w:fill="FFFFFF"/>
            <w:noWrap/>
            <w:vAlign w:val="center"/>
            <w:hideMark/>
          </w:tcPr>
          <w:p w14:paraId="0784B0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398F51A9" w14:textId="77777777" w:rsidTr="004B2A77">
        <w:trPr>
          <w:trHeight w:val="180"/>
          <w:tblCellSpacing w:w="15" w:type="dxa"/>
        </w:trPr>
        <w:tc>
          <w:tcPr>
            <w:tcW w:w="0" w:type="auto"/>
            <w:shd w:val="clear" w:color="auto" w:fill="CFF0FC"/>
            <w:vAlign w:val="center"/>
            <w:hideMark/>
          </w:tcPr>
          <w:p w14:paraId="21E336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Tax rate</w:t>
            </w:r>
          </w:p>
        </w:tc>
        <w:tc>
          <w:tcPr>
            <w:tcW w:w="0" w:type="auto"/>
            <w:shd w:val="clear" w:color="auto" w:fill="CCECFF"/>
            <w:noWrap/>
            <w:vAlign w:val="center"/>
            <w:hideMark/>
          </w:tcPr>
          <w:p w14:paraId="24A5AD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030EA4D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29.5</w:t>
            </w:r>
          </w:p>
        </w:tc>
        <w:tc>
          <w:tcPr>
            <w:tcW w:w="0" w:type="auto"/>
            <w:shd w:val="clear" w:color="auto" w:fill="CCECFF"/>
            <w:noWrap/>
            <w:vAlign w:val="center"/>
            <w:hideMark/>
          </w:tcPr>
          <w:p w14:paraId="63D749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551DAC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center"/>
            <w:hideMark/>
          </w:tcPr>
          <w:p w14:paraId="6E7F7E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2C2E5B4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28.9</w:t>
            </w:r>
          </w:p>
        </w:tc>
        <w:tc>
          <w:tcPr>
            <w:tcW w:w="0" w:type="auto"/>
            <w:shd w:val="clear" w:color="auto" w:fill="CCECFF"/>
            <w:noWrap/>
            <w:vAlign w:val="center"/>
            <w:hideMark/>
          </w:tcPr>
          <w:p w14:paraId="096F75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center"/>
            <w:hideMark/>
          </w:tcPr>
          <w:p w14:paraId="13F9966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noWrap/>
            <w:vAlign w:val="center"/>
            <w:hideMark/>
          </w:tcPr>
          <w:p w14:paraId="690B5D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CECFF"/>
            <w:vAlign w:val="center"/>
            <w:hideMark/>
          </w:tcPr>
          <w:p w14:paraId="740D374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0.7</w:t>
            </w:r>
          </w:p>
        </w:tc>
        <w:tc>
          <w:tcPr>
            <w:tcW w:w="0" w:type="auto"/>
            <w:shd w:val="clear" w:color="auto" w:fill="CCECFF"/>
            <w:noWrap/>
            <w:vAlign w:val="center"/>
            <w:hideMark/>
          </w:tcPr>
          <w:p w14:paraId="3A0DAC1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pp</w:t>
            </w:r>
          </w:p>
        </w:tc>
      </w:tr>
      <w:tr w:rsidR="004B2A77" w:rsidRPr="004B2A77" w14:paraId="109FDF74" w14:textId="77777777" w:rsidTr="004B2A77">
        <w:trPr>
          <w:trHeight w:val="180"/>
          <w:tblCellSpacing w:w="15" w:type="dxa"/>
        </w:trPr>
        <w:tc>
          <w:tcPr>
            <w:tcW w:w="0" w:type="auto"/>
            <w:shd w:val="clear" w:color="auto" w:fill="FFFFFF"/>
            <w:vAlign w:val="center"/>
            <w:hideMark/>
          </w:tcPr>
          <w:p w14:paraId="4A3C84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income</w:t>
            </w:r>
          </w:p>
        </w:tc>
        <w:tc>
          <w:tcPr>
            <w:tcW w:w="0" w:type="auto"/>
            <w:shd w:val="clear" w:color="auto" w:fill="FFFFFF"/>
            <w:noWrap/>
            <w:vAlign w:val="bottom"/>
            <w:hideMark/>
          </w:tcPr>
          <w:p w14:paraId="0EB147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20193C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425</w:t>
            </w:r>
          </w:p>
        </w:tc>
        <w:tc>
          <w:tcPr>
            <w:tcW w:w="0" w:type="auto"/>
            <w:shd w:val="clear" w:color="auto" w:fill="FFFFFF"/>
            <w:noWrap/>
            <w:vAlign w:val="bottom"/>
            <w:hideMark/>
          </w:tcPr>
          <w:p w14:paraId="518FF3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A878D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D44C0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1A46B2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437</w:t>
            </w:r>
          </w:p>
        </w:tc>
        <w:tc>
          <w:tcPr>
            <w:tcW w:w="0" w:type="auto"/>
            <w:shd w:val="clear" w:color="auto" w:fill="FFFFFF"/>
            <w:noWrap/>
            <w:vAlign w:val="bottom"/>
            <w:hideMark/>
          </w:tcPr>
          <w:p w14:paraId="0BAFC7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18D2CF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003D5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E2754B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(2.7</w:t>
            </w:r>
          </w:p>
        </w:tc>
        <w:tc>
          <w:tcPr>
            <w:tcW w:w="0" w:type="auto"/>
            <w:shd w:val="clear" w:color="auto" w:fill="FFFFFF"/>
            <w:noWrap/>
            <w:vAlign w:val="center"/>
            <w:hideMark/>
          </w:tcPr>
          <w:p w14:paraId="05EA82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78258DF" w14:textId="77777777" w:rsidTr="004B2A77">
        <w:trPr>
          <w:trHeight w:val="180"/>
          <w:tblCellSpacing w:w="15" w:type="dxa"/>
        </w:trPr>
        <w:tc>
          <w:tcPr>
            <w:tcW w:w="0" w:type="auto"/>
            <w:shd w:val="clear" w:color="auto" w:fill="CFF0FC"/>
            <w:vAlign w:val="center"/>
            <w:hideMark/>
          </w:tcPr>
          <w:p w14:paraId="604C12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Earnings per share, diluted</w:t>
            </w:r>
            <w:r w:rsidRPr="004B2A77">
              <w:rPr>
                <w:rFonts w:ascii="Arial" w:eastAsia="微软雅黑" w:hAnsi="Arial" w:cs="Arial"/>
                <w:color w:val="000000"/>
                <w:kern w:val="0"/>
                <w:sz w:val="12"/>
                <w:szCs w:val="12"/>
              </w:rPr>
              <w:t>1, 2)</w:t>
            </w:r>
          </w:p>
        </w:tc>
        <w:tc>
          <w:tcPr>
            <w:tcW w:w="0" w:type="auto"/>
            <w:shd w:val="clear" w:color="auto" w:fill="CFF0FC"/>
            <w:noWrap/>
            <w:vAlign w:val="bottom"/>
            <w:hideMark/>
          </w:tcPr>
          <w:p w14:paraId="616AA1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2CE320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4.85</w:t>
            </w:r>
          </w:p>
        </w:tc>
        <w:tc>
          <w:tcPr>
            <w:tcW w:w="0" w:type="auto"/>
            <w:shd w:val="clear" w:color="auto" w:fill="CFF0FC"/>
            <w:noWrap/>
            <w:vAlign w:val="bottom"/>
            <w:hideMark/>
          </w:tcPr>
          <w:p w14:paraId="4B6125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8F626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61F16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19D82D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4.96</w:t>
            </w:r>
          </w:p>
        </w:tc>
        <w:tc>
          <w:tcPr>
            <w:tcW w:w="0" w:type="auto"/>
            <w:shd w:val="clear" w:color="auto" w:fill="CFF0FC"/>
            <w:noWrap/>
            <w:vAlign w:val="bottom"/>
            <w:hideMark/>
          </w:tcPr>
          <w:p w14:paraId="02B1E3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D7B0E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74EADE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161992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(2.2</w:t>
            </w:r>
          </w:p>
        </w:tc>
        <w:tc>
          <w:tcPr>
            <w:tcW w:w="0" w:type="auto"/>
            <w:shd w:val="clear" w:color="auto" w:fill="CFF0FC"/>
            <w:noWrap/>
            <w:vAlign w:val="center"/>
            <w:hideMark/>
          </w:tcPr>
          <w:p w14:paraId="483C97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E2D290A" w14:textId="77777777" w:rsidTr="004B2A77">
        <w:trPr>
          <w:trHeight w:val="180"/>
          <w:tblCellSpacing w:w="15" w:type="dxa"/>
        </w:trPr>
        <w:tc>
          <w:tcPr>
            <w:tcW w:w="0" w:type="auto"/>
            <w:shd w:val="clear" w:color="auto" w:fill="FFFFFF"/>
            <w:vAlign w:val="center"/>
            <w:hideMark/>
          </w:tcPr>
          <w:p w14:paraId="3E9843D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Adjusted earnings per share, diluted</w:t>
            </w:r>
            <w:r w:rsidRPr="004B2A77">
              <w:rPr>
                <w:rFonts w:ascii="Arial" w:eastAsia="微软雅黑" w:hAnsi="Arial" w:cs="Arial"/>
                <w:color w:val="000000"/>
                <w:kern w:val="0"/>
                <w:sz w:val="12"/>
                <w:szCs w:val="12"/>
              </w:rPr>
              <w:t>1, 2), 3)</w:t>
            </w:r>
          </w:p>
        </w:tc>
        <w:tc>
          <w:tcPr>
            <w:tcW w:w="0" w:type="auto"/>
            <w:shd w:val="clear" w:color="auto" w:fill="FFFFFF"/>
            <w:noWrap/>
            <w:vAlign w:val="bottom"/>
            <w:hideMark/>
          </w:tcPr>
          <w:p w14:paraId="726E9C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883BDD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4.40</w:t>
            </w:r>
          </w:p>
        </w:tc>
        <w:tc>
          <w:tcPr>
            <w:tcW w:w="0" w:type="auto"/>
            <w:shd w:val="clear" w:color="auto" w:fill="FFFFFF"/>
            <w:noWrap/>
            <w:vAlign w:val="bottom"/>
            <w:hideMark/>
          </w:tcPr>
          <w:p w14:paraId="1117DE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BCDAF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7CDB84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C86884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5.02</w:t>
            </w:r>
          </w:p>
        </w:tc>
        <w:tc>
          <w:tcPr>
            <w:tcW w:w="0" w:type="auto"/>
            <w:shd w:val="clear" w:color="auto" w:fill="FFFFFF"/>
            <w:noWrap/>
            <w:vAlign w:val="center"/>
            <w:hideMark/>
          </w:tcPr>
          <w:p w14:paraId="2027F1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776FA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6A7643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60DDDA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(12</w:t>
            </w:r>
          </w:p>
        </w:tc>
        <w:tc>
          <w:tcPr>
            <w:tcW w:w="0" w:type="auto"/>
            <w:shd w:val="clear" w:color="auto" w:fill="FFFFFF"/>
            <w:noWrap/>
            <w:vAlign w:val="center"/>
            <w:hideMark/>
          </w:tcPr>
          <w:p w14:paraId="6CFDC2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bl>
    <w:p w14:paraId="058C3E2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1"/>
          <w:szCs w:val="11"/>
          <w:vertAlign w:val="superscript"/>
        </w:rPr>
        <w:t xml:space="preserve">1) </w:t>
      </w:r>
      <w:r w:rsidRPr="004B2A77">
        <w:rPr>
          <w:rFonts w:ascii="Arial" w:eastAsia="宋体" w:hAnsi="Arial" w:cs="Arial"/>
          <w:color w:val="000000"/>
          <w:kern w:val="0"/>
          <w:sz w:val="16"/>
          <w:szCs w:val="16"/>
        </w:rPr>
        <w:t>Assuming dilution and net of treasury shares.</w:t>
      </w:r>
    </w:p>
    <w:p w14:paraId="7039FA2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1"/>
          <w:szCs w:val="11"/>
          <w:vertAlign w:val="superscript"/>
        </w:rPr>
        <w:t xml:space="preserve">2) </w:t>
      </w:r>
      <w:r w:rsidRPr="004B2A77">
        <w:rPr>
          <w:rFonts w:ascii="Arial" w:eastAsia="宋体" w:hAnsi="Arial" w:cs="Arial"/>
          <w:color w:val="000000"/>
          <w:kern w:val="0"/>
          <w:sz w:val="16"/>
          <w:szCs w:val="16"/>
        </w:rPr>
        <w:t>Participating share awards with right to receive dividend equivalents are (under the two-class method) excluded from the EPS calculation.</w:t>
      </w:r>
    </w:p>
    <w:p w14:paraId="7B3E475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1"/>
          <w:szCs w:val="11"/>
          <w:vertAlign w:val="superscript"/>
        </w:rPr>
        <w:t>3)</w:t>
      </w:r>
      <w:r w:rsidRPr="004B2A77">
        <w:rPr>
          <w:rFonts w:ascii="Arial" w:eastAsia="宋体" w:hAnsi="Arial" w:cs="Arial"/>
          <w:color w:val="000000"/>
          <w:kern w:val="0"/>
          <w:sz w:val="16"/>
          <w:szCs w:val="16"/>
        </w:rPr>
        <w:t xml:space="preserve"> Non-U.S. GAAP Measure.</w:t>
      </w:r>
    </w:p>
    <w:p w14:paraId="1F42BB3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Gross Profit</w:t>
      </w:r>
    </w:p>
    <w:p w14:paraId="5E1580F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2022, Gross profit decreased by $115 million and the gross margin decreased by 2.6 pp compared to 2021. The gross profit decrease was primarily driven by adverse effects from higher costs for raw material and premium freight and adverse currency translation effects, partly offset by price increases.</w:t>
      </w:r>
    </w:p>
    <w:p w14:paraId="7A00E52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Operating Income</w:t>
      </w:r>
    </w:p>
    <w:p w14:paraId="0F642B8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Operating income decreased in 2022 by $16 million, mainly as a consequence of lower gross profit, partly offset by improved Other income (expense).</w:t>
      </w:r>
    </w:p>
    <w:p w14:paraId="10E7184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Selling, General and Administrative (S,G&amp;A) expenses increased in 2022 by $5 million, or by 1.2%, mainly relating to investments in personnel and IT and improvement projects, partly offset by positive currency translation effects. </w:t>
      </w:r>
    </w:p>
    <w:p w14:paraId="0C9B897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Research, Development &amp; Engineering (R,D&amp;E) expenses, net decreased in 2022 by $1 million, or by 0.1%. In relation to sales, R,D&amp;E costs declined from 4.7% to 4.4%. </w:t>
      </w:r>
    </w:p>
    <w:p w14:paraId="45F5E8C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Other income (expense), net decreased by $96 million in 2022 compared to the previous year, mainly due to around $80 million gain from the sale of a property in Japan and around $20 million from a patent </w:t>
      </w:r>
      <w:r w:rsidRPr="004B2A77">
        <w:rPr>
          <w:rFonts w:ascii="Arial" w:eastAsia="宋体" w:hAnsi="Arial" w:cs="Arial"/>
          <w:color w:val="000000"/>
          <w:kern w:val="0"/>
          <w:sz w:val="18"/>
          <w:szCs w:val="18"/>
        </w:rPr>
        <w:lastRenderedPageBreak/>
        <w:t>litigation settlement partly offset by around $10 million in capacity alignment provision for the closure of a plant in South Korea.</w:t>
      </w:r>
    </w:p>
    <w:p w14:paraId="05F11EB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smallCaps/>
          <w:color w:val="000000"/>
          <w:kern w:val="0"/>
          <w:sz w:val="18"/>
          <w:szCs w:val="18"/>
        </w:rPr>
        <w:t>F</w:t>
      </w:r>
      <w:r w:rsidRPr="004B2A77">
        <w:rPr>
          <w:rFonts w:ascii="Arial" w:eastAsia="宋体" w:hAnsi="Arial" w:cs="Arial"/>
          <w:b/>
          <w:bCs/>
          <w:color w:val="000000"/>
          <w:kern w:val="0"/>
          <w:sz w:val="18"/>
          <w:szCs w:val="18"/>
        </w:rPr>
        <w:t>inancial and Non-operating Items, net</w:t>
      </w:r>
    </w:p>
    <w:p w14:paraId="0E346AA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Financial and non-operating items, net, costs increased by $5 million in 2022 compared to previous year, mainly due to lower interest net and improved other non-operating items, net.</w:t>
      </w:r>
    </w:p>
    <w:p w14:paraId="0BECABD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Income Taxes</w:t>
      </w:r>
    </w:p>
    <w:p w14:paraId="118A084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tax rate for 2022 was 29.5%, compared to 28.9% in 2021, mainly due to unfavorable country mix. In addition, discrete tax items, net, decreased the tax rate this year by 2.5pp. Discrete tax items, net increased the tax rate last year by 0.6pp.</w:t>
      </w:r>
    </w:p>
    <w:p w14:paraId="776CD1E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Net Income and Earnings Per Share</w:t>
      </w:r>
    </w:p>
    <w:p w14:paraId="24BD6EA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Net income in 2022 decreased by $12 million compared to 2021. </w:t>
      </w:r>
    </w:p>
    <w:p w14:paraId="124AA72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Earnings per share, diluted decreased by $0.11 compared to a year earlier, where the main driver was $0.19 from lower operating income, partly mitigated by $0.04 from financial items.</w:t>
      </w:r>
    </w:p>
    <w:p w14:paraId="54FB5CA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weighted average number of shares outstanding assuming dilution in 2022 was 87.2 million compared to 87.7 million in 2021.</w:t>
      </w:r>
    </w:p>
    <w:p w14:paraId="4A1D880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37</w:t>
      </w:r>
    </w:p>
    <w:p w14:paraId="69F8FBFD"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BA11E04">
          <v:rect id="_x0000_i1064" style="width:0;height:1.5pt" o:hralign="center" o:hrstd="t" o:hrnoshade="t" o:hr="t" fillcolor="black" stroked="f"/>
        </w:pict>
      </w:r>
    </w:p>
    <w:p w14:paraId="0FE80BA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412D67C"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18"/>
          <w:szCs w:val="18"/>
        </w:rPr>
        <w:t xml:space="preserve">NON-U.S. GAAP PERFORMANCE MEASURES </w:t>
      </w:r>
    </w:p>
    <w:p w14:paraId="71BB395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this annual report, the Company sometimes refers to non-U.S. GAAP measures that the Company and securities analysts use in measuring Autoliv’s performance.</w:t>
      </w:r>
    </w:p>
    <w:p w14:paraId="3692FCA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believes that these measures assist management and investors in analyzing trends in the Company’s business for the reasons given below. Investors should not consider these non-U.S. GAAP measures as substitutes for, but rather as additions to, financial reporting measures prepared in accordance with U.S. GAAP.</w:t>
      </w:r>
    </w:p>
    <w:p w14:paraId="3FF40BF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These non-U.S. GAAP measures have been identified, as applicable, in each section of this annual report with tabular presentations provided below, reconciling them to U.S. GAAP.</w:t>
      </w:r>
    </w:p>
    <w:p w14:paraId="107B75B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It should be noted that these measures, as defined, may not be comparable to similarly titled measures used by other companies.</w:t>
      </w:r>
    </w:p>
    <w:p w14:paraId="6B5EF04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Organic Sales</w:t>
      </w:r>
    </w:p>
    <w:p w14:paraId="343499A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analyzes its sales trends and performance as changes in “organic sales growth” or “organic sales decline”, because the Company currently generates approximately three quarters of net sales in currencies other than the reporting currency (i.e. U.S. dollars) and currency rates have proven to be rather volatile. Organic sales present the increase or decrease in the overall U.S. dollar net sales on a </w:t>
      </w:r>
      <w:r w:rsidRPr="004B2A77">
        <w:rPr>
          <w:rFonts w:ascii="Arial" w:eastAsia="宋体" w:hAnsi="Arial" w:cs="Arial"/>
          <w:color w:val="000000"/>
          <w:kern w:val="0"/>
          <w:sz w:val="18"/>
          <w:szCs w:val="18"/>
        </w:rPr>
        <w:lastRenderedPageBreak/>
        <w:t>comparable basis, allowing separate discussions of the impact of acquisitions/divestitures and exchange rates.</w:t>
      </w:r>
    </w:p>
    <w:p w14:paraId="60F6740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tabular reconciliations above, that present changes in “organic sales growth” as reconciled to the change in total U.S. GAAP net sales.</w:t>
      </w:r>
    </w:p>
    <w:p w14:paraId="69CF0A4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Trade working capital</w:t>
      </w:r>
    </w:p>
    <w:p w14:paraId="46C989A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Due to the need to optimize cash generation to create value for the Company's shareholders, management focuses on operationally derived trade working capital as defined in the table below.</w:t>
      </w:r>
    </w:p>
    <w:p w14:paraId="3CB19E6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reconciling items used to derive this measure are, by contrast, managed as part of the Company's overall management of cash and debt, but they are not part of the responsibilities of day-to-day operations management.</w:t>
      </w:r>
    </w:p>
    <w:p w14:paraId="0517E3F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Reconciliation of U.S. GAAP measure to “Trade working capital” (dollars in millions)</w:t>
      </w:r>
    </w:p>
    <w:p w14:paraId="009133D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5034"/>
        <w:gridCol w:w="395"/>
        <w:gridCol w:w="233"/>
        <w:gridCol w:w="1922"/>
        <w:gridCol w:w="233"/>
        <w:gridCol w:w="394"/>
        <w:gridCol w:w="233"/>
        <w:gridCol w:w="1922"/>
        <w:gridCol w:w="248"/>
      </w:tblGrid>
      <w:tr w:rsidR="004B2A77" w:rsidRPr="004B2A77" w14:paraId="037FB45E" w14:textId="77777777" w:rsidTr="004B2A77">
        <w:trPr>
          <w:tblCellSpacing w:w="15" w:type="dxa"/>
        </w:trPr>
        <w:tc>
          <w:tcPr>
            <w:tcW w:w="15015" w:type="dxa"/>
            <w:vAlign w:val="center"/>
            <w:hideMark/>
          </w:tcPr>
          <w:p w14:paraId="5D7E0F3A"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66" w:type="dxa"/>
            <w:vAlign w:val="center"/>
            <w:hideMark/>
          </w:tcPr>
          <w:p w14:paraId="481AFB4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4E27154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94" w:type="dxa"/>
            <w:vAlign w:val="center"/>
            <w:hideMark/>
          </w:tcPr>
          <w:p w14:paraId="4C693FD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7CC38B5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64" w:type="dxa"/>
            <w:vAlign w:val="center"/>
            <w:hideMark/>
          </w:tcPr>
          <w:p w14:paraId="74C4D60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3E53B38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94" w:type="dxa"/>
            <w:vAlign w:val="center"/>
            <w:hideMark/>
          </w:tcPr>
          <w:p w14:paraId="2C1ABB3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188D659B"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2AABE9C" w14:textId="77777777" w:rsidTr="004B2A77">
        <w:trPr>
          <w:trHeight w:val="160"/>
          <w:tblCellSpacing w:w="15" w:type="dxa"/>
        </w:trPr>
        <w:tc>
          <w:tcPr>
            <w:tcW w:w="0" w:type="auto"/>
            <w:shd w:val="clear" w:color="auto" w:fill="FFFFFF"/>
            <w:vAlign w:val="bottom"/>
            <w:hideMark/>
          </w:tcPr>
          <w:p w14:paraId="55373172"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DECEMBER 31</w:t>
            </w:r>
          </w:p>
        </w:tc>
        <w:tc>
          <w:tcPr>
            <w:tcW w:w="0" w:type="auto"/>
            <w:shd w:val="clear" w:color="auto" w:fill="FFFFFF"/>
            <w:vAlign w:val="bottom"/>
            <w:hideMark/>
          </w:tcPr>
          <w:p w14:paraId="4170BE3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1D3D97E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5EFA1A1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BC6D62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5612065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0C8AC4C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7C4C177A" w14:textId="77777777" w:rsidTr="004B2A77">
        <w:trPr>
          <w:trHeight w:val="180"/>
          <w:tblCellSpacing w:w="15" w:type="dxa"/>
        </w:trPr>
        <w:tc>
          <w:tcPr>
            <w:tcW w:w="0" w:type="auto"/>
            <w:shd w:val="clear" w:color="auto" w:fill="CFF0FC"/>
            <w:hideMark/>
          </w:tcPr>
          <w:p w14:paraId="2B5F3D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Receivables, net</w:t>
            </w:r>
          </w:p>
        </w:tc>
        <w:tc>
          <w:tcPr>
            <w:tcW w:w="0" w:type="auto"/>
            <w:shd w:val="clear" w:color="auto" w:fill="CFF0FC"/>
            <w:vAlign w:val="bottom"/>
            <w:hideMark/>
          </w:tcPr>
          <w:p w14:paraId="7FD058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6CE9C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F613EA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1,907</w:t>
            </w:r>
          </w:p>
        </w:tc>
        <w:tc>
          <w:tcPr>
            <w:tcW w:w="0" w:type="auto"/>
            <w:shd w:val="clear" w:color="auto" w:fill="CFF0FC"/>
            <w:noWrap/>
            <w:vAlign w:val="bottom"/>
            <w:hideMark/>
          </w:tcPr>
          <w:p w14:paraId="00AD8E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D3016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8E349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277AC9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1,699</w:t>
            </w:r>
          </w:p>
        </w:tc>
        <w:tc>
          <w:tcPr>
            <w:tcW w:w="0" w:type="auto"/>
            <w:shd w:val="clear" w:color="auto" w:fill="CFF0FC"/>
            <w:noWrap/>
            <w:vAlign w:val="bottom"/>
            <w:hideMark/>
          </w:tcPr>
          <w:p w14:paraId="64250C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007D444" w14:textId="77777777" w:rsidTr="004B2A77">
        <w:trPr>
          <w:trHeight w:val="180"/>
          <w:tblCellSpacing w:w="15" w:type="dxa"/>
        </w:trPr>
        <w:tc>
          <w:tcPr>
            <w:tcW w:w="0" w:type="auto"/>
            <w:shd w:val="clear" w:color="auto" w:fill="FFFFFF"/>
            <w:hideMark/>
          </w:tcPr>
          <w:p w14:paraId="0E2D8B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Inventories, net</w:t>
            </w:r>
          </w:p>
        </w:tc>
        <w:tc>
          <w:tcPr>
            <w:tcW w:w="0" w:type="auto"/>
            <w:shd w:val="clear" w:color="auto" w:fill="FFFFFF"/>
            <w:vAlign w:val="bottom"/>
            <w:hideMark/>
          </w:tcPr>
          <w:p w14:paraId="044C67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218D7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E205FE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969</w:t>
            </w:r>
          </w:p>
        </w:tc>
        <w:tc>
          <w:tcPr>
            <w:tcW w:w="0" w:type="auto"/>
            <w:shd w:val="clear" w:color="auto" w:fill="FFFFFF"/>
            <w:noWrap/>
            <w:vAlign w:val="bottom"/>
            <w:hideMark/>
          </w:tcPr>
          <w:p w14:paraId="0B0C4C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1CEA0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EFCEC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81799E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777</w:t>
            </w:r>
          </w:p>
        </w:tc>
        <w:tc>
          <w:tcPr>
            <w:tcW w:w="0" w:type="auto"/>
            <w:shd w:val="clear" w:color="auto" w:fill="FFFFFF"/>
            <w:noWrap/>
            <w:vAlign w:val="bottom"/>
            <w:hideMark/>
          </w:tcPr>
          <w:p w14:paraId="6C77EE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2EEFB02" w14:textId="77777777" w:rsidTr="004B2A77">
        <w:trPr>
          <w:trHeight w:val="180"/>
          <w:tblCellSpacing w:w="15" w:type="dxa"/>
        </w:trPr>
        <w:tc>
          <w:tcPr>
            <w:tcW w:w="0" w:type="auto"/>
            <w:shd w:val="clear" w:color="auto" w:fill="CFF0FC"/>
            <w:hideMark/>
          </w:tcPr>
          <w:p w14:paraId="576719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Accounts payable</w:t>
            </w:r>
          </w:p>
        </w:tc>
        <w:tc>
          <w:tcPr>
            <w:tcW w:w="0" w:type="auto"/>
            <w:shd w:val="clear" w:color="auto" w:fill="CFF0FC"/>
            <w:vAlign w:val="bottom"/>
            <w:hideMark/>
          </w:tcPr>
          <w:p w14:paraId="2943A9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23CC27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A0B398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(1,693</w:t>
            </w:r>
          </w:p>
        </w:tc>
        <w:tc>
          <w:tcPr>
            <w:tcW w:w="0" w:type="auto"/>
            <w:shd w:val="clear" w:color="auto" w:fill="CFF0FC"/>
            <w:noWrap/>
            <w:vAlign w:val="bottom"/>
            <w:hideMark/>
          </w:tcPr>
          <w:p w14:paraId="4BAA40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D7222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E977A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43288B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(1,144</w:t>
            </w:r>
          </w:p>
        </w:tc>
        <w:tc>
          <w:tcPr>
            <w:tcW w:w="0" w:type="auto"/>
            <w:shd w:val="clear" w:color="auto" w:fill="CFF0FC"/>
            <w:noWrap/>
            <w:vAlign w:val="bottom"/>
            <w:hideMark/>
          </w:tcPr>
          <w:p w14:paraId="71B474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610B448" w14:textId="77777777" w:rsidTr="004B2A77">
        <w:trPr>
          <w:trHeight w:val="180"/>
          <w:tblCellSpacing w:w="15" w:type="dxa"/>
        </w:trPr>
        <w:tc>
          <w:tcPr>
            <w:tcW w:w="0" w:type="auto"/>
            <w:shd w:val="clear" w:color="auto" w:fill="FFFFFF"/>
            <w:hideMark/>
          </w:tcPr>
          <w:p w14:paraId="152043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Trade working capital</w:t>
            </w:r>
          </w:p>
        </w:tc>
        <w:tc>
          <w:tcPr>
            <w:tcW w:w="0" w:type="auto"/>
            <w:shd w:val="clear" w:color="auto" w:fill="FFFFFF"/>
            <w:vAlign w:val="bottom"/>
            <w:hideMark/>
          </w:tcPr>
          <w:p w14:paraId="11D90B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EA92A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4AD13F9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1,183</w:t>
            </w:r>
          </w:p>
        </w:tc>
        <w:tc>
          <w:tcPr>
            <w:tcW w:w="0" w:type="auto"/>
            <w:shd w:val="clear" w:color="auto" w:fill="FFFFFF"/>
            <w:noWrap/>
            <w:vAlign w:val="bottom"/>
            <w:hideMark/>
          </w:tcPr>
          <w:p w14:paraId="5880F5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669FA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AB50E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5F0B877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1,332</w:t>
            </w:r>
          </w:p>
        </w:tc>
        <w:tc>
          <w:tcPr>
            <w:tcW w:w="0" w:type="auto"/>
            <w:shd w:val="clear" w:color="auto" w:fill="FFFFFF"/>
            <w:noWrap/>
            <w:vAlign w:val="bottom"/>
            <w:hideMark/>
          </w:tcPr>
          <w:p w14:paraId="585814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09E0F8D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Net debt</w:t>
      </w:r>
    </w:p>
    <w:p w14:paraId="16B7ED6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part of efficiently managing the Company’s overall cost of funds, the Company routinely enter into “debt-related derivatives” (DRD) as part of its debt management.</w:t>
      </w:r>
    </w:p>
    <w:p w14:paraId="291C892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Creditors and credit rating agencies use net debt adjusted for DRD in their analyses of the Company’s debt and therefore the Company provides this non-U.S. GAAP measure. See reconciliation table below. DRD are fair value adjustments to the carrying value of the underlying debt. Also included in the DRD is the unamortized fair value adjustment related to discontinued fair value hedges, which will be amortized over the remaining life of the debt. By adjusting for DRD, the total financial liability of net debt is disclosed without grossing debt up with currency or interest fair values.</w:t>
      </w:r>
    </w:p>
    <w:p w14:paraId="46C7529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Reconciliation of U.S. GAAP measure to “Net debt” (dollars in millions)</w:t>
      </w:r>
    </w:p>
    <w:p w14:paraId="67B97E5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433"/>
        <w:gridCol w:w="509"/>
        <w:gridCol w:w="233"/>
        <w:gridCol w:w="2608"/>
        <w:gridCol w:w="233"/>
        <w:gridCol w:w="509"/>
        <w:gridCol w:w="233"/>
        <w:gridCol w:w="2608"/>
        <w:gridCol w:w="248"/>
      </w:tblGrid>
      <w:tr w:rsidR="004B2A77" w:rsidRPr="004B2A77" w14:paraId="590BE192" w14:textId="77777777" w:rsidTr="004B2A77">
        <w:trPr>
          <w:tblCellSpacing w:w="15" w:type="dxa"/>
        </w:trPr>
        <w:tc>
          <w:tcPr>
            <w:tcW w:w="13408" w:type="dxa"/>
            <w:vAlign w:val="center"/>
            <w:hideMark/>
          </w:tcPr>
          <w:p w14:paraId="5230D4FA"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480" w:type="dxa"/>
            <w:vAlign w:val="center"/>
            <w:hideMark/>
          </w:tcPr>
          <w:p w14:paraId="366760F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36FF13D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82" w:type="dxa"/>
            <w:vAlign w:val="center"/>
            <w:hideMark/>
          </w:tcPr>
          <w:p w14:paraId="72A9A0A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70844C2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80" w:type="dxa"/>
            <w:vAlign w:val="center"/>
            <w:hideMark/>
          </w:tcPr>
          <w:p w14:paraId="1E6A643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72924E3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82" w:type="dxa"/>
            <w:vAlign w:val="center"/>
            <w:hideMark/>
          </w:tcPr>
          <w:p w14:paraId="71CE95F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1D5B77B3"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9DD8005" w14:textId="77777777" w:rsidTr="004B2A77">
        <w:trPr>
          <w:trHeight w:val="160"/>
          <w:tblCellSpacing w:w="15" w:type="dxa"/>
        </w:trPr>
        <w:tc>
          <w:tcPr>
            <w:tcW w:w="0" w:type="auto"/>
            <w:shd w:val="clear" w:color="auto" w:fill="FFFFFF"/>
            <w:vAlign w:val="bottom"/>
            <w:hideMark/>
          </w:tcPr>
          <w:p w14:paraId="37D98C2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DECEMBER 31</w:t>
            </w:r>
          </w:p>
        </w:tc>
        <w:tc>
          <w:tcPr>
            <w:tcW w:w="0" w:type="auto"/>
            <w:shd w:val="clear" w:color="auto" w:fill="FFFFFF"/>
            <w:vAlign w:val="bottom"/>
            <w:hideMark/>
          </w:tcPr>
          <w:p w14:paraId="2FE3C15D"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F7DE1E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2B5041F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0FEB16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5E7FFF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3052F71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101B48DD" w14:textId="77777777" w:rsidTr="004B2A77">
        <w:trPr>
          <w:trHeight w:val="180"/>
          <w:tblCellSpacing w:w="15" w:type="dxa"/>
        </w:trPr>
        <w:tc>
          <w:tcPr>
            <w:tcW w:w="0" w:type="auto"/>
            <w:shd w:val="clear" w:color="auto" w:fill="CFF0FC"/>
            <w:hideMark/>
          </w:tcPr>
          <w:p w14:paraId="418544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Short-term debt</w:t>
            </w:r>
          </w:p>
        </w:tc>
        <w:tc>
          <w:tcPr>
            <w:tcW w:w="0" w:type="auto"/>
            <w:shd w:val="clear" w:color="auto" w:fill="CFF0FC"/>
            <w:vAlign w:val="bottom"/>
            <w:hideMark/>
          </w:tcPr>
          <w:p w14:paraId="3093EA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59901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9DC72A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711</w:t>
            </w:r>
          </w:p>
        </w:tc>
        <w:tc>
          <w:tcPr>
            <w:tcW w:w="0" w:type="auto"/>
            <w:shd w:val="clear" w:color="auto" w:fill="CFF0FC"/>
            <w:noWrap/>
            <w:vAlign w:val="bottom"/>
            <w:hideMark/>
          </w:tcPr>
          <w:p w14:paraId="29267B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45BF4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6B527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3EA79FE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346</w:t>
            </w:r>
          </w:p>
        </w:tc>
        <w:tc>
          <w:tcPr>
            <w:tcW w:w="0" w:type="auto"/>
            <w:shd w:val="clear" w:color="auto" w:fill="CFF0FC"/>
            <w:noWrap/>
            <w:vAlign w:val="bottom"/>
            <w:hideMark/>
          </w:tcPr>
          <w:p w14:paraId="3FADF8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9B6D027" w14:textId="77777777" w:rsidTr="004B2A77">
        <w:trPr>
          <w:trHeight w:val="180"/>
          <w:tblCellSpacing w:w="15" w:type="dxa"/>
        </w:trPr>
        <w:tc>
          <w:tcPr>
            <w:tcW w:w="0" w:type="auto"/>
            <w:shd w:val="clear" w:color="auto" w:fill="FFFFFF"/>
            <w:hideMark/>
          </w:tcPr>
          <w:p w14:paraId="01C704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Long-term debt</w:t>
            </w:r>
          </w:p>
        </w:tc>
        <w:tc>
          <w:tcPr>
            <w:tcW w:w="0" w:type="auto"/>
            <w:shd w:val="clear" w:color="auto" w:fill="FFFFFF"/>
            <w:vAlign w:val="bottom"/>
            <w:hideMark/>
          </w:tcPr>
          <w:p w14:paraId="4AF80D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292C1C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1C59179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1,054</w:t>
            </w:r>
          </w:p>
        </w:tc>
        <w:tc>
          <w:tcPr>
            <w:tcW w:w="0" w:type="auto"/>
            <w:shd w:val="clear" w:color="auto" w:fill="FFFFFF"/>
            <w:noWrap/>
            <w:vAlign w:val="bottom"/>
            <w:hideMark/>
          </w:tcPr>
          <w:p w14:paraId="20EB14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57DB2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724760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73B021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1,662</w:t>
            </w:r>
          </w:p>
        </w:tc>
        <w:tc>
          <w:tcPr>
            <w:tcW w:w="0" w:type="auto"/>
            <w:shd w:val="clear" w:color="auto" w:fill="FFFFFF"/>
            <w:noWrap/>
            <w:vAlign w:val="bottom"/>
            <w:hideMark/>
          </w:tcPr>
          <w:p w14:paraId="6DCB42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F8E9CB5" w14:textId="77777777" w:rsidTr="004B2A77">
        <w:trPr>
          <w:trHeight w:val="180"/>
          <w:tblCellSpacing w:w="15" w:type="dxa"/>
        </w:trPr>
        <w:tc>
          <w:tcPr>
            <w:tcW w:w="0" w:type="auto"/>
            <w:shd w:val="clear" w:color="auto" w:fill="CFF0FC"/>
            <w:hideMark/>
          </w:tcPr>
          <w:p w14:paraId="655C42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debt</w:t>
            </w:r>
          </w:p>
        </w:tc>
        <w:tc>
          <w:tcPr>
            <w:tcW w:w="0" w:type="auto"/>
            <w:shd w:val="clear" w:color="auto" w:fill="CFF0FC"/>
            <w:vAlign w:val="bottom"/>
            <w:hideMark/>
          </w:tcPr>
          <w:p w14:paraId="1F6897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A9782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163567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1,766</w:t>
            </w:r>
          </w:p>
        </w:tc>
        <w:tc>
          <w:tcPr>
            <w:tcW w:w="0" w:type="auto"/>
            <w:shd w:val="clear" w:color="auto" w:fill="CFF0FC"/>
            <w:noWrap/>
            <w:vAlign w:val="bottom"/>
            <w:hideMark/>
          </w:tcPr>
          <w:p w14:paraId="0AF85D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53394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6D6FA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065534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2,008</w:t>
            </w:r>
          </w:p>
        </w:tc>
        <w:tc>
          <w:tcPr>
            <w:tcW w:w="0" w:type="auto"/>
            <w:shd w:val="clear" w:color="auto" w:fill="CFF0FC"/>
            <w:noWrap/>
            <w:vAlign w:val="bottom"/>
            <w:hideMark/>
          </w:tcPr>
          <w:p w14:paraId="1A399ED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622E320" w14:textId="77777777" w:rsidTr="004B2A77">
        <w:trPr>
          <w:trHeight w:val="180"/>
          <w:tblCellSpacing w:w="15" w:type="dxa"/>
        </w:trPr>
        <w:tc>
          <w:tcPr>
            <w:tcW w:w="0" w:type="auto"/>
            <w:shd w:val="clear" w:color="auto" w:fill="FFFFFF"/>
            <w:hideMark/>
          </w:tcPr>
          <w:p w14:paraId="0D1E8A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Cash and cash equivalents</w:t>
            </w:r>
          </w:p>
        </w:tc>
        <w:tc>
          <w:tcPr>
            <w:tcW w:w="0" w:type="auto"/>
            <w:shd w:val="clear" w:color="auto" w:fill="FFFFFF"/>
            <w:vAlign w:val="bottom"/>
            <w:hideMark/>
          </w:tcPr>
          <w:p w14:paraId="67C717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BE8F2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299FF9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(594</w:t>
            </w:r>
          </w:p>
        </w:tc>
        <w:tc>
          <w:tcPr>
            <w:tcW w:w="0" w:type="auto"/>
            <w:shd w:val="clear" w:color="auto" w:fill="FFFFFF"/>
            <w:noWrap/>
            <w:vAlign w:val="bottom"/>
            <w:hideMark/>
          </w:tcPr>
          <w:p w14:paraId="38EEFF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3D81A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48E3D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FD0DF2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(969</w:t>
            </w:r>
          </w:p>
        </w:tc>
        <w:tc>
          <w:tcPr>
            <w:tcW w:w="0" w:type="auto"/>
            <w:shd w:val="clear" w:color="auto" w:fill="FFFFFF"/>
            <w:noWrap/>
            <w:vAlign w:val="bottom"/>
            <w:hideMark/>
          </w:tcPr>
          <w:p w14:paraId="3B0E7E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AD25AF8" w14:textId="77777777" w:rsidTr="004B2A77">
        <w:trPr>
          <w:trHeight w:val="180"/>
          <w:tblCellSpacing w:w="15" w:type="dxa"/>
        </w:trPr>
        <w:tc>
          <w:tcPr>
            <w:tcW w:w="0" w:type="auto"/>
            <w:shd w:val="clear" w:color="auto" w:fill="CFF0FC"/>
            <w:hideMark/>
          </w:tcPr>
          <w:p w14:paraId="737010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Debt issuance cost/Debt-related derivatives, net</w:t>
            </w:r>
          </w:p>
        </w:tc>
        <w:tc>
          <w:tcPr>
            <w:tcW w:w="0" w:type="auto"/>
            <w:shd w:val="clear" w:color="auto" w:fill="CFF0FC"/>
            <w:vAlign w:val="bottom"/>
            <w:hideMark/>
          </w:tcPr>
          <w:p w14:paraId="2D4906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59278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F16B2C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12</w:t>
            </w:r>
          </w:p>
        </w:tc>
        <w:tc>
          <w:tcPr>
            <w:tcW w:w="0" w:type="auto"/>
            <w:shd w:val="clear" w:color="auto" w:fill="CFF0FC"/>
            <w:noWrap/>
            <w:vAlign w:val="bottom"/>
            <w:hideMark/>
          </w:tcPr>
          <w:p w14:paraId="64D51F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F1E06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1DF37F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17325D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w:t>
            </w:r>
          </w:p>
        </w:tc>
        <w:tc>
          <w:tcPr>
            <w:tcW w:w="0" w:type="auto"/>
            <w:shd w:val="clear" w:color="auto" w:fill="CFF0FC"/>
            <w:noWrap/>
            <w:vAlign w:val="bottom"/>
            <w:hideMark/>
          </w:tcPr>
          <w:p w14:paraId="597F7C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02C79C8" w14:textId="77777777" w:rsidTr="004B2A77">
        <w:trPr>
          <w:trHeight w:val="180"/>
          <w:tblCellSpacing w:w="15" w:type="dxa"/>
        </w:trPr>
        <w:tc>
          <w:tcPr>
            <w:tcW w:w="0" w:type="auto"/>
            <w:shd w:val="clear" w:color="auto" w:fill="FFFFFF"/>
            <w:hideMark/>
          </w:tcPr>
          <w:p w14:paraId="42F8A0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Net debt</w:t>
            </w:r>
          </w:p>
        </w:tc>
        <w:tc>
          <w:tcPr>
            <w:tcW w:w="0" w:type="auto"/>
            <w:shd w:val="clear" w:color="auto" w:fill="FFFFFF"/>
            <w:vAlign w:val="bottom"/>
            <w:hideMark/>
          </w:tcPr>
          <w:p w14:paraId="573248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F138B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6BE6E74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1,184</w:t>
            </w:r>
          </w:p>
        </w:tc>
        <w:tc>
          <w:tcPr>
            <w:tcW w:w="0" w:type="auto"/>
            <w:shd w:val="clear" w:color="auto" w:fill="FFFFFF"/>
            <w:noWrap/>
            <w:vAlign w:val="bottom"/>
            <w:hideMark/>
          </w:tcPr>
          <w:p w14:paraId="144364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86B28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1EE30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69BF14E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1,052</w:t>
            </w:r>
          </w:p>
        </w:tc>
        <w:tc>
          <w:tcPr>
            <w:tcW w:w="0" w:type="auto"/>
            <w:shd w:val="clear" w:color="auto" w:fill="FFFFFF"/>
            <w:noWrap/>
            <w:vAlign w:val="bottom"/>
            <w:hideMark/>
          </w:tcPr>
          <w:p w14:paraId="62916D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45489A0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lastRenderedPageBreak/>
        <w:t> </w:t>
      </w:r>
    </w:p>
    <w:p w14:paraId="0D49535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38</w:t>
      </w:r>
    </w:p>
    <w:p w14:paraId="510DED5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F0946A3">
          <v:rect id="_x0000_i1065" style="width:0;height:1.5pt" o:hralign="center" o:hrstd="t" o:hrnoshade="t" o:hr="t" fillcolor="black" stroked="f"/>
        </w:pict>
      </w:r>
    </w:p>
    <w:p w14:paraId="1E57152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DD4086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Adjusted operating income, adjusted operating margin and adjusted EPS</w:t>
      </w:r>
    </w:p>
    <w:p w14:paraId="1A536C4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Adjusted operating margin and adjusted EPS are non-U.S. GAAP measures the Company uses to evaluate its business, because the Company believes it assists investors and analysts in comparing the Company's performance across reporting periods on a consistent basis by excluding items that are non-operational or non-recurring in nature (such as costs related to capacity alignments, costs related to antitrust matters and for EPS unusual tax items) and that the Company does not believe are indicative of its core operating performance and underlying business trends. Adjusted operating margin and adjusted EPS, as shown in the table below, should be considered in addition to, but not as a substitute for, other measures of financial performance reported in accordance with U.S. GAAP, including operating margin and EPS.</w:t>
      </w:r>
    </w:p>
    <w:p w14:paraId="0D6E9CB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203"/>
        <w:gridCol w:w="349"/>
        <w:gridCol w:w="228"/>
        <w:gridCol w:w="1369"/>
        <w:gridCol w:w="228"/>
        <w:gridCol w:w="347"/>
        <w:gridCol w:w="228"/>
        <w:gridCol w:w="1236"/>
        <w:gridCol w:w="228"/>
        <w:gridCol w:w="347"/>
        <w:gridCol w:w="228"/>
        <w:gridCol w:w="1129"/>
        <w:gridCol w:w="228"/>
        <w:gridCol w:w="347"/>
        <w:gridCol w:w="228"/>
        <w:gridCol w:w="1369"/>
        <w:gridCol w:w="228"/>
        <w:gridCol w:w="347"/>
        <w:gridCol w:w="228"/>
        <w:gridCol w:w="1236"/>
        <w:gridCol w:w="228"/>
        <w:gridCol w:w="347"/>
        <w:gridCol w:w="228"/>
        <w:gridCol w:w="1236"/>
        <w:gridCol w:w="244"/>
      </w:tblGrid>
      <w:tr w:rsidR="004B2A77" w:rsidRPr="004B2A77" w14:paraId="46D03ABC" w14:textId="77777777" w:rsidTr="004B2A77">
        <w:trPr>
          <w:tblCellSpacing w:w="15" w:type="dxa"/>
        </w:trPr>
        <w:tc>
          <w:tcPr>
            <w:tcW w:w="8173" w:type="dxa"/>
            <w:vAlign w:val="center"/>
            <w:hideMark/>
          </w:tcPr>
          <w:p w14:paraId="677FE589"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20" w:type="dxa"/>
            <w:vAlign w:val="center"/>
            <w:hideMark/>
          </w:tcPr>
          <w:p w14:paraId="3095A1A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7768025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41" w:type="dxa"/>
            <w:vAlign w:val="center"/>
            <w:hideMark/>
          </w:tcPr>
          <w:p w14:paraId="6C2EF9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6121F18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8" w:type="dxa"/>
            <w:vAlign w:val="center"/>
            <w:hideMark/>
          </w:tcPr>
          <w:p w14:paraId="6E3C9D0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26617B4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8" w:type="dxa"/>
            <w:vAlign w:val="center"/>
            <w:hideMark/>
          </w:tcPr>
          <w:p w14:paraId="04C302F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4855DC6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8" w:type="dxa"/>
            <w:vAlign w:val="center"/>
            <w:hideMark/>
          </w:tcPr>
          <w:p w14:paraId="20F636D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20A37A0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100" w:type="dxa"/>
            <w:vAlign w:val="center"/>
            <w:hideMark/>
          </w:tcPr>
          <w:p w14:paraId="3A8D2BC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54D5EF0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8" w:type="dxa"/>
            <w:vAlign w:val="center"/>
            <w:hideMark/>
          </w:tcPr>
          <w:p w14:paraId="2E3EAE3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35AD437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41" w:type="dxa"/>
            <w:vAlign w:val="center"/>
            <w:hideMark/>
          </w:tcPr>
          <w:p w14:paraId="53016EB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7901377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8" w:type="dxa"/>
            <w:vAlign w:val="center"/>
            <w:hideMark/>
          </w:tcPr>
          <w:p w14:paraId="3EB90FD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5CA2907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8" w:type="dxa"/>
            <w:vAlign w:val="center"/>
            <w:hideMark/>
          </w:tcPr>
          <w:p w14:paraId="638BFBE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0C4B468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8" w:type="dxa"/>
            <w:vAlign w:val="center"/>
            <w:hideMark/>
          </w:tcPr>
          <w:p w14:paraId="3EDE583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8" w:type="dxa"/>
            <w:vAlign w:val="center"/>
            <w:hideMark/>
          </w:tcPr>
          <w:p w14:paraId="72EA999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8" w:type="dxa"/>
            <w:vAlign w:val="center"/>
            <w:hideMark/>
          </w:tcPr>
          <w:p w14:paraId="2D12C90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9" w:type="dxa"/>
            <w:vAlign w:val="center"/>
            <w:hideMark/>
          </w:tcPr>
          <w:p w14:paraId="44B74B4A"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81EAEF9" w14:textId="77777777" w:rsidTr="004B2A77">
        <w:trPr>
          <w:trHeight w:val="180"/>
          <w:tblCellSpacing w:w="15" w:type="dxa"/>
        </w:trPr>
        <w:tc>
          <w:tcPr>
            <w:tcW w:w="0" w:type="auto"/>
            <w:shd w:val="clear" w:color="auto" w:fill="FFFFFF"/>
            <w:vAlign w:val="bottom"/>
            <w:hideMark/>
          </w:tcPr>
          <w:p w14:paraId="3D6A2A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Items affecting comparability</w:t>
            </w:r>
          </w:p>
        </w:tc>
        <w:tc>
          <w:tcPr>
            <w:tcW w:w="0" w:type="auto"/>
            <w:shd w:val="clear" w:color="auto" w:fill="FFFFFF"/>
            <w:vAlign w:val="bottom"/>
            <w:hideMark/>
          </w:tcPr>
          <w:p w14:paraId="2CFB680F"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43D3C005"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2D7A5EFA"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4A9A6A85"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20F55805"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7F3E7A46"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1AE5D40E"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7E04E40A"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1CAD545D"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408A29A9"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0F6D02E0"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41413FB"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714F5E65"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0CE53D35"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5169DF1D"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5A1329A"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741F1A54"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842074B"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r>
      <w:tr w:rsidR="004B2A77" w:rsidRPr="004B2A77" w14:paraId="0421A97E" w14:textId="77777777" w:rsidTr="004B2A77">
        <w:trPr>
          <w:trHeight w:val="160"/>
          <w:tblCellSpacing w:w="15" w:type="dxa"/>
        </w:trPr>
        <w:tc>
          <w:tcPr>
            <w:tcW w:w="0" w:type="auto"/>
            <w:shd w:val="clear" w:color="auto" w:fill="FFFFFF"/>
            <w:vAlign w:val="bottom"/>
            <w:hideMark/>
          </w:tcPr>
          <w:p w14:paraId="5C2B616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7453358"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10"/>
            <w:tcBorders>
              <w:bottom w:val="single" w:sz="4" w:space="0" w:color="000000"/>
            </w:tcBorders>
            <w:shd w:val="clear" w:color="auto" w:fill="FFFFFF"/>
            <w:vAlign w:val="bottom"/>
            <w:hideMark/>
          </w:tcPr>
          <w:p w14:paraId="04CF78E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265E302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6691F49"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10"/>
            <w:tcBorders>
              <w:bottom w:val="single" w:sz="4" w:space="0" w:color="000000"/>
            </w:tcBorders>
            <w:shd w:val="clear" w:color="auto" w:fill="FFFFFF"/>
            <w:vAlign w:val="bottom"/>
            <w:hideMark/>
          </w:tcPr>
          <w:p w14:paraId="09E1D6F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380071F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41FA95F1" w14:textId="77777777" w:rsidTr="004B2A77">
        <w:trPr>
          <w:trHeight w:val="160"/>
          <w:tblCellSpacing w:w="15" w:type="dxa"/>
        </w:trPr>
        <w:tc>
          <w:tcPr>
            <w:tcW w:w="0" w:type="auto"/>
            <w:shd w:val="clear" w:color="auto" w:fill="FFFFFF"/>
            <w:vAlign w:val="bottom"/>
            <w:hideMark/>
          </w:tcPr>
          <w:p w14:paraId="1A6FEB3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(DOLLARS IN MILLIONS, EXCEPT EPS)</w:t>
            </w:r>
          </w:p>
        </w:tc>
        <w:tc>
          <w:tcPr>
            <w:tcW w:w="0" w:type="auto"/>
            <w:shd w:val="clear" w:color="auto" w:fill="FFFFFF"/>
            <w:vAlign w:val="bottom"/>
            <w:hideMark/>
          </w:tcPr>
          <w:p w14:paraId="529E74EA"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23F8251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Reported</w:t>
            </w:r>
          </w:p>
        </w:tc>
        <w:tc>
          <w:tcPr>
            <w:tcW w:w="0" w:type="auto"/>
            <w:shd w:val="clear" w:color="auto" w:fill="FFFFFF"/>
            <w:vAlign w:val="bottom"/>
            <w:hideMark/>
          </w:tcPr>
          <w:p w14:paraId="01B4261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72643C7"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12031A1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Adjust-</w:t>
            </w:r>
            <w:r w:rsidRPr="004B2A77">
              <w:rPr>
                <w:rFonts w:ascii="Arial" w:eastAsia="微软雅黑" w:hAnsi="Arial" w:cs="Arial"/>
                <w:b/>
                <w:bCs/>
                <w:color w:val="000000"/>
                <w:kern w:val="0"/>
                <w:sz w:val="16"/>
                <w:szCs w:val="16"/>
              </w:rPr>
              <w:br/>
              <w:t>ments</w:t>
            </w:r>
            <w:r w:rsidRPr="004B2A77">
              <w:rPr>
                <w:rFonts w:ascii="Arial" w:eastAsia="微软雅黑" w:hAnsi="Arial" w:cs="Arial"/>
                <w:b/>
                <w:bCs/>
                <w:color w:val="000000"/>
                <w:kern w:val="0"/>
                <w:sz w:val="11"/>
                <w:szCs w:val="11"/>
              </w:rPr>
              <w:t>1)</w:t>
            </w:r>
          </w:p>
        </w:tc>
        <w:tc>
          <w:tcPr>
            <w:tcW w:w="0" w:type="auto"/>
            <w:shd w:val="clear" w:color="auto" w:fill="FFFFFF"/>
            <w:vAlign w:val="bottom"/>
            <w:hideMark/>
          </w:tcPr>
          <w:p w14:paraId="1C0BB07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77D276A"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75DB5B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Non-</w:t>
            </w:r>
            <w:r w:rsidRPr="004B2A77">
              <w:rPr>
                <w:rFonts w:ascii="Arial" w:eastAsia="微软雅黑" w:hAnsi="Arial" w:cs="Arial"/>
                <w:b/>
                <w:bCs/>
                <w:color w:val="000000"/>
                <w:kern w:val="0"/>
                <w:sz w:val="16"/>
                <w:szCs w:val="16"/>
              </w:rPr>
              <w:br/>
              <w:t>U.S.</w:t>
            </w:r>
            <w:r w:rsidRPr="004B2A77">
              <w:rPr>
                <w:rFonts w:ascii="Arial" w:eastAsia="微软雅黑" w:hAnsi="Arial" w:cs="Arial"/>
                <w:b/>
                <w:bCs/>
                <w:color w:val="000000"/>
                <w:kern w:val="0"/>
                <w:sz w:val="16"/>
                <w:szCs w:val="16"/>
              </w:rPr>
              <w:br/>
              <w:t>GAAP</w:t>
            </w:r>
          </w:p>
        </w:tc>
        <w:tc>
          <w:tcPr>
            <w:tcW w:w="0" w:type="auto"/>
            <w:shd w:val="clear" w:color="auto" w:fill="FFFFFF"/>
            <w:vAlign w:val="bottom"/>
            <w:hideMark/>
          </w:tcPr>
          <w:p w14:paraId="1112289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0AD132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AC3E21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Reported</w:t>
            </w:r>
          </w:p>
        </w:tc>
        <w:tc>
          <w:tcPr>
            <w:tcW w:w="0" w:type="auto"/>
            <w:shd w:val="clear" w:color="auto" w:fill="FFFFFF"/>
            <w:vAlign w:val="bottom"/>
            <w:hideMark/>
          </w:tcPr>
          <w:p w14:paraId="17C60F1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43D85D7"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74445D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Adjust-</w:t>
            </w:r>
            <w:r w:rsidRPr="004B2A77">
              <w:rPr>
                <w:rFonts w:ascii="Arial" w:eastAsia="微软雅黑" w:hAnsi="Arial" w:cs="Arial"/>
                <w:b/>
                <w:bCs/>
                <w:color w:val="000000"/>
                <w:kern w:val="0"/>
                <w:sz w:val="16"/>
                <w:szCs w:val="16"/>
              </w:rPr>
              <w:br/>
              <w:t>ments</w:t>
            </w:r>
            <w:r w:rsidRPr="004B2A77">
              <w:rPr>
                <w:rFonts w:ascii="Arial" w:eastAsia="微软雅黑" w:hAnsi="Arial" w:cs="Arial"/>
                <w:b/>
                <w:bCs/>
                <w:color w:val="000000"/>
                <w:kern w:val="0"/>
                <w:sz w:val="11"/>
                <w:szCs w:val="11"/>
              </w:rPr>
              <w:t>1)</w:t>
            </w:r>
          </w:p>
        </w:tc>
        <w:tc>
          <w:tcPr>
            <w:tcW w:w="0" w:type="auto"/>
            <w:shd w:val="clear" w:color="auto" w:fill="FFFFFF"/>
            <w:vAlign w:val="bottom"/>
            <w:hideMark/>
          </w:tcPr>
          <w:p w14:paraId="4137F1D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A45345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BF5139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Non-</w:t>
            </w:r>
            <w:r w:rsidRPr="004B2A77">
              <w:rPr>
                <w:rFonts w:ascii="Arial" w:eastAsia="微软雅黑" w:hAnsi="Arial" w:cs="Arial"/>
                <w:b/>
                <w:bCs/>
                <w:color w:val="000000"/>
                <w:kern w:val="0"/>
                <w:sz w:val="16"/>
                <w:szCs w:val="16"/>
              </w:rPr>
              <w:br/>
              <w:t>U.S.</w:t>
            </w:r>
            <w:r w:rsidRPr="004B2A77">
              <w:rPr>
                <w:rFonts w:ascii="Arial" w:eastAsia="微软雅黑" w:hAnsi="Arial" w:cs="Arial"/>
                <w:b/>
                <w:bCs/>
                <w:color w:val="000000"/>
                <w:kern w:val="0"/>
                <w:sz w:val="16"/>
                <w:szCs w:val="16"/>
              </w:rPr>
              <w:br/>
              <w:t>GAAP</w:t>
            </w:r>
          </w:p>
        </w:tc>
        <w:tc>
          <w:tcPr>
            <w:tcW w:w="0" w:type="auto"/>
            <w:shd w:val="clear" w:color="auto" w:fill="FFFFFF"/>
            <w:vAlign w:val="bottom"/>
            <w:hideMark/>
          </w:tcPr>
          <w:p w14:paraId="33FE687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4C9419A5" w14:textId="77777777" w:rsidTr="004B2A77">
        <w:trPr>
          <w:trHeight w:val="180"/>
          <w:tblCellSpacing w:w="15" w:type="dxa"/>
        </w:trPr>
        <w:tc>
          <w:tcPr>
            <w:tcW w:w="0" w:type="auto"/>
            <w:shd w:val="clear" w:color="auto" w:fill="CFF0FC"/>
            <w:hideMark/>
          </w:tcPr>
          <w:p w14:paraId="455709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income</w:t>
            </w:r>
          </w:p>
        </w:tc>
        <w:tc>
          <w:tcPr>
            <w:tcW w:w="0" w:type="auto"/>
            <w:shd w:val="clear" w:color="auto" w:fill="CFF0FC"/>
            <w:vAlign w:val="bottom"/>
            <w:hideMark/>
          </w:tcPr>
          <w:p w14:paraId="3724BE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7BEB2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09D25E6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659</w:t>
            </w:r>
          </w:p>
        </w:tc>
        <w:tc>
          <w:tcPr>
            <w:tcW w:w="0" w:type="auto"/>
            <w:shd w:val="clear" w:color="auto" w:fill="CFF0FC"/>
            <w:noWrap/>
            <w:vAlign w:val="bottom"/>
            <w:hideMark/>
          </w:tcPr>
          <w:p w14:paraId="667D16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7C688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674CC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09CAAB7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w:t>
            </w:r>
          </w:p>
        </w:tc>
        <w:tc>
          <w:tcPr>
            <w:tcW w:w="0" w:type="auto"/>
            <w:shd w:val="clear" w:color="auto" w:fill="CFF0FC"/>
            <w:noWrap/>
            <w:vAlign w:val="bottom"/>
            <w:hideMark/>
          </w:tcPr>
          <w:p w14:paraId="3F203C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2B775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32D1D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4D7F79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598</w:t>
            </w:r>
          </w:p>
        </w:tc>
        <w:tc>
          <w:tcPr>
            <w:tcW w:w="0" w:type="auto"/>
            <w:shd w:val="clear" w:color="auto" w:fill="CFF0FC"/>
            <w:noWrap/>
            <w:vAlign w:val="bottom"/>
            <w:hideMark/>
          </w:tcPr>
          <w:p w14:paraId="7C417C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7599E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427DB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822B36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675</w:t>
            </w:r>
          </w:p>
        </w:tc>
        <w:tc>
          <w:tcPr>
            <w:tcW w:w="0" w:type="auto"/>
            <w:shd w:val="clear" w:color="auto" w:fill="CFF0FC"/>
            <w:noWrap/>
            <w:vAlign w:val="bottom"/>
            <w:hideMark/>
          </w:tcPr>
          <w:p w14:paraId="7648EA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661D4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230D0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35CBBA0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CFF0FC"/>
            <w:noWrap/>
            <w:vAlign w:val="bottom"/>
            <w:hideMark/>
          </w:tcPr>
          <w:p w14:paraId="63ABDB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30FE81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44744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D261CE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683</w:t>
            </w:r>
          </w:p>
        </w:tc>
        <w:tc>
          <w:tcPr>
            <w:tcW w:w="0" w:type="auto"/>
            <w:shd w:val="clear" w:color="auto" w:fill="CFF0FC"/>
            <w:noWrap/>
            <w:vAlign w:val="bottom"/>
            <w:hideMark/>
          </w:tcPr>
          <w:p w14:paraId="1A305E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C925DAC" w14:textId="77777777" w:rsidTr="004B2A77">
        <w:trPr>
          <w:trHeight w:val="180"/>
          <w:tblCellSpacing w:w="15" w:type="dxa"/>
        </w:trPr>
        <w:tc>
          <w:tcPr>
            <w:tcW w:w="0" w:type="auto"/>
            <w:shd w:val="clear" w:color="auto" w:fill="FFFFFF"/>
            <w:hideMark/>
          </w:tcPr>
          <w:p w14:paraId="68A8A6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margin, %</w:t>
            </w:r>
          </w:p>
        </w:tc>
        <w:tc>
          <w:tcPr>
            <w:tcW w:w="0" w:type="auto"/>
            <w:shd w:val="clear" w:color="auto" w:fill="FFFFFF"/>
            <w:vAlign w:val="bottom"/>
            <w:hideMark/>
          </w:tcPr>
          <w:p w14:paraId="2903D6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3477D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8A2C10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7.5</w:t>
            </w:r>
          </w:p>
        </w:tc>
        <w:tc>
          <w:tcPr>
            <w:tcW w:w="0" w:type="auto"/>
            <w:shd w:val="clear" w:color="auto" w:fill="FFFFFF"/>
            <w:noWrap/>
            <w:vAlign w:val="bottom"/>
            <w:hideMark/>
          </w:tcPr>
          <w:p w14:paraId="56D3A6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09AB9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ABDFE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5E6204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(0.7</w:t>
            </w:r>
          </w:p>
        </w:tc>
        <w:tc>
          <w:tcPr>
            <w:tcW w:w="0" w:type="auto"/>
            <w:shd w:val="clear" w:color="auto" w:fill="FFFFFF"/>
            <w:noWrap/>
            <w:vAlign w:val="bottom"/>
            <w:hideMark/>
          </w:tcPr>
          <w:p w14:paraId="6870F0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FCDEF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A5B3C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933661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6.8</w:t>
            </w:r>
          </w:p>
        </w:tc>
        <w:tc>
          <w:tcPr>
            <w:tcW w:w="0" w:type="auto"/>
            <w:shd w:val="clear" w:color="auto" w:fill="FFFFFF"/>
            <w:noWrap/>
            <w:vAlign w:val="bottom"/>
            <w:hideMark/>
          </w:tcPr>
          <w:p w14:paraId="13E0E8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6468C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B7A30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99F4FD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8.2</w:t>
            </w:r>
          </w:p>
        </w:tc>
        <w:tc>
          <w:tcPr>
            <w:tcW w:w="0" w:type="auto"/>
            <w:shd w:val="clear" w:color="auto" w:fill="FFFFFF"/>
            <w:noWrap/>
            <w:vAlign w:val="bottom"/>
            <w:hideMark/>
          </w:tcPr>
          <w:p w14:paraId="5FC680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D40BF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8009C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A846B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0.1</w:t>
            </w:r>
          </w:p>
        </w:tc>
        <w:tc>
          <w:tcPr>
            <w:tcW w:w="0" w:type="auto"/>
            <w:shd w:val="clear" w:color="auto" w:fill="FFFFFF"/>
            <w:noWrap/>
            <w:vAlign w:val="bottom"/>
            <w:hideMark/>
          </w:tcPr>
          <w:p w14:paraId="751935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32FA65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60E57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F32B92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8.3</w:t>
            </w:r>
          </w:p>
        </w:tc>
        <w:tc>
          <w:tcPr>
            <w:tcW w:w="0" w:type="auto"/>
            <w:shd w:val="clear" w:color="auto" w:fill="FFFFFF"/>
            <w:noWrap/>
            <w:vAlign w:val="bottom"/>
            <w:hideMark/>
          </w:tcPr>
          <w:p w14:paraId="37F4FC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5D9F4C7" w14:textId="77777777" w:rsidTr="004B2A77">
        <w:trPr>
          <w:trHeight w:val="180"/>
          <w:tblCellSpacing w:w="15" w:type="dxa"/>
        </w:trPr>
        <w:tc>
          <w:tcPr>
            <w:tcW w:w="0" w:type="auto"/>
            <w:shd w:val="clear" w:color="auto" w:fill="CFF0FC"/>
            <w:hideMark/>
          </w:tcPr>
          <w:p w14:paraId="262061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before income taxes</w:t>
            </w:r>
          </w:p>
        </w:tc>
        <w:tc>
          <w:tcPr>
            <w:tcW w:w="0" w:type="auto"/>
            <w:shd w:val="clear" w:color="auto" w:fill="CFF0FC"/>
            <w:vAlign w:val="bottom"/>
            <w:hideMark/>
          </w:tcPr>
          <w:p w14:paraId="433EF4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141D9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64F4C5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603</w:t>
            </w:r>
          </w:p>
        </w:tc>
        <w:tc>
          <w:tcPr>
            <w:tcW w:w="0" w:type="auto"/>
            <w:shd w:val="clear" w:color="auto" w:fill="CFF0FC"/>
            <w:noWrap/>
            <w:vAlign w:val="bottom"/>
            <w:hideMark/>
          </w:tcPr>
          <w:p w14:paraId="1B2FD4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4FC30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9EEB0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4FC7A8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w:t>
            </w:r>
          </w:p>
        </w:tc>
        <w:tc>
          <w:tcPr>
            <w:tcW w:w="0" w:type="auto"/>
            <w:shd w:val="clear" w:color="auto" w:fill="CFF0FC"/>
            <w:noWrap/>
            <w:vAlign w:val="bottom"/>
            <w:hideMark/>
          </w:tcPr>
          <w:p w14:paraId="24F517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991C6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886BA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3A2B71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542</w:t>
            </w:r>
          </w:p>
        </w:tc>
        <w:tc>
          <w:tcPr>
            <w:tcW w:w="0" w:type="auto"/>
            <w:shd w:val="clear" w:color="auto" w:fill="CFF0FC"/>
            <w:noWrap/>
            <w:vAlign w:val="bottom"/>
            <w:hideMark/>
          </w:tcPr>
          <w:p w14:paraId="145678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44923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4E010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2E9597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614</w:t>
            </w:r>
          </w:p>
        </w:tc>
        <w:tc>
          <w:tcPr>
            <w:tcW w:w="0" w:type="auto"/>
            <w:shd w:val="clear" w:color="auto" w:fill="CFF0FC"/>
            <w:noWrap/>
            <w:vAlign w:val="bottom"/>
            <w:hideMark/>
          </w:tcPr>
          <w:p w14:paraId="7D19A6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2319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98958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526ED7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CFF0FC"/>
            <w:noWrap/>
            <w:vAlign w:val="bottom"/>
            <w:hideMark/>
          </w:tcPr>
          <w:p w14:paraId="31710A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8AAF9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23768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2A2C79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622</w:t>
            </w:r>
          </w:p>
        </w:tc>
        <w:tc>
          <w:tcPr>
            <w:tcW w:w="0" w:type="auto"/>
            <w:shd w:val="clear" w:color="auto" w:fill="CFF0FC"/>
            <w:noWrap/>
            <w:vAlign w:val="bottom"/>
            <w:hideMark/>
          </w:tcPr>
          <w:p w14:paraId="09D044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2F598E6" w14:textId="77777777" w:rsidTr="004B2A77">
        <w:trPr>
          <w:trHeight w:val="180"/>
          <w:tblCellSpacing w:w="15" w:type="dxa"/>
        </w:trPr>
        <w:tc>
          <w:tcPr>
            <w:tcW w:w="0" w:type="auto"/>
            <w:shd w:val="clear" w:color="auto" w:fill="FFFFFF"/>
            <w:hideMark/>
          </w:tcPr>
          <w:p w14:paraId="65903AD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income attributable to controlling interest</w:t>
            </w:r>
          </w:p>
        </w:tc>
        <w:tc>
          <w:tcPr>
            <w:tcW w:w="0" w:type="auto"/>
            <w:shd w:val="clear" w:color="auto" w:fill="FFFFFF"/>
            <w:vAlign w:val="bottom"/>
            <w:hideMark/>
          </w:tcPr>
          <w:p w14:paraId="692E9E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C8D18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BF662A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423</w:t>
            </w:r>
          </w:p>
        </w:tc>
        <w:tc>
          <w:tcPr>
            <w:tcW w:w="0" w:type="auto"/>
            <w:shd w:val="clear" w:color="auto" w:fill="FFFFFF"/>
            <w:noWrap/>
            <w:vAlign w:val="bottom"/>
            <w:hideMark/>
          </w:tcPr>
          <w:p w14:paraId="06347B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678E3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6AB4F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51D680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(39</w:t>
            </w:r>
          </w:p>
        </w:tc>
        <w:tc>
          <w:tcPr>
            <w:tcW w:w="0" w:type="auto"/>
            <w:shd w:val="clear" w:color="auto" w:fill="FFFFFF"/>
            <w:noWrap/>
            <w:vAlign w:val="bottom"/>
            <w:hideMark/>
          </w:tcPr>
          <w:p w14:paraId="042CEB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A48CE5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62090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A64020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384</w:t>
            </w:r>
          </w:p>
        </w:tc>
        <w:tc>
          <w:tcPr>
            <w:tcW w:w="0" w:type="auto"/>
            <w:shd w:val="clear" w:color="auto" w:fill="FFFFFF"/>
            <w:noWrap/>
            <w:vAlign w:val="bottom"/>
            <w:hideMark/>
          </w:tcPr>
          <w:p w14:paraId="39AF8A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E626D2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10170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F37F72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435</w:t>
            </w:r>
          </w:p>
        </w:tc>
        <w:tc>
          <w:tcPr>
            <w:tcW w:w="0" w:type="auto"/>
            <w:shd w:val="clear" w:color="auto" w:fill="FFFFFF"/>
            <w:noWrap/>
            <w:vAlign w:val="bottom"/>
            <w:hideMark/>
          </w:tcPr>
          <w:p w14:paraId="5111B0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EB922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F67F4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21B742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FFFFFF"/>
            <w:noWrap/>
            <w:vAlign w:val="bottom"/>
            <w:hideMark/>
          </w:tcPr>
          <w:p w14:paraId="124378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169DE2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57D99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E6C0BF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440</w:t>
            </w:r>
          </w:p>
        </w:tc>
        <w:tc>
          <w:tcPr>
            <w:tcW w:w="0" w:type="auto"/>
            <w:shd w:val="clear" w:color="auto" w:fill="FFFFFF"/>
            <w:noWrap/>
            <w:vAlign w:val="bottom"/>
            <w:hideMark/>
          </w:tcPr>
          <w:p w14:paraId="621461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B1E5410" w14:textId="77777777" w:rsidTr="004B2A77">
        <w:trPr>
          <w:trHeight w:val="180"/>
          <w:tblCellSpacing w:w="15" w:type="dxa"/>
        </w:trPr>
        <w:tc>
          <w:tcPr>
            <w:tcW w:w="0" w:type="auto"/>
            <w:shd w:val="clear" w:color="auto" w:fill="CFF0FC"/>
            <w:hideMark/>
          </w:tcPr>
          <w:p w14:paraId="62F78D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Capital employed</w:t>
            </w:r>
          </w:p>
        </w:tc>
        <w:tc>
          <w:tcPr>
            <w:tcW w:w="0" w:type="auto"/>
            <w:shd w:val="clear" w:color="auto" w:fill="CFF0FC"/>
            <w:vAlign w:val="bottom"/>
            <w:hideMark/>
          </w:tcPr>
          <w:p w14:paraId="4DF152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E0116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ACCCCE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3,810</w:t>
            </w:r>
          </w:p>
        </w:tc>
        <w:tc>
          <w:tcPr>
            <w:tcW w:w="0" w:type="auto"/>
            <w:shd w:val="clear" w:color="auto" w:fill="CFF0FC"/>
            <w:noWrap/>
            <w:vAlign w:val="bottom"/>
            <w:hideMark/>
          </w:tcPr>
          <w:p w14:paraId="2DDE04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971A7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83CCA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F4410C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(39</w:t>
            </w:r>
          </w:p>
        </w:tc>
        <w:tc>
          <w:tcPr>
            <w:tcW w:w="0" w:type="auto"/>
            <w:shd w:val="clear" w:color="auto" w:fill="CFF0FC"/>
            <w:noWrap/>
            <w:vAlign w:val="bottom"/>
            <w:hideMark/>
          </w:tcPr>
          <w:p w14:paraId="61442C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0F711F3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1C83F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A3BD12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3,771</w:t>
            </w:r>
          </w:p>
        </w:tc>
        <w:tc>
          <w:tcPr>
            <w:tcW w:w="0" w:type="auto"/>
            <w:shd w:val="clear" w:color="auto" w:fill="CFF0FC"/>
            <w:noWrap/>
            <w:vAlign w:val="bottom"/>
            <w:hideMark/>
          </w:tcPr>
          <w:p w14:paraId="63D2B9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634A3D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C7DBB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E9C911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3,700</w:t>
            </w:r>
          </w:p>
        </w:tc>
        <w:tc>
          <w:tcPr>
            <w:tcW w:w="0" w:type="auto"/>
            <w:shd w:val="clear" w:color="auto" w:fill="CFF0FC"/>
            <w:noWrap/>
            <w:vAlign w:val="bottom"/>
            <w:hideMark/>
          </w:tcPr>
          <w:p w14:paraId="27779C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2C5CA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8F716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A25143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CFF0FC"/>
            <w:noWrap/>
            <w:vAlign w:val="bottom"/>
            <w:hideMark/>
          </w:tcPr>
          <w:p w14:paraId="2B8565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781E90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DD68F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B449FA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3,705</w:t>
            </w:r>
          </w:p>
        </w:tc>
        <w:tc>
          <w:tcPr>
            <w:tcW w:w="0" w:type="auto"/>
            <w:shd w:val="clear" w:color="auto" w:fill="CFF0FC"/>
            <w:noWrap/>
            <w:vAlign w:val="bottom"/>
            <w:hideMark/>
          </w:tcPr>
          <w:p w14:paraId="12AD3D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FDF2AEE" w14:textId="77777777" w:rsidTr="004B2A77">
        <w:trPr>
          <w:trHeight w:val="180"/>
          <w:tblCellSpacing w:w="15" w:type="dxa"/>
        </w:trPr>
        <w:tc>
          <w:tcPr>
            <w:tcW w:w="0" w:type="auto"/>
            <w:shd w:val="clear" w:color="auto" w:fill="FFFFFF"/>
            <w:hideMark/>
          </w:tcPr>
          <w:p w14:paraId="758BB2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Return on capital employed, %</w:t>
            </w:r>
            <w:r w:rsidRPr="004B2A77">
              <w:rPr>
                <w:rFonts w:ascii="Arial" w:eastAsia="微软雅黑" w:hAnsi="Arial" w:cs="Arial"/>
                <w:color w:val="000000"/>
                <w:kern w:val="0"/>
                <w:sz w:val="12"/>
                <w:szCs w:val="12"/>
              </w:rPr>
              <w:t> 2)</w:t>
            </w:r>
          </w:p>
        </w:tc>
        <w:tc>
          <w:tcPr>
            <w:tcW w:w="0" w:type="auto"/>
            <w:shd w:val="clear" w:color="auto" w:fill="FFFFFF"/>
            <w:vAlign w:val="bottom"/>
            <w:hideMark/>
          </w:tcPr>
          <w:p w14:paraId="0B4B6C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79FBD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626A74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17.5</w:t>
            </w:r>
          </w:p>
        </w:tc>
        <w:tc>
          <w:tcPr>
            <w:tcW w:w="0" w:type="auto"/>
            <w:shd w:val="clear" w:color="auto" w:fill="FFFFFF"/>
            <w:noWrap/>
            <w:vAlign w:val="bottom"/>
            <w:hideMark/>
          </w:tcPr>
          <w:p w14:paraId="43ECFD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5C331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C47A7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EEC0A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w:t>
            </w:r>
          </w:p>
        </w:tc>
        <w:tc>
          <w:tcPr>
            <w:tcW w:w="0" w:type="auto"/>
            <w:shd w:val="clear" w:color="auto" w:fill="FFFFFF"/>
            <w:noWrap/>
            <w:vAlign w:val="bottom"/>
            <w:hideMark/>
          </w:tcPr>
          <w:p w14:paraId="3961F8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E9474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0433A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E164D3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16.0</w:t>
            </w:r>
          </w:p>
        </w:tc>
        <w:tc>
          <w:tcPr>
            <w:tcW w:w="0" w:type="auto"/>
            <w:shd w:val="clear" w:color="auto" w:fill="FFFFFF"/>
            <w:noWrap/>
            <w:vAlign w:val="bottom"/>
            <w:hideMark/>
          </w:tcPr>
          <w:p w14:paraId="489C86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7EF28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CE04B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3ABDA6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18.3</w:t>
            </w:r>
          </w:p>
        </w:tc>
        <w:tc>
          <w:tcPr>
            <w:tcW w:w="0" w:type="auto"/>
            <w:shd w:val="clear" w:color="auto" w:fill="FFFFFF"/>
            <w:noWrap/>
            <w:vAlign w:val="bottom"/>
            <w:hideMark/>
          </w:tcPr>
          <w:p w14:paraId="22E6B9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87678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3FDBA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7DB874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0.2</w:t>
            </w:r>
          </w:p>
        </w:tc>
        <w:tc>
          <w:tcPr>
            <w:tcW w:w="0" w:type="auto"/>
            <w:shd w:val="clear" w:color="auto" w:fill="FFFFFF"/>
            <w:noWrap/>
            <w:vAlign w:val="bottom"/>
            <w:hideMark/>
          </w:tcPr>
          <w:p w14:paraId="3BE21E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CAFDE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1EE75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4271BD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18.5</w:t>
            </w:r>
          </w:p>
        </w:tc>
        <w:tc>
          <w:tcPr>
            <w:tcW w:w="0" w:type="auto"/>
            <w:shd w:val="clear" w:color="auto" w:fill="FFFFFF"/>
            <w:noWrap/>
            <w:vAlign w:val="bottom"/>
            <w:hideMark/>
          </w:tcPr>
          <w:p w14:paraId="0B63D4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3B8EAC3" w14:textId="77777777" w:rsidTr="004B2A77">
        <w:trPr>
          <w:trHeight w:val="180"/>
          <w:tblCellSpacing w:w="15" w:type="dxa"/>
        </w:trPr>
        <w:tc>
          <w:tcPr>
            <w:tcW w:w="0" w:type="auto"/>
            <w:shd w:val="clear" w:color="auto" w:fill="CFF0FC"/>
            <w:hideMark/>
          </w:tcPr>
          <w:p w14:paraId="7F7E94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Return on total equity, %</w:t>
            </w:r>
            <w:r w:rsidRPr="004B2A77">
              <w:rPr>
                <w:rFonts w:ascii="Arial" w:eastAsia="微软雅黑" w:hAnsi="Arial" w:cs="Arial"/>
                <w:color w:val="000000"/>
                <w:kern w:val="0"/>
                <w:sz w:val="12"/>
                <w:szCs w:val="12"/>
              </w:rPr>
              <w:t> 3)</w:t>
            </w:r>
          </w:p>
        </w:tc>
        <w:tc>
          <w:tcPr>
            <w:tcW w:w="0" w:type="auto"/>
            <w:shd w:val="clear" w:color="auto" w:fill="CFF0FC"/>
            <w:vAlign w:val="bottom"/>
            <w:hideMark/>
          </w:tcPr>
          <w:p w14:paraId="3623FE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DF582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E9AAD5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16.3</w:t>
            </w:r>
          </w:p>
        </w:tc>
        <w:tc>
          <w:tcPr>
            <w:tcW w:w="0" w:type="auto"/>
            <w:shd w:val="clear" w:color="auto" w:fill="CFF0FC"/>
            <w:noWrap/>
            <w:vAlign w:val="bottom"/>
            <w:hideMark/>
          </w:tcPr>
          <w:p w14:paraId="3EF930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8BE2B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28D07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75ABD3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w:t>
            </w:r>
          </w:p>
        </w:tc>
        <w:tc>
          <w:tcPr>
            <w:tcW w:w="0" w:type="auto"/>
            <w:shd w:val="clear" w:color="auto" w:fill="CFF0FC"/>
            <w:noWrap/>
            <w:vAlign w:val="bottom"/>
            <w:hideMark/>
          </w:tcPr>
          <w:p w14:paraId="1F18F6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1BB307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E2AC1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93DDC0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15.0</w:t>
            </w:r>
          </w:p>
        </w:tc>
        <w:tc>
          <w:tcPr>
            <w:tcW w:w="0" w:type="auto"/>
            <w:shd w:val="clear" w:color="auto" w:fill="CFF0FC"/>
            <w:noWrap/>
            <w:vAlign w:val="bottom"/>
            <w:hideMark/>
          </w:tcPr>
          <w:p w14:paraId="252EE8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399C5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D2C1B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02A535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17.1</w:t>
            </w:r>
          </w:p>
        </w:tc>
        <w:tc>
          <w:tcPr>
            <w:tcW w:w="0" w:type="auto"/>
            <w:shd w:val="clear" w:color="auto" w:fill="CFF0FC"/>
            <w:noWrap/>
            <w:vAlign w:val="bottom"/>
            <w:hideMark/>
          </w:tcPr>
          <w:p w14:paraId="22CBAC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AA7CB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22E61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850C5B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0.2</w:t>
            </w:r>
          </w:p>
        </w:tc>
        <w:tc>
          <w:tcPr>
            <w:tcW w:w="0" w:type="auto"/>
            <w:shd w:val="clear" w:color="auto" w:fill="CFF0FC"/>
            <w:noWrap/>
            <w:vAlign w:val="bottom"/>
            <w:hideMark/>
          </w:tcPr>
          <w:p w14:paraId="6DBCF2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B261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A4B52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69AE50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17.3</w:t>
            </w:r>
          </w:p>
        </w:tc>
        <w:tc>
          <w:tcPr>
            <w:tcW w:w="0" w:type="auto"/>
            <w:shd w:val="clear" w:color="auto" w:fill="CFF0FC"/>
            <w:noWrap/>
            <w:vAlign w:val="bottom"/>
            <w:hideMark/>
          </w:tcPr>
          <w:p w14:paraId="3F510E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67E06C8" w14:textId="77777777" w:rsidTr="004B2A77">
        <w:trPr>
          <w:trHeight w:val="180"/>
          <w:tblCellSpacing w:w="15" w:type="dxa"/>
        </w:trPr>
        <w:tc>
          <w:tcPr>
            <w:tcW w:w="0" w:type="auto"/>
            <w:shd w:val="clear" w:color="auto" w:fill="FFFFFF"/>
            <w:hideMark/>
          </w:tcPr>
          <w:p w14:paraId="0812EF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Earnings per share, diluted</w:t>
            </w:r>
            <w:r w:rsidRPr="004B2A77">
              <w:rPr>
                <w:rFonts w:ascii="Arial" w:eastAsia="微软雅黑" w:hAnsi="Arial" w:cs="Arial"/>
                <w:color w:val="000000"/>
                <w:kern w:val="0"/>
                <w:sz w:val="12"/>
                <w:szCs w:val="12"/>
              </w:rPr>
              <w:t> 4, 5)</w:t>
            </w:r>
          </w:p>
        </w:tc>
        <w:tc>
          <w:tcPr>
            <w:tcW w:w="0" w:type="auto"/>
            <w:shd w:val="clear" w:color="auto" w:fill="FFFFFF"/>
            <w:vAlign w:val="bottom"/>
            <w:hideMark/>
          </w:tcPr>
          <w:p w14:paraId="596A29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8D29A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2794D3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4.85</w:t>
            </w:r>
          </w:p>
        </w:tc>
        <w:tc>
          <w:tcPr>
            <w:tcW w:w="0" w:type="auto"/>
            <w:shd w:val="clear" w:color="auto" w:fill="FFFFFF"/>
            <w:noWrap/>
            <w:vAlign w:val="bottom"/>
            <w:hideMark/>
          </w:tcPr>
          <w:p w14:paraId="2293DF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DF2AF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2329F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6B257A4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(0.45</w:t>
            </w:r>
          </w:p>
        </w:tc>
        <w:tc>
          <w:tcPr>
            <w:tcW w:w="0" w:type="auto"/>
            <w:shd w:val="clear" w:color="auto" w:fill="FFFFFF"/>
            <w:noWrap/>
            <w:vAlign w:val="bottom"/>
            <w:hideMark/>
          </w:tcPr>
          <w:p w14:paraId="17D0F7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6ADDDF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729DF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C6CE1A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4.40</w:t>
            </w:r>
          </w:p>
        </w:tc>
        <w:tc>
          <w:tcPr>
            <w:tcW w:w="0" w:type="auto"/>
            <w:shd w:val="clear" w:color="auto" w:fill="FFFFFF"/>
            <w:noWrap/>
            <w:vAlign w:val="bottom"/>
            <w:hideMark/>
          </w:tcPr>
          <w:p w14:paraId="381A0F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ADBF0A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2ACFD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17AA45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4.96</w:t>
            </w:r>
          </w:p>
        </w:tc>
        <w:tc>
          <w:tcPr>
            <w:tcW w:w="0" w:type="auto"/>
            <w:shd w:val="clear" w:color="auto" w:fill="FFFFFF"/>
            <w:noWrap/>
            <w:vAlign w:val="bottom"/>
            <w:hideMark/>
          </w:tcPr>
          <w:p w14:paraId="590029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646CE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573C0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14BE1F1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0.06</w:t>
            </w:r>
          </w:p>
        </w:tc>
        <w:tc>
          <w:tcPr>
            <w:tcW w:w="0" w:type="auto"/>
            <w:shd w:val="clear" w:color="auto" w:fill="FFFFFF"/>
            <w:noWrap/>
            <w:vAlign w:val="bottom"/>
            <w:hideMark/>
          </w:tcPr>
          <w:p w14:paraId="5CBB96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376D71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12589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80C9A0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5.02</w:t>
            </w:r>
          </w:p>
        </w:tc>
        <w:tc>
          <w:tcPr>
            <w:tcW w:w="0" w:type="auto"/>
            <w:shd w:val="clear" w:color="auto" w:fill="FFFFFF"/>
            <w:noWrap/>
            <w:vAlign w:val="bottom"/>
            <w:hideMark/>
          </w:tcPr>
          <w:p w14:paraId="567DE3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1BD6F23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1) Represents costs for capacity alignments and antitrust related matters. See table below for a disaggregation of these costs. </w:t>
      </w:r>
    </w:p>
    <w:p w14:paraId="2015D28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2) Operating income and income from equity method investments, relative to average capital employed.</w:t>
      </w:r>
    </w:p>
    <w:p w14:paraId="0039B27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3) Net Income relative to average total equity for the year.</w:t>
      </w:r>
    </w:p>
    <w:p w14:paraId="40809F5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4) Assuming dilution and net of treasury shares.</w:t>
      </w:r>
    </w:p>
    <w:p w14:paraId="216E1FE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5) Participating share awards with right to receive dividend equivalents are (under the two-class method) excluded from the EPS calculation.</w:t>
      </w:r>
    </w:p>
    <w:p w14:paraId="18CAD1D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875"/>
        <w:gridCol w:w="290"/>
        <w:gridCol w:w="230"/>
        <w:gridCol w:w="1839"/>
        <w:gridCol w:w="230"/>
        <w:gridCol w:w="290"/>
        <w:gridCol w:w="230"/>
        <w:gridCol w:w="1554"/>
        <w:gridCol w:w="230"/>
        <w:gridCol w:w="467"/>
        <w:gridCol w:w="230"/>
        <w:gridCol w:w="1615"/>
        <w:gridCol w:w="230"/>
        <w:gridCol w:w="292"/>
        <w:gridCol w:w="230"/>
        <w:gridCol w:w="1535"/>
        <w:gridCol w:w="247"/>
      </w:tblGrid>
      <w:tr w:rsidR="004B2A77" w:rsidRPr="004B2A77" w14:paraId="746B193C" w14:textId="77777777" w:rsidTr="004B2A77">
        <w:trPr>
          <w:tblCellSpacing w:w="15" w:type="dxa"/>
        </w:trPr>
        <w:tc>
          <w:tcPr>
            <w:tcW w:w="10849" w:type="dxa"/>
            <w:vAlign w:val="center"/>
            <w:hideMark/>
          </w:tcPr>
          <w:p w14:paraId="37E0CE5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60" w:type="dxa"/>
            <w:vAlign w:val="center"/>
            <w:hideMark/>
          </w:tcPr>
          <w:p w14:paraId="4657CF8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1C0EFD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11" w:type="dxa"/>
            <w:vAlign w:val="center"/>
            <w:hideMark/>
          </w:tcPr>
          <w:p w14:paraId="51BDF2B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7F15D1C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0" w:type="dxa"/>
            <w:vAlign w:val="center"/>
            <w:hideMark/>
          </w:tcPr>
          <w:p w14:paraId="031E14C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40F69B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26" w:type="dxa"/>
            <w:vAlign w:val="center"/>
            <w:hideMark/>
          </w:tcPr>
          <w:p w14:paraId="4E57420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048D38B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38" w:type="dxa"/>
            <w:vAlign w:val="center"/>
            <w:hideMark/>
          </w:tcPr>
          <w:p w14:paraId="38C5E8C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1B80C0E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87" w:type="dxa"/>
            <w:vAlign w:val="center"/>
            <w:hideMark/>
          </w:tcPr>
          <w:p w14:paraId="35758C9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799ECCC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2" w:type="dxa"/>
            <w:vAlign w:val="center"/>
            <w:hideMark/>
          </w:tcPr>
          <w:p w14:paraId="5C21CA6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175F880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06" w:type="dxa"/>
            <w:vAlign w:val="center"/>
            <w:hideMark/>
          </w:tcPr>
          <w:p w14:paraId="46F117A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2A254F97"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A0D01FD" w14:textId="77777777" w:rsidTr="004B2A77">
        <w:trPr>
          <w:trHeight w:val="180"/>
          <w:tblCellSpacing w:w="15" w:type="dxa"/>
        </w:trPr>
        <w:tc>
          <w:tcPr>
            <w:tcW w:w="0" w:type="auto"/>
            <w:shd w:val="clear" w:color="auto" w:fill="FFFFFF"/>
            <w:vAlign w:val="bottom"/>
            <w:hideMark/>
          </w:tcPr>
          <w:p w14:paraId="4BB41A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Items included in Non-U.S. GAAP adjustments</w:t>
            </w:r>
          </w:p>
        </w:tc>
        <w:tc>
          <w:tcPr>
            <w:tcW w:w="0" w:type="auto"/>
            <w:shd w:val="clear" w:color="auto" w:fill="FFFFFF"/>
            <w:vAlign w:val="bottom"/>
            <w:hideMark/>
          </w:tcPr>
          <w:p w14:paraId="576EEB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554F8897"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737F92C"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95EF189"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7A650BD4"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1183B5E9"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04E662B9"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1565F3BB"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0343F9F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61D958F0"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gridSpan w:val="2"/>
            <w:shd w:val="clear" w:color="auto" w:fill="FFFFFF"/>
            <w:vAlign w:val="bottom"/>
            <w:hideMark/>
          </w:tcPr>
          <w:p w14:paraId="6A35D1B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c>
          <w:tcPr>
            <w:tcW w:w="0" w:type="auto"/>
            <w:shd w:val="clear" w:color="auto" w:fill="FFFFFF"/>
            <w:vAlign w:val="bottom"/>
            <w:hideMark/>
          </w:tcPr>
          <w:p w14:paraId="2DBB6B3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Calibri" w:eastAsia="微软雅黑" w:hAnsi="Calibri" w:cs="Calibri"/>
                <w:kern w:val="0"/>
                <w:sz w:val="22"/>
              </w:rPr>
              <w:t> </w:t>
            </w:r>
          </w:p>
        </w:tc>
      </w:tr>
      <w:tr w:rsidR="004B2A77" w:rsidRPr="004B2A77" w14:paraId="1B86EE60" w14:textId="77777777" w:rsidTr="004B2A77">
        <w:trPr>
          <w:trHeight w:val="160"/>
          <w:tblCellSpacing w:w="15" w:type="dxa"/>
        </w:trPr>
        <w:tc>
          <w:tcPr>
            <w:tcW w:w="0" w:type="auto"/>
            <w:shd w:val="clear" w:color="auto" w:fill="FFFFFF"/>
            <w:vAlign w:val="bottom"/>
            <w:hideMark/>
          </w:tcPr>
          <w:p w14:paraId="3011F4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BE503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6"/>
            <w:tcBorders>
              <w:bottom w:val="single" w:sz="4" w:space="0" w:color="000000"/>
            </w:tcBorders>
            <w:shd w:val="clear" w:color="auto" w:fill="FFFFFF"/>
            <w:vAlign w:val="bottom"/>
            <w:hideMark/>
          </w:tcPr>
          <w:p w14:paraId="5BC2CBE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5B15A81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8DF9E7A"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65CF99C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684AE02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76DBC013" w14:textId="77777777" w:rsidTr="004B2A77">
        <w:trPr>
          <w:trHeight w:val="160"/>
          <w:tblCellSpacing w:w="15" w:type="dxa"/>
        </w:trPr>
        <w:tc>
          <w:tcPr>
            <w:tcW w:w="0" w:type="auto"/>
            <w:shd w:val="clear" w:color="auto" w:fill="FFFFFF"/>
            <w:vAlign w:val="bottom"/>
            <w:hideMark/>
          </w:tcPr>
          <w:p w14:paraId="22738C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lastRenderedPageBreak/>
              <w:t> </w:t>
            </w:r>
          </w:p>
        </w:tc>
        <w:tc>
          <w:tcPr>
            <w:tcW w:w="0" w:type="auto"/>
            <w:shd w:val="clear" w:color="auto" w:fill="FFFFFF"/>
            <w:vAlign w:val="bottom"/>
            <w:hideMark/>
          </w:tcPr>
          <w:p w14:paraId="45D0AA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tcBorders>
              <w:bottom w:val="single" w:sz="4" w:space="0" w:color="000000"/>
            </w:tcBorders>
            <w:shd w:val="clear" w:color="auto" w:fill="FFFFFF"/>
            <w:vAlign w:val="bottom"/>
            <w:hideMark/>
          </w:tcPr>
          <w:p w14:paraId="713889F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Adjustment</w:t>
            </w:r>
            <w:r w:rsidRPr="004B2A77">
              <w:rPr>
                <w:rFonts w:ascii="Arial" w:eastAsia="微软雅黑" w:hAnsi="Arial" w:cs="Arial"/>
                <w:b/>
                <w:bCs/>
                <w:color w:val="000000"/>
                <w:kern w:val="0"/>
                <w:sz w:val="16"/>
                <w:szCs w:val="16"/>
              </w:rPr>
              <w:br/>
              <w:t>Millions</w:t>
            </w:r>
          </w:p>
        </w:tc>
        <w:tc>
          <w:tcPr>
            <w:tcW w:w="0" w:type="auto"/>
            <w:shd w:val="clear" w:color="auto" w:fill="FFFFFF"/>
            <w:vAlign w:val="bottom"/>
            <w:hideMark/>
          </w:tcPr>
          <w:p w14:paraId="2112088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BDEBCB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AF9F0B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Adjustment</w:t>
            </w:r>
            <w:r w:rsidRPr="004B2A77">
              <w:rPr>
                <w:rFonts w:ascii="Arial" w:eastAsia="微软雅黑" w:hAnsi="Arial" w:cs="Arial"/>
                <w:b/>
                <w:bCs/>
                <w:color w:val="000000"/>
                <w:kern w:val="0"/>
                <w:sz w:val="16"/>
                <w:szCs w:val="16"/>
              </w:rPr>
              <w:br/>
              <w:t>Per share</w:t>
            </w:r>
          </w:p>
        </w:tc>
        <w:tc>
          <w:tcPr>
            <w:tcW w:w="0" w:type="auto"/>
            <w:shd w:val="clear" w:color="auto" w:fill="FFFFFF"/>
            <w:vAlign w:val="bottom"/>
            <w:hideMark/>
          </w:tcPr>
          <w:p w14:paraId="2193DC6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07BC319" w14:textId="77777777" w:rsidR="004B2A77" w:rsidRPr="004B2A77" w:rsidRDefault="004B2A77" w:rsidP="004B2A77">
            <w:pPr>
              <w:widowControl/>
              <w:jc w:val="righ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6F861D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Adjustment</w:t>
            </w:r>
            <w:r w:rsidRPr="004B2A77">
              <w:rPr>
                <w:rFonts w:ascii="Arial" w:eastAsia="微软雅黑" w:hAnsi="Arial" w:cs="Arial"/>
                <w:b/>
                <w:bCs/>
                <w:color w:val="000000"/>
                <w:kern w:val="0"/>
                <w:sz w:val="16"/>
                <w:szCs w:val="16"/>
              </w:rPr>
              <w:br/>
              <w:t>Millions</w:t>
            </w:r>
          </w:p>
        </w:tc>
        <w:tc>
          <w:tcPr>
            <w:tcW w:w="0" w:type="auto"/>
            <w:shd w:val="clear" w:color="auto" w:fill="FFFFFF"/>
            <w:vAlign w:val="bottom"/>
            <w:hideMark/>
          </w:tcPr>
          <w:p w14:paraId="61CE1AB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AE3E5BA"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53F0E51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Adjustment</w:t>
            </w:r>
            <w:r w:rsidRPr="004B2A77">
              <w:rPr>
                <w:rFonts w:ascii="Arial" w:eastAsia="微软雅黑" w:hAnsi="Arial" w:cs="Arial"/>
                <w:b/>
                <w:bCs/>
                <w:color w:val="000000"/>
                <w:kern w:val="0"/>
                <w:sz w:val="16"/>
                <w:szCs w:val="16"/>
              </w:rPr>
              <w:br/>
              <w:t>Per share</w:t>
            </w:r>
          </w:p>
        </w:tc>
        <w:tc>
          <w:tcPr>
            <w:tcW w:w="0" w:type="auto"/>
            <w:shd w:val="clear" w:color="auto" w:fill="FFFFFF"/>
            <w:vAlign w:val="bottom"/>
            <w:hideMark/>
          </w:tcPr>
          <w:p w14:paraId="5B9178F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0E7CEE9D" w14:textId="77777777" w:rsidTr="004B2A77">
        <w:trPr>
          <w:trHeight w:val="180"/>
          <w:tblCellSpacing w:w="15" w:type="dxa"/>
        </w:trPr>
        <w:tc>
          <w:tcPr>
            <w:tcW w:w="0" w:type="auto"/>
            <w:shd w:val="clear" w:color="auto" w:fill="CFF0FC"/>
            <w:vAlign w:val="center"/>
            <w:hideMark/>
          </w:tcPr>
          <w:p w14:paraId="676499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Capacity alignment</w:t>
            </w:r>
          </w:p>
        </w:tc>
        <w:tc>
          <w:tcPr>
            <w:tcW w:w="0" w:type="auto"/>
            <w:shd w:val="clear" w:color="auto" w:fill="CFF0FC"/>
            <w:vAlign w:val="bottom"/>
            <w:hideMark/>
          </w:tcPr>
          <w:p w14:paraId="195832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78E65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tcBorders>
              <w:bottom w:val="single" w:sz="4" w:space="0" w:color="000000"/>
            </w:tcBorders>
            <w:shd w:val="clear" w:color="auto" w:fill="CFF0FC"/>
            <w:vAlign w:val="bottom"/>
            <w:hideMark/>
          </w:tcPr>
          <w:p w14:paraId="5CE15B6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w:t>
            </w:r>
          </w:p>
        </w:tc>
        <w:tc>
          <w:tcPr>
            <w:tcW w:w="0" w:type="auto"/>
            <w:shd w:val="clear" w:color="auto" w:fill="CFF0FC"/>
            <w:noWrap/>
            <w:vAlign w:val="bottom"/>
            <w:hideMark/>
          </w:tcPr>
          <w:p w14:paraId="4C7D29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8B4E4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EA2AF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tcBorders>
              <w:bottom w:val="single" w:sz="4" w:space="0" w:color="000000"/>
            </w:tcBorders>
            <w:shd w:val="clear" w:color="auto" w:fill="CFF0FC"/>
            <w:vAlign w:val="bottom"/>
            <w:hideMark/>
          </w:tcPr>
          <w:p w14:paraId="52242B9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(0.70</w:t>
            </w:r>
          </w:p>
        </w:tc>
        <w:tc>
          <w:tcPr>
            <w:tcW w:w="0" w:type="auto"/>
            <w:shd w:val="clear" w:color="auto" w:fill="CFF0FC"/>
            <w:noWrap/>
            <w:vAlign w:val="bottom"/>
            <w:hideMark/>
          </w:tcPr>
          <w:p w14:paraId="50AA4E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30A29D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98536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tcBorders>
              <w:bottom w:val="single" w:sz="4" w:space="0" w:color="000000"/>
            </w:tcBorders>
            <w:shd w:val="clear" w:color="auto" w:fill="CFF0FC"/>
            <w:vAlign w:val="bottom"/>
            <w:hideMark/>
          </w:tcPr>
          <w:p w14:paraId="3684C0E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CFF0FC"/>
            <w:noWrap/>
            <w:vAlign w:val="bottom"/>
            <w:hideMark/>
          </w:tcPr>
          <w:p w14:paraId="1DE8E2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A5411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5636E8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tcBorders>
              <w:bottom w:val="single" w:sz="4" w:space="0" w:color="000000"/>
            </w:tcBorders>
            <w:shd w:val="clear" w:color="auto" w:fill="CFF0FC"/>
            <w:vAlign w:val="bottom"/>
            <w:hideMark/>
          </w:tcPr>
          <w:p w14:paraId="1371ECA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0.10</w:t>
            </w:r>
          </w:p>
        </w:tc>
        <w:tc>
          <w:tcPr>
            <w:tcW w:w="0" w:type="auto"/>
            <w:shd w:val="clear" w:color="auto" w:fill="CFF0FC"/>
            <w:noWrap/>
            <w:vAlign w:val="bottom"/>
            <w:hideMark/>
          </w:tcPr>
          <w:p w14:paraId="1490B5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9FE0E2E" w14:textId="77777777" w:rsidTr="004B2A77">
        <w:trPr>
          <w:trHeight w:val="180"/>
          <w:tblCellSpacing w:w="15" w:type="dxa"/>
        </w:trPr>
        <w:tc>
          <w:tcPr>
            <w:tcW w:w="0" w:type="auto"/>
            <w:shd w:val="clear" w:color="auto" w:fill="FFFFFF"/>
            <w:vAlign w:val="center"/>
            <w:hideMark/>
          </w:tcPr>
          <w:p w14:paraId="69DAAB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adjustments to Operating income</w:t>
            </w:r>
          </w:p>
        </w:tc>
        <w:tc>
          <w:tcPr>
            <w:tcW w:w="0" w:type="auto"/>
            <w:shd w:val="clear" w:color="auto" w:fill="FFFFFF"/>
            <w:vAlign w:val="bottom"/>
            <w:hideMark/>
          </w:tcPr>
          <w:p w14:paraId="04E64C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20F7C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727C7C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(61</w:t>
            </w:r>
          </w:p>
        </w:tc>
        <w:tc>
          <w:tcPr>
            <w:tcW w:w="0" w:type="auto"/>
            <w:shd w:val="clear" w:color="auto" w:fill="FFFFFF"/>
            <w:noWrap/>
            <w:vAlign w:val="bottom"/>
            <w:hideMark/>
          </w:tcPr>
          <w:p w14:paraId="4C2763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1E1F03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6E66A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0801F9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(0.70</w:t>
            </w:r>
          </w:p>
        </w:tc>
        <w:tc>
          <w:tcPr>
            <w:tcW w:w="0" w:type="auto"/>
            <w:shd w:val="clear" w:color="auto" w:fill="FFFFFF"/>
            <w:noWrap/>
            <w:vAlign w:val="bottom"/>
            <w:hideMark/>
          </w:tcPr>
          <w:p w14:paraId="7E4993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679F96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06C5A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CD71A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8</w:t>
            </w:r>
          </w:p>
        </w:tc>
        <w:tc>
          <w:tcPr>
            <w:tcW w:w="0" w:type="auto"/>
            <w:shd w:val="clear" w:color="auto" w:fill="FFFFFF"/>
            <w:noWrap/>
            <w:vAlign w:val="bottom"/>
            <w:hideMark/>
          </w:tcPr>
          <w:p w14:paraId="6F8D07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05EF3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5A451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BE9BFF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0.10</w:t>
            </w:r>
          </w:p>
        </w:tc>
        <w:tc>
          <w:tcPr>
            <w:tcW w:w="0" w:type="auto"/>
            <w:shd w:val="clear" w:color="auto" w:fill="FFFFFF"/>
            <w:noWrap/>
            <w:vAlign w:val="bottom"/>
            <w:hideMark/>
          </w:tcPr>
          <w:p w14:paraId="4176EA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5DD7144" w14:textId="77777777" w:rsidTr="004B2A77">
        <w:trPr>
          <w:trHeight w:val="180"/>
          <w:tblCellSpacing w:w="15" w:type="dxa"/>
        </w:trPr>
        <w:tc>
          <w:tcPr>
            <w:tcW w:w="0" w:type="auto"/>
            <w:shd w:val="clear" w:color="auto" w:fill="CFF0FC"/>
            <w:vAlign w:val="center"/>
            <w:hideMark/>
          </w:tcPr>
          <w:p w14:paraId="7272AE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Tax on Non-U.S. GAAP adjustments</w:t>
            </w:r>
            <w:r w:rsidRPr="004B2A77">
              <w:rPr>
                <w:rFonts w:ascii="Arial" w:eastAsia="微软雅黑" w:hAnsi="Arial" w:cs="Arial"/>
                <w:color w:val="000000"/>
                <w:kern w:val="0"/>
                <w:sz w:val="12"/>
                <w:szCs w:val="12"/>
              </w:rPr>
              <w:t>1)</w:t>
            </w:r>
          </w:p>
        </w:tc>
        <w:tc>
          <w:tcPr>
            <w:tcW w:w="0" w:type="auto"/>
            <w:shd w:val="clear" w:color="auto" w:fill="CFF0FC"/>
            <w:vAlign w:val="bottom"/>
            <w:hideMark/>
          </w:tcPr>
          <w:p w14:paraId="349139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248C0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C15E24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22</w:t>
            </w:r>
          </w:p>
        </w:tc>
        <w:tc>
          <w:tcPr>
            <w:tcW w:w="0" w:type="auto"/>
            <w:shd w:val="clear" w:color="auto" w:fill="CFF0FC"/>
            <w:noWrap/>
            <w:vAlign w:val="bottom"/>
            <w:hideMark/>
          </w:tcPr>
          <w:p w14:paraId="6E96A7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4AB17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52C199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82F16E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0.25</w:t>
            </w:r>
          </w:p>
        </w:tc>
        <w:tc>
          <w:tcPr>
            <w:tcW w:w="0" w:type="auto"/>
            <w:shd w:val="clear" w:color="auto" w:fill="CFF0FC"/>
            <w:noWrap/>
            <w:vAlign w:val="bottom"/>
            <w:hideMark/>
          </w:tcPr>
          <w:p w14:paraId="718F0B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7A663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545328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AB0EC0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CFF0FC"/>
            <w:noWrap/>
            <w:vAlign w:val="bottom"/>
            <w:hideMark/>
          </w:tcPr>
          <w:p w14:paraId="605C2A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AE6AF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0EED0A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6BCC8F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(0.04</w:t>
            </w:r>
          </w:p>
        </w:tc>
        <w:tc>
          <w:tcPr>
            <w:tcW w:w="0" w:type="auto"/>
            <w:shd w:val="clear" w:color="auto" w:fill="CFF0FC"/>
            <w:noWrap/>
            <w:vAlign w:val="bottom"/>
            <w:hideMark/>
          </w:tcPr>
          <w:p w14:paraId="037621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2DE3FF85" w14:textId="77777777" w:rsidTr="004B2A77">
        <w:trPr>
          <w:trHeight w:val="180"/>
          <w:tblCellSpacing w:w="15" w:type="dxa"/>
        </w:trPr>
        <w:tc>
          <w:tcPr>
            <w:tcW w:w="0" w:type="auto"/>
            <w:shd w:val="clear" w:color="auto" w:fill="FFFFFF"/>
            <w:vAlign w:val="center"/>
            <w:hideMark/>
          </w:tcPr>
          <w:p w14:paraId="7B4F1D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adjustments to Net Income</w:t>
            </w:r>
          </w:p>
        </w:tc>
        <w:tc>
          <w:tcPr>
            <w:tcW w:w="0" w:type="auto"/>
            <w:shd w:val="clear" w:color="auto" w:fill="FFFFFF"/>
            <w:vAlign w:val="bottom"/>
            <w:hideMark/>
          </w:tcPr>
          <w:p w14:paraId="252177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FEC17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6F5BD87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(39</w:t>
            </w:r>
          </w:p>
        </w:tc>
        <w:tc>
          <w:tcPr>
            <w:tcW w:w="0" w:type="auto"/>
            <w:shd w:val="clear" w:color="auto" w:fill="FFFFFF"/>
            <w:noWrap/>
            <w:vAlign w:val="bottom"/>
            <w:hideMark/>
          </w:tcPr>
          <w:p w14:paraId="318C38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6B4D52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051DF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2FEB46A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(0.45</w:t>
            </w:r>
          </w:p>
        </w:tc>
        <w:tc>
          <w:tcPr>
            <w:tcW w:w="0" w:type="auto"/>
            <w:shd w:val="clear" w:color="auto" w:fill="FFFFFF"/>
            <w:noWrap/>
            <w:vAlign w:val="bottom"/>
            <w:hideMark/>
          </w:tcPr>
          <w:p w14:paraId="7002E3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39F140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7535E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546C388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5</w:t>
            </w:r>
          </w:p>
        </w:tc>
        <w:tc>
          <w:tcPr>
            <w:tcW w:w="0" w:type="auto"/>
            <w:shd w:val="clear" w:color="auto" w:fill="FFFFFF"/>
            <w:noWrap/>
            <w:vAlign w:val="bottom"/>
            <w:hideMark/>
          </w:tcPr>
          <w:p w14:paraId="56C17B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7B9D1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EB69E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0EE9949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0.06</w:t>
            </w:r>
          </w:p>
        </w:tc>
        <w:tc>
          <w:tcPr>
            <w:tcW w:w="0" w:type="auto"/>
            <w:shd w:val="clear" w:color="auto" w:fill="FFFFFF"/>
            <w:noWrap/>
            <w:vAlign w:val="bottom"/>
            <w:hideMark/>
          </w:tcPr>
          <w:p w14:paraId="31F563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197F19D" w14:textId="77777777" w:rsidTr="004B2A77">
        <w:trPr>
          <w:tblCellSpacing w:w="15" w:type="dxa"/>
        </w:trPr>
        <w:tc>
          <w:tcPr>
            <w:tcW w:w="0" w:type="auto"/>
            <w:shd w:val="clear" w:color="auto" w:fill="CFF0FC"/>
            <w:vAlign w:val="center"/>
            <w:hideMark/>
          </w:tcPr>
          <w:p w14:paraId="1ECE69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FA6F2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72B476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0246E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0A3E2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0A3D07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24B35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A45E7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66C5AC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868A5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1B479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339402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0308C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4FDBA8B" w14:textId="77777777" w:rsidTr="004B2A77">
        <w:trPr>
          <w:trHeight w:val="180"/>
          <w:tblCellSpacing w:w="15" w:type="dxa"/>
        </w:trPr>
        <w:tc>
          <w:tcPr>
            <w:tcW w:w="0" w:type="auto"/>
            <w:shd w:val="clear" w:color="auto" w:fill="FFFFFF"/>
            <w:vAlign w:val="center"/>
            <w:hideMark/>
          </w:tcPr>
          <w:p w14:paraId="6D1D08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Weighted average number of shares outstanding - diluted</w:t>
            </w:r>
            <w:r w:rsidRPr="004B2A77">
              <w:rPr>
                <w:rFonts w:ascii="Arial" w:eastAsia="微软雅黑" w:hAnsi="Arial" w:cs="Arial"/>
                <w:color w:val="000000"/>
                <w:kern w:val="0"/>
                <w:sz w:val="12"/>
                <w:szCs w:val="12"/>
              </w:rPr>
              <w:t>2)</w:t>
            </w:r>
          </w:p>
        </w:tc>
        <w:tc>
          <w:tcPr>
            <w:tcW w:w="0" w:type="auto"/>
            <w:shd w:val="clear" w:color="auto" w:fill="FFFFFF"/>
            <w:vAlign w:val="bottom"/>
            <w:hideMark/>
          </w:tcPr>
          <w:p w14:paraId="0DD24E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581E2B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86C72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3627E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49DD4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5DB93C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87.2</w:t>
            </w:r>
          </w:p>
        </w:tc>
        <w:tc>
          <w:tcPr>
            <w:tcW w:w="0" w:type="auto"/>
            <w:shd w:val="clear" w:color="auto" w:fill="FFFFFF"/>
            <w:noWrap/>
            <w:vAlign w:val="bottom"/>
            <w:hideMark/>
          </w:tcPr>
          <w:p w14:paraId="03C098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EB1C45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54C6F4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FAC63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826A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D3488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352502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87.7</w:t>
            </w:r>
          </w:p>
        </w:tc>
        <w:tc>
          <w:tcPr>
            <w:tcW w:w="0" w:type="auto"/>
            <w:shd w:val="clear" w:color="auto" w:fill="FFFFFF"/>
            <w:noWrap/>
            <w:vAlign w:val="bottom"/>
            <w:hideMark/>
          </w:tcPr>
          <w:p w14:paraId="67D9AE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278C402" w14:textId="77777777" w:rsidTr="004B2A77">
        <w:trPr>
          <w:trHeight w:val="180"/>
          <w:tblCellSpacing w:w="15" w:type="dxa"/>
        </w:trPr>
        <w:tc>
          <w:tcPr>
            <w:tcW w:w="0" w:type="auto"/>
            <w:shd w:val="clear" w:color="auto" w:fill="CFF0FC"/>
            <w:vAlign w:val="center"/>
            <w:hideMark/>
          </w:tcPr>
          <w:p w14:paraId="34EA27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Adjustment Return on capital employed</w:t>
            </w:r>
          </w:p>
        </w:tc>
        <w:tc>
          <w:tcPr>
            <w:tcW w:w="0" w:type="auto"/>
            <w:shd w:val="clear" w:color="auto" w:fill="CFF0FC"/>
            <w:vAlign w:val="bottom"/>
            <w:hideMark/>
          </w:tcPr>
          <w:p w14:paraId="15F2E0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18C66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255098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w:t>
            </w:r>
          </w:p>
        </w:tc>
        <w:tc>
          <w:tcPr>
            <w:tcW w:w="0" w:type="auto"/>
            <w:shd w:val="clear" w:color="auto" w:fill="CFF0FC"/>
            <w:noWrap/>
            <w:vAlign w:val="bottom"/>
            <w:hideMark/>
          </w:tcPr>
          <w:p w14:paraId="335C71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C8161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0A947D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D8E62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A5AD9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A6671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72D400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CFF0FC"/>
            <w:noWrap/>
            <w:vAlign w:val="bottom"/>
            <w:hideMark/>
          </w:tcPr>
          <w:p w14:paraId="1DFD34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5E5B0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279F2D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0B388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05CBB01" w14:textId="77777777" w:rsidTr="004B2A77">
        <w:trPr>
          <w:trHeight w:val="180"/>
          <w:tblCellSpacing w:w="15" w:type="dxa"/>
        </w:trPr>
        <w:tc>
          <w:tcPr>
            <w:tcW w:w="0" w:type="auto"/>
            <w:shd w:val="clear" w:color="auto" w:fill="FFFFFF"/>
            <w:vAlign w:val="center"/>
            <w:hideMark/>
          </w:tcPr>
          <w:p w14:paraId="0E0438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Adjustment Return on capital employed, %</w:t>
            </w:r>
          </w:p>
        </w:tc>
        <w:tc>
          <w:tcPr>
            <w:tcW w:w="0" w:type="auto"/>
            <w:shd w:val="clear" w:color="auto" w:fill="FFFFFF"/>
            <w:vAlign w:val="bottom"/>
            <w:hideMark/>
          </w:tcPr>
          <w:p w14:paraId="52FA39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46BEB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B310C6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w:t>
            </w:r>
          </w:p>
        </w:tc>
        <w:tc>
          <w:tcPr>
            <w:tcW w:w="0" w:type="auto"/>
            <w:shd w:val="clear" w:color="auto" w:fill="FFFFFF"/>
            <w:noWrap/>
            <w:vAlign w:val="bottom"/>
            <w:hideMark/>
          </w:tcPr>
          <w:p w14:paraId="43B4A4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419A1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665DEA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BF1AF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1DB89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E3305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66C3A8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0.2</w:t>
            </w:r>
          </w:p>
        </w:tc>
        <w:tc>
          <w:tcPr>
            <w:tcW w:w="0" w:type="auto"/>
            <w:shd w:val="clear" w:color="auto" w:fill="FFFFFF"/>
            <w:noWrap/>
            <w:vAlign w:val="bottom"/>
            <w:hideMark/>
          </w:tcPr>
          <w:p w14:paraId="210DE7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D6E0B9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71BEC1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E0491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0DB2D86" w14:textId="77777777" w:rsidTr="004B2A77">
        <w:trPr>
          <w:tblCellSpacing w:w="15" w:type="dxa"/>
        </w:trPr>
        <w:tc>
          <w:tcPr>
            <w:tcW w:w="0" w:type="auto"/>
            <w:shd w:val="clear" w:color="auto" w:fill="CFF0FC"/>
            <w:vAlign w:val="center"/>
            <w:hideMark/>
          </w:tcPr>
          <w:p w14:paraId="107EE8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FAB9B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2568F0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5DCA5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CC8A4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785455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65FD69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5B7BA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647B30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4F1EA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FC7D1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1FC17C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D70B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77815C7" w14:textId="77777777" w:rsidTr="004B2A77">
        <w:trPr>
          <w:trHeight w:val="180"/>
          <w:tblCellSpacing w:w="15" w:type="dxa"/>
        </w:trPr>
        <w:tc>
          <w:tcPr>
            <w:tcW w:w="0" w:type="auto"/>
            <w:shd w:val="clear" w:color="auto" w:fill="FFFFFF"/>
            <w:vAlign w:val="center"/>
            <w:hideMark/>
          </w:tcPr>
          <w:p w14:paraId="336E3F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Adjustment Return on total equity</w:t>
            </w:r>
          </w:p>
        </w:tc>
        <w:tc>
          <w:tcPr>
            <w:tcW w:w="0" w:type="auto"/>
            <w:shd w:val="clear" w:color="auto" w:fill="FFFFFF"/>
            <w:vAlign w:val="bottom"/>
            <w:hideMark/>
          </w:tcPr>
          <w:p w14:paraId="2786F8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004A3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CEE038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(39</w:t>
            </w:r>
          </w:p>
        </w:tc>
        <w:tc>
          <w:tcPr>
            <w:tcW w:w="0" w:type="auto"/>
            <w:shd w:val="clear" w:color="auto" w:fill="FFFFFF"/>
            <w:noWrap/>
            <w:vAlign w:val="bottom"/>
            <w:hideMark/>
          </w:tcPr>
          <w:p w14:paraId="620930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15A1EE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00348B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AE355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E4CE0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64273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1E54CC8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FFFFFF"/>
            <w:noWrap/>
            <w:vAlign w:val="bottom"/>
            <w:hideMark/>
          </w:tcPr>
          <w:p w14:paraId="36378C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C27E0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70E923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B14C9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42A932A" w14:textId="77777777" w:rsidTr="004B2A77">
        <w:trPr>
          <w:trHeight w:val="180"/>
          <w:tblCellSpacing w:w="15" w:type="dxa"/>
        </w:trPr>
        <w:tc>
          <w:tcPr>
            <w:tcW w:w="0" w:type="auto"/>
            <w:shd w:val="clear" w:color="auto" w:fill="CFF0FC"/>
            <w:vAlign w:val="center"/>
            <w:hideMark/>
          </w:tcPr>
          <w:p w14:paraId="44E842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Adjustment Return on total equity, %</w:t>
            </w:r>
          </w:p>
        </w:tc>
        <w:tc>
          <w:tcPr>
            <w:tcW w:w="0" w:type="auto"/>
            <w:shd w:val="clear" w:color="auto" w:fill="CFF0FC"/>
            <w:vAlign w:val="bottom"/>
            <w:hideMark/>
          </w:tcPr>
          <w:p w14:paraId="1D3D56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51A68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12D3F7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w:t>
            </w:r>
          </w:p>
        </w:tc>
        <w:tc>
          <w:tcPr>
            <w:tcW w:w="0" w:type="auto"/>
            <w:shd w:val="clear" w:color="auto" w:fill="CFF0FC"/>
            <w:noWrap/>
            <w:vAlign w:val="bottom"/>
            <w:hideMark/>
          </w:tcPr>
          <w:p w14:paraId="6FE84A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3D73EA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22EDD9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9CE935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4F86C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96414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F76EF4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0.2</w:t>
            </w:r>
          </w:p>
        </w:tc>
        <w:tc>
          <w:tcPr>
            <w:tcW w:w="0" w:type="auto"/>
            <w:shd w:val="clear" w:color="auto" w:fill="CFF0FC"/>
            <w:noWrap/>
            <w:vAlign w:val="bottom"/>
            <w:hideMark/>
          </w:tcPr>
          <w:p w14:paraId="50C530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7E3B9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365B08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D60C3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505CABB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1) The tax is calculated based on the tax laws in the respective jurisdiction(s) of the adjustment(s). </w:t>
      </w:r>
    </w:p>
    <w:p w14:paraId="0E34762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2) Annualized average number of outstanding shares.</w:t>
      </w:r>
    </w:p>
    <w:p w14:paraId="0DA68F5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39</w:t>
      </w:r>
    </w:p>
    <w:p w14:paraId="49D6B5A8"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1E7A41E">
          <v:rect id="_x0000_i1066" style="width:0;height:1.5pt" o:hralign="center" o:hrstd="t" o:hrnoshade="t" o:hr="t" fillcolor="black" stroked="f"/>
        </w:pict>
      </w:r>
    </w:p>
    <w:p w14:paraId="4D03C3D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47C4EA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22"/>
        </w:rPr>
        <w:t>LIQUIDITY, CAPITAL RESOURCES, AND FINANCIAL POSITION</w:t>
      </w:r>
    </w:p>
    <w:p w14:paraId="4FE2C7D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652"/>
        <w:gridCol w:w="359"/>
        <w:gridCol w:w="233"/>
        <w:gridCol w:w="2620"/>
        <w:gridCol w:w="233"/>
        <w:gridCol w:w="359"/>
        <w:gridCol w:w="233"/>
        <w:gridCol w:w="2676"/>
        <w:gridCol w:w="249"/>
      </w:tblGrid>
      <w:tr w:rsidR="004B2A77" w:rsidRPr="004B2A77" w14:paraId="36778C13" w14:textId="77777777" w:rsidTr="004B2A77">
        <w:trPr>
          <w:tblCellSpacing w:w="15" w:type="dxa"/>
        </w:trPr>
        <w:tc>
          <w:tcPr>
            <w:tcW w:w="13630" w:type="dxa"/>
            <w:vAlign w:val="center"/>
            <w:hideMark/>
          </w:tcPr>
          <w:p w14:paraId="4A1A700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29" w:type="dxa"/>
            <w:vAlign w:val="center"/>
            <w:hideMark/>
          </w:tcPr>
          <w:p w14:paraId="7347C6D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23A3A58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94" w:type="dxa"/>
            <w:vAlign w:val="center"/>
            <w:hideMark/>
          </w:tcPr>
          <w:p w14:paraId="581134A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271EE9D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29" w:type="dxa"/>
            <w:vAlign w:val="center"/>
            <w:hideMark/>
          </w:tcPr>
          <w:p w14:paraId="67FE269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1C1B32E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50" w:type="dxa"/>
            <w:vAlign w:val="center"/>
            <w:hideMark/>
          </w:tcPr>
          <w:p w14:paraId="5A7C2BF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68AFAC72"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2D27534" w14:textId="77777777" w:rsidTr="004B2A77">
        <w:trPr>
          <w:trHeight w:val="160"/>
          <w:tblCellSpacing w:w="15" w:type="dxa"/>
        </w:trPr>
        <w:tc>
          <w:tcPr>
            <w:tcW w:w="0" w:type="auto"/>
            <w:shd w:val="clear" w:color="auto" w:fill="FFFFFF"/>
            <w:vAlign w:val="bottom"/>
            <w:hideMark/>
          </w:tcPr>
          <w:p w14:paraId="234575A4"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ABEEC0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497154A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Years ended December 31</w:t>
            </w:r>
          </w:p>
        </w:tc>
        <w:tc>
          <w:tcPr>
            <w:tcW w:w="0" w:type="auto"/>
            <w:shd w:val="clear" w:color="auto" w:fill="FFFFFF"/>
            <w:vAlign w:val="bottom"/>
            <w:hideMark/>
          </w:tcPr>
          <w:p w14:paraId="1BCA816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06925FAB" w14:textId="77777777" w:rsidTr="004B2A77">
        <w:trPr>
          <w:trHeight w:val="160"/>
          <w:tblCellSpacing w:w="15" w:type="dxa"/>
        </w:trPr>
        <w:tc>
          <w:tcPr>
            <w:tcW w:w="0" w:type="auto"/>
            <w:shd w:val="clear" w:color="auto" w:fill="FFFFFF"/>
            <w:vAlign w:val="bottom"/>
            <w:hideMark/>
          </w:tcPr>
          <w:p w14:paraId="1EE7153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(DOLLARS IN MILLIONS)</w:t>
            </w:r>
          </w:p>
        </w:tc>
        <w:tc>
          <w:tcPr>
            <w:tcW w:w="0" w:type="auto"/>
            <w:shd w:val="clear" w:color="auto" w:fill="FFFFFF"/>
            <w:vAlign w:val="bottom"/>
            <w:hideMark/>
          </w:tcPr>
          <w:p w14:paraId="2226E50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92E3BC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0DB723A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5DF4430"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2147B7B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575F858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5BEEBF18" w14:textId="77777777" w:rsidTr="004B2A77">
        <w:trPr>
          <w:trHeight w:val="180"/>
          <w:tblCellSpacing w:w="15" w:type="dxa"/>
        </w:trPr>
        <w:tc>
          <w:tcPr>
            <w:tcW w:w="0" w:type="auto"/>
            <w:shd w:val="clear" w:color="auto" w:fill="CFF0FC"/>
            <w:hideMark/>
          </w:tcPr>
          <w:p w14:paraId="386CCB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cash provided by operating activities</w:t>
            </w:r>
          </w:p>
        </w:tc>
        <w:tc>
          <w:tcPr>
            <w:tcW w:w="0" w:type="auto"/>
            <w:shd w:val="clear" w:color="auto" w:fill="CFF0FC"/>
            <w:vAlign w:val="bottom"/>
            <w:hideMark/>
          </w:tcPr>
          <w:p w14:paraId="40C810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629C8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1BF1969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713</w:t>
            </w:r>
          </w:p>
        </w:tc>
        <w:tc>
          <w:tcPr>
            <w:tcW w:w="0" w:type="auto"/>
            <w:shd w:val="clear" w:color="auto" w:fill="CFF0FC"/>
            <w:noWrap/>
            <w:vAlign w:val="bottom"/>
            <w:hideMark/>
          </w:tcPr>
          <w:p w14:paraId="1E2A8E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1964E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E4E36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987065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754</w:t>
            </w:r>
          </w:p>
        </w:tc>
        <w:tc>
          <w:tcPr>
            <w:tcW w:w="0" w:type="auto"/>
            <w:shd w:val="clear" w:color="auto" w:fill="CFF0FC"/>
            <w:noWrap/>
            <w:vAlign w:val="bottom"/>
            <w:hideMark/>
          </w:tcPr>
          <w:p w14:paraId="4C0AF8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E773F80" w14:textId="77777777" w:rsidTr="004B2A77">
        <w:trPr>
          <w:trHeight w:val="180"/>
          <w:tblCellSpacing w:w="15" w:type="dxa"/>
        </w:trPr>
        <w:tc>
          <w:tcPr>
            <w:tcW w:w="0" w:type="auto"/>
            <w:shd w:val="clear" w:color="auto" w:fill="FFFFFF"/>
            <w:hideMark/>
          </w:tcPr>
          <w:p w14:paraId="7125F5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cash used in investing activities</w:t>
            </w:r>
          </w:p>
        </w:tc>
        <w:tc>
          <w:tcPr>
            <w:tcW w:w="0" w:type="auto"/>
            <w:shd w:val="clear" w:color="auto" w:fill="FFFFFF"/>
            <w:vAlign w:val="bottom"/>
            <w:hideMark/>
          </w:tcPr>
          <w:p w14:paraId="584A09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B576C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3EBC5D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(485</w:t>
            </w:r>
          </w:p>
        </w:tc>
        <w:tc>
          <w:tcPr>
            <w:tcW w:w="0" w:type="auto"/>
            <w:shd w:val="clear" w:color="auto" w:fill="FFFFFF"/>
            <w:noWrap/>
            <w:vAlign w:val="bottom"/>
            <w:hideMark/>
          </w:tcPr>
          <w:p w14:paraId="1711D5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24797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F916C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8FD843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(454</w:t>
            </w:r>
          </w:p>
        </w:tc>
        <w:tc>
          <w:tcPr>
            <w:tcW w:w="0" w:type="auto"/>
            <w:shd w:val="clear" w:color="auto" w:fill="FFFFFF"/>
            <w:noWrap/>
            <w:vAlign w:val="bottom"/>
            <w:hideMark/>
          </w:tcPr>
          <w:p w14:paraId="30C5C7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90FA3FF" w14:textId="77777777" w:rsidTr="004B2A77">
        <w:trPr>
          <w:trHeight w:val="180"/>
          <w:tblCellSpacing w:w="15" w:type="dxa"/>
        </w:trPr>
        <w:tc>
          <w:tcPr>
            <w:tcW w:w="0" w:type="auto"/>
            <w:shd w:val="clear" w:color="auto" w:fill="CFF0FC"/>
            <w:hideMark/>
          </w:tcPr>
          <w:p w14:paraId="2FCBDA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cash used in financing activities</w:t>
            </w:r>
          </w:p>
        </w:tc>
        <w:tc>
          <w:tcPr>
            <w:tcW w:w="0" w:type="auto"/>
            <w:shd w:val="clear" w:color="auto" w:fill="CFF0FC"/>
            <w:vAlign w:val="bottom"/>
            <w:hideMark/>
          </w:tcPr>
          <w:p w14:paraId="3A94F6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FCF25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8D88F7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(531</w:t>
            </w:r>
          </w:p>
        </w:tc>
        <w:tc>
          <w:tcPr>
            <w:tcW w:w="0" w:type="auto"/>
            <w:shd w:val="clear" w:color="auto" w:fill="CFF0FC"/>
            <w:noWrap/>
            <w:vAlign w:val="bottom"/>
            <w:hideMark/>
          </w:tcPr>
          <w:p w14:paraId="370585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9D5D6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B833B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8E5CB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(469</w:t>
            </w:r>
          </w:p>
        </w:tc>
        <w:tc>
          <w:tcPr>
            <w:tcW w:w="0" w:type="auto"/>
            <w:shd w:val="clear" w:color="auto" w:fill="CFF0FC"/>
            <w:noWrap/>
            <w:vAlign w:val="bottom"/>
            <w:hideMark/>
          </w:tcPr>
          <w:p w14:paraId="6488A4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AA1D5AD" w14:textId="77777777" w:rsidTr="004B2A77">
        <w:trPr>
          <w:trHeight w:val="180"/>
          <w:tblCellSpacing w:w="15" w:type="dxa"/>
        </w:trPr>
        <w:tc>
          <w:tcPr>
            <w:tcW w:w="0" w:type="auto"/>
            <w:shd w:val="clear" w:color="auto" w:fill="FFFFFF"/>
            <w:hideMark/>
          </w:tcPr>
          <w:p w14:paraId="181350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Effect of exchange rate changes on cash and cash equivalents</w:t>
            </w:r>
          </w:p>
        </w:tc>
        <w:tc>
          <w:tcPr>
            <w:tcW w:w="0" w:type="auto"/>
            <w:shd w:val="clear" w:color="auto" w:fill="FFFFFF"/>
            <w:vAlign w:val="bottom"/>
            <w:hideMark/>
          </w:tcPr>
          <w:p w14:paraId="37FD15B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03378C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051FE8E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(73</w:t>
            </w:r>
          </w:p>
        </w:tc>
        <w:tc>
          <w:tcPr>
            <w:tcW w:w="0" w:type="auto"/>
            <w:shd w:val="clear" w:color="auto" w:fill="FFFFFF"/>
            <w:noWrap/>
            <w:vAlign w:val="bottom"/>
            <w:hideMark/>
          </w:tcPr>
          <w:p w14:paraId="343704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DC1A6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92CD1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5775F08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(39</w:t>
            </w:r>
          </w:p>
        </w:tc>
        <w:tc>
          <w:tcPr>
            <w:tcW w:w="0" w:type="auto"/>
            <w:shd w:val="clear" w:color="auto" w:fill="FFFFFF"/>
            <w:noWrap/>
            <w:vAlign w:val="bottom"/>
            <w:hideMark/>
          </w:tcPr>
          <w:p w14:paraId="629A75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2D6D9CAA" w14:textId="77777777" w:rsidTr="004B2A77">
        <w:trPr>
          <w:trHeight w:val="180"/>
          <w:tblCellSpacing w:w="15" w:type="dxa"/>
        </w:trPr>
        <w:tc>
          <w:tcPr>
            <w:tcW w:w="0" w:type="auto"/>
            <w:shd w:val="clear" w:color="auto" w:fill="CFF0FC"/>
            <w:hideMark/>
          </w:tcPr>
          <w:p w14:paraId="0D8F27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Decrease in cash and cash equivalents</w:t>
            </w:r>
          </w:p>
        </w:tc>
        <w:tc>
          <w:tcPr>
            <w:tcW w:w="0" w:type="auto"/>
            <w:shd w:val="clear" w:color="auto" w:fill="CFF0FC"/>
            <w:vAlign w:val="bottom"/>
            <w:hideMark/>
          </w:tcPr>
          <w:p w14:paraId="47EC9C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B4AD2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071E1A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(375</w:t>
            </w:r>
          </w:p>
        </w:tc>
        <w:tc>
          <w:tcPr>
            <w:tcW w:w="0" w:type="auto"/>
            <w:shd w:val="clear" w:color="auto" w:fill="CFF0FC"/>
            <w:noWrap/>
            <w:vAlign w:val="bottom"/>
            <w:hideMark/>
          </w:tcPr>
          <w:p w14:paraId="0BE9D6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24DC6D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75368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5CE650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(209</w:t>
            </w:r>
          </w:p>
        </w:tc>
        <w:tc>
          <w:tcPr>
            <w:tcW w:w="0" w:type="auto"/>
            <w:shd w:val="clear" w:color="auto" w:fill="CFF0FC"/>
            <w:noWrap/>
            <w:vAlign w:val="bottom"/>
            <w:hideMark/>
          </w:tcPr>
          <w:p w14:paraId="2A056E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r>
      <w:tr w:rsidR="004B2A77" w:rsidRPr="004B2A77" w14:paraId="5E436151" w14:textId="77777777" w:rsidTr="004B2A77">
        <w:trPr>
          <w:trHeight w:val="180"/>
          <w:tblCellSpacing w:w="15" w:type="dxa"/>
        </w:trPr>
        <w:tc>
          <w:tcPr>
            <w:tcW w:w="0" w:type="auto"/>
            <w:shd w:val="clear" w:color="auto" w:fill="FFFFFF"/>
            <w:hideMark/>
          </w:tcPr>
          <w:p w14:paraId="611FF0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Cash and cash equivalents at beginning of year</w:t>
            </w:r>
          </w:p>
        </w:tc>
        <w:tc>
          <w:tcPr>
            <w:tcW w:w="0" w:type="auto"/>
            <w:shd w:val="clear" w:color="auto" w:fill="FFFFFF"/>
            <w:vAlign w:val="bottom"/>
            <w:hideMark/>
          </w:tcPr>
          <w:p w14:paraId="21477D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E9927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496976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969</w:t>
            </w:r>
          </w:p>
        </w:tc>
        <w:tc>
          <w:tcPr>
            <w:tcW w:w="0" w:type="auto"/>
            <w:shd w:val="clear" w:color="auto" w:fill="FFFFFF"/>
            <w:noWrap/>
            <w:vAlign w:val="bottom"/>
            <w:hideMark/>
          </w:tcPr>
          <w:p w14:paraId="003B8C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9795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5D402E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0233EA5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1,178</w:t>
            </w:r>
          </w:p>
        </w:tc>
        <w:tc>
          <w:tcPr>
            <w:tcW w:w="0" w:type="auto"/>
            <w:shd w:val="clear" w:color="auto" w:fill="FFFFFF"/>
            <w:noWrap/>
            <w:vAlign w:val="bottom"/>
            <w:hideMark/>
          </w:tcPr>
          <w:p w14:paraId="1CB170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E04471C" w14:textId="77777777" w:rsidTr="004B2A77">
        <w:trPr>
          <w:trHeight w:val="180"/>
          <w:tblCellSpacing w:w="15" w:type="dxa"/>
        </w:trPr>
        <w:tc>
          <w:tcPr>
            <w:tcW w:w="0" w:type="auto"/>
            <w:shd w:val="clear" w:color="auto" w:fill="CFF0FC"/>
            <w:hideMark/>
          </w:tcPr>
          <w:p w14:paraId="59F956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Cash and cash equivalents at end of year</w:t>
            </w:r>
          </w:p>
        </w:tc>
        <w:tc>
          <w:tcPr>
            <w:tcW w:w="0" w:type="auto"/>
            <w:shd w:val="clear" w:color="auto" w:fill="CFF0FC"/>
            <w:vAlign w:val="bottom"/>
            <w:hideMark/>
          </w:tcPr>
          <w:p w14:paraId="4D78C3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CF571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5EFE9B5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594</w:t>
            </w:r>
          </w:p>
        </w:tc>
        <w:tc>
          <w:tcPr>
            <w:tcW w:w="0" w:type="auto"/>
            <w:shd w:val="clear" w:color="auto" w:fill="CFF0FC"/>
            <w:noWrap/>
            <w:vAlign w:val="bottom"/>
            <w:hideMark/>
          </w:tcPr>
          <w:p w14:paraId="689B66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CB15D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B63F3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347298F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969</w:t>
            </w:r>
          </w:p>
        </w:tc>
        <w:tc>
          <w:tcPr>
            <w:tcW w:w="0" w:type="auto"/>
            <w:shd w:val="clear" w:color="auto" w:fill="CFF0FC"/>
            <w:noWrap/>
            <w:vAlign w:val="bottom"/>
            <w:hideMark/>
          </w:tcPr>
          <w:p w14:paraId="2B6432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4528D00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49C20BCA"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NET CASH PROVIDED BY OPERATING ACTIVITIES</w:t>
      </w:r>
    </w:p>
    <w:p w14:paraId="344B1D6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Cash flow from operations, together with available financial resources and credit facilities, are expected to be sufficient to fund the Company’s anticipated working capital requirements, capital expenditures and future dividend payments. </w:t>
      </w:r>
    </w:p>
    <w:p w14:paraId="40B3A3C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Net cash provided by operating activities was $713 million in 2022 compared to $754 million in 2021. The decrease of $41 million was mainly due to lower net income excluding the gain on property divestiture, lower depreciation and amortization and adverse effects from changes in deferred income taxes partly offset by positive working capital effects.</w:t>
      </w:r>
    </w:p>
    <w:p w14:paraId="469FCFD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xml:space="preserve">At December 31, 2022, trade working capital (see section Non-U.S. GAAP Performance Measures above) amounted to $1,183 million corresponding to 13% of net sales compared to $1,332 million and 16% at December 31, 2021. </w:t>
      </w:r>
    </w:p>
    <w:p w14:paraId="7BF4E87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Receivables outstanding in relation to sales (see Glossary and Definitions for definition) were 20% at December 31, 2022, compared to 20% at December 31, 2021. Factoring agreements did not have any material impact on receivables outstanding for 2022 or 2021.</w:t>
      </w:r>
    </w:p>
    <w:p w14:paraId="7D87A92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Inventory in relation to sales (see Glossary and Definitions for definition) was 10% at December 31, 2022, compared to 9% at December 31, 2021.</w:t>
      </w:r>
    </w:p>
    <w:p w14:paraId="5871EBC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Payables outstanding in relation to sales (see Glossary and Definitions for definition) were 18% at December 31, 2022 compared to 14% at December 31, 2021.</w:t>
      </w:r>
    </w:p>
    <w:p w14:paraId="25700A3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NET CASH USED IN INVESTING ACTIVITIES</w:t>
      </w:r>
    </w:p>
    <w:p w14:paraId="5643B0C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2022 and 2021, net cash used in investing activities amounted to $485</w:t>
      </w:r>
      <w:r w:rsidRPr="004B2A77">
        <w:rPr>
          <w:rFonts w:ascii="Arial" w:eastAsia="宋体" w:hAnsi="Arial" w:cs="Arial"/>
          <w:color w:val="FF0000"/>
          <w:kern w:val="0"/>
          <w:sz w:val="18"/>
          <w:szCs w:val="18"/>
        </w:rPr>
        <w:t xml:space="preserve"> </w:t>
      </w:r>
      <w:r w:rsidRPr="004B2A77">
        <w:rPr>
          <w:rFonts w:ascii="Arial" w:eastAsia="宋体" w:hAnsi="Arial" w:cs="Arial"/>
          <w:color w:val="000000"/>
          <w:kern w:val="0"/>
          <w:sz w:val="18"/>
          <w:szCs w:val="18"/>
        </w:rPr>
        <w:t>million and $454 million, respectively. The Company's investing activities primarily consist of investments in property, plant and equipment. Net cash generated by operating activities continued to sufficiently cover capital expenditures for property, plant and equipment.</w:t>
      </w:r>
    </w:p>
    <w:p w14:paraId="7DE26862"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net increase of $31 million compared to previous year was mainly due to increased investments of $126 million, mainly related to footprint and capacity expansions, partly offset by $95 million in proceeds from the sale of property in Japan.</w:t>
      </w:r>
      <w:r w:rsidRPr="004B2A77">
        <w:rPr>
          <w:rFonts w:ascii="Arial" w:eastAsia="宋体" w:hAnsi="Arial" w:cs="Arial"/>
          <w:color w:val="000000"/>
          <w:kern w:val="0"/>
          <w:sz w:val="20"/>
          <w:szCs w:val="20"/>
        </w:rPr>
        <w:t xml:space="preserve"> </w:t>
      </w:r>
      <w:r w:rsidRPr="004B2A77">
        <w:rPr>
          <w:rFonts w:ascii="Arial" w:eastAsia="宋体" w:hAnsi="Arial" w:cs="Arial"/>
          <w:color w:val="000000"/>
          <w:kern w:val="0"/>
          <w:sz w:val="18"/>
          <w:szCs w:val="18"/>
        </w:rPr>
        <w:t>In relation to net sales, capital expenditures, net was unchanged at 5.5%.</w:t>
      </w:r>
    </w:p>
    <w:p w14:paraId="71CB757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Depreciation and amortization totaled $363 million in 2022 compared to $394 million in 2021.</w:t>
      </w:r>
    </w:p>
    <w:p w14:paraId="2566CF8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During the years 2022 and 2021, a majority of the Company's investments were for production capacity to support new product launches and automation projects for improved efficiency. Major investments were mainly made in China, Europe, and North America.</w:t>
      </w:r>
    </w:p>
    <w:p w14:paraId="7433E11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NET CASH USED IN FINANCING ACTIVITIES</w:t>
      </w:r>
    </w:p>
    <w:p w14:paraId="054EAC3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Net cash used in financing activities amounted to $(531) million and $(469) million for the years 2022 and 2021, respectively. </w:t>
      </w:r>
    </w:p>
    <w:p w14:paraId="3631557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2022, the Company paid dividends of $224 million. In 2021, the Company paid dividends of $165 million after reinstating the dividends in the second quarter of 2021.</w:t>
      </w:r>
    </w:p>
    <w:p w14:paraId="1DA91C9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INCOME TAXES </w:t>
      </w:r>
    </w:p>
    <w:p w14:paraId="7BB981B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reserves for taxes that may become payable in future periods as a result of tax audits. At any given time, the Company is undergoing tax audits covering multiple years in several tax jurisdictions. Ultimate outcomes are uncertain but could, in future periods, have a significant impact on the Company’s cash flows. See discussions of income taxes under Significant Accounting Policies in this section, Note 2, Summary of Significant Accounting Policies, and Note 5, Income Taxes, to the Consolidated Financial Statements included herein.</w:t>
      </w:r>
    </w:p>
    <w:p w14:paraId="16B28601"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40</w:t>
      </w:r>
    </w:p>
    <w:p w14:paraId="59CB8823"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E9008FC">
          <v:rect id="_x0000_i1067" style="width:0;height:1.5pt" o:hralign="center" o:hrstd="t" o:hrnoshade="t" o:hr="t" fillcolor="black" stroked="f"/>
        </w:pict>
      </w:r>
    </w:p>
    <w:p w14:paraId="7032944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lastRenderedPageBreak/>
        <w:t> </w:t>
      </w:r>
    </w:p>
    <w:p w14:paraId="5F6E973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PENSION ARRANGEMENTS </w:t>
      </w:r>
    </w:p>
    <w:p w14:paraId="30AD1BB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defined benefit pension plans covering nearly half of the U.S. employees. As of December 31, 2021, the main U.S defined benefit plan was frozen for further benefits. Many of the Company’s non-U.S. employees are also covered by pension arrangements.</w:t>
      </w:r>
    </w:p>
    <w:p w14:paraId="7C0BF39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At December 31, 2022, the Company’s net pension liability (i.e. the actual funded status) for its U.S. and non-U.S. plans was $154 million compared to $197 million at December 31, 2021. The decrease in the total net pension liability in 2022 of $43 million was mainly due to the increase in discount rates, partly offset by lower performance than expected of the plan assets.</w:t>
      </w:r>
    </w:p>
    <w:p w14:paraId="718C109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plans had a net unamortized actuarial loss before tax of $44 million recorded in Accumulated Other Comprehensive (Loss) Income in the Consolidated Balance Sheets at December 31, 2022, compared to $68 million at December 31, 2021. The decrease in the actuarial loss was mainly due to settlement and curtailment gains in the non-U.S. plans during 2022. The amortization of the loss is expected to be $1 million in 2023.</w:t>
      </w:r>
    </w:p>
    <w:p w14:paraId="25644D2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Pension expense associated with the defined benefit plans was $11 million in 2022 and $24 million in 2021, and is expected to be $19 million in 2023. The $13 million decrease in 2022 pension expense was mainly due to the benefit freeze of the U.S. plan and settlement and curtailment gains in the non-U.S. plans.</w:t>
      </w:r>
    </w:p>
    <w:p w14:paraId="13F0160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contributed $22 million to its defined benefit plans in 2022 and $25 million in 2021. The Company expects to contribute $9 million to these plans in 2023 and is currently projecting a yearly funding at approximately the same level in the subsequent years.</w:t>
      </w:r>
    </w:p>
    <w:p w14:paraId="7C8ABE7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further information about retirement plans see Note 18, Retirement Plans, to the Consolidated Financial Statements included herein.</w:t>
      </w:r>
    </w:p>
    <w:p w14:paraId="71BAFCC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SHAREHOLDER RETURNS </w:t>
      </w:r>
    </w:p>
    <w:p w14:paraId="2D814F9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2022, the Company paid cash dividends of $224 million. The Company paid $165 million in dividends in 2021, after reinstating the dividend in the second quarter of 2021. </w:t>
      </w:r>
    </w:p>
    <w:p w14:paraId="54D81FB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0245759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repurchased shares to an amount of $115 million in 2022.</w:t>
      </w:r>
    </w:p>
    <w:p w14:paraId="3DBDE27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EQUITY </w:t>
      </w:r>
    </w:p>
    <w:p w14:paraId="38A61F0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During 2022, total equity decreased by $22 million to $2,626 million as of December 31, 2022. The change was mainly due to dividends paid of $224 million, share repurchases of $115 million and negative foreign exchange effects of $136 million, partly offset by $425 million from net income.</w:t>
      </w:r>
    </w:p>
    <w:p w14:paraId="5800ABE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aps/>
          <w:color w:val="000000"/>
          <w:kern w:val="0"/>
          <w:sz w:val="22"/>
        </w:rPr>
        <w:t>TREASURY ACTIVITES</w:t>
      </w:r>
    </w:p>
    <w:p w14:paraId="2CCE9EE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DEBT AND CREDIT ARRANGEMENTS </w:t>
      </w:r>
    </w:p>
    <w:p w14:paraId="0DB28DF6" w14:textId="77777777" w:rsidR="004B2A77" w:rsidRPr="004B2A77" w:rsidRDefault="004B2A77" w:rsidP="004B2A77">
      <w:pPr>
        <w:widowControl/>
        <w:spacing w:before="120" w:after="2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xml:space="preserve">The Company's total debt as of December 31, 2022 and 2021 was $1,766 million and $2,008 million, respectively. The Company had a net debt position (see section Non-U.S. GAAP Performance Measures) at December 31, 2022 and 2021 of $1,184 million and $1,052 million, respectively. </w:t>
      </w:r>
    </w:p>
    <w:p w14:paraId="15FCD6E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May 2022, the Company refinanced its existing revolving credit facility (RCF) of $1,100 million. The facility, syndicated among 11 banks, matures in May 2027 and has two extension options, each for an additional year. The Company pays a commitment fee on the undrawn amount of 0.15%, representing 35% of the applicable margin, which is 0.425% (given the Company’s rating of “BBB” from S&amp;P Global Ratings). Borrowings under the facility are unsecured. As of December 31, 2022, the facility was not utilized.</w:t>
      </w:r>
    </w:p>
    <w:p w14:paraId="1FCC5EA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June 2020, the Company utilized its SEK 3,000 million facility with Swedish Export Credit Corporation which was signed in May 2020. The SEK 3,000 million loan mature in 2025 carrying a floating interest rate of 3M STIBOR +1.85%. </w:t>
      </w:r>
    </w:p>
    <w:p w14:paraId="7E57787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June 2018, the Company priced and issued 5-year notes for a total of €500 million in the Eurobond market. The notes carry a coupon of 0.75% and matures in 2023.</w:t>
      </w:r>
    </w:p>
    <w:p w14:paraId="7CB4701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2014, the Company issued and sold long-term debt securities in a U.S. Private Placement pursuant to a Note Purchase and Guaranty Agreement dated April 23, 2014, by and among Autoliv ASP Inc., the Company and the purchasers listed therein. As of December 31, 2022, $767 million remains outstanding from the 2014 issuance.</w:t>
      </w:r>
    </w:p>
    <w:p w14:paraId="313D626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a €3,000 million Euro Medium Term Note Program in place for being able to issue notes to be traded on the Global Exchange Market of Euronext Dublin. On December 31, 2022, no notes had been issued under this program.</w:t>
      </w:r>
    </w:p>
    <w:p w14:paraId="1AF4AB8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At December 31, 2022,</w:t>
      </w:r>
      <w:r w:rsidRPr="004B2A77">
        <w:rPr>
          <w:rFonts w:ascii="Arial" w:eastAsia="宋体" w:hAnsi="Arial" w:cs="Arial"/>
          <w:color w:val="FF0000"/>
          <w:kern w:val="0"/>
          <w:sz w:val="18"/>
          <w:szCs w:val="18"/>
        </w:rPr>
        <w:t xml:space="preserve"> </w:t>
      </w:r>
      <w:r w:rsidRPr="004B2A77">
        <w:rPr>
          <w:rFonts w:ascii="Arial" w:eastAsia="宋体" w:hAnsi="Arial" w:cs="Arial"/>
          <w:color w:val="000000"/>
          <w:kern w:val="0"/>
          <w:sz w:val="18"/>
          <w:szCs w:val="18"/>
        </w:rPr>
        <w:t>Autoliv’s long-term credit rating from S&amp;P Global Ratings was BBB with stable outlook. The Company aims to maintain a strong investment grade credit rating.</w:t>
      </w:r>
    </w:p>
    <w:p w14:paraId="37648CD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additional information about the Company's debt and credit arrangements, see Note 13, Debt and Credit Agreements, to the Consolidated Financial Statements included herein.</w:t>
      </w:r>
    </w:p>
    <w:p w14:paraId="277CF70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41</w:t>
      </w:r>
    </w:p>
    <w:p w14:paraId="001E2509"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6B58F93">
          <v:rect id="_x0000_i1068" style="width:0;height:1.5pt" o:hralign="center" o:hrstd="t" o:hrnoshade="t" o:hr="t" fillcolor="black" stroked="f"/>
        </w:pict>
      </w:r>
    </w:p>
    <w:p w14:paraId="1F7F7B0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8A05EB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FACTORING</w:t>
      </w:r>
    </w:p>
    <w:p w14:paraId="3B5E752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During 2022 and 2021, the Company sold receivables and discounted notes related to selected customers. These factoring arrangements increase cash while reducing accounts receivable and customer risks. At December 31, 2022, the Company had received $174 million for sold receivables without recourse and discounted notes with a discount cost of $2 million during the year, compared to $159 million at December 31, 2021 with a discount cost of $2 million recorded in Other non-operating items, net.</w:t>
      </w:r>
    </w:p>
    <w:p w14:paraId="31C1884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NUMBER OF SHARES</w:t>
      </w:r>
    </w:p>
    <w:p w14:paraId="6895D23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At December 31, 2022, 86.2 million shares were outstanding (net of 5.0 million treasury shares), a 1.5% decrease from 87.5 million one year earlier. </w:t>
      </w:r>
    </w:p>
    <w:p w14:paraId="56AECB05"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number of shares outstanding is expected to increase by 0.3 million when all Restricted Stock Units (RSU) and Performance Shares (PSs) vest and if all stock options (SOs) to key employees are exercised, see Note 16, Stock Incentive Plans, to the Consolidated Financial Statements included herein.</w:t>
      </w:r>
    </w:p>
    <w:p w14:paraId="0AAF5164"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2022, the Company retired 10 million shares of common stock that had been repurchased under a prior stock repurchase program and since held in treasury. These shares were acquired between 2008 and 2014. During 2022, Autoliv repurchased and retired 1.44 million shares, equal to $115 million, under the current stock repurchase program authorized by the Board to repurchase up to $1.5 billion, or 17 million common shares (whichever comes first), between January 2022 and the end of 2024.</w:t>
      </w:r>
    </w:p>
    <w:p w14:paraId="02D2234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 xml:space="preserve">Contractual Obligations and Commitments </w:t>
      </w:r>
    </w:p>
    <w:p w14:paraId="529F116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Contractual obligations include debt, sponsored defined benefit plans, lease and purchase obligations that are enforceable and legally binding on the Company.</w:t>
      </w:r>
    </w:p>
    <w:p w14:paraId="3B6AD33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For material contractual debt obligations as of December 31, 2022, see Note 13, Debt and Credit Agreements, to the Consolidated Financial Statements included herein. </w:t>
      </w:r>
    </w:p>
    <w:p w14:paraId="0C35C41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Operating lease obligations represent the payment obligations (undiscounted cash flows) under leases classified as operating leases. Capital lease obligations are not material. See Note 3, Leases, to the Consolidated Financial Statements included herein.</w:t>
      </w:r>
    </w:p>
    <w:p w14:paraId="05AF86E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are no unconditional purchase obligations other than short-term obligations related to inventory, services, tooling, and property, plant and equipment purchased in the ordinary course of business. Purchase agreements with suppliers entered into in the ordinary course of business do not generally include fixed quantities. Quantities and delivery dates are established in “call off plans” accessible electronically for all customers and suppliers involved. Communicated “call off plans” for production material from suppliers are normally reflected in equivalent commitments from Autoliv customers.</w:t>
      </w:r>
    </w:p>
    <w:p w14:paraId="39D75E1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sponsors defined benefit plans that cover a significant portion of the Company's U.S. employees and certain non-U.S. employees. The pension plans in the U.S. are funded in conformity with the minimum funding requirements of the Pension Protection Act of 2006. Funding for the Company's pension plans in other countries is based upon plan provisions, actuarial recommendations and/or statutory requirements. Due to volatility associated with future changes in interest rates and plan asset returns, the Company cannot predict with reasonable reliability the timing and amounts of future funding requirements. The Company may elect to make contributions in excess of the minimum funding requirements for the U.S. plans in response to investment performance and changes in interest rates, or when the Company believes that it is financially advantageous to do so and based on other capital requirements. See Note 18, Retirement Plans, to the Consolidated Financial Statements included herein.</w:t>
      </w:r>
    </w:p>
    <w:p w14:paraId="1641F3E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 xml:space="preserve">Risks and Risk Management </w:t>
      </w:r>
    </w:p>
    <w:p w14:paraId="7B3679F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exposed to several categories of risks. They can broadly be categorized as operational risks, strategic risks and financial risks. Some of the major risks in each category are described below. There are also other risks that could have a material effect on the Company’s results and financial position, and the description below is not complete but should be read in conjunction with the discussion of risks described in Item 1A above, which contains a description of the Company's material risks.</w:t>
      </w:r>
    </w:p>
    <w:p w14:paraId="73F220D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As described below, the Company has taken several mitigating actions, applied numerous strategies, adopted policies, and introduced control and reporting systems to reduce and mitigate these risks. In addition, the Company from time to time identifies and evaluates emerging or changing risks to the Company in order to ensure that identified risks and related risk management are updated in this fast-moving environment.</w:t>
      </w:r>
    </w:p>
    <w:p w14:paraId="2AE3D591"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42</w:t>
      </w:r>
    </w:p>
    <w:p w14:paraId="0184EB54"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E51E70D">
          <v:rect id="_x0000_i1069" style="width:0;height:1.5pt" o:hralign="center" o:hrstd="t" o:hrnoshade="t" o:hr="t" fillcolor="black" stroked="f"/>
        </w:pict>
      </w:r>
    </w:p>
    <w:p w14:paraId="6344AC3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C8F846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 xml:space="preserve">Operational Risks </w:t>
      </w:r>
    </w:p>
    <w:p w14:paraId="08D69712" w14:textId="77777777" w:rsidR="004B2A77" w:rsidRPr="004B2A77" w:rsidRDefault="004B2A77" w:rsidP="004B2A77">
      <w:pPr>
        <w:widowControl/>
        <w:spacing w:before="120"/>
        <w:jc w:val="left"/>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LIGHT VEHICLE PRODUCTION </w:t>
      </w:r>
    </w:p>
    <w:p w14:paraId="2B6E3D7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Around 30% of Autoliv’s costs are fixed; therefore, short-term earnings are dependent on sales volumes and highly dependent on capacity utilization in the Company’s plants.</w:t>
      </w:r>
    </w:p>
    <w:p w14:paraId="3F39EE3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Global LVP is an indicator of the Company’s sales development. Ultimately, however, sales are determined by the production levels for the individual vehicle models for which Autoliv is a supplier (see Dependence on Customers). The Company’s sales are split over several hundred contracts covering more than 1,300 vehicle models. This moderates the effect of changes in vehicle demand of individual countries and regions as well as production issues. The risk of fluctuating sales has also been mitigated by Autoliv’s rapid expansion in Asia and other growth markets, which has reduced the Company’s former high dependence on sales in Europe to a diversified mix with Europe, the Americas and Asia each accounting for roughly 27%, 33% and 40%, respectively, of the Company's 2022 total sales. </w:t>
      </w:r>
    </w:p>
    <w:p w14:paraId="2C741C2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It is the Company’s strategy to reduce the risks associated with fluctuating LVP by using temporary personnel in direct production, when appropriate. During 2022 and 2021, the level of temporary personnel in relation to total personnel in direct production was 13% and 9%, respectively. To reduce the potential impact of unusual fluctuations in the production of vehicle models supplied by the Company such as during the financial crisis in 2008-2009 and the COVID-19 pandemic in 2020-2021 – it is also necessary for the Company to be prepared to quickly adapt the level of permanent employees as well as fixed cost production capacity. </w:t>
      </w:r>
    </w:p>
    <w:p w14:paraId="7D68E725"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PRICING PRESSURE</w:t>
      </w:r>
    </w:p>
    <w:p w14:paraId="3C78749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Pricing pressure from customers is an inherent part of the automotive components business. The historical extent of price reductions varies from year to year and takes the form of one time give backs, reductions in direct sales prices and/or discounted reimbursements for engineering work.</w:t>
      </w:r>
    </w:p>
    <w:p w14:paraId="741ECD1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response, Autoliv is continuously engaged in efforts to reduce costs and to provide customers added value by developing new products. Generally, the speed by which these cost-reduction programs generate results will, to a large extent, determine the future profitability of the Company. The various cost-reduction programs are, to a considerable extent, interrelated. This interrelationship makes it difficult to isolate the impact of costs on any single program, therefore, the Company monitors key measures such as costs in relation to sales and productivity.</w:t>
      </w:r>
    </w:p>
    <w:p w14:paraId="5CAF5A6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In 2022, due to unprecedented raw material price increases the Company engaged in extensive negotiations with its customers regarding price compensation and an increased element of tying pricing to raw material prices.</w:t>
      </w:r>
    </w:p>
    <w:p w14:paraId="4E2AFF7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COMPONENT COSTS AND RAW MATERIAL PRICES</w:t>
      </w:r>
    </w:p>
    <w:p w14:paraId="6298972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cost of direct materials was approximately 52% of sales in 2022.</w:t>
      </w:r>
    </w:p>
    <w:p w14:paraId="12ECBD1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main raw materials being used as input material for the Company's operations are steel, textiles, plastic and non-ferrous metals. </w:t>
      </w:r>
    </w:p>
    <w:p w14:paraId="1F1E0A9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still sees effects coming from import tariffs and trade barriers across borders. These barriers are impacting the raw material market and creating pricing and availability uncertainties. </w:t>
      </w:r>
    </w:p>
    <w:p w14:paraId="5E8945C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Inflation was significant across raw materials and services in 2022. The Company took action including pricing discussions with customers and suppliers, competitive sourcing and exploring alternative materials.</w:t>
      </w:r>
    </w:p>
    <w:p w14:paraId="5345E37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LEGAL</w:t>
      </w:r>
    </w:p>
    <w:p w14:paraId="3B342AB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involved from time to time in regulatory, commercial, and contractual legal proceedings that may be significant, and the Company’s business may suffer as a result of adverse outcomes of current or future legal proceedings. These claims may include, without limitation, commercial or contractual disputes, including disputes with the Company’s suppliers and customers, intellectual property matters, alleged violations of laws, rules or regulations, governmental investigations, personal injury claims, product liability claims, environmental issues, tax and customs matters, and employment matters.</w:t>
      </w:r>
    </w:p>
    <w:p w14:paraId="5B578A3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 substantial legal liability or adverse regulatory outcome and the substantial cost to defend the litigation or regulatory proceedings may have an adverse effect on the Company’s business, operating results, financial condition, cash flows and reputation.</w:t>
      </w:r>
    </w:p>
    <w:p w14:paraId="485D603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No assurances can be given that such proceedings and claims will not have a material adverse impact on the Company’s profitability and consolidated financial position, or that reserves or insurance will mitigate such impact. See Note 17, Contingent Liabilities, to the Consolidated Financial Statements included herein and Item 3 – Legal Proceedings.</w:t>
      </w:r>
    </w:p>
    <w:p w14:paraId="41417686"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43</w:t>
      </w:r>
    </w:p>
    <w:p w14:paraId="076CCA46"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7199FBB">
          <v:rect id="_x0000_i1070" style="width:0;height:1.5pt" o:hralign="center" o:hrstd="t" o:hrnoshade="t" o:hr="t" fillcolor="black" stroked="f"/>
        </w:pict>
      </w:r>
    </w:p>
    <w:p w14:paraId="73989FD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139E99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PRODUCT WARRANTY AND RECALLS</w:t>
      </w:r>
    </w:p>
    <w:p w14:paraId="65C2BC3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If our products are alleged to fail to perform as expected or are defective, the Company may be exposed to various claims for damages and compensation. Such claims may result in costs and other losses to the Company even where the relevant product is eventually found to have functioned properly. If a product (actually or allegedly) fails to perform as expected or is defective, we may face warranty and recall claims. If such actual or alleged failure or defect results, or is alleged to result, in bodily injury and/or property damage, we may also face product liability and other claims. The Company may experience material warranty, recall, product or other liability claims or losses in the future, and the Company may incur significant cost to defend against such claims. The Company may be required to participate in a recall </w:t>
      </w:r>
      <w:r w:rsidRPr="004B2A77">
        <w:rPr>
          <w:rFonts w:ascii="Arial" w:eastAsia="宋体" w:hAnsi="Arial" w:cs="Arial"/>
          <w:color w:val="000000"/>
          <w:kern w:val="0"/>
          <w:sz w:val="18"/>
          <w:szCs w:val="18"/>
        </w:rPr>
        <w:lastRenderedPageBreak/>
        <w:t>involving its products. Each vehicle manufacturer has its own practices regarding product recalls and other product liability actions relating to its suppliers. Government safety regulators also have policies and practices with respect to recalls. As suppliers become more integrally involved in the vehicle design process and assume more of the vehicle assembly functions, vehicle manufacturers are increasingly looking to their suppliers for contribution when faced with recalls and product liability claims. In addition, with global platforms and procedures, vehicle manufacturers are increasingly evaluating our quality performance on a global basis. Any one or more quality, warranty or other recall issue(s), including the ones affecting few units and/or having a small financial impact, may cause a vehicle manufacturer to implement measures which may have a severe impact on the Company’s operations, such as a temporary or prolonged suspension of new orders or the Company’s ability to bid for new business.</w:t>
      </w:r>
    </w:p>
    <w:p w14:paraId="7ABA6D1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addition, over time, there is a risk that the number of vehicles affected by a failure or defect will increase significantly (as would the Company’s costs), since our products often use global designs and are increasingly based on or utilize the same or similar parts, components, or solutions.</w:t>
      </w:r>
    </w:p>
    <w:p w14:paraId="5CF78AD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Although quality has always been a central focus in the automotive industry, especially for safety products, our customers and regulators have become increasingly attentive to quality with even less tolerance for any deviations, which has resulted in an increase in the number of automotive recalls. This trend is likely to continue as automobile manufacturers introduce even stricter quality requirements and regulating agencies and other authorities increase the level of scrutiny given to vehicle safety issues. A warranty recall or a product liability claim brought against the Company in excess of the Company’s insurance may have a material adverse effect on its business and/or financial results. Vehicle manufacturers are also increasingly requiring their external suppliers to guarantee or warrant their products and bear the costs of repair and replacement of such products under new vehicle warranties. A vehicle manufacturer may attempt to hold the Company responsible for some or all of the repair or replacement costs of defective products under new vehicle warranties when the product supplied did not perform as represented. Additionally, a customer may not allow us to bid for expiring or new business until certain remedial steps have been taken. Accordingly, the future costs of warranty claims by the Company’s customers may be material. </w:t>
      </w:r>
    </w:p>
    <w:p w14:paraId="1F95DCE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warranty reserves are based upon management’s best estimates of amounts necessary to settle future and existing claims. Management regularly evaluates the appropriateness of these reserves and adjusts them when we believe it is appropriate to do so. However, the final amounts determined to be due could differ materially from the Company’s recorded estimates. We believe our established reserves are adequate to cover potential warranty settlements typically seen in our business.</w:t>
      </w:r>
    </w:p>
    <w:p w14:paraId="534772D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Company’s strategy is to follow a stringent procedure when developing new products and technologies and to apply a proactive “zero-defect” quality policy (see section Quality Management). In addition, 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However, such insurance may not be sufficient to cover every possible claim that can arise in the Company’s businesses, now or in the future, or may not always will be available should the Company, now or in the future, wish to extend, renew, increase or otherwise adjust such insurance. In recent years, the cost of recall and product liability insurance as well as the Company’s level of self-insurance and deductibles has increased. Management’s decision regarding what insurance to procure is also impacted by the cost for such insurance. As a result, the Company may face material losses in excess of the insurance coverage </w:t>
      </w:r>
      <w:r w:rsidRPr="004B2A77">
        <w:rPr>
          <w:rFonts w:ascii="Arial" w:eastAsia="宋体" w:hAnsi="Arial" w:cs="Arial"/>
          <w:color w:val="000000"/>
          <w:kern w:val="0"/>
          <w:sz w:val="18"/>
          <w:szCs w:val="18"/>
        </w:rPr>
        <w:lastRenderedPageBreak/>
        <w:t>procured. A substantial recall or liability in excess of coverage levels could therefore have a material adverse effect on the Company.</w:t>
      </w:r>
    </w:p>
    <w:p w14:paraId="770E5AE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ENVIRONMENTAL</w:t>
      </w:r>
    </w:p>
    <w:p w14:paraId="7CC343B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Most of the Company’s manufacturing processes consist of the assembly of components. As a result, the environmental impact from the Company’s plants is generally modest. While the Company’s businesses from time to time are subject to environmental investigations, there are no material environmental-related cases pending against the Company. Therefore, Autoliv does not incur (or expect to incur) any material costs or capital expenditures associated with maintaining facilities compliant with U.S. or non-U.S. environmental requirements. To reduce environmental risk, the Company has implemented an environmental management system in all plants globally and has adopted an environmental policy (see corporate website www.autoliv.com).</w:t>
      </w:r>
    </w:p>
    <w:p w14:paraId="6A0982A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is subject to a number of environmental and occupational health and safety laws and regulations. Such requirements are complex and are generally becoming more stringent over time. There can be no assurance that these requirements will not change in the future, or that the Company will at all times be in compliance with all such requirements and regulations, despite its intention to be. The Company may also find itself subject, possibly due to changes in legislation or other regulation, to environmental liabilities based on the activities of its predecessor entities or of businesses acquired. Such liability could be based on activities which are not related to the Company’s current activities.</w:t>
      </w:r>
    </w:p>
    <w:p w14:paraId="09E5D294" w14:textId="77777777" w:rsidR="004B2A77" w:rsidRPr="004B2A77" w:rsidRDefault="004B2A77" w:rsidP="004B2A77">
      <w:pPr>
        <w:widowControl/>
        <w:spacing w:before="1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TRADE</w:t>
      </w:r>
    </w:p>
    <w:p w14:paraId="50CC3B0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Autoliv is subject to various international trade regulations and regimes and changes in these regimes could lead to increased compliance costs and costs of raw materials and other components. In addition, political conditions leading to trade conflicts and the imposition of tariffs or other trade barriers between countries in which the Company does business could increase its costs of doing business. </w:t>
      </w:r>
    </w:p>
    <w:p w14:paraId="46023FE8"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44</w:t>
      </w:r>
    </w:p>
    <w:p w14:paraId="5F5A8D7B"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D11CA1D">
          <v:rect id="_x0000_i1071" style="width:0;height:1.5pt" o:hralign="center" o:hrstd="t" o:hrnoshade="t" o:hr="t" fillcolor="black" stroked="f"/>
        </w:pict>
      </w:r>
    </w:p>
    <w:p w14:paraId="2FF29E9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9BB112D"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Strategic Risks</w:t>
      </w:r>
    </w:p>
    <w:p w14:paraId="688EAAA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REGULATIONS</w:t>
      </w:r>
    </w:p>
    <w:p w14:paraId="443601E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addition to vehicle production, the Company’s market is driven by the safety content per vehicle, which is affected by new regulations and new vehicle rating programs, in addition to consumer demand for new safety technologies.</w:t>
      </w:r>
    </w:p>
    <w:p w14:paraId="66F3624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most important regulations are the seatbelt installation laws that exist in all vehicle-producing countries. Many countries also have strict enforcement laws on the wearing of seatbelts. Another significant vehicle safety regulation is the U.S. federal law that, since 1997, requires frontal airbags for both the driver and the front-seat passenger in all new vehicles sold in the U.S.</w:t>
      </w:r>
    </w:p>
    <w:p w14:paraId="220DAD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2007, the U.S. adopted new regulations for head impact and enhanced thorax protection in side impact crashes, which now have been fully phased-in. China introduced a vehicle rating program in 2006 and during the past 16 years this China NCAP, together with the additional Chinese rating program, CIASI, from 2017, drive Chinese vehicle safety performance and safety content with regards to crashworthiness </w:t>
      </w:r>
      <w:r w:rsidRPr="004B2A77">
        <w:rPr>
          <w:rFonts w:ascii="Arial" w:eastAsia="宋体" w:hAnsi="Arial" w:cs="Arial"/>
          <w:color w:val="000000"/>
          <w:kern w:val="0"/>
          <w:sz w:val="18"/>
          <w:szCs w:val="18"/>
        </w:rPr>
        <w:lastRenderedPageBreak/>
        <w:t xml:space="preserve">and occupant protection. Latin America introduced a basic rating program in 2010 followed by ASEAN NCAP in Southeast Asia in 2011, and Global NCAP is rating vehicles sold in significant emerging markets. Several countries, e.g., Malaysia and Thailand, are increasingly adopting the UN Regulations regarding vehicle safety under the UN 1958 agreement, and Malaysia started a world first motorcycle safety rating program in 2021. </w:t>
      </w:r>
    </w:p>
    <w:p w14:paraId="01CFCA4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United States upgraded its vehicle rating program, US NCAP, in 2010, which now is in the process of being updated by the U.S. National Highway Traffic Safety Administration. Europe upgraded the Euro NCAP rating system during 2018, and is now completing a new upgrade, intended to be fully implemented by 2025. Japan and South Korea are continuously upgrading their respective vehicle rating programs, JNCAP and KNCAP respectively. India requires frontal airbags for the driver from July 2019, and passenger airbags from 2021 for all new passenger vehicles (M1), moreover has announced that side airbags shall become mandatory in 2023. In addition, India has announced that its Bharat NCAP shall start in 2023.</w:t>
      </w:r>
    </w:p>
    <w:p w14:paraId="1B8F3D9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Vehicles with automated driving systems (ADS) are expected to provide additional opportunities through integration of protective safety systems with ADAS technologies, as well as new vehicle interior layouts and seating configurations. This development is likely to become subject to legal requirements.</w:t>
      </w:r>
    </w:p>
    <w:p w14:paraId="6139934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are also other plans for improved automotive safety through new or changed regulations, both in these countries and others that could affect the Company’s market.</w:t>
      </w:r>
      <w:r w:rsidRPr="004B2A77">
        <w:rPr>
          <w:rFonts w:ascii="Arial" w:eastAsia="宋体" w:hAnsi="Arial" w:cs="Arial"/>
          <w:color w:val="000000"/>
          <w:kern w:val="0"/>
          <w:sz w:val="20"/>
          <w:szCs w:val="20"/>
        </w:rPr>
        <w:t xml:space="preserve"> </w:t>
      </w:r>
      <w:r w:rsidRPr="004B2A77">
        <w:rPr>
          <w:rFonts w:ascii="Arial" w:eastAsia="宋体" w:hAnsi="Arial" w:cs="Arial"/>
          <w:color w:val="000000"/>
          <w:kern w:val="0"/>
          <w:sz w:val="18"/>
          <w:szCs w:val="18"/>
        </w:rPr>
        <w:t>However, there can be no assurance that changes in regulations will not adversely affect the demand for the Company’s products or, at least, result in a slower increase in the demand for them.</w:t>
      </w:r>
    </w:p>
    <w:p w14:paraId="78D3229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DEPENDENCE ON CUSTOMERS</w:t>
      </w:r>
    </w:p>
    <w:p w14:paraId="56E1FB7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a result of this highly consolidated market, the Company is dependent on a relatively small number of customers with strong purchasing power. In 2022, the five largest vehicle manufacturers accounted for around 48% of global LVP and the ten largest manufacturers accounted for around 70% of global LVP. In 2022, the Company’s five largest customers accounted for around 49% of consolidated sales and the ten largest customers accounted for around 80% of consolidated sales. The Company's largest customer contract accounted for around 2% of consolidated sales in 2022.</w:t>
      </w:r>
    </w:p>
    <w:p w14:paraId="3679594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1023"/>
        <w:gridCol w:w="394"/>
        <w:gridCol w:w="233"/>
        <w:gridCol w:w="3928"/>
        <w:gridCol w:w="233"/>
        <w:gridCol w:w="394"/>
        <w:gridCol w:w="233"/>
        <w:gridCol w:w="3928"/>
        <w:gridCol w:w="248"/>
      </w:tblGrid>
      <w:tr w:rsidR="004B2A77" w:rsidRPr="004B2A77" w14:paraId="4D865597" w14:textId="77777777" w:rsidTr="004B2A77">
        <w:trPr>
          <w:tblCellSpacing w:w="15" w:type="dxa"/>
        </w:trPr>
        <w:tc>
          <w:tcPr>
            <w:tcW w:w="10994" w:type="dxa"/>
            <w:vAlign w:val="center"/>
            <w:hideMark/>
          </w:tcPr>
          <w:p w14:paraId="6861D599"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65" w:type="dxa"/>
            <w:vAlign w:val="center"/>
            <w:hideMark/>
          </w:tcPr>
          <w:p w14:paraId="0C4C374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62F0AF4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904" w:type="dxa"/>
            <w:vAlign w:val="center"/>
            <w:hideMark/>
          </w:tcPr>
          <w:p w14:paraId="4681EC0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01486DD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65" w:type="dxa"/>
            <w:vAlign w:val="center"/>
            <w:hideMark/>
          </w:tcPr>
          <w:p w14:paraId="52AB55E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120C707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904" w:type="dxa"/>
            <w:vAlign w:val="center"/>
            <w:hideMark/>
          </w:tcPr>
          <w:p w14:paraId="024364D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6E805D40"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7813103" w14:textId="77777777" w:rsidTr="004B2A77">
        <w:trPr>
          <w:trHeight w:val="160"/>
          <w:tblCellSpacing w:w="15" w:type="dxa"/>
        </w:trPr>
        <w:tc>
          <w:tcPr>
            <w:tcW w:w="0" w:type="auto"/>
            <w:tcBorders>
              <w:bottom w:val="single" w:sz="4" w:space="0" w:color="000000"/>
            </w:tcBorders>
            <w:shd w:val="clear" w:color="auto" w:fill="FFFFFF"/>
            <w:vAlign w:val="bottom"/>
            <w:hideMark/>
          </w:tcPr>
          <w:p w14:paraId="358E5DA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Customer</w:t>
            </w:r>
          </w:p>
        </w:tc>
        <w:tc>
          <w:tcPr>
            <w:tcW w:w="0" w:type="auto"/>
            <w:shd w:val="clear" w:color="auto" w:fill="FFFFFF"/>
            <w:vAlign w:val="bottom"/>
            <w:hideMark/>
          </w:tcPr>
          <w:p w14:paraId="31AB49FA"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1341B6C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 of Autoliv sales</w:t>
            </w:r>
          </w:p>
        </w:tc>
        <w:tc>
          <w:tcPr>
            <w:tcW w:w="0" w:type="auto"/>
            <w:shd w:val="clear" w:color="auto" w:fill="FFFFFF"/>
            <w:vAlign w:val="bottom"/>
            <w:hideMark/>
          </w:tcPr>
          <w:p w14:paraId="5B0E3B5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C07A89D"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5CDC5C5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 of Global LVP</w:t>
            </w:r>
            <w:r w:rsidRPr="004B2A77">
              <w:rPr>
                <w:rFonts w:ascii="Arial" w:eastAsia="微软雅黑" w:hAnsi="Arial" w:cs="Arial"/>
                <w:color w:val="000000"/>
                <w:kern w:val="0"/>
                <w:sz w:val="11"/>
                <w:szCs w:val="11"/>
              </w:rPr>
              <w:t>1)</w:t>
            </w:r>
          </w:p>
        </w:tc>
        <w:tc>
          <w:tcPr>
            <w:tcW w:w="0" w:type="auto"/>
            <w:shd w:val="clear" w:color="auto" w:fill="FFFFFF"/>
            <w:vAlign w:val="bottom"/>
            <w:hideMark/>
          </w:tcPr>
          <w:p w14:paraId="0CD020A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2F62ECAF" w14:textId="77777777" w:rsidTr="004B2A77">
        <w:trPr>
          <w:trHeight w:val="180"/>
          <w:tblCellSpacing w:w="15" w:type="dxa"/>
        </w:trPr>
        <w:tc>
          <w:tcPr>
            <w:tcW w:w="0" w:type="auto"/>
            <w:shd w:val="clear" w:color="auto" w:fill="CFF0FC"/>
            <w:vAlign w:val="center"/>
            <w:hideMark/>
          </w:tcPr>
          <w:p w14:paraId="2241F6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Renault/Nissan/Mitsubishi</w:t>
            </w:r>
          </w:p>
        </w:tc>
        <w:tc>
          <w:tcPr>
            <w:tcW w:w="0" w:type="auto"/>
            <w:shd w:val="clear" w:color="auto" w:fill="CFF0FC"/>
            <w:vAlign w:val="bottom"/>
            <w:hideMark/>
          </w:tcPr>
          <w:p w14:paraId="578B8E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1FF7E7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465EC5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CFF0FC"/>
            <w:noWrap/>
            <w:vAlign w:val="center"/>
            <w:hideMark/>
          </w:tcPr>
          <w:p w14:paraId="552819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E6BD1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94026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D17DEC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CFF0FC"/>
            <w:noWrap/>
            <w:vAlign w:val="center"/>
            <w:hideMark/>
          </w:tcPr>
          <w:p w14:paraId="17C9AF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499EA48" w14:textId="77777777" w:rsidTr="004B2A77">
        <w:trPr>
          <w:trHeight w:val="180"/>
          <w:tblCellSpacing w:w="15" w:type="dxa"/>
        </w:trPr>
        <w:tc>
          <w:tcPr>
            <w:tcW w:w="0" w:type="auto"/>
            <w:shd w:val="clear" w:color="auto" w:fill="FFFFFF"/>
            <w:vAlign w:val="center"/>
            <w:hideMark/>
          </w:tcPr>
          <w:p w14:paraId="011EB6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Stellantis</w:t>
            </w:r>
          </w:p>
        </w:tc>
        <w:tc>
          <w:tcPr>
            <w:tcW w:w="0" w:type="auto"/>
            <w:shd w:val="clear" w:color="auto" w:fill="FFFFFF"/>
            <w:vAlign w:val="bottom"/>
            <w:hideMark/>
          </w:tcPr>
          <w:p w14:paraId="124AB2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56A4EB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0FEBD0A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FFFFFF"/>
            <w:noWrap/>
            <w:vAlign w:val="center"/>
            <w:hideMark/>
          </w:tcPr>
          <w:p w14:paraId="64B060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5D74B8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61D4C23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3A2C42F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w:t>
            </w:r>
          </w:p>
        </w:tc>
        <w:tc>
          <w:tcPr>
            <w:tcW w:w="0" w:type="auto"/>
            <w:shd w:val="clear" w:color="auto" w:fill="FFFFFF"/>
            <w:noWrap/>
            <w:vAlign w:val="center"/>
            <w:hideMark/>
          </w:tcPr>
          <w:p w14:paraId="4F1145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D7B7911" w14:textId="77777777" w:rsidTr="004B2A77">
        <w:trPr>
          <w:trHeight w:val="180"/>
          <w:tblCellSpacing w:w="15" w:type="dxa"/>
        </w:trPr>
        <w:tc>
          <w:tcPr>
            <w:tcW w:w="0" w:type="auto"/>
            <w:shd w:val="clear" w:color="auto" w:fill="CFF0FC"/>
            <w:vAlign w:val="center"/>
            <w:hideMark/>
          </w:tcPr>
          <w:p w14:paraId="7FBDC4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VW</w:t>
            </w:r>
          </w:p>
        </w:tc>
        <w:tc>
          <w:tcPr>
            <w:tcW w:w="0" w:type="auto"/>
            <w:shd w:val="clear" w:color="auto" w:fill="CFF0FC"/>
            <w:vAlign w:val="bottom"/>
            <w:hideMark/>
          </w:tcPr>
          <w:p w14:paraId="2E16A5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35D603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6E4A32C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w:t>
            </w:r>
          </w:p>
        </w:tc>
        <w:tc>
          <w:tcPr>
            <w:tcW w:w="0" w:type="auto"/>
            <w:shd w:val="clear" w:color="auto" w:fill="CFF0FC"/>
            <w:noWrap/>
            <w:vAlign w:val="center"/>
            <w:hideMark/>
          </w:tcPr>
          <w:p w14:paraId="2F8A31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3A303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7FD723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B73074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w:t>
            </w:r>
          </w:p>
        </w:tc>
        <w:tc>
          <w:tcPr>
            <w:tcW w:w="0" w:type="auto"/>
            <w:shd w:val="clear" w:color="auto" w:fill="CFF0FC"/>
            <w:noWrap/>
            <w:vAlign w:val="center"/>
            <w:hideMark/>
          </w:tcPr>
          <w:p w14:paraId="06EB57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1F6F3645" w14:textId="77777777" w:rsidTr="004B2A77">
        <w:trPr>
          <w:trHeight w:val="180"/>
          <w:tblCellSpacing w:w="15" w:type="dxa"/>
        </w:trPr>
        <w:tc>
          <w:tcPr>
            <w:tcW w:w="0" w:type="auto"/>
            <w:shd w:val="clear" w:color="auto" w:fill="FFFFFF"/>
            <w:vAlign w:val="center"/>
            <w:hideMark/>
          </w:tcPr>
          <w:p w14:paraId="54E04B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Toyota</w:t>
            </w:r>
          </w:p>
        </w:tc>
        <w:tc>
          <w:tcPr>
            <w:tcW w:w="0" w:type="auto"/>
            <w:shd w:val="clear" w:color="auto" w:fill="FFFFFF"/>
            <w:vAlign w:val="bottom"/>
            <w:hideMark/>
          </w:tcPr>
          <w:p w14:paraId="3BB7B5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1AD83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8A8A84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w:t>
            </w:r>
          </w:p>
        </w:tc>
        <w:tc>
          <w:tcPr>
            <w:tcW w:w="0" w:type="auto"/>
            <w:shd w:val="clear" w:color="auto" w:fill="FFFFFF"/>
            <w:noWrap/>
            <w:vAlign w:val="center"/>
            <w:hideMark/>
          </w:tcPr>
          <w:p w14:paraId="094D64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92288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CD24B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6AA1B3C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13</w:t>
            </w:r>
          </w:p>
        </w:tc>
        <w:tc>
          <w:tcPr>
            <w:tcW w:w="0" w:type="auto"/>
            <w:shd w:val="clear" w:color="auto" w:fill="FFFFFF"/>
            <w:noWrap/>
            <w:vAlign w:val="center"/>
            <w:hideMark/>
          </w:tcPr>
          <w:p w14:paraId="587BC63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5638B8B" w14:textId="77777777" w:rsidTr="004B2A77">
        <w:trPr>
          <w:trHeight w:val="180"/>
          <w:tblCellSpacing w:w="15" w:type="dxa"/>
        </w:trPr>
        <w:tc>
          <w:tcPr>
            <w:tcW w:w="0" w:type="auto"/>
            <w:shd w:val="clear" w:color="auto" w:fill="CFF0FC"/>
            <w:vAlign w:val="center"/>
            <w:hideMark/>
          </w:tcPr>
          <w:p w14:paraId="0881C1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Honda</w:t>
            </w:r>
          </w:p>
        </w:tc>
        <w:tc>
          <w:tcPr>
            <w:tcW w:w="0" w:type="auto"/>
            <w:shd w:val="clear" w:color="auto" w:fill="CFF0FC"/>
            <w:vAlign w:val="bottom"/>
            <w:hideMark/>
          </w:tcPr>
          <w:p w14:paraId="74DD63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6C4397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806312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CFF0FC"/>
            <w:noWrap/>
            <w:vAlign w:val="center"/>
            <w:hideMark/>
          </w:tcPr>
          <w:p w14:paraId="20995D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36A0C1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50314A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E0F8A5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CFF0FC"/>
            <w:noWrap/>
            <w:vAlign w:val="center"/>
            <w:hideMark/>
          </w:tcPr>
          <w:p w14:paraId="053B0C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A9752CE" w14:textId="77777777" w:rsidTr="004B2A77">
        <w:trPr>
          <w:trHeight w:val="180"/>
          <w:tblCellSpacing w:w="15" w:type="dxa"/>
        </w:trPr>
        <w:tc>
          <w:tcPr>
            <w:tcW w:w="0" w:type="auto"/>
            <w:shd w:val="clear" w:color="auto" w:fill="FFFFFF"/>
            <w:vAlign w:val="center"/>
            <w:hideMark/>
          </w:tcPr>
          <w:p w14:paraId="16ED1C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Ford</w:t>
            </w:r>
          </w:p>
        </w:tc>
        <w:tc>
          <w:tcPr>
            <w:tcW w:w="0" w:type="auto"/>
            <w:shd w:val="clear" w:color="auto" w:fill="FFFFFF"/>
            <w:vAlign w:val="bottom"/>
            <w:hideMark/>
          </w:tcPr>
          <w:p w14:paraId="2175CA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3EE639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13B117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FFFFFF"/>
            <w:noWrap/>
            <w:vAlign w:val="center"/>
            <w:hideMark/>
          </w:tcPr>
          <w:p w14:paraId="7219FF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6A6653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729673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10DD075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w:t>
            </w:r>
          </w:p>
        </w:tc>
        <w:tc>
          <w:tcPr>
            <w:tcW w:w="0" w:type="auto"/>
            <w:shd w:val="clear" w:color="auto" w:fill="FFFFFF"/>
            <w:noWrap/>
            <w:vAlign w:val="center"/>
            <w:hideMark/>
          </w:tcPr>
          <w:p w14:paraId="0A6EE0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FA4774C" w14:textId="77777777" w:rsidTr="004B2A77">
        <w:trPr>
          <w:trHeight w:val="180"/>
          <w:tblCellSpacing w:w="15" w:type="dxa"/>
        </w:trPr>
        <w:tc>
          <w:tcPr>
            <w:tcW w:w="0" w:type="auto"/>
            <w:shd w:val="clear" w:color="auto" w:fill="CFF0FC"/>
            <w:vAlign w:val="center"/>
            <w:hideMark/>
          </w:tcPr>
          <w:p w14:paraId="7A5086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Hyundai</w:t>
            </w:r>
          </w:p>
        </w:tc>
        <w:tc>
          <w:tcPr>
            <w:tcW w:w="0" w:type="auto"/>
            <w:shd w:val="clear" w:color="auto" w:fill="CFF0FC"/>
            <w:vAlign w:val="bottom"/>
            <w:hideMark/>
          </w:tcPr>
          <w:p w14:paraId="7E3632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003EE6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8245A6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w:t>
            </w:r>
          </w:p>
        </w:tc>
        <w:tc>
          <w:tcPr>
            <w:tcW w:w="0" w:type="auto"/>
            <w:shd w:val="clear" w:color="auto" w:fill="CFF0FC"/>
            <w:noWrap/>
            <w:vAlign w:val="center"/>
            <w:hideMark/>
          </w:tcPr>
          <w:p w14:paraId="75AC2B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91879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6AEBBD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70D89C1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9</w:t>
            </w:r>
          </w:p>
        </w:tc>
        <w:tc>
          <w:tcPr>
            <w:tcW w:w="0" w:type="auto"/>
            <w:shd w:val="clear" w:color="auto" w:fill="CFF0FC"/>
            <w:noWrap/>
            <w:vAlign w:val="center"/>
            <w:hideMark/>
          </w:tcPr>
          <w:p w14:paraId="40EA17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4708FAB" w14:textId="77777777" w:rsidTr="004B2A77">
        <w:trPr>
          <w:trHeight w:val="180"/>
          <w:tblCellSpacing w:w="15" w:type="dxa"/>
        </w:trPr>
        <w:tc>
          <w:tcPr>
            <w:tcW w:w="0" w:type="auto"/>
            <w:shd w:val="clear" w:color="auto" w:fill="FFFFFF"/>
            <w:vAlign w:val="center"/>
            <w:hideMark/>
          </w:tcPr>
          <w:p w14:paraId="138192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General Motors</w:t>
            </w:r>
          </w:p>
        </w:tc>
        <w:tc>
          <w:tcPr>
            <w:tcW w:w="0" w:type="auto"/>
            <w:shd w:val="clear" w:color="auto" w:fill="FFFFFF"/>
            <w:vAlign w:val="bottom"/>
            <w:hideMark/>
          </w:tcPr>
          <w:p w14:paraId="6CD099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1993A66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5063B75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w:t>
            </w:r>
          </w:p>
        </w:tc>
        <w:tc>
          <w:tcPr>
            <w:tcW w:w="0" w:type="auto"/>
            <w:shd w:val="clear" w:color="auto" w:fill="FFFFFF"/>
            <w:noWrap/>
            <w:vAlign w:val="center"/>
            <w:hideMark/>
          </w:tcPr>
          <w:p w14:paraId="1C7CD9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CA912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7D46D6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1A66B8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w:t>
            </w:r>
          </w:p>
        </w:tc>
        <w:tc>
          <w:tcPr>
            <w:tcW w:w="0" w:type="auto"/>
            <w:shd w:val="clear" w:color="auto" w:fill="FFFFFF"/>
            <w:noWrap/>
            <w:vAlign w:val="center"/>
            <w:hideMark/>
          </w:tcPr>
          <w:p w14:paraId="087751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7F3CBE9" w14:textId="77777777" w:rsidTr="004B2A77">
        <w:trPr>
          <w:trHeight w:val="180"/>
          <w:tblCellSpacing w:w="15" w:type="dxa"/>
        </w:trPr>
        <w:tc>
          <w:tcPr>
            <w:tcW w:w="0" w:type="auto"/>
            <w:shd w:val="clear" w:color="auto" w:fill="CFF0FC"/>
            <w:vAlign w:val="center"/>
            <w:hideMark/>
          </w:tcPr>
          <w:p w14:paraId="4D4478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Major EV maker</w:t>
            </w:r>
          </w:p>
        </w:tc>
        <w:tc>
          <w:tcPr>
            <w:tcW w:w="0" w:type="auto"/>
            <w:shd w:val="clear" w:color="auto" w:fill="CFF0FC"/>
            <w:vAlign w:val="bottom"/>
            <w:hideMark/>
          </w:tcPr>
          <w:p w14:paraId="56DB16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2DFF12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2D7F0C7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CFF0FC"/>
            <w:noWrap/>
            <w:vAlign w:val="center"/>
            <w:hideMark/>
          </w:tcPr>
          <w:p w14:paraId="7E0D29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A0AC7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center"/>
            <w:hideMark/>
          </w:tcPr>
          <w:p w14:paraId="6AA624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center"/>
            <w:hideMark/>
          </w:tcPr>
          <w:p w14:paraId="02D9C17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w:t>
            </w:r>
          </w:p>
        </w:tc>
        <w:tc>
          <w:tcPr>
            <w:tcW w:w="0" w:type="auto"/>
            <w:shd w:val="clear" w:color="auto" w:fill="CFF0FC"/>
            <w:noWrap/>
            <w:vAlign w:val="center"/>
            <w:hideMark/>
          </w:tcPr>
          <w:p w14:paraId="76DEAF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DFE5690" w14:textId="77777777" w:rsidTr="004B2A77">
        <w:trPr>
          <w:trHeight w:val="180"/>
          <w:tblCellSpacing w:w="15" w:type="dxa"/>
        </w:trPr>
        <w:tc>
          <w:tcPr>
            <w:tcW w:w="0" w:type="auto"/>
            <w:shd w:val="clear" w:color="auto" w:fill="FFFFFF"/>
            <w:vAlign w:val="center"/>
            <w:hideMark/>
          </w:tcPr>
          <w:p w14:paraId="3EE283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BMW</w:t>
            </w:r>
          </w:p>
        </w:tc>
        <w:tc>
          <w:tcPr>
            <w:tcW w:w="0" w:type="auto"/>
            <w:shd w:val="clear" w:color="auto" w:fill="FFFFFF"/>
            <w:vAlign w:val="bottom"/>
            <w:hideMark/>
          </w:tcPr>
          <w:p w14:paraId="12E67D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2F5DFC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43B7EDD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w:t>
            </w:r>
          </w:p>
        </w:tc>
        <w:tc>
          <w:tcPr>
            <w:tcW w:w="0" w:type="auto"/>
            <w:shd w:val="clear" w:color="auto" w:fill="FFFFFF"/>
            <w:noWrap/>
            <w:vAlign w:val="center"/>
            <w:hideMark/>
          </w:tcPr>
          <w:p w14:paraId="022BE8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697FCA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center"/>
            <w:hideMark/>
          </w:tcPr>
          <w:p w14:paraId="66859F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center"/>
            <w:hideMark/>
          </w:tcPr>
          <w:p w14:paraId="2F57054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FFFFFF"/>
            <w:noWrap/>
            <w:vAlign w:val="center"/>
            <w:hideMark/>
          </w:tcPr>
          <w:p w14:paraId="387224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bl>
    <w:p w14:paraId="714B7EF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lastRenderedPageBreak/>
        <w:t xml:space="preserve">1) Source: S&amp;P Global </w:t>
      </w:r>
    </w:p>
    <w:p w14:paraId="7852D3D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Although business with every major customer is split into at least several contracts (usually one contract per vehicle platform) and although the customer base has become more balanced and diversified as a result of the Company's significant expansion in China and other rapidly-growing markets, the loss of all business from a major customer (whether by a cancellation of existing contracts or not awarding Autoliv new business), the consolidation of one or more major customers or a bankruptcy of a major customer could have a material adverse effect on the Company. In addition, a quality issue, shortcomings in the Company's service to a customer or uncompetitive prices or products could result in the customer not awarding the Company new business, which will gradually have a negative impact on the Company's sales when current contracts start to expire.</w:t>
      </w:r>
    </w:p>
    <w:p w14:paraId="1C95168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also Note 20, Segment Information, to the Consolidated Financial Statements included herein.</w:t>
      </w:r>
    </w:p>
    <w:p w14:paraId="1E8D060B"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232D89C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45</w:t>
      </w:r>
    </w:p>
    <w:p w14:paraId="250C1A9F"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E8373B5">
          <v:rect id="_x0000_i1072" style="width:0;height:1.5pt" o:hralign="center" o:hrstd="t" o:hrnoshade="t" o:hr="t" fillcolor="black" stroked="f"/>
        </w:pict>
      </w:r>
    </w:p>
    <w:p w14:paraId="5C66127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2E01F4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CUSTOMER PAYMENT RISK</w:t>
      </w:r>
    </w:p>
    <w:p w14:paraId="7B1BABE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Another risk related to the Company's customers is the risk that one or more of its customers will be unable to pay their invoices that become due. The Company seeks to limit this customer payment risk by invoicing its major customers through their local subsidiaries in each country, even for global contracts. By invoicing this way, the Company attempts to avoid having the receivables with a multinational customer group exposed to the risk that a bankruptcy or similar event in one country would put all receivables with such customer group at risk. In each country, the Company also monitors invoices becoming overdue.</w:t>
      </w:r>
    </w:p>
    <w:p w14:paraId="6F9F561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Even so, if a major customer is unable to fulfill its payment obligations, it is likely that the Company would be forced to record a substantial loss on such receivables.</w:t>
      </w:r>
    </w:p>
    <w:p w14:paraId="4EB7D7E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DEPENDENCE ON SUPPLIERS</w:t>
      </w:r>
    </w:p>
    <w:p w14:paraId="7DE371E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relies on internal and/or external suppliers in order to meet its delivery commitments to the customers. In some cases, suppliers are dictated by the customers. The Company's supply chain organization continually reviews sourcing risks and actively works on mitigating related supply chain risks.</w:t>
      </w:r>
    </w:p>
    <w:p w14:paraId="19952D0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ambition is to maintain an optimal number of suppliers in all significant component technologies.</w:t>
      </w:r>
    </w:p>
    <w:p w14:paraId="0AECCF9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NEW COMPETITION</w:t>
      </w:r>
    </w:p>
    <w:p w14:paraId="39E4A53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Increased competition may result in price reductions, reduced margins and the Company's inability to gain or hold market share. OEMs rigorously evaluate suppliers on the basis of product quality, price, reliability and delivery as well as engineering capabilities, technical expertise, product innovation, financial viability, application of lean principles, operational flexibility, customer service, and overall management. To maintain the Company's competitiveness and position as a market leader, it is important to focus on all of these aspects of supplier evaluation and selection. </w:t>
      </w:r>
    </w:p>
    <w:p w14:paraId="13A385F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Although the market for occupant restraint systems has undergone a significant consolidation during the past ten years, the passive safety market remains very competitive. It cannot be excluded that additional competitors, both global and local, will seek to enter the market or grow beyond their current Keiretsu group or traditional customer base. Particularly in China, South Korea, and Japan there are numerous small domestic competitors often supplying just one OEM group.</w:t>
      </w:r>
    </w:p>
    <w:p w14:paraId="035699F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PATENTS AND PROPRIETARY TECHNOLOGY</w:t>
      </w:r>
    </w:p>
    <w:p w14:paraId="2C5E492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strategy is to protect its innovations with patents, and to vigorously protect and defend its patents, trademarks, and know-how against infringement and unauthorized use. At the end of 2022, the Company held more than 6,600 patents and patents applications. These patents expire on various dates during the period from 2023 to 2042. The expiration of any single patent is not expected to have a material adverse effect on the Company’s financial results.</w:t>
      </w:r>
    </w:p>
    <w:p w14:paraId="3829AA5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Although the Company believes that its products and technology do not infringe upon the proprietary rights of others, there can be no assurance that third parties will not assert infringement claims against the Company in the future. Also, there can be no assurance that any patent now owned by the Company will afford protection against competitors that develop similar technology. As the Company continues to expand its products and expand into new businesses, it will increase its exposure to intellectual property claims.</w:t>
      </w:r>
    </w:p>
    <w:p w14:paraId="3177F25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 xml:space="preserve">Financial Risks </w:t>
      </w:r>
    </w:p>
    <w:p w14:paraId="6199CD2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exposed to financial risks through its operations. To reduce the financial risks and to take advantage of economies of scale, the Company has a central treasury department supporting operations and management. The treasury department handles external financial transactions and functions as the Company’s in-house bank for its subsidiaries.</w:t>
      </w:r>
    </w:p>
    <w:p w14:paraId="646106B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Board of Directors monitors compliance with the financial risk policy on an on-going basis. For information about specific financial risks, see Item 7A – Quantitative and Qualitative Disclosures about Market Risk.</w:t>
      </w:r>
    </w:p>
    <w:p w14:paraId="794AC23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440992D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46</w:t>
      </w:r>
    </w:p>
    <w:p w14:paraId="3E54353A"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3FAB0EF">
          <v:rect id="_x0000_i1073" style="width:0;height:1.5pt" o:hralign="center" o:hrstd="t" o:hrnoshade="t" o:hr="t" fillcolor="black" stroked="f"/>
        </w:pict>
      </w:r>
    </w:p>
    <w:p w14:paraId="3F8ABF1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8D1F16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 xml:space="preserve">Significant Accounting Policies and Critical Accounting Estimates </w:t>
      </w:r>
    </w:p>
    <w:p w14:paraId="3927F08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NEW ACCOUNTING STANDARDS</w:t>
      </w:r>
    </w:p>
    <w:p w14:paraId="4C42AC7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considered all applicable recently issued accounting standards. The Company has summarized in Note 2, Summary of Significant Accounting Policies, to the Consolidated Financial Statements each of the recently issued accounting standards and stated the impact or whether management is continuing to assess the impact.</w:t>
      </w:r>
    </w:p>
    <w:p w14:paraId="34DFAAD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APPLICATION OF CRITICAL ACCOUNTING POLICIES</w:t>
      </w:r>
    </w:p>
    <w:p w14:paraId="03A926B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Company’s significant accounting policies are disclosed in Note 2, Summary of Significant Accounting Policies, to the Consolidated Financial Statements included herein. Senior management has discussed the development and selection of critical accounting estimates and disclosures with the Audit Committee of the Board of Directors. The application of accounting policies necessarily requires judgments and the use of estimates by a Company’s management. Actual results could differ from these estimates. By their nature, these judgments are subject to an inherent degree of uncertainty. These judgments are based on the Company's historical experience, terms of existing contracts, and management’s evaluation of trends in the industry, information provided by the Company's customers and information available from other outside sources, as appropriate. The Company considers an accounting estimate to be critical if:</w:t>
      </w:r>
    </w:p>
    <w:p w14:paraId="0B3EE797" w14:textId="77777777" w:rsidR="004B2A77" w:rsidRPr="004B2A77" w:rsidRDefault="004B2A77" w:rsidP="004B2A77">
      <w:pPr>
        <w:widowControl/>
        <w:rPr>
          <w:rFonts w:ascii="微软雅黑" w:eastAsia="微软雅黑" w:hAnsi="微软雅黑" w:cs="宋体"/>
          <w:color w:val="000000"/>
          <w:kern w:val="0"/>
          <w:sz w:val="27"/>
          <w:szCs w:val="27"/>
        </w:rPr>
      </w:pPr>
      <w:r w:rsidRPr="004B2A77">
        <w:rPr>
          <w:rFonts w:ascii="Times New Roman" w:eastAsia="微软雅黑" w:hAnsi="Times New Roman" w:cs="Times New Roman"/>
          <w:color w:val="000000"/>
          <w:kern w:val="0"/>
          <w:sz w:val="18"/>
          <w:szCs w:val="18"/>
        </w:rPr>
        <w:t>•</w:t>
      </w:r>
    </w:p>
    <w:p w14:paraId="07474CAC"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It requires management to make assumptions about matters that were uncertain at the time of the estimate, and</w:t>
      </w:r>
    </w:p>
    <w:p w14:paraId="55551A8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3CE7A827"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Changes in the estimate or different estimates that could have been selected would have had a material impact on the Company's financial condition or results of operations. The accounting estimates that require management’s most significant judgments include the estimation of variable considerations, assessment of recoverability of goodwill and intangible assets, estimation of pension benefit obligations based on actuarial assumptions, estimation of accruals for warranty and recalls, restructuring charges, uncertain tax positions, valuation allowances and legal proceedings.</w:t>
      </w:r>
    </w:p>
    <w:p w14:paraId="1E2AA45B" w14:textId="77777777" w:rsidR="004B2A77" w:rsidRPr="004B2A77" w:rsidRDefault="004B2A77" w:rsidP="004B2A77">
      <w:pPr>
        <w:widowControl/>
        <w:spacing w:before="120"/>
        <w:rPr>
          <w:rFonts w:ascii="Times New Roman" w:eastAsia="宋体" w:hAnsi="Times New Roman" w:cs="Times New Roman" w:hint="eastAsia"/>
          <w:color w:val="000000"/>
          <w:kern w:val="0"/>
          <w:sz w:val="20"/>
          <w:szCs w:val="20"/>
        </w:rPr>
      </w:pPr>
      <w:r w:rsidRPr="004B2A77">
        <w:rPr>
          <w:rFonts w:ascii="Arial" w:eastAsia="宋体" w:hAnsi="Arial" w:cs="Arial"/>
          <w:color w:val="000000"/>
          <w:kern w:val="0"/>
          <w:sz w:val="18"/>
          <w:szCs w:val="18"/>
        </w:rPr>
        <w:t>The Company has summarized its critical accounting policies requiring judgment below. These might change over time based on the current facts and circumstances.</w:t>
      </w:r>
    </w:p>
    <w:p w14:paraId="64EFF5C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REVENUE RECOGNITION</w:t>
      </w:r>
    </w:p>
    <w:p w14:paraId="64B4880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accordance with ASC 606, </w:t>
      </w:r>
      <w:r w:rsidRPr="004B2A77">
        <w:rPr>
          <w:rFonts w:ascii="Arial" w:eastAsia="宋体" w:hAnsi="Arial" w:cs="Arial"/>
          <w:i/>
          <w:iCs/>
          <w:color w:val="000000"/>
          <w:kern w:val="0"/>
          <w:sz w:val="18"/>
          <w:szCs w:val="18"/>
        </w:rPr>
        <w:t>Revenue from Contracts with Customers</w:t>
      </w:r>
      <w:r w:rsidRPr="004B2A77">
        <w:rPr>
          <w:rFonts w:ascii="Arial" w:eastAsia="宋体" w:hAnsi="Arial" w:cs="Arial"/>
          <w:color w:val="000000"/>
          <w:kern w:val="0"/>
          <w:sz w:val="18"/>
          <w:szCs w:val="18"/>
        </w:rPr>
        <w:t>, revenue is measured based on consideration specified in a contract with a customer, adjusted for any variable consideration (i.e. price concessions) and estimated at contract inception. The estimated amount of variable consideration that will be received by the Company are based on historical experience and trends, management´s understanding of the status of negotiations with customers and anticipated future pricing strategies. The Company recognizes revenue when it satisfies a performance obligation by transferring control over a product to a customer.</w:t>
      </w:r>
    </w:p>
    <w:p w14:paraId="7CD3E30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addition, from time to time, the Company may make payments to customers in connection with ongoing and future business. These payments to customers are generally recognized as a reduction to revenue at the time of the commitment to make these payments unless the payment concession can be clearly linked to the future business award. If the payments are capitalized, the amounts are amortized to revenue as the related goods are transferred.</w:t>
      </w:r>
    </w:p>
    <w:p w14:paraId="67B9D6B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INVENTORY RESERVES</w:t>
      </w:r>
    </w:p>
    <w:p w14:paraId="5F6E190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Inventories are evaluated based on individual or, in some cases, groups of inventory items. Reserves are established to reduce the value of inventories to the lower of cost or net realizable value. Net realizable value is the estimated selling prices in the ordinary course of business, less reasonably predictable costs of completion, disposal and transportation. Excess inventories are quantities of items that exceed anticipated sales or usage for a reasonable period. The Company has guidelines for calculating provisions for excess inventories based on the number of months of inventories on hand compared to anticipated </w:t>
      </w:r>
      <w:r w:rsidRPr="004B2A77">
        <w:rPr>
          <w:rFonts w:ascii="Arial" w:eastAsia="宋体" w:hAnsi="Arial" w:cs="Arial"/>
          <w:color w:val="000000"/>
          <w:kern w:val="0"/>
          <w:sz w:val="18"/>
          <w:szCs w:val="18"/>
        </w:rPr>
        <w:lastRenderedPageBreak/>
        <w:t>sales or usage. Management uses its judgment to forecast sales or usage and to determine what constitutes a reasonable period.</w:t>
      </w:r>
    </w:p>
    <w:p w14:paraId="1DC3A58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can be no assurance that the amount ultimately realized for inventories will not be materially different than that assumed in the calculation of the reserves.</w:t>
      </w:r>
    </w:p>
    <w:p w14:paraId="75B2AA9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GOODWILL </w:t>
      </w:r>
    </w:p>
    <w:p w14:paraId="6246A48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performs an annual impairment test of goodwill in the fourth quarter of each year following the Company’s annual forecasting process. As of October 2022 the Company concluded that there were no impairments of goodwill. For further information, see Note 2, Summary of Significant Accounting Policies, to the Consolidated Financial Statements.</w:t>
      </w:r>
    </w:p>
    <w:p w14:paraId="4B2230FF"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47</w:t>
      </w:r>
    </w:p>
    <w:p w14:paraId="79BE86B1"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36293EC">
          <v:rect id="_x0000_i1074" style="width:0;height:1.5pt" o:hralign="center" o:hrstd="t" o:hrnoshade="t" o:hr="t" fillcolor="black" stroked="f"/>
        </w:pict>
      </w:r>
    </w:p>
    <w:p w14:paraId="1D422F4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F1BD3A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RECALL PROVISIONS AND WARRANTY OBLIGATIONS</w:t>
      </w:r>
    </w:p>
    <w:p w14:paraId="3993EEA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records liabilities for product recalls when probable claims are identified and when it is possible to reasonably estimate costs. Recall costs are costs incurred when the customer decides to formally recall a product due to a known or suspected safety concern. Product recall costs are estimated based on the expected cost of replacing the product and the customer´s cost of carrying out the recall, which is affected by the number of vehicles subject to recall and the cost of labor and materials to remove and replace the defective product. 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The Company’s insurance policies generally include coverage of the costs of a recall, although costs related to replacement parts are generally not covered. Actual costs incurred could differ from the amounts estimated, requiring adjustments to these reserves in future periods. It is possible that changes in our assumptions or future product recall issues could materially affect our financial position, results of operations or cash flows.</w:t>
      </w:r>
    </w:p>
    <w:p w14:paraId="7B3885D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Estimating warranty obligations requires the Company to forecast the resolution of existing claims and expected future claims on products sold. The Company bases the estimate on historical trends of units sold and payment amounts, combined with our current understanding of the status of existing claims and discussions with our customers. These estimates are re-evaluated on an ongoing basis. Actual warranty obligations could differ from the amounts estimated requiring adjustments to existing reserves in future periods. Due to the uncertainty and potential volatility of the factors contributing to developing these estimates, changes in our assumptions could materially affect our results of operations.</w:t>
      </w:r>
    </w:p>
    <w:p w14:paraId="42727F6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RESTRUCTURING PROVISIONS</w:t>
      </w:r>
    </w:p>
    <w:p w14:paraId="3D8DD88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defines restructuring expense to include costs directly associated with capacity alignment programs, plus exit or disposal activities. Estimates of restructuring charges are based on information available at the time such charges are recorded. In general, management anticipates that restructuring activities will be completed within a time frame such that significant changes to the exit plan are not likely.</w:t>
      </w:r>
    </w:p>
    <w:p w14:paraId="05B770A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Due to inherent uncertainty involved in estimating restructuring expenses, actual amounts paid for such activities may differ from amounts initially estimated.</w:t>
      </w:r>
    </w:p>
    <w:p w14:paraId="696A964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DEFINED BENEFIT PENSION PLANS</w:t>
      </w:r>
    </w:p>
    <w:p w14:paraId="3915190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defined benefit pension plans in thirteen countries. The most significant plans exist in the U.S. These U.S. plans represent approximately 54% of the Company’s total pension benefit obligation. See Note 18, Retirement Plans to the Consolidated Financial Statements included herein.</w:t>
      </w:r>
    </w:p>
    <w:p w14:paraId="796E3AE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in consultation with its actuarial advisors, determines certain key assumptions to be used in calculating the projected benefit obligation and annual pension expense. For the U.S. plans, the assumptions used for calculating the 2022 pension expense were a discount rate of 2.77% and an expected long-term rate of return on plan assets of 5.05%.</w:t>
      </w:r>
    </w:p>
    <w:p w14:paraId="14D7429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assumptions used in calculating the U.S. benefit obligations disclosed as of December 31, 2022 were a discount rate of 5.41%. The discount rate for the U.S. plans has been set based on the rates of return of high-quality fixed-income investments currently available at the measurement date and are expected to be available during the period the benefits will be paid. The expected rate of long-term return on plan assets are determined based on a number of factors and must take into account long-term expectations and reflect the financial environment in the respective local markets. At December 31, 2022, 23% of the U.S. plan assets were invested in equities, which is below the target of 40%.</w:t>
      </w:r>
    </w:p>
    <w:p w14:paraId="21230A4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table below illustrates the sensitivity of the U.S. net periodic benefit cost and projected U.S. benefit obligation to a 1pp change in the discount rate and decrease in return on plan assets for the U.S. plans (in millions). The use of actuarial assumptions is an area of management’s estimate.</w:t>
      </w:r>
    </w:p>
    <w:p w14:paraId="584D203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8726"/>
        <w:gridCol w:w="455"/>
        <w:gridCol w:w="3180"/>
        <w:gridCol w:w="455"/>
        <w:gridCol w:w="232"/>
        <w:gridCol w:w="3054"/>
        <w:gridCol w:w="232"/>
        <w:gridCol w:w="457"/>
        <w:gridCol w:w="232"/>
        <w:gridCol w:w="3343"/>
        <w:gridCol w:w="248"/>
      </w:tblGrid>
      <w:tr w:rsidR="004B2A77" w:rsidRPr="004B2A77" w14:paraId="2DA0D49F" w14:textId="77777777" w:rsidTr="004B2A77">
        <w:trPr>
          <w:tblCellSpacing w:w="15" w:type="dxa"/>
        </w:trPr>
        <w:tc>
          <w:tcPr>
            <w:tcW w:w="8695" w:type="dxa"/>
            <w:vAlign w:val="center"/>
            <w:hideMark/>
          </w:tcPr>
          <w:p w14:paraId="21D93466"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426" w:type="dxa"/>
            <w:vAlign w:val="center"/>
            <w:hideMark/>
          </w:tcPr>
          <w:p w14:paraId="24BBE7C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54" w:type="dxa"/>
            <w:vAlign w:val="center"/>
            <w:hideMark/>
          </w:tcPr>
          <w:p w14:paraId="57B8668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26" w:type="dxa"/>
            <w:vAlign w:val="center"/>
            <w:hideMark/>
          </w:tcPr>
          <w:p w14:paraId="58425F0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054541E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28" w:type="dxa"/>
            <w:vAlign w:val="center"/>
            <w:hideMark/>
          </w:tcPr>
          <w:p w14:paraId="4CFEF08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6B5E0CD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28" w:type="dxa"/>
            <w:vAlign w:val="center"/>
            <w:hideMark/>
          </w:tcPr>
          <w:p w14:paraId="121F448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5494164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318" w:type="dxa"/>
            <w:vAlign w:val="center"/>
            <w:hideMark/>
          </w:tcPr>
          <w:p w14:paraId="50268C1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71D904FA"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8113D16" w14:textId="77777777" w:rsidTr="004B2A77">
        <w:trPr>
          <w:trHeight w:val="160"/>
          <w:tblCellSpacing w:w="15" w:type="dxa"/>
        </w:trPr>
        <w:tc>
          <w:tcPr>
            <w:tcW w:w="0" w:type="auto"/>
            <w:shd w:val="clear" w:color="auto" w:fill="FFFFFF"/>
            <w:vAlign w:val="bottom"/>
            <w:hideMark/>
          </w:tcPr>
          <w:p w14:paraId="0E099D86"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Assumption</w:t>
            </w:r>
            <w:r w:rsidRPr="004B2A77">
              <w:rPr>
                <w:rFonts w:ascii="Arial" w:eastAsia="微软雅黑" w:hAnsi="Arial" w:cs="Arial"/>
                <w:b/>
                <w:bCs/>
                <w:color w:val="000000"/>
                <w:kern w:val="0"/>
                <w:sz w:val="16"/>
                <w:szCs w:val="16"/>
                <w:u w:val="single"/>
              </w:rPr>
              <w:br/>
              <w:t>(in millions)</w:t>
            </w:r>
          </w:p>
        </w:tc>
        <w:tc>
          <w:tcPr>
            <w:tcW w:w="0" w:type="auto"/>
            <w:shd w:val="clear" w:color="auto" w:fill="FFFFFF"/>
            <w:vAlign w:val="bottom"/>
            <w:hideMark/>
          </w:tcPr>
          <w:p w14:paraId="21ECD547"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000000"/>
            </w:tcBorders>
            <w:shd w:val="clear" w:color="auto" w:fill="FFFFFF"/>
            <w:vAlign w:val="bottom"/>
            <w:hideMark/>
          </w:tcPr>
          <w:p w14:paraId="15BED61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Change</w:t>
            </w:r>
          </w:p>
        </w:tc>
        <w:tc>
          <w:tcPr>
            <w:tcW w:w="0" w:type="auto"/>
            <w:shd w:val="clear" w:color="auto" w:fill="FFFFFF"/>
            <w:vAlign w:val="bottom"/>
            <w:hideMark/>
          </w:tcPr>
          <w:p w14:paraId="55280D4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C91CC8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 net</w:t>
            </w:r>
            <w:r w:rsidRPr="004B2A77">
              <w:rPr>
                <w:rFonts w:ascii="Arial" w:eastAsia="微软雅黑" w:hAnsi="Arial" w:cs="Arial"/>
                <w:b/>
                <w:bCs/>
                <w:color w:val="000000"/>
                <w:kern w:val="0"/>
                <w:sz w:val="16"/>
                <w:szCs w:val="16"/>
              </w:rPr>
              <w:br/>
              <w:t>periodic</w:t>
            </w:r>
            <w:r w:rsidRPr="004B2A77">
              <w:rPr>
                <w:rFonts w:ascii="Arial" w:eastAsia="微软雅黑" w:hAnsi="Arial" w:cs="Arial"/>
                <w:b/>
                <w:bCs/>
                <w:color w:val="000000"/>
                <w:kern w:val="0"/>
                <w:sz w:val="16"/>
                <w:szCs w:val="16"/>
              </w:rPr>
              <w:br/>
              <w:t>benefit</w:t>
            </w:r>
            <w:r w:rsidRPr="004B2A77">
              <w:rPr>
                <w:rFonts w:ascii="Arial" w:eastAsia="微软雅黑" w:hAnsi="Arial" w:cs="Arial"/>
                <w:b/>
                <w:bCs/>
                <w:color w:val="000000"/>
                <w:kern w:val="0"/>
                <w:sz w:val="16"/>
                <w:szCs w:val="16"/>
              </w:rPr>
              <w:br/>
              <w:t>cost increase</w:t>
            </w:r>
            <w:r w:rsidRPr="004B2A77">
              <w:rPr>
                <w:rFonts w:ascii="Arial" w:eastAsia="微软雅黑" w:hAnsi="Arial" w:cs="Arial"/>
                <w:b/>
                <w:bCs/>
                <w:color w:val="000000"/>
                <w:kern w:val="0"/>
                <w:sz w:val="16"/>
                <w:szCs w:val="16"/>
              </w:rPr>
              <w:br/>
              <w:t>(decrease)</w:t>
            </w:r>
          </w:p>
        </w:tc>
        <w:tc>
          <w:tcPr>
            <w:tcW w:w="0" w:type="auto"/>
            <w:shd w:val="clear" w:color="auto" w:fill="FFFFFF"/>
            <w:vAlign w:val="bottom"/>
            <w:hideMark/>
          </w:tcPr>
          <w:p w14:paraId="00606DA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E5B570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126FD6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 projected</w:t>
            </w:r>
            <w:r w:rsidRPr="004B2A77">
              <w:rPr>
                <w:rFonts w:ascii="Arial" w:eastAsia="微软雅黑" w:hAnsi="Arial" w:cs="Arial"/>
                <w:b/>
                <w:bCs/>
                <w:color w:val="000000"/>
                <w:kern w:val="0"/>
                <w:sz w:val="16"/>
                <w:szCs w:val="16"/>
              </w:rPr>
              <w:br/>
              <w:t>benefit</w:t>
            </w:r>
            <w:r w:rsidRPr="004B2A77">
              <w:rPr>
                <w:rFonts w:ascii="Arial" w:eastAsia="微软雅黑" w:hAnsi="Arial" w:cs="Arial"/>
                <w:b/>
                <w:bCs/>
                <w:color w:val="000000"/>
                <w:kern w:val="0"/>
                <w:sz w:val="16"/>
                <w:szCs w:val="16"/>
              </w:rPr>
              <w:br/>
              <w:t>obligation</w:t>
            </w:r>
            <w:r w:rsidRPr="004B2A77">
              <w:rPr>
                <w:rFonts w:ascii="Arial" w:eastAsia="微软雅黑" w:hAnsi="Arial" w:cs="Arial"/>
                <w:b/>
                <w:bCs/>
                <w:color w:val="000000"/>
                <w:kern w:val="0"/>
                <w:sz w:val="16"/>
                <w:szCs w:val="16"/>
              </w:rPr>
              <w:br/>
              <w:t>increase</w:t>
            </w:r>
            <w:r w:rsidRPr="004B2A77">
              <w:rPr>
                <w:rFonts w:ascii="Arial" w:eastAsia="微软雅黑" w:hAnsi="Arial" w:cs="Arial"/>
                <w:b/>
                <w:bCs/>
                <w:color w:val="000000"/>
                <w:kern w:val="0"/>
                <w:sz w:val="16"/>
                <w:szCs w:val="16"/>
              </w:rPr>
              <w:br/>
              <w:t>(decrease)</w:t>
            </w:r>
          </w:p>
        </w:tc>
        <w:tc>
          <w:tcPr>
            <w:tcW w:w="0" w:type="auto"/>
            <w:shd w:val="clear" w:color="auto" w:fill="FFFFFF"/>
            <w:vAlign w:val="bottom"/>
            <w:hideMark/>
          </w:tcPr>
          <w:p w14:paraId="2FD3B69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4F4FA27F" w14:textId="77777777" w:rsidTr="004B2A77">
        <w:trPr>
          <w:trHeight w:val="180"/>
          <w:tblCellSpacing w:w="15" w:type="dxa"/>
        </w:trPr>
        <w:tc>
          <w:tcPr>
            <w:tcW w:w="0" w:type="auto"/>
            <w:shd w:val="clear" w:color="auto" w:fill="CFF0FC"/>
            <w:vAlign w:val="bottom"/>
            <w:hideMark/>
          </w:tcPr>
          <w:p w14:paraId="78615A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Discount rate</w:t>
            </w:r>
          </w:p>
        </w:tc>
        <w:tc>
          <w:tcPr>
            <w:tcW w:w="0" w:type="auto"/>
            <w:shd w:val="clear" w:color="auto" w:fill="CFF0FC"/>
            <w:vAlign w:val="bottom"/>
            <w:hideMark/>
          </w:tcPr>
          <w:p w14:paraId="49DD5E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C88A40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1pp increase</w:t>
            </w:r>
          </w:p>
        </w:tc>
        <w:tc>
          <w:tcPr>
            <w:tcW w:w="0" w:type="auto"/>
            <w:shd w:val="clear" w:color="auto" w:fill="CFF0FC"/>
            <w:vAlign w:val="bottom"/>
            <w:hideMark/>
          </w:tcPr>
          <w:p w14:paraId="31093D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A87DC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91FB4B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w:t>
            </w:r>
          </w:p>
        </w:tc>
        <w:tc>
          <w:tcPr>
            <w:tcW w:w="0" w:type="auto"/>
            <w:shd w:val="clear" w:color="auto" w:fill="CFF0FC"/>
            <w:noWrap/>
            <w:vAlign w:val="bottom"/>
            <w:hideMark/>
          </w:tcPr>
          <w:p w14:paraId="30647A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9C2AF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CDBBE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5335E3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(18</w:t>
            </w:r>
          </w:p>
        </w:tc>
        <w:tc>
          <w:tcPr>
            <w:tcW w:w="0" w:type="auto"/>
            <w:shd w:val="clear" w:color="auto" w:fill="CFF0FC"/>
            <w:noWrap/>
            <w:vAlign w:val="bottom"/>
            <w:hideMark/>
          </w:tcPr>
          <w:p w14:paraId="4EB34A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82E44BE" w14:textId="77777777" w:rsidTr="004B2A77">
        <w:trPr>
          <w:trHeight w:val="180"/>
          <w:tblCellSpacing w:w="15" w:type="dxa"/>
        </w:trPr>
        <w:tc>
          <w:tcPr>
            <w:tcW w:w="0" w:type="auto"/>
            <w:shd w:val="clear" w:color="auto" w:fill="FFFFFF"/>
            <w:vAlign w:val="bottom"/>
            <w:hideMark/>
          </w:tcPr>
          <w:p w14:paraId="3D19C7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Discount rate</w:t>
            </w:r>
          </w:p>
        </w:tc>
        <w:tc>
          <w:tcPr>
            <w:tcW w:w="0" w:type="auto"/>
            <w:shd w:val="clear" w:color="auto" w:fill="FFFFFF"/>
            <w:vAlign w:val="bottom"/>
            <w:hideMark/>
          </w:tcPr>
          <w:p w14:paraId="211642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E127AC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1pp decrease</w:t>
            </w:r>
          </w:p>
        </w:tc>
        <w:tc>
          <w:tcPr>
            <w:tcW w:w="0" w:type="auto"/>
            <w:shd w:val="clear" w:color="auto" w:fill="FFFFFF"/>
            <w:vAlign w:val="bottom"/>
            <w:hideMark/>
          </w:tcPr>
          <w:p w14:paraId="55FD07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71E1F8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9AD017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w:t>
            </w:r>
          </w:p>
        </w:tc>
        <w:tc>
          <w:tcPr>
            <w:tcW w:w="0" w:type="auto"/>
            <w:shd w:val="clear" w:color="auto" w:fill="FFFFFF"/>
            <w:noWrap/>
            <w:vAlign w:val="bottom"/>
            <w:hideMark/>
          </w:tcPr>
          <w:p w14:paraId="4D1D46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71775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A127D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273D05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21</w:t>
            </w:r>
          </w:p>
        </w:tc>
        <w:tc>
          <w:tcPr>
            <w:tcW w:w="0" w:type="auto"/>
            <w:shd w:val="clear" w:color="auto" w:fill="FFFFFF"/>
            <w:noWrap/>
            <w:vAlign w:val="bottom"/>
            <w:hideMark/>
          </w:tcPr>
          <w:p w14:paraId="000B9A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67659FE" w14:textId="77777777" w:rsidTr="004B2A77">
        <w:trPr>
          <w:trHeight w:val="180"/>
          <w:tblCellSpacing w:w="15" w:type="dxa"/>
        </w:trPr>
        <w:tc>
          <w:tcPr>
            <w:tcW w:w="0" w:type="auto"/>
            <w:shd w:val="clear" w:color="auto" w:fill="CFF0FC"/>
            <w:vAlign w:val="bottom"/>
            <w:hideMark/>
          </w:tcPr>
          <w:p w14:paraId="02100E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Return on plan assets</w:t>
            </w:r>
          </w:p>
        </w:tc>
        <w:tc>
          <w:tcPr>
            <w:tcW w:w="0" w:type="auto"/>
            <w:shd w:val="clear" w:color="auto" w:fill="CFF0FC"/>
            <w:vAlign w:val="bottom"/>
            <w:hideMark/>
          </w:tcPr>
          <w:p w14:paraId="3CFAFF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17614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1pp decrease</w:t>
            </w:r>
          </w:p>
        </w:tc>
        <w:tc>
          <w:tcPr>
            <w:tcW w:w="0" w:type="auto"/>
            <w:shd w:val="clear" w:color="auto" w:fill="CFF0FC"/>
            <w:vAlign w:val="bottom"/>
            <w:hideMark/>
          </w:tcPr>
          <w:p w14:paraId="0FFAC8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2F1EC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5FC0F1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CFF0FC"/>
            <w:noWrap/>
            <w:vAlign w:val="bottom"/>
            <w:hideMark/>
          </w:tcPr>
          <w:p w14:paraId="21DCD2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F7258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50B8CC1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n/a</w:t>
            </w:r>
          </w:p>
        </w:tc>
        <w:tc>
          <w:tcPr>
            <w:tcW w:w="0" w:type="auto"/>
            <w:shd w:val="clear" w:color="auto" w:fill="CFF0FC"/>
            <w:vAlign w:val="bottom"/>
            <w:hideMark/>
          </w:tcPr>
          <w:p w14:paraId="5C7A2F5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1567531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37EC8AA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890F474"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48</w:t>
      </w:r>
    </w:p>
    <w:p w14:paraId="3BFEC54E"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7D18911">
          <v:rect id="_x0000_i1075" style="width:0;height:1.5pt" o:hralign="center" o:hrstd="t" o:hrnoshade="t" o:hr="t" fillcolor="black" stroked="f"/>
        </w:pict>
      </w:r>
    </w:p>
    <w:p w14:paraId="37E41FE5"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5A876DF"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INCOME TAXES</w:t>
      </w:r>
    </w:p>
    <w:p w14:paraId="6AE52B5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Significant judgment is required in determining the worldwide provision for income taxes. In the ordinary course of a global business, there are many transactions for which the ultimate tax outcome is uncertain. Many of these uncertainties arise as a consequence of intercompany transactions.</w:t>
      </w:r>
    </w:p>
    <w:p w14:paraId="74BBA84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Although the Company believes that its tax return positions are supportable, no assurance can be given that the final outcome of these matters will not be materially different than that which is reflected in the historical income tax provisions and accruals. Such differences could have a material effect on the income tax provisions or benefits in the periods in which such determinations are made. See also the discussion of reserves for uncertain tax positions, and the determinations of valuation allowances on the Company's deferred tax assets in Note 5, Income Taxes, to the Consolidated Financial Statements.</w:t>
      </w:r>
    </w:p>
    <w:p w14:paraId="5E3299C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CONTINGENT LIABILITIES</w:t>
      </w:r>
    </w:p>
    <w:p w14:paraId="564180B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or other matters.</w:t>
      </w:r>
    </w:p>
    <w:p w14:paraId="29F3D32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diligently defends itself in such matters and, in addition, carries insurance coverage to the extent reasonably available against insurable risks.</w:t>
      </w:r>
    </w:p>
    <w:p w14:paraId="09F7935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records liabilities for claims, lawsuits and proceedings when they are probable and it is possible to reasonably estimate the cost of such liabilities. Legal costs expected to be incurred in connection with a loss contingency are expensed as such costs are incurred.</w:t>
      </w:r>
    </w:p>
    <w:p w14:paraId="79DC888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 loss contingency is accrued by a charge to income if it is probable that an asset has been impaired or a liability has been incurred and the amount of the loss can be reasonably estimated. In determining whether a loss should be accrued management evaluates, among other factors, the degree of probability of an unfavorable outcome and the ability to make a reasonable estimate of the amount of loss. Changes in these factors could materially impact the Company's consolidated financial statements.</w:t>
      </w:r>
    </w:p>
    <w:p w14:paraId="1C6FBDE1"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49</w:t>
      </w:r>
    </w:p>
    <w:p w14:paraId="05D411D2"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C844430">
          <v:rect id="_x0000_i1076" style="width:0;height:1.5pt" o:hralign="center" o:hrstd="t" o:hrnoshade="t" o:hr="t" fillcolor="black" stroked="f"/>
        </w:pict>
      </w:r>
    </w:p>
    <w:p w14:paraId="33BC57CB"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B80CA8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7A. Quantitative and Qualitative Disclosures about Market Risk</w:t>
      </w:r>
    </w:p>
    <w:p w14:paraId="76E7922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exposed to several markets risks in the ordinary course of business including risks related to currencies, interest rates, financing, capital structure and credit ratings and impairment. See also Note 2, Summary of Significant Accounting Policies to the Consolidated Financial Statements included with this Annual Report for information about how these risks are quantified.</w:t>
      </w:r>
    </w:p>
    <w:p w14:paraId="2CE004C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CURRENCY RISKS</w:t>
      </w:r>
    </w:p>
    <w:p w14:paraId="2924B2F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1. Transaction Exposure and Revaluation effects</w:t>
      </w:r>
    </w:p>
    <w:p w14:paraId="7FF38C8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Transaction exposure arises because the cost of a product originates in one currency and the product is sold in another currency. Revaluation effects come from valuation of assets denominated in other currencies than the reporting currency of each unit.</w:t>
      </w:r>
    </w:p>
    <w:p w14:paraId="3D639B4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net transaction exposure in 2022 was approximately $2.1 billion. The four largest net exposures are U.S. dollars (sell) against the Mexican Peso, U.S. dollars (sell) against Canadian dollar, Romanian Lei (buy) against the Euro and U.S. dollars (buy) against Korean Won. Together these currencies accounted for approximately 50% of the Company’s net currency transaction exposure.</w:t>
      </w:r>
    </w:p>
    <w:p w14:paraId="314879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xml:space="preserve">Since the Company can only effectively hedge these currency flows in the short term, periodic hedging would only reduce the impact of fluctuations temporarily. Over time, periodic hedging would postpone but not reduce the impact of fluctuations. In addition, the net exposure is limited to only around one quarter of net sales and is made up of around 50 different currency pairs with exposures of more than $1 million each. The Company generally does not hedge these flows. </w:t>
      </w:r>
    </w:p>
    <w:p w14:paraId="4474038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2. Translation Exposure in the Income Statement and Balance Sheet </w:t>
      </w:r>
    </w:p>
    <w:p w14:paraId="31B956F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Another effect of exchange rate fluctuations arises when the income statements of non-U.S. subsidiaries are translated into U.S. dollars. Outside the U.S., the Company’s most significant currency is the Euro. The Company estimates that 26% of its consolidated net sales will be denominated in Euro or other European currencies during 2023, while 21% of its consolidated net sales are estimated to be denominated in U.S. dollars.</w:t>
      </w:r>
    </w:p>
    <w:p w14:paraId="2E4B4A8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estimates that a 1% increase in the value of the U.S. dollar versus European currencies will decrease reported U.S. dollar annual net sales in 2023 by $27 million or by 0.3%, while operating income for 2023 will decline by approximately 0.3% or by about $2 million, assuming reported corporate average margin.</w:t>
      </w:r>
    </w:p>
    <w:p w14:paraId="197616D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policy is not to hedge this type of translation exposure.</w:t>
      </w:r>
    </w:p>
    <w:p w14:paraId="6257507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 translation exposure also arises when the balance sheets of non-U.S. subsidiaries are translated into U.S. dollars. The policy of the Company is to finance major subsidiaries in the country’s local currency and to minimize the amounts held by subsidiaries in foreign currency accounts.</w:t>
      </w:r>
    </w:p>
    <w:p w14:paraId="4AB6793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Consequently, changes in currency rates relating to funding and foreign currency accounts normally have a small impact on the Company’s income. In 2022 and 2021, the impact from the Company’s currency exposure were not material.</w:t>
      </w:r>
    </w:p>
    <w:p w14:paraId="5555DFB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INTEREST RATE RISK</w:t>
      </w:r>
    </w:p>
    <w:p w14:paraId="5A7559E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Interest rate risk refers to the risk that interest rate changes will affect the Company’s borrowing costs. The Company's interest rate risk policy states that the average interest rate fixing period should be minimum 1 year and maximum 5 years. </w:t>
      </w:r>
    </w:p>
    <w:p w14:paraId="630709F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At December 31, 2022, the average interest rate fixing period for the Company’s outstanding debt was 1.6 years, and at December 31, 2021, the average interest rate fixing period for the Company’s outstanding debt was 2.1 years. </w:t>
      </w:r>
    </w:p>
    <w:p w14:paraId="2016767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Given the Company’s current capital structure, the Company estimates that a one-percentage point interest rate increase would decrease net interest expense by approximately $4 million in 2023. This is based on the capital structure at the end of 2022 when the gross fixed-rate debt was $767 million while the Company had a net debt position of $1,184 million (see section Non-U.S. GAAP Performance Measures). Thus, a change in the interest rate environment would not have a notable impact on the Company’s interest expense. As of December 31, 2022, the Company had $594 million in cash and cash equivalents of which the majority were subject to a floating interest rate. Taking the cash and cash equivalents of $594 million (which is primarily subject to floating interest rates) minus the portion of debt carrying floating interest rates, the Company estimated that a one-percentage point interest rate increase would decrease net interest expense by approximately $4 million, both in 2023 and 2024.</w:t>
      </w:r>
    </w:p>
    <w:p w14:paraId="18CC7BD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xml:space="preserve">Fixed interest rate debt is achieved both by issuing fixed rate notes and through interest rate swaps. The most notable debt carrying fixed interest rates is the $767 million U.S. private placement notes issued in 2014. For additional information, see Note 13, Debt and Credit Agreements, to the Consolidated Financial Statements included herein. </w:t>
      </w:r>
    </w:p>
    <w:p w14:paraId="77B8C10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50</w:t>
      </w:r>
    </w:p>
    <w:p w14:paraId="05D2DB8E"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938DEAC">
          <v:rect id="_x0000_i1077" style="width:0;height:1.5pt" o:hralign="center" o:hrstd="t" o:hrnoshade="t" o:hr="t" fillcolor="black" stroked="f"/>
        </w:pict>
      </w:r>
    </w:p>
    <w:p w14:paraId="053D832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3DDE56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FINANCING RISK</w:t>
      </w:r>
    </w:p>
    <w:p w14:paraId="12B5B58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Financing risk refers to the risk that it will be difficult and/or expensive to finance new or existing debt to meet the financing needs of the Autoliv Group. </w:t>
      </w:r>
    </w:p>
    <w:p w14:paraId="60009B4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management of the financing risk ensures access to funding in a cost-efficient way by diversification of funding sources and debt maturities.</w:t>
      </w:r>
    </w:p>
    <w:p w14:paraId="12510FD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has diversified its long-term funding sources by issuing notes in the USPP and Eurobond markets, and by signing a long-term credit agreement with 11 banks. The Company also has a lending facility with the Swedish Export Credit Corporation.</w:t>
      </w:r>
    </w:p>
    <w:p w14:paraId="4AD87A6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Medium Term Note Program in place for being able to issue notes to be traded on the Global Exchange Market of Euronext Dublin. The Company also has established programs for short-term issuance of commercial papers in the Swedish and US markets and short-term credit agreements, e.g. bank overdrafts and money market loans.</w:t>
      </w:r>
    </w:p>
    <w:p w14:paraId="6DDD759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To ensure diversification of debt maturities, no more than 20% of the Autoliv Group’s total debt may mature the next 12 months, unless such maturities (in excess of 20%) are covered by unutilized committed credit facilities with maturity in excess of 12 months. Per December 31, 2022, 40% corresponding to $711 million of the Autoliv Group’s total debt had maturity less than 12 months. This amount was fully covered by unutilized committed credit facilities with maturity in excess of 12 months. </w:t>
      </w:r>
    </w:p>
    <w:p w14:paraId="63F54BC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CAPITAL STRUCTURE AND CREDIT RATING</w:t>
      </w:r>
    </w:p>
    <w:p w14:paraId="5469831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overall objective relating to Autoliv’s target capital structure and credit rating is to provide the Company with sufficient flexibility to manage the inherent risks and cyclicality in Autoliv’s business and allow the Company to realize strategic opportunities and fund growth initiatives while creating shareholder value.</w:t>
      </w:r>
    </w:p>
    <w:p w14:paraId="6ED6C2B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is committed to maintain a “strong investment grade credit rating." As of December 31, 2022, the Company had a long-term credit rating from S&amp;P Global Ratings (“S&amp;P”) of BBB.</w:t>
      </w:r>
    </w:p>
    <w:p w14:paraId="3FFA1ED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amount of interest-bearing debt held impacts the future financial flexibility as well as the credit rating. Management uses the non-U.S. GAAP measure “Leverage Ratio” to analyze the amount of debt the Company can incur under its debt policy. Management believes that this policy also provides guidance to credit and equity investors regarding the extent to which the Company would be prepared to leverage its operations. Autoliv’s long-term target for the leverage ratio (sum of net debt plus pension liabilities divided by EBITDA) is 1.0x with the aim to operate within the range of 0.5x to 1.5x. At December 31, 2022, the </w:t>
      </w:r>
      <w:r w:rsidRPr="004B2A77">
        <w:rPr>
          <w:rFonts w:ascii="Arial" w:eastAsia="宋体" w:hAnsi="Arial" w:cs="Arial"/>
          <w:color w:val="000000"/>
          <w:kern w:val="0"/>
          <w:sz w:val="18"/>
          <w:szCs w:val="18"/>
        </w:rPr>
        <w:lastRenderedPageBreak/>
        <w:t>leverage ratio (non-U.S. GAAP measure, see calculation table below) was 1.4x. For details and calculation of leverage ratio, refer to the table below.</w:t>
      </w:r>
    </w:p>
    <w:p w14:paraId="797DBE8C"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CALCULATION OF LEVERAGE RATIO (DOLLARS IN MILLIONS)</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654"/>
        <w:gridCol w:w="357"/>
        <w:gridCol w:w="233"/>
        <w:gridCol w:w="2620"/>
        <w:gridCol w:w="233"/>
        <w:gridCol w:w="359"/>
        <w:gridCol w:w="233"/>
        <w:gridCol w:w="2676"/>
        <w:gridCol w:w="249"/>
      </w:tblGrid>
      <w:tr w:rsidR="004B2A77" w:rsidRPr="004B2A77" w14:paraId="6C44239A" w14:textId="77777777" w:rsidTr="004B2A77">
        <w:trPr>
          <w:tblCellSpacing w:w="15" w:type="dxa"/>
        </w:trPr>
        <w:tc>
          <w:tcPr>
            <w:tcW w:w="13631" w:type="dxa"/>
            <w:vAlign w:val="center"/>
            <w:hideMark/>
          </w:tcPr>
          <w:p w14:paraId="6803F3A6"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27" w:type="dxa"/>
            <w:vAlign w:val="center"/>
            <w:hideMark/>
          </w:tcPr>
          <w:p w14:paraId="7AA70BA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7576280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94" w:type="dxa"/>
            <w:vAlign w:val="center"/>
            <w:hideMark/>
          </w:tcPr>
          <w:p w14:paraId="50E9AC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2F95C58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29" w:type="dxa"/>
            <w:vAlign w:val="center"/>
            <w:hideMark/>
          </w:tcPr>
          <w:p w14:paraId="1FC79C3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47C0D17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50" w:type="dxa"/>
            <w:vAlign w:val="center"/>
            <w:hideMark/>
          </w:tcPr>
          <w:p w14:paraId="4B30496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167D9EDC"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AD8CAE8" w14:textId="77777777" w:rsidTr="004B2A77">
        <w:trPr>
          <w:trHeight w:val="160"/>
          <w:tblCellSpacing w:w="15" w:type="dxa"/>
        </w:trPr>
        <w:tc>
          <w:tcPr>
            <w:tcW w:w="0" w:type="auto"/>
            <w:shd w:val="clear" w:color="auto" w:fill="FFFFFF"/>
            <w:vAlign w:val="bottom"/>
            <w:hideMark/>
          </w:tcPr>
          <w:p w14:paraId="0D16C84E"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3E0F0777"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6"/>
            <w:tcBorders>
              <w:bottom w:val="single" w:sz="4" w:space="0" w:color="000000"/>
            </w:tcBorders>
            <w:shd w:val="clear" w:color="auto" w:fill="FFFFFF"/>
            <w:vAlign w:val="bottom"/>
            <w:hideMark/>
          </w:tcPr>
          <w:p w14:paraId="619E43B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December 31,</w:t>
            </w:r>
          </w:p>
        </w:tc>
        <w:tc>
          <w:tcPr>
            <w:tcW w:w="0" w:type="auto"/>
            <w:shd w:val="clear" w:color="auto" w:fill="FFFFFF"/>
            <w:vAlign w:val="bottom"/>
            <w:hideMark/>
          </w:tcPr>
          <w:p w14:paraId="0F99658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37D66C3C" w14:textId="77777777" w:rsidTr="004B2A77">
        <w:trPr>
          <w:trHeight w:val="160"/>
          <w:tblCellSpacing w:w="15" w:type="dxa"/>
        </w:trPr>
        <w:tc>
          <w:tcPr>
            <w:tcW w:w="0" w:type="auto"/>
            <w:shd w:val="clear" w:color="auto" w:fill="FFFFFF"/>
            <w:vAlign w:val="bottom"/>
            <w:hideMark/>
          </w:tcPr>
          <w:p w14:paraId="39ECD81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E2B7BFE"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540A69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4C4427E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DBCA21C"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8A4056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47703CB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3635DBD7" w14:textId="77777777" w:rsidTr="004B2A77">
        <w:trPr>
          <w:trHeight w:val="180"/>
          <w:tblCellSpacing w:w="15" w:type="dxa"/>
        </w:trPr>
        <w:tc>
          <w:tcPr>
            <w:tcW w:w="0" w:type="auto"/>
            <w:shd w:val="clear" w:color="auto" w:fill="FFFFFF"/>
            <w:hideMark/>
          </w:tcPr>
          <w:p w14:paraId="38030A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debt</w:t>
            </w:r>
            <w:r w:rsidRPr="004B2A77">
              <w:rPr>
                <w:rFonts w:ascii="Arial" w:eastAsia="微软雅黑" w:hAnsi="Arial" w:cs="Arial"/>
                <w:color w:val="000000"/>
                <w:kern w:val="0"/>
                <w:sz w:val="12"/>
                <w:szCs w:val="12"/>
              </w:rPr>
              <w:t>1)</w:t>
            </w:r>
          </w:p>
        </w:tc>
        <w:tc>
          <w:tcPr>
            <w:tcW w:w="0" w:type="auto"/>
            <w:shd w:val="clear" w:color="auto" w:fill="FFFFFF"/>
            <w:vAlign w:val="bottom"/>
            <w:hideMark/>
          </w:tcPr>
          <w:p w14:paraId="67ADD6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2F99A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CA9CC7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1,184</w:t>
            </w:r>
          </w:p>
        </w:tc>
        <w:tc>
          <w:tcPr>
            <w:tcW w:w="0" w:type="auto"/>
            <w:shd w:val="clear" w:color="auto" w:fill="FFFFFF"/>
            <w:noWrap/>
            <w:vAlign w:val="bottom"/>
            <w:hideMark/>
          </w:tcPr>
          <w:p w14:paraId="6914C2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C7C2B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2A18F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B18A76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1,052</w:t>
            </w:r>
          </w:p>
        </w:tc>
        <w:tc>
          <w:tcPr>
            <w:tcW w:w="0" w:type="auto"/>
            <w:shd w:val="clear" w:color="auto" w:fill="FFFFFF"/>
            <w:noWrap/>
            <w:vAlign w:val="bottom"/>
            <w:hideMark/>
          </w:tcPr>
          <w:p w14:paraId="6BDA71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5442D39" w14:textId="77777777" w:rsidTr="004B2A77">
        <w:trPr>
          <w:trHeight w:val="180"/>
          <w:tblCellSpacing w:w="15" w:type="dxa"/>
        </w:trPr>
        <w:tc>
          <w:tcPr>
            <w:tcW w:w="0" w:type="auto"/>
            <w:shd w:val="clear" w:color="auto" w:fill="CFF0FC"/>
            <w:hideMark/>
          </w:tcPr>
          <w:p w14:paraId="4B3F9C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Pension liabilities</w:t>
            </w:r>
          </w:p>
        </w:tc>
        <w:tc>
          <w:tcPr>
            <w:tcW w:w="0" w:type="auto"/>
            <w:shd w:val="clear" w:color="auto" w:fill="CFF0FC"/>
            <w:vAlign w:val="bottom"/>
            <w:hideMark/>
          </w:tcPr>
          <w:p w14:paraId="62507E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50348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9F1C2F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154</w:t>
            </w:r>
          </w:p>
        </w:tc>
        <w:tc>
          <w:tcPr>
            <w:tcW w:w="0" w:type="auto"/>
            <w:shd w:val="clear" w:color="auto" w:fill="CFF0FC"/>
            <w:noWrap/>
            <w:vAlign w:val="bottom"/>
            <w:hideMark/>
          </w:tcPr>
          <w:p w14:paraId="3AD08B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D946D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22ED5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9C87A6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197</w:t>
            </w:r>
          </w:p>
        </w:tc>
        <w:tc>
          <w:tcPr>
            <w:tcW w:w="0" w:type="auto"/>
            <w:shd w:val="clear" w:color="auto" w:fill="CFF0FC"/>
            <w:noWrap/>
            <w:vAlign w:val="bottom"/>
            <w:hideMark/>
          </w:tcPr>
          <w:p w14:paraId="6B0CCD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D14C734" w14:textId="77777777" w:rsidTr="004B2A77">
        <w:trPr>
          <w:trHeight w:val="180"/>
          <w:tblCellSpacing w:w="15" w:type="dxa"/>
        </w:trPr>
        <w:tc>
          <w:tcPr>
            <w:tcW w:w="0" w:type="auto"/>
            <w:shd w:val="clear" w:color="auto" w:fill="FFFFFF"/>
            <w:hideMark/>
          </w:tcPr>
          <w:p w14:paraId="0387CB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Debt per the Policy</w:t>
            </w:r>
          </w:p>
        </w:tc>
        <w:tc>
          <w:tcPr>
            <w:tcW w:w="0" w:type="auto"/>
            <w:shd w:val="clear" w:color="auto" w:fill="FFFFFF"/>
            <w:vAlign w:val="bottom"/>
            <w:hideMark/>
          </w:tcPr>
          <w:p w14:paraId="0BA75C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E9C26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789764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1,338</w:t>
            </w:r>
          </w:p>
        </w:tc>
        <w:tc>
          <w:tcPr>
            <w:tcW w:w="0" w:type="auto"/>
            <w:shd w:val="clear" w:color="auto" w:fill="FFFFFF"/>
            <w:noWrap/>
            <w:vAlign w:val="bottom"/>
            <w:hideMark/>
          </w:tcPr>
          <w:p w14:paraId="2F8AE8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F136D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762689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5529F3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1,248</w:t>
            </w:r>
          </w:p>
        </w:tc>
        <w:tc>
          <w:tcPr>
            <w:tcW w:w="0" w:type="auto"/>
            <w:shd w:val="clear" w:color="auto" w:fill="FFFFFF"/>
            <w:noWrap/>
            <w:vAlign w:val="bottom"/>
            <w:hideMark/>
          </w:tcPr>
          <w:p w14:paraId="4DB252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C1FF871" w14:textId="77777777" w:rsidTr="004B2A77">
        <w:trPr>
          <w:tblCellSpacing w:w="15" w:type="dxa"/>
        </w:trPr>
        <w:tc>
          <w:tcPr>
            <w:tcW w:w="0" w:type="auto"/>
            <w:shd w:val="clear" w:color="auto" w:fill="CFF0FC"/>
            <w:hideMark/>
          </w:tcPr>
          <w:p w14:paraId="312AFE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977B0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5FC925F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2C15A9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EBDAD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1DC13B8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914C03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D7D18A2" w14:textId="77777777" w:rsidTr="004B2A77">
        <w:trPr>
          <w:trHeight w:val="180"/>
          <w:tblCellSpacing w:w="15" w:type="dxa"/>
        </w:trPr>
        <w:tc>
          <w:tcPr>
            <w:tcW w:w="0" w:type="auto"/>
            <w:shd w:val="clear" w:color="auto" w:fill="FFFFFF"/>
            <w:hideMark/>
          </w:tcPr>
          <w:p w14:paraId="018AF2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income</w:t>
            </w:r>
            <w:r w:rsidRPr="004B2A77">
              <w:rPr>
                <w:rFonts w:ascii="Arial" w:eastAsia="微软雅黑" w:hAnsi="Arial" w:cs="Arial"/>
                <w:color w:val="000000"/>
                <w:kern w:val="0"/>
                <w:sz w:val="12"/>
                <w:szCs w:val="12"/>
              </w:rPr>
              <w:t>2)</w:t>
            </w:r>
          </w:p>
        </w:tc>
        <w:tc>
          <w:tcPr>
            <w:tcW w:w="0" w:type="auto"/>
            <w:shd w:val="clear" w:color="auto" w:fill="FFFFFF"/>
            <w:vAlign w:val="bottom"/>
            <w:hideMark/>
          </w:tcPr>
          <w:p w14:paraId="4A915D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5C04F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DC0ABF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425</w:t>
            </w:r>
          </w:p>
        </w:tc>
        <w:tc>
          <w:tcPr>
            <w:tcW w:w="0" w:type="auto"/>
            <w:shd w:val="clear" w:color="auto" w:fill="FFFFFF"/>
            <w:noWrap/>
            <w:vAlign w:val="bottom"/>
            <w:hideMark/>
          </w:tcPr>
          <w:p w14:paraId="639282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69B58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08E72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C48E1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437</w:t>
            </w:r>
          </w:p>
        </w:tc>
        <w:tc>
          <w:tcPr>
            <w:tcW w:w="0" w:type="auto"/>
            <w:shd w:val="clear" w:color="auto" w:fill="FFFFFF"/>
            <w:noWrap/>
            <w:vAlign w:val="bottom"/>
            <w:hideMark/>
          </w:tcPr>
          <w:p w14:paraId="668B6A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F7AC078" w14:textId="77777777" w:rsidTr="004B2A77">
        <w:trPr>
          <w:trHeight w:val="180"/>
          <w:tblCellSpacing w:w="15" w:type="dxa"/>
        </w:trPr>
        <w:tc>
          <w:tcPr>
            <w:tcW w:w="0" w:type="auto"/>
            <w:shd w:val="clear" w:color="auto" w:fill="CFF0FC"/>
            <w:hideMark/>
          </w:tcPr>
          <w:p w14:paraId="1326A8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taxes</w:t>
            </w:r>
            <w:r w:rsidRPr="004B2A77">
              <w:rPr>
                <w:rFonts w:ascii="Arial" w:eastAsia="微软雅黑" w:hAnsi="Arial" w:cs="Arial"/>
                <w:color w:val="000000"/>
                <w:kern w:val="0"/>
                <w:sz w:val="12"/>
                <w:szCs w:val="12"/>
              </w:rPr>
              <w:t>2)</w:t>
            </w:r>
          </w:p>
        </w:tc>
        <w:tc>
          <w:tcPr>
            <w:tcW w:w="0" w:type="auto"/>
            <w:shd w:val="clear" w:color="auto" w:fill="CFF0FC"/>
            <w:vAlign w:val="bottom"/>
            <w:hideMark/>
          </w:tcPr>
          <w:p w14:paraId="4D2CC2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928E0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0392DE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178</w:t>
            </w:r>
          </w:p>
        </w:tc>
        <w:tc>
          <w:tcPr>
            <w:tcW w:w="0" w:type="auto"/>
            <w:shd w:val="clear" w:color="auto" w:fill="CFF0FC"/>
            <w:noWrap/>
            <w:vAlign w:val="bottom"/>
            <w:hideMark/>
          </w:tcPr>
          <w:p w14:paraId="6CA288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24E11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800DF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4802AC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177</w:t>
            </w:r>
          </w:p>
        </w:tc>
        <w:tc>
          <w:tcPr>
            <w:tcW w:w="0" w:type="auto"/>
            <w:shd w:val="clear" w:color="auto" w:fill="CFF0FC"/>
            <w:noWrap/>
            <w:vAlign w:val="bottom"/>
            <w:hideMark/>
          </w:tcPr>
          <w:p w14:paraId="53F600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76FAB7E" w14:textId="77777777" w:rsidTr="004B2A77">
        <w:trPr>
          <w:trHeight w:val="180"/>
          <w:tblCellSpacing w:w="15" w:type="dxa"/>
        </w:trPr>
        <w:tc>
          <w:tcPr>
            <w:tcW w:w="0" w:type="auto"/>
            <w:shd w:val="clear" w:color="auto" w:fill="FFFFFF"/>
            <w:hideMark/>
          </w:tcPr>
          <w:p w14:paraId="43368C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Interest expense, net</w:t>
            </w:r>
            <w:r w:rsidRPr="004B2A77">
              <w:rPr>
                <w:rFonts w:ascii="Arial" w:eastAsia="微软雅黑" w:hAnsi="Arial" w:cs="Arial"/>
                <w:color w:val="000000"/>
                <w:kern w:val="0"/>
                <w:sz w:val="12"/>
                <w:szCs w:val="12"/>
              </w:rPr>
              <w:t>2,3)</w:t>
            </w:r>
          </w:p>
        </w:tc>
        <w:tc>
          <w:tcPr>
            <w:tcW w:w="0" w:type="auto"/>
            <w:shd w:val="clear" w:color="auto" w:fill="FFFFFF"/>
            <w:vAlign w:val="bottom"/>
            <w:hideMark/>
          </w:tcPr>
          <w:p w14:paraId="1EC7E3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578AC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17E27A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54</w:t>
            </w:r>
          </w:p>
        </w:tc>
        <w:tc>
          <w:tcPr>
            <w:tcW w:w="0" w:type="auto"/>
            <w:shd w:val="clear" w:color="auto" w:fill="FFFFFF"/>
            <w:noWrap/>
            <w:vAlign w:val="bottom"/>
            <w:hideMark/>
          </w:tcPr>
          <w:p w14:paraId="4FC40F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F8FC5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98C12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DA54FA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57</w:t>
            </w:r>
          </w:p>
        </w:tc>
        <w:tc>
          <w:tcPr>
            <w:tcW w:w="0" w:type="auto"/>
            <w:shd w:val="clear" w:color="auto" w:fill="FFFFFF"/>
            <w:noWrap/>
            <w:vAlign w:val="bottom"/>
            <w:hideMark/>
          </w:tcPr>
          <w:p w14:paraId="59EEC1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CFD2997" w14:textId="77777777" w:rsidTr="004B2A77">
        <w:trPr>
          <w:trHeight w:val="180"/>
          <w:tblCellSpacing w:w="15" w:type="dxa"/>
        </w:trPr>
        <w:tc>
          <w:tcPr>
            <w:tcW w:w="0" w:type="auto"/>
            <w:shd w:val="clear" w:color="auto" w:fill="CFF0FC"/>
            <w:hideMark/>
          </w:tcPr>
          <w:p w14:paraId="5212CF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non-operating items, net</w:t>
            </w:r>
            <w:r w:rsidRPr="004B2A77">
              <w:rPr>
                <w:rFonts w:ascii="Arial" w:eastAsia="微软雅黑" w:hAnsi="Arial" w:cs="Arial"/>
                <w:color w:val="000000"/>
                <w:kern w:val="0"/>
                <w:sz w:val="12"/>
                <w:szCs w:val="12"/>
              </w:rPr>
              <w:t>2)</w:t>
            </w:r>
          </w:p>
        </w:tc>
        <w:tc>
          <w:tcPr>
            <w:tcW w:w="0" w:type="auto"/>
            <w:shd w:val="clear" w:color="auto" w:fill="CFF0FC"/>
            <w:vAlign w:val="bottom"/>
            <w:hideMark/>
          </w:tcPr>
          <w:p w14:paraId="36C15D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31C5E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268ABD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5</w:t>
            </w:r>
          </w:p>
        </w:tc>
        <w:tc>
          <w:tcPr>
            <w:tcW w:w="0" w:type="auto"/>
            <w:shd w:val="clear" w:color="auto" w:fill="CFF0FC"/>
            <w:noWrap/>
            <w:vAlign w:val="bottom"/>
            <w:hideMark/>
          </w:tcPr>
          <w:p w14:paraId="64967D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C5887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B585BA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7C0A44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w:t>
            </w:r>
          </w:p>
        </w:tc>
        <w:tc>
          <w:tcPr>
            <w:tcW w:w="0" w:type="auto"/>
            <w:shd w:val="clear" w:color="auto" w:fill="CFF0FC"/>
            <w:noWrap/>
            <w:vAlign w:val="bottom"/>
            <w:hideMark/>
          </w:tcPr>
          <w:p w14:paraId="746B21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FB8226F" w14:textId="77777777" w:rsidTr="004B2A77">
        <w:trPr>
          <w:trHeight w:val="180"/>
          <w:tblCellSpacing w:w="15" w:type="dxa"/>
        </w:trPr>
        <w:tc>
          <w:tcPr>
            <w:tcW w:w="0" w:type="auto"/>
            <w:shd w:val="clear" w:color="auto" w:fill="FFFFFF"/>
            <w:hideMark/>
          </w:tcPr>
          <w:p w14:paraId="273157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from equity method investments</w:t>
            </w:r>
            <w:r w:rsidRPr="004B2A77">
              <w:rPr>
                <w:rFonts w:ascii="Arial" w:eastAsia="微软雅黑" w:hAnsi="Arial" w:cs="Arial"/>
                <w:color w:val="000000"/>
                <w:kern w:val="0"/>
                <w:sz w:val="12"/>
                <w:szCs w:val="12"/>
              </w:rPr>
              <w:t>2)</w:t>
            </w:r>
          </w:p>
        </w:tc>
        <w:tc>
          <w:tcPr>
            <w:tcW w:w="0" w:type="auto"/>
            <w:shd w:val="clear" w:color="auto" w:fill="FFFFFF"/>
            <w:vAlign w:val="bottom"/>
            <w:hideMark/>
          </w:tcPr>
          <w:p w14:paraId="2AFA8F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9586D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06B542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FFFFFF"/>
            <w:noWrap/>
            <w:vAlign w:val="bottom"/>
            <w:hideMark/>
          </w:tcPr>
          <w:p w14:paraId="308931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1A300A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01EFB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FA13D7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w:t>
            </w:r>
          </w:p>
        </w:tc>
        <w:tc>
          <w:tcPr>
            <w:tcW w:w="0" w:type="auto"/>
            <w:shd w:val="clear" w:color="auto" w:fill="FFFFFF"/>
            <w:noWrap/>
            <w:vAlign w:val="bottom"/>
            <w:hideMark/>
          </w:tcPr>
          <w:p w14:paraId="67BFAF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2C4A08AD" w14:textId="77777777" w:rsidTr="004B2A77">
        <w:trPr>
          <w:trHeight w:val="180"/>
          <w:tblCellSpacing w:w="15" w:type="dxa"/>
        </w:trPr>
        <w:tc>
          <w:tcPr>
            <w:tcW w:w="0" w:type="auto"/>
            <w:shd w:val="clear" w:color="auto" w:fill="CFF0FC"/>
            <w:hideMark/>
          </w:tcPr>
          <w:p w14:paraId="160DE2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Depreciation and amortization of intangibles</w:t>
            </w:r>
            <w:r w:rsidRPr="004B2A77">
              <w:rPr>
                <w:rFonts w:ascii="Arial" w:eastAsia="微软雅黑" w:hAnsi="Arial" w:cs="Arial"/>
                <w:color w:val="000000"/>
                <w:kern w:val="0"/>
                <w:sz w:val="12"/>
                <w:szCs w:val="12"/>
              </w:rPr>
              <w:t>2)</w:t>
            </w:r>
          </w:p>
        </w:tc>
        <w:tc>
          <w:tcPr>
            <w:tcW w:w="0" w:type="auto"/>
            <w:shd w:val="clear" w:color="auto" w:fill="CFF0FC"/>
            <w:vAlign w:val="bottom"/>
            <w:hideMark/>
          </w:tcPr>
          <w:p w14:paraId="2DB265D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FFA22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9F84B7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363</w:t>
            </w:r>
          </w:p>
        </w:tc>
        <w:tc>
          <w:tcPr>
            <w:tcW w:w="0" w:type="auto"/>
            <w:shd w:val="clear" w:color="auto" w:fill="CFF0FC"/>
            <w:noWrap/>
            <w:vAlign w:val="bottom"/>
            <w:hideMark/>
          </w:tcPr>
          <w:p w14:paraId="35742E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51AAB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B376B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824CF5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394</w:t>
            </w:r>
          </w:p>
        </w:tc>
        <w:tc>
          <w:tcPr>
            <w:tcW w:w="0" w:type="auto"/>
            <w:shd w:val="clear" w:color="auto" w:fill="CFF0FC"/>
            <w:noWrap/>
            <w:vAlign w:val="bottom"/>
            <w:hideMark/>
          </w:tcPr>
          <w:p w14:paraId="073235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E13C5F0" w14:textId="77777777" w:rsidTr="004B2A77">
        <w:trPr>
          <w:trHeight w:val="180"/>
          <w:tblCellSpacing w:w="15" w:type="dxa"/>
        </w:trPr>
        <w:tc>
          <w:tcPr>
            <w:tcW w:w="0" w:type="auto"/>
            <w:shd w:val="clear" w:color="auto" w:fill="FFFFFF"/>
            <w:hideMark/>
          </w:tcPr>
          <w:p w14:paraId="2F3BAC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Capacity alignments costs and antitrust related matters</w:t>
            </w:r>
            <w:r w:rsidRPr="004B2A77">
              <w:rPr>
                <w:rFonts w:ascii="Arial" w:eastAsia="微软雅黑" w:hAnsi="Arial" w:cs="Arial"/>
                <w:color w:val="000000"/>
                <w:kern w:val="0"/>
                <w:sz w:val="12"/>
                <w:szCs w:val="12"/>
              </w:rPr>
              <w:t>2)</w:t>
            </w:r>
          </w:p>
        </w:tc>
        <w:tc>
          <w:tcPr>
            <w:tcW w:w="0" w:type="auto"/>
            <w:shd w:val="clear" w:color="auto" w:fill="FFFFFF"/>
            <w:vAlign w:val="bottom"/>
            <w:hideMark/>
          </w:tcPr>
          <w:p w14:paraId="1F44CC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2D582A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2A722DF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(61</w:t>
            </w:r>
          </w:p>
        </w:tc>
        <w:tc>
          <w:tcPr>
            <w:tcW w:w="0" w:type="auto"/>
            <w:shd w:val="clear" w:color="auto" w:fill="FFFFFF"/>
            <w:noWrap/>
            <w:vAlign w:val="bottom"/>
            <w:hideMark/>
          </w:tcPr>
          <w:p w14:paraId="79594A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18AC8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742FD2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99C0D7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8</w:t>
            </w:r>
          </w:p>
        </w:tc>
        <w:tc>
          <w:tcPr>
            <w:tcW w:w="0" w:type="auto"/>
            <w:shd w:val="clear" w:color="auto" w:fill="FFFFFF"/>
            <w:noWrap/>
            <w:vAlign w:val="bottom"/>
            <w:hideMark/>
          </w:tcPr>
          <w:p w14:paraId="22BE00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1956C13" w14:textId="77777777" w:rsidTr="004B2A77">
        <w:trPr>
          <w:trHeight w:val="180"/>
          <w:tblCellSpacing w:w="15" w:type="dxa"/>
        </w:trPr>
        <w:tc>
          <w:tcPr>
            <w:tcW w:w="0" w:type="auto"/>
            <w:shd w:val="clear" w:color="auto" w:fill="CFF0FC"/>
            <w:hideMark/>
          </w:tcPr>
          <w:p w14:paraId="079D67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EBITDA per the Policy (Adjusted EBITDA)</w:t>
            </w:r>
          </w:p>
        </w:tc>
        <w:tc>
          <w:tcPr>
            <w:tcW w:w="0" w:type="auto"/>
            <w:shd w:val="clear" w:color="auto" w:fill="CFF0FC"/>
            <w:vAlign w:val="bottom"/>
            <w:hideMark/>
          </w:tcPr>
          <w:p w14:paraId="3C8FAF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F4283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65BEF5D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961</w:t>
            </w:r>
          </w:p>
        </w:tc>
        <w:tc>
          <w:tcPr>
            <w:tcW w:w="0" w:type="auto"/>
            <w:shd w:val="clear" w:color="auto" w:fill="CFF0FC"/>
            <w:noWrap/>
            <w:vAlign w:val="bottom"/>
            <w:hideMark/>
          </w:tcPr>
          <w:p w14:paraId="69E95B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868DC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9D382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3243B9F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1,077</w:t>
            </w:r>
          </w:p>
        </w:tc>
        <w:tc>
          <w:tcPr>
            <w:tcW w:w="0" w:type="auto"/>
            <w:shd w:val="clear" w:color="auto" w:fill="CFF0FC"/>
            <w:noWrap/>
            <w:vAlign w:val="bottom"/>
            <w:hideMark/>
          </w:tcPr>
          <w:p w14:paraId="6B41AC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3FC7108" w14:textId="77777777" w:rsidTr="004B2A77">
        <w:trPr>
          <w:trHeight w:val="180"/>
          <w:tblCellSpacing w:w="15" w:type="dxa"/>
        </w:trPr>
        <w:tc>
          <w:tcPr>
            <w:tcW w:w="0" w:type="auto"/>
            <w:shd w:val="clear" w:color="auto" w:fill="FFFFFF"/>
            <w:hideMark/>
          </w:tcPr>
          <w:p w14:paraId="6C6007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Leverage ratio</w:t>
            </w:r>
          </w:p>
        </w:tc>
        <w:tc>
          <w:tcPr>
            <w:tcW w:w="0" w:type="auto"/>
            <w:shd w:val="clear" w:color="auto" w:fill="FFFFFF"/>
            <w:vAlign w:val="bottom"/>
            <w:hideMark/>
          </w:tcPr>
          <w:p w14:paraId="3B1C95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29641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95A592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1.4</w:t>
            </w:r>
          </w:p>
        </w:tc>
        <w:tc>
          <w:tcPr>
            <w:tcW w:w="0" w:type="auto"/>
            <w:shd w:val="clear" w:color="auto" w:fill="FFFFFF"/>
            <w:noWrap/>
            <w:vAlign w:val="bottom"/>
            <w:hideMark/>
          </w:tcPr>
          <w:p w14:paraId="4A1C29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573F3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C5F9B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ADAE0F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1.2</w:t>
            </w:r>
          </w:p>
        </w:tc>
        <w:tc>
          <w:tcPr>
            <w:tcW w:w="0" w:type="auto"/>
            <w:shd w:val="clear" w:color="auto" w:fill="FFFFFF"/>
            <w:noWrap/>
            <w:vAlign w:val="bottom"/>
            <w:hideMark/>
          </w:tcPr>
          <w:p w14:paraId="79F556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16892E6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1) Net debt is short- and long-term debt and debt-related derivatives less cash and cash equivalents (non-U.S. GAAP measure). </w:t>
      </w:r>
    </w:p>
    <w:p w14:paraId="27C6E25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2) Latest 12 months. </w:t>
      </w:r>
    </w:p>
    <w:p w14:paraId="13E6F0A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3) Interest expense, net is interest expense including cost for extinguishment of debt, if any, less interest income.</w:t>
      </w:r>
    </w:p>
    <w:p w14:paraId="1DAB6C4C" w14:textId="77777777" w:rsidR="004B2A77" w:rsidRPr="004B2A77" w:rsidRDefault="004B2A77" w:rsidP="004B2A77">
      <w:pPr>
        <w:widowControl/>
        <w:ind w:hanging="581"/>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w:t>
      </w:r>
    </w:p>
    <w:p w14:paraId="54665E7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6433101"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51</w:t>
      </w:r>
    </w:p>
    <w:p w14:paraId="0ABBE688"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5C3426E">
          <v:rect id="_x0000_i1078" style="width:0;height:1.5pt" o:hralign="center" o:hrstd="t" o:hrnoshade="t" o:hr="t" fillcolor="black" stroked="f"/>
        </w:pict>
      </w:r>
    </w:p>
    <w:p w14:paraId="6587A9E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08EBD9E" w14:textId="77777777" w:rsidR="004B2A77" w:rsidRPr="004B2A77" w:rsidRDefault="004B2A77" w:rsidP="004B2A77">
      <w:pPr>
        <w:widowControl/>
        <w:spacing w:before="18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CREDIT RISK IN FINANCIAL MARKETS</w:t>
      </w:r>
    </w:p>
    <w:p w14:paraId="1F0D2C0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Credit risk refers to the risk of a financial counterparty being unable to fulfill an agreed-upon obligation.</w:t>
      </w:r>
    </w:p>
    <w:p w14:paraId="575F6D1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the Company’s financial operations, credit risk arises when cash is deposited with banks and when entering into forward exchange agreements, swap contracts or other financial instruments.</w:t>
      </w:r>
    </w:p>
    <w:p w14:paraId="02E84BE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policy of the Company is to work with banks that have a high credit rating and that participate in Autoliv’s financing.</w:t>
      </w:r>
    </w:p>
    <w:p w14:paraId="24B4497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To further reduce credit risk, deposits and financial instruments can only be entered into with core banks up to a calculated risk amount of $200 million per bank for banks rated A- or above and up to $50 million for banks rated BBB+. In addition, deposits can be made in U.S. and Swedish government short-term </w:t>
      </w:r>
      <w:r w:rsidRPr="004B2A77">
        <w:rPr>
          <w:rFonts w:ascii="Arial" w:eastAsia="宋体" w:hAnsi="Arial" w:cs="Arial"/>
          <w:color w:val="000000"/>
          <w:kern w:val="0"/>
          <w:sz w:val="18"/>
          <w:szCs w:val="18"/>
        </w:rPr>
        <w:lastRenderedPageBreak/>
        <w:t>notes and certain AAA rated money market funds, as approved by the Company’s Board of Directors. At December 31, 2022, the Company held $237 million in AAA rated money market funds.</w:t>
      </w:r>
    </w:p>
    <w:p w14:paraId="33721ED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IMPAIRMENT RISK</w:t>
      </w:r>
    </w:p>
    <w:p w14:paraId="3C15DDB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Impairment risk refers to the risk that the Company will write down a material amount of its goodwill of close to $1.4 billion as of December 31, 2022. This risk is assessed at least annually in the fourth quarter each year when the Company performs its impairment testing.</w:t>
      </w:r>
    </w:p>
    <w:p w14:paraId="2DE7BDD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2022, the Company performed a quantitative impairment testing by calculating the fair value of its goodwill. The estimated fair market value of goodwill is determined by the discounted cash flow method. The Company discounts projected operating cash flows using its weighted average cost of capital. Estimating the fair value requires the Company to make judgments about appropriate discount rates, growth rates, relevant comparable company earnings multiples and the amount and timing of expected future cash flows.</w:t>
      </w:r>
    </w:p>
    <w:p w14:paraId="2E6B1E2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It has been concluded that presently the Company is not “at risk” of failing the goodwill impairment test. However, there can be no assurance that goodwill will not be impaired due to future significant declines in LVP, due to the Company's technologies or products becoming obsolete or for any other reason. The Company could also acquire companies where goodwill could turn out to be less resilient to deteriorations in external conditions. See also discussion under Goodwill and Intangible Assets in Note 2, Summary of Significant Accounting Policies, and Note 10, Goodwill and Intangible Assets, to the Consolidated Financial Statements included herein.</w:t>
      </w:r>
    </w:p>
    <w:p w14:paraId="5E707C5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8. Financial Statements and Supplementary Data</w:t>
      </w:r>
    </w:p>
    <w:p w14:paraId="1C5FA61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Consolidated Balance Sheets of Autoliv as of December 31, 2022 and 2021 and the Consolidated Statements of Income, Comprehensive Income, Cash Flows and Total Equity for each of the three years in the period ended December 31, 2022, the Notes to the Consolidated Financial Statements, and the Reports of the Independent Registered Public Accounting Firm are included below.</w:t>
      </w:r>
    </w:p>
    <w:p w14:paraId="1C74BEC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All of the schedules specified under Regulation S-X to be provided by Autoliv have been omitted either because they are not applicable, are not required or the information required is included in the financial statements or notes thereto.</w:t>
      </w:r>
    </w:p>
    <w:p w14:paraId="45C828D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52</w:t>
      </w:r>
    </w:p>
    <w:p w14:paraId="2AD2C72C"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ED8368D">
          <v:rect id="_x0000_i1079" style="width:0;height:1.5pt" o:hralign="center" o:hrstd="t" o:hrnoshade="t" o:hr="t" fillcolor="black" stroked="f"/>
        </w:pict>
      </w:r>
    </w:p>
    <w:p w14:paraId="732FB66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8748773"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Report of Independent Registered Public Accounting Firm</w:t>
      </w:r>
    </w:p>
    <w:p w14:paraId="797D02F1"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To the Shareholders and the Board of Directors of Autoliv, Inc.</w:t>
      </w:r>
    </w:p>
    <w:p w14:paraId="4BE6D248"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Opinion on the Financial Statements </w:t>
      </w:r>
    </w:p>
    <w:p w14:paraId="711E026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have audited the accompanying consolidated balance sheets of Autoliv, Inc. (the Company) as of December 31, 2022 and 2021, the related consolidated statements of income, comprehensive income, total equity and cash flows for each of the three years in the period ended December 31, 2022, and the related notes (collectively referred to as the “consolidated financial statements”). In our opinion, the consolidated financial statements present fairly, in all material respects, the financial position of the </w:t>
      </w:r>
      <w:r w:rsidRPr="004B2A77">
        <w:rPr>
          <w:rFonts w:ascii="Arial" w:eastAsia="宋体" w:hAnsi="Arial" w:cs="Arial"/>
          <w:color w:val="000000"/>
          <w:kern w:val="0"/>
          <w:sz w:val="18"/>
          <w:szCs w:val="18"/>
        </w:rPr>
        <w:lastRenderedPageBreak/>
        <w:t>Company at December 31, 2022 and 2021, and the results of its operations and its cash flows for each of the three years in the period ended December 31, 2022, in conformity with U.S. generally accepted accounting principles.</w:t>
      </w:r>
    </w:p>
    <w:p w14:paraId="274DFE2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also have audited, in accordance with the standards of the Public Company Accounting Oversight Board (United States) (PCAOB), the Company's internal control over financial reporting as of December 31, 2022, based on criteria established in Internal Control-Integrated Framework issued by the Committee of Sponsoring Organizations of the Treadway Commission (2013 framework) and our report dated February 16, 2023 expressed an unqualified opinion thereon.</w:t>
      </w:r>
    </w:p>
    <w:p w14:paraId="761B2F7F"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Basis for Opinion </w:t>
      </w:r>
    </w:p>
    <w:p w14:paraId="0BFA107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356DD2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included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067004C8"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Critical Audit Matters</w:t>
      </w:r>
    </w:p>
    <w:p w14:paraId="127422A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critical audit matters communicated below are matters arising from the current period audit of the financial statements that were communicated or required to be communicated to the audit committee and that: (1) relate to accounts or disclosures that are material to the financial statements and (2) involved especially challenging, subjective, or complex judgments. The communication of critical audit matters does not alter in any way our opinion on the consolidated financial statements, taken as a whole, and we are not, by communicating the critical audit matters below, providing separate opinions on the critical audit matters or on the accounts or disclosures to which they relate.</w:t>
      </w:r>
    </w:p>
    <w:p w14:paraId="0C6345A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2069"/>
        <w:gridCol w:w="398"/>
        <w:gridCol w:w="18147"/>
      </w:tblGrid>
      <w:tr w:rsidR="004B2A77" w:rsidRPr="004B2A77" w14:paraId="51278F60" w14:textId="77777777" w:rsidTr="004B2A77">
        <w:trPr>
          <w:tblCellSpacing w:w="15" w:type="dxa"/>
        </w:trPr>
        <w:tc>
          <w:tcPr>
            <w:tcW w:w="2907" w:type="dxa"/>
            <w:vAlign w:val="center"/>
            <w:hideMark/>
          </w:tcPr>
          <w:p w14:paraId="5772F1DA"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545" w:type="dxa"/>
            <w:vAlign w:val="center"/>
            <w:hideMark/>
          </w:tcPr>
          <w:p w14:paraId="6FB5132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072" w:type="dxa"/>
            <w:vAlign w:val="center"/>
            <w:hideMark/>
          </w:tcPr>
          <w:p w14:paraId="10ACD301"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AB114AE" w14:textId="77777777" w:rsidTr="004B2A77">
        <w:trPr>
          <w:trHeight w:val="180"/>
          <w:tblCellSpacing w:w="15" w:type="dxa"/>
        </w:trPr>
        <w:tc>
          <w:tcPr>
            <w:tcW w:w="0" w:type="auto"/>
            <w:hideMark/>
          </w:tcPr>
          <w:p w14:paraId="75B430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1CBCAF79" w14:textId="77777777" w:rsidR="004B2A77" w:rsidRPr="004B2A77" w:rsidRDefault="004B2A77" w:rsidP="004B2A77">
            <w:pPr>
              <w:widowControl/>
              <w:spacing w:after="240"/>
              <w:ind w:right="69"/>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0DA47F37"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b/>
                <w:bCs/>
                <w:i/>
                <w:iCs/>
                <w:color w:val="000000"/>
                <w:kern w:val="0"/>
                <w:sz w:val="18"/>
                <w:szCs w:val="18"/>
              </w:rPr>
              <w:t>Revenue recognition – Variable consideration related to price concessions</w:t>
            </w:r>
          </w:p>
        </w:tc>
      </w:tr>
      <w:tr w:rsidR="004B2A77" w:rsidRPr="004B2A77" w14:paraId="377D170D" w14:textId="77777777" w:rsidTr="004B2A77">
        <w:trPr>
          <w:trHeight w:val="180"/>
          <w:tblCellSpacing w:w="15" w:type="dxa"/>
        </w:trPr>
        <w:tc>
          <w:tcPr>
            <w:tcW w:w="0" w:type="auto"/>
            <w:hideMark/>
          </w:tcPr>
          <w:p w14:paraId="76733D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xml:space="preserve">Description of the </w:t>
            </w:r>
            <w:r w:rsidRPr="004B2A77">
              <w:rPr>
                <w:rFonts w:ascii="Arial" w:eastAsia="微软雅黑" w:hAnsi="Arial" w:cs="Arial"/>
                <w:i/>
                <w:iCs/>
                <w:color w:val="000000"/>
                <w:kern w:val="0"/>
                <w:sz w:val="18"/>
                <w:szCs w:val="18"/>
              </w:rPr>
              <w:br/>
              <w:t>Matter</w:t>
            </w:r>
          </w:p>
        </w:tc>
        <w:tc>
          <w:tcPr>
            <w:tcW w:w="0" w:type="auto"/>
            <w:hideMark/>
          </w:tcPr>
          <w:p w14:paraId="3E163B7C" w14:textId="77777777" w:rsidR="004B2A77" w:rsidRPr="004B2A77" w:rsidRDefault="004B2A77" w:rsidP="004B2A77">
            <w:pPr>
              <w:widowControl/>
              <w:spacing w:after="240"/>
              <w:ind w:right="69"/>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5F4DA70"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As discussed in Note 2 to the consolidated financial statements, the Company measures revenue based on consideration specified in a contract with a customer, adjusted for any variable consideration. Variability in consideration typically results from price concessions. The estimated amount of variable consideration that will be received by the Company related to price concessions is based on assumptions that include historical experience and trends, management’s assessment of the probable outcome of its negotiations with customers and anticipated future pricing strategies. Estimating variable consideration to be received related to price concessions requires significant judgments by management that affect the amount of revenue recorded in the financial statements. </w:t>
            </w:r>
          </w:p>
          <w:p w14:paraId="4D6CE51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p w14:paraId="659D5422"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Auditing the amount of variable consideration expected to be received related to price concessions was complex because of the uncertainty inherent in the factors discussed above that management uses in its assumptions and calculations. </w:t>
            </w:r>
          </w:p>
          <w:p w14:paraId="5FB17FB4"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lastRenderedPageBreak/>
              <w:t> </w:t>
            </w:r>
          </w:p>
        </w:tc>
      </w:tr>
      <w:tr w:rsidR="004B2A77" w:rsidRPr="004B2A77" w14:paraId="253EC7A9" w14:textId="77777777" w:rsidTr="004B2A77">
        <w:trPr>
          <w:trHeight w:val="180"/>
          <w:tblCellSpacing w:w="15" w:type="dxa"/>
        </w:trPr>
        <w:tc>
          <w:tcPr>
            <w:tcW w:w="0" w:type="auto"/>
            <w:hideMark/>
          </w:tcPr>
          <w:p w14:paraId="54EA0E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lastRenderedPageBreak/>
              <w:t xml:space="preserve">How We </w:t>
            </w:r>
            <w:r w:rsidRPr="004B2A77">
              <w:rPr>
                <w:rFonts w:ascii="Arial" w:eastAsia="微软雅黑" w:hAnsi="Arial" w:cs="Arial"/>
                <w:i/>
                <w:iCs/>
                <w:color w:val="000000"/>
                <w:kern w:val="0"/>
                <w:sz w:val="18"/>
                <w:szCs w:val="18"/>
              </w:rPr>
              <w:br/>
              <w:t xml:space="preserve">Addressed the </w:t>
            </w:r>
            <w:r w:rsidRPr="004B2A77">
              <w:rPr>
                <w:rFonts w:ascii="Arial" w:eastAsia="微软雅黑" w:hAnsi="Arial" w:cs="Arial"/>
                <w:i/>
                <w:iCs/>
                <w:color w:val="000000"/>
                <w:kern w:val="0"/>
                <w:sz w:val="18"/>
                <w:szCs w:val="18"/>
              </w:rPr>
              <w:br/>
              <w:t>Matter in Our Audit</w:t>
            </w:r>
          </w:p>
        </w:tc>
        <w:tc>
          <w:tcPr>
            <w:tcW w:w="0" w:type="auto"/>
            <w:hideMark/>
          </w:tcPr>
          <w:p w14:paraId="32399C4F" w14:textId="77777777" w:rsidR="004B2A77" w:rsidRPr="004B2A77" w:rsidRDefault="004B2A77" w:rsidP="004B2A77">
            <w:pPr>
              <w:widowControl/>
              <w:spacing w:after="240"/>
              <w:ind w:right="69"/>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72E5B90"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We obtained an understanding, evaluated the design, and tested the operating effectiveness of internal controls related to variable consideration, including controls related to management’s review of ongoing negotiations with customers.</w:t>
            </w:r>
          </w:p>
          <w:p w14:paraId="787B8D7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p w14:paraId="36EFB6A6"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To test the estimated amount of variable consideration expected to be received related to price concessions, our audit procedures included, among others, evaluating the Company’s estimation methodology and testing the significant factors used in the calculations, as discussed above. These procedures included obtaining information from management and sales department representatives who were responsible for negotiations with customers to assess the reasonableness of assumptions related to variable considerations relative to current negotiations. We evaluated the Company’s ability to estimate by comparing actual results to previous estimates and judgments made by management. We also performed journal entry testing focused on unusual and manual entries affecting revenue and on entries that could be indicative of price concessions that may not have been considered in the Company’s assumptions and calculations. </w:t>
            </w:r>
          </w:p>
        </w:tc>
      </w:tr>
    </w:tbl>
    <w:p w14:paraId="747E719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31D792F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53</w:t>
      </w:r>
    </w:p>
    <w:p w14:paraId="362E6FCA"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7B188BA">
          <v:rect id="_x0000_i1080" style="width:0;height:1.5pt" o:hralign="center" o:hrstd="t" o:hrnoshade="t" o:hr="t" fillcolor="black" stroked="f"/>
        </w:pict>
      </w:r>
    </w:p>
    <w:p w14:paraId="2E83729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3D025B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2069"/>
        <w:gridCol w:w="398"/>
        <w:gridCol w:w="18147"/>
      </w:tblGrid>
      <w:tr w:rsidR="004B2A77" w:rsidRPr="004B2A77" w14:paraId="7AABDE4E" w14:textId="77777777" w:rsidTr="004B2A77">
        <w:trPr>
          <w:tblCellSpacing w:w="15" w:type="dxa"/>
        </w:trPr>
        <w:tc>
          <w:tcPr>
            <w:tcW w:w="2907" w:type="dxa"/>
            <w:vAlign w:val="center"/>
            <w:hideMark/>
          </w:tcPr>
          <w:p w14:paraId="63446214"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545" w:type="dxa"/>
            <w:vAlign w:val="center"/>
            <w:hideMark/>
          </w:tcPr>
          <w:p w14:paraId="51738FB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072" w:type="dxa"/>
            <w:vAlign w:val="center"/>
            <w:hideMark/>
          </w:tcPr>
          <w:p w14:paraId="595DB31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429C4D1" w14:textId="77777777" w:rsidTr="004B2A77">
        <w:trPr>
          <w:trHeight w:val="180"/>
          <w:tblCellSpacing w:w="15" w:type="dxa"/>
        </w:trPr>
        <w:tc>
          <w:tcPr>
            <w:tcW w:w="0" w:type="auto"/>
            <w:hideMark/>
          </w:tcPr>
          <w:p w14:paraId="2E7C40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FC683D8" w14:textId="77777777" w:rsidR="004B2A77" w:rsidRPr="004B2A77" w:rsidRDefault="004B2A77" w:rsidP="004B2A77">
            <w:pPr>
              <w:widowControl/>
              <w:spacing w:after="240"/>
              <w:ind w:right="69"/>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DBCEF01"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b/>
                <w:bCs/>
                <w:i/>
                <w:iCs/>
                <w:color w:val="000000"/>
                <w:kern w:val="0"/>
                <w:sz w:val="18"/>
                <w:szCs w:val="18"/>
              </w:rPr>
              <w:t>Product recall liabilities</w:t>
            </w:r>
          </w:p>
        </w:tc>
      </w:tr>
      <w:tr w:rsidR="004B2A77" w:rsidRPr="004B2A77" w14:paraId="23D47E1C" w14:textId="77777777" w:rsidTr="004B2A77">
        <w:trPr>
          <w:trHeight w:val="180"/>
          <w:tblCellSpacing w:w="15" w:type="dxa"/>
        </w:trPr>
        <w:tc>
          <w:tcPr>
            <w:tcW w:w="0" w:type="auto"/>
            <w:hideMark/>
          </w:tcPr>
          <w:p w14:paraId="11705C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xml:space="preserve">Description of the </w:t>
            </w:r>
            <w:r w:rsidRPr="004B2A77">
              <w:rPr>
                <w:rFonts w:ascii="Arial" w:eastAsia="微软雅黑" w:hAnsi="Arial" w:cs="Arial"/>
                <w:i/>
                <w:iCs/>
                <w:color w:val="000000"/>
                <w:kern w:val="0"/>
                <w:sz w:val="18"/>
                <w:szCs w:val="18"/>
              </w:rPr>
              <w:br/>
              <w:t>Matter</w:t>
            </w:r>
          </w:p>
        </w:tc>
        <w:tc>
          <w:tcPr>
            <w:tcW w:w="0" w:type="auto"/>
            <w:hideMark/>
          </w:tcPr>
          <w:p w14:paraId="1E9559B2" w14:textId="77777777" w:rsidR="004B2A77" w:rsidRPr="004B2A77" w:rsidRDefault="004B2A77" w:rsidP="004B2A77">
            <w:pPr>
              <w:widowControl/>
              <w:spacing w:after="240"/>
              <w:ind w:right="69"/>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29ED4AF"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As discussed in Notes 2 and 12 to the consolidated financial statements, the Company is exposed to product liability claims in the event its products fail to perform as represented and such failure results, or is alleged to result, in bodily injury, and/or property damage or other loss. The Company records liabilities for product recalls when probable claims are identified and when it is possible to reasonably estimate costs. Actual costs incurred could differ from the amounts estimated, requiring adjustments to these reserves in future periods. Provisions for product recalls are estimated based on the expected cost of replacing the product and the customer’s cost of carrying out the recall, which is affected by the number of vehicles subject to recall and the cost of labor and materials to remove and replace the defective product. </w:t>
            </w:r>
          </w:p>
          <w:p w14:paraId="0252214F" w14:textId="77777777" w:rsidR="004B2A77" w:rsidRPr="004B2A77" w:rsidRDefault="004B2A77" w:rsidP="004B2A77">
            <w:pPr>
              <w:widowControl/>
              <w:spacing w:before="120"/>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Auditing the product recall liabilities was complex due to the uncertainty inherent in the assumptions and estimates management uses to calculate these liability balances. These significant assumptions and estimates include the nature, likelihood, timing, and anticipated cost of known and potential claims. </w:t>
            </w:r>
          </w:p>
        </w:tc>
      </w:tr>
      <w:tr w:rsidR="004B2A77" w:rsidRPr="004B2A77" w14:paraId="126A1304" w14:textId="77777777" w:rsidTr="004B2A77">
        <w:trPr>
          <w:trHeight w:val="180"/>
          <w:tblCellSpacing w:w="15" w:type="dxa"/>
        </w:trPr>
        <w:tc>
          <w:tcPr>
            <w:tcW w:w="0" w:type="auto"/>
            <w:hideMark/>
          </w:tcPr>
          <w:p w14:paraId="29F6CA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p w14:paraId="7BC9F2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 xml:space="preserve">How We </w:t>
            </w:r>
            <w:r w:rsidRPr="004B2A77">
              <w:rPr>
                <w:rFonts w:ascii="Arial" w:eastAsia="微软雅黑" w:hAnsi="Arial" w:cs="Arial"/>
                <w:i/>
                <w:iCs/>
                <w:color w:val="000000"/>
                <w:kern w:val="0"/>
                <w:sz w:val="18"/>
                <w:szCs w:val="18"/>
              </w:rPr>
              <w:br/>
              <w:t xml:space="preserve">Addressed the </w:t>
            </w:r>
            <w:r w:rsidRPr="004B2A77">
              <w:rPr>
                <w:rFonts w:ascii="Arial" w:eastAsia="微软雅黑" w:hAnsi="Arial" w:cs="Arial"/>
                <w:i/>
                <w:iCs/>
                <w:color w:val="000000"/>
                <w:kern w:val="0"/>
                <w:sz w:val="18"/>
                <w:szCs w:val="18"/>
              </w:rPr>
              <w:br/>
              <w:t>Matter in Our Audit</w:t>
            </w:r>
          </w:p>
        </w:tc>
        <w:tc>
          <w:tcPr>
            <w:tcW w:w="0" w:type="auto"/>
            <w:hideMark/>
          </w:tcPr>
          <w:p w14:paraId="0D66973F" w14:textId="77777777" w:rsidR="004B2A77" w:rsidRPr="004B2A77" w:rsidRDefault="004B2A77" w:rsidP="004B2A77">
            <w:pPr>
              <w:widowControl/>
              <w:spacing w:after="240"/>
              <w:ind w:right="69"/>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3C4F65F" w14:textId="77777777" w:rsidR="004B2A77" w:rsidRPr="004B2A77" w:rsidRDefault="004B2A77" w:rsidP="004B2A77">
            <w:pPr>
              <w:widowControl/>
              <w:spacing w:before="240"/>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We obtained an understanding, evaluated the design, and tested the operating effectiveness of internal controls over the Company’s product recall process, including controls related to management’s review of the estimation calculations and significant assumptions discussed above. </w:t>
            </w:r>
          </w:p>
          <w:p w14:paraId="262C73FA" w14:textId="77777777" w:rsidR="004B2A77" w:rsidRPr="004B2A77" w:rsidRDefault="004B2A77" w:rsidP="004B2A77">
            <w:pPr>
              <w:widowControl/>
              <w:spacing w:before="120"/>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To test product recall liabilities, our audit procedures included, among others, evaluating the Company’s estimation methodology and testing the significant assumptions discussed above. We obtained information from Company personnel who are responsible for monitoring the status of product recalls with customers to assess the reasonableness of assumptions used. We evaluated the Company’s ability to estimate by comparing actual results to previous estimates and judgments made by management. We also obtained letters from the Company’s external legal counsel addressing material claims against the Company, if any, and examined relevant third-party automotive safety regulatory information to identify potential unrecorded product recall liabilities. </w:t>
            </w:r>
          </w:p>
        </w:tc>
      </w:tr>
    </w:tbl>
    <w:p w14:paraId="0A68481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8"/>
          <w:szCs w:val="8"/>
        </w:rPr>
        <w:t> </w:t>
      </w:r>
    </w:p>
    <w:p w14:paraId="5DA2405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0"/>
          <w:szCs w:val="10"/>
        </w:rPr>
        <w:t> </w:t>
      </w:r>
    </w:p>
    <w:tbl>
      <w:tblPr>
        <w:tblW w:w="10719" w:type="dxa"/>
        <w:tblCellSpacing w:w="15" w:type="dxa"/>
        <w:tblCellMar>
          <w:top w:w="15" w:type="dxa"/>
          <w:left w:w="15" w:type="dxa"/>
          <w:bottom w:w="15" w:type="dxa"/>
          <w:right w:w="15" w:type="dxa"/>
        </w:tblCellMar>
        <w:tblLook w:val="04A0" w:firstRow="1" w:lastRow="0" w:firstColumn="1" w:lastColumn="0" w:noHBand="0" w:noVBand="1"/>
      </w:tblPr>
      <w:tblGrid>
        <w:gridCol w:w="10719"/>
      </w:tblGrid>
      <w:tr w:rsidR="004B2A77" w:rsidRPr="004B2A77" w14:paraId="5F2275CB" w14:textId="77777777" w:rsidTr="004B2A77">
        <w:trPr>
          <w:tblCellSpacing w:w="15" w:type="dxa"/>
        </w:trPr>
        <w:tc>
          <w:tcPr>
            <w:tcW w:w="10689" w:type="dxa"/>
            <w:vAlign w:val="center"/>
            <w:hideMark/>
          </w:tcPr>
          <w:p w14:paraId="348B4D55"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r>
      <w:tr w:rsidR="004B2A77" w:rsidRPr="004B2A77" w14:paraId="532F1E2C" w14:textId="77777777" w:rsidTr="004B2A77">
        <w:trPr>
          <w:trHeight w:val="389"/>
          <w:tblCellSpacing w:w="15" w:type="dxa"/>
        </w:trPr>
        <w:tc>
          <w:tcPr>
            <w:tcW w:w="0" w:type="auto"/>
            <w:hideMark/>
          </w:tcPr>
          <w:p w14:paraId="480DC4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Ernst &amp; Young AB</w:t>
            </w:r>
          </w:p>
        </w:tc>
      </w:tr>
      <w:tr w:rsidR="004B2A77" w:rsidRPr="004B2A77" w14:paraId="32F0081B" w14:textId="77777777" w:rsidTr="004B2A77">
        <w:trPr>
          <w:trHeight w:val="590"/>
          <w:tblCellSpacing w:w="15" w:type="dxa"/>
        </w:trPr>
        <w:tc>
          <w:tcPr>
            <w:tcW w:w="0" w:type="auto"/>
            <w:hideMark/>
          </w:tcPr>
          <w:p w14:paraId="51A56409"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p w14:paraId="50FB96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We have served as the Company´s auditor since 1984.</w:t>
            </w:r>
          </w:p>
          <w:p w14:paraId="5EBFB4B8"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p w14:paraId="7B84DBC5"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Stockholm, Sweden</w:t>
            </w:r>
          </w:p>
        </w:tc>
      </w:tr>
      <w:tr w:rsidR="004B2A77" w:rsidRPr="004B2A77" w14:paraId="1F2F24C5" w14:textId="77777777" w:rsidTr="004B2A77">
        <w:trPr>
          <w:trHeight w:val="216"/>
          <w:tblCellSpacing w:w="15" w:type="dxa"/>
        </w:trPr>
        <w:tc>
          <w:tcPr>
            <w:tcW w:w="0" w:type="auto"/>
            <w:hideMark/>
          </w:tcPr>
          <w:p w14:paraId="3D73D13F"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February 16, 2023</w:t>
            </w:r>
          </w:p>
        </w:tc>
      </w:tr>
    </w:tbl>
    <w:p w14:paraId="6EA26CF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83AF993"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54</w:t>
      </w:r>
    </w:p>
    <w:p w14:paraId="39855EEF"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0D728AE">
          <v:rect id="_x0000_i1081" style="width:0;height:1.5pt" o:hralign="center" o:hrstd="t" o:hrnoshade="t" o:hr="t" fillcolor="black" stroked="f"/>
        </w:pict>
      </w:r>
    </w:p>
    <w:p w14:paraId="4C97CB3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lastRenderedPageBreak/>
        <w:t> </w:t>
      </w:r>
    </w:p>
    <w:p w14:paraId="765B04DE"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Report of Independent Registered Public Accounting Firm</w:t>
      </w:r>
    </w:p>
    <w:p w14:paraId="1CD6B256"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To the Shareholders and the Board of Directors of Autoliv, Inc.</w:t>
      </w:r>
    </w:p>
    <w:p w14:paraId="7384401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339CA58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Opinion on Internal Control over Financial Reporting </w:t>
      </w:r>
    </w:p>
    <w:p w14:paraId="1B87E65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have audited Autoliv, Inc.’s internal control over financial reporting as of December 31, 2022, based on criteria established in Internal Control—Integrated Framework issued by the Committee of Sponsoring Organizations of the Treadway Commission (2013 framework) (the COSO criteria). In our opinion, Autoliv, Inc. (the Company) maintained, in all material respects, effective internal control over financial reporting as of December 31, 2022, based on the COSO criteria.</w:t>
      </w:r>
    </w:p>
    <w:p w14:paraId="479D7D50"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We also have audited, in accordance with the standards of the Public Company Accounting Oversight Board (United States) (PCAOB), the consolidated balance sheets of the Company as of December 31, 2022 and 2021, the related consolidated statements of income, comprehensive income, total equity and cash flows for each of the three years in the period ended December 31, 2022, and the related notes and our report dated February 16, 2023 expressed an unqualified opinion thereon.</w:t>
      </w:r>
    </w:p>
    <w:p w14:paraId="7FDD45B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Basis for Opinion </w:t>
      </w:r>
    </w:p>
    <w:p w14:paraId="66C9888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5C8687B7"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We conducted our audit in accordance with the standards of the PCAOB. Those standards require that we plan and perform the audit to obtain reasonable assurance about whether effective internal control over financial reporting was maintained in all material respects. </w:t>
      </w:r>
    </w:p>
    <w:p w14:paraId="301162EE"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260D0A1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Definition and Limitations of Internal Control Over Financial Reporting </w:t>
      </w:r>
    </w:p>
    <w:p w14:paraId="5D48249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w:t>
      </w:r>
      <w:r w:rsidRPr="004B2A77">
        <w:rPr>
          <w:rFonts w:ascii="Arial" w:eastAsia="宋体" w:hAnsi="Arial" w:cs="Arial"/>
          <w:color w:val="000000"/>
          <w:kern w:val="0"/>
          <w:sz w:val="18"/>
          <w:szCs w:val="18"/>
        </w:rPr>
        <w:lastRenderedPageBreak/>
        <w:t>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33AF81DA"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 </w:t>
      </w:r>
    </w:p>
    <w:p w14:paraId="6F15645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22B7E0E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 Ernst &amp; Young AB</w:t>
      </w:r>
    </w:p>
    <w:tbl>
      <w:tblPr>
        <w:tblW w:w="9276" w:type="dxa"/>
        <w:tblCellSpacing w:w="15" w:type="dxa"/>
        <w:tblCellMar>
          <w:top w:w="15" w:type="dxa"/>
          <w:left w:w="15" w:type="dxa"/>
          <w:bottom w:w="15" w:type="dxa"/>
          <w:right w:w="15" w:type="dxa"/>
        </w:tblCellMar>
        <w:tblLook w:val="04A0" w:firstRow="1" w:lastRow="0" w:firstColumn="1" w:lastColumn="0" w:noHBand="0" w:noVBand="1"/>
      </w:tblPr>
      <w:tblGrid>
        <w:gridCol w:w="4564"/>
        <w:gridCol w:w="166"/>
        <w:gridCol w:w="4546"/>
      </w:tblGrid>
      <w:tr w:rsidR="004B2A77" w:rsidRPr="004B2A77" w14:paraId="1AF2D4A5" w14:textId="77777777" w:rsidTr="004B2A77">
        <w:trPr>
          <w:tblCellSpacing w:w="15" w:type="dxa"/>
        </w:trPr>
        <w:tc>
          <w:tcPr>
            <w:tcW w:w="4533" w:type="dxa"/>
            <w:vAlign w:val="center"/>
            <w:hideMark/>
          </w:tcPr>
          <w:p w14:paraId="033CFDA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36" w:type="dxa"/>
            <w:vAlign w:val="center"/>
            <w:hideMark/>
          </w:tcPr>
          <w:p w14:paraId="55DAC3E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518" w:type="dxa"/>
            <w:vAlign w:val="center"/>
            <w:hideMark/>
          </w:tcPr>
          <w:p w14:paraId="449B7561"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54C5EAE" w14:textId="77777777" w:rsidTr="004B2A77">
        <w:trPr>
          <w:trHeight w:val="180"/>
          <w:tblCellSpacing w:w="15" w:type="dxa"/>
        </w:trPr>
        <w:tc>
          <w:tcPr>
            <w:tcW w:w="0" w:type="auto"/>
            <w:hideMark/>
          </w:tcPr>
          <w:p w14:paraId="70D47F93"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p w14:paraId="232F2F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Stockholm, Sweden</w:t>
            </w:r>
          </w:p>
        </w:tc>
        <w:tc>
          <w:tcPr>
            <w:tcW w:w="0" w:type="auto"/>
            <w:hideMark/>
          </w:tcPr>
          <w:p w14:paraId="642EC6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17A20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FC882C1" w14:textId="77777777" w:rsidTr="004B2A77">
        <w:trPr>
          <w:trHeight w:val="180"/>
          <w:tblCellSpacing w:w="15" w:type="dxa"/>
        </w:trPr>
        <w:tc>
          <w:tcPr>
            <w:tcW w:w="0" w:type="auto"/>
            <w:hideMark/>
          </w:tcPr>
          <w:p w14:paraId="0DD93E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February 16, 2023</w:t>
            </w:r>
          </w:p>
        </w:tc>
        <w:tc>
          <w:tcPr>
            <w:tcW w:w="0" w:type="auto"/>
            <w:hideMark/>
          </w:tcPr>
          <w:p w14:paraId="6245A0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41FB7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7A4D084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843171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55</w:t>
      </w:r>
    </w:p>
    <w:p w14:paraId="40DA5122"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9405E46">
          <v:rect id="_x0000_i1082" style="width:0;height:1.5pt" o:hralign="center" o:hrstd="t" o:hrnoshade="t" o:hr="t" fillcolor="black" stroked="f"/>
        </w:pict>
      </w:r>
    </w:p>
    <w:p w14:paraId="1267559A"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14BBD0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Consolidated Statements of Income</w:t>
      </w:r>
    </w:p>
    <w:p w14:paraId="719F8557"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274"/>
        <w:gridCol w:w="374"/>
        <w:gridCol w:w="2188"/>
        <w:gridCol w:w="374"/>
        <w:gridCol w:w="231"/>
        <w:gridCol w:w="1732"/>
        <w:gridCol w:w="231"/>
        <w:gridCol w:w="375"/>
        <w:gridCol w:w="231"/>
        <w:gridCol w:w="1732"/>
        <w:gridCol w:w="231"/>
        <w:gridCol w:w="375"/>
        <w:gridCol w:w="231"/>
        <w:gridCol w:w="1788"/>
        <w:gridCol w:w="247"/>
      </w:tblGrid>
      <w:tr w:rsidR="004B2A77" w:rsidRPr="004B2A77" w14:paraId="4E78F1A3" w14:textId="77777777" w:rsidTr="004B2A77">
        <w:trPr>
          <w:tblCellSpacing w:w="15" w:type="dxa"/>
        </w:trPr>
        <w:tc>
          <w:tcPr>
            <w:tcW w:w="10247" w:type="dxa"/>
            <w:vAlign w:val="center"/>
            <w:hideMark/>
          </w:tcPr>
          <w:p w14:paraId="0FCB459B"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45" w:type="dxa"/>
            <w:vAlign w:val="center"/>
            <w:hideMark/>
          </w:tcPr>
          <w:p w14:paraId="043A0D7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62" w:type="dxa"/>
            <w:vAlign w:val="center"/>
            <w:hideMark/>
          </w:tcPr>
          <w:p w14:paraId="42239D5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5" w:type="dxa"/>
            <w:vAlign w:val="center"/>
            <w:hideMark/>
          </w:tcPr>
          <w:p w14:paraId="6B58104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2C74A54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04" w:type="dxa"/>
            <w:vAlign w:val="center"/>
            <w:hideMark/>
          </w:tcPr>
          <w:p w14:paraId="11F5141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0211AAC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5" w:type="dxa"/>
            <w:vAlign w:val="center"/>
            <w:hideMark/>
          </w:tcPr>
          <w:p w14:paraId="7AD0582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25D27FD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04" w:type="dxa"/>
            <w:vAlign w:val="center"/>
            <w:hideMark/>
          </w:tcPr>
          <w:p w14:paraId="177EA04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6FD7FA2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5" w:type="dxa"/>
            <w:vAlign w:val="center"/>
            <w:hideMark/>
          </w:tcPr>
          <w:p w14:paraId="4BA521C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190EC21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0" w:type="dxa"/>
            <w:vAlign w:val="center"/>
            <w:hideMark/>
          </w:tcPr>
          <w:p w14:paraId="6639AA0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4D3D948E"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F22BCD2" w14:textId="77777777" w:rsidTr="004B2A77">
        <w:trPr>
          <w:trHeight w:val="160"/>
          <w:tblCellSpacing w:w="15" w:type="dxa"/>
        </w:trPr>
        <w:tc>
          <w:tcPr>
            <w:tcW w:w="0" w:type="auto"/>
            <w:shd w:val="clear" w:color="auto" w:fill="FFFFFF"/>
            <w:vAlign w:val="bottom"/>
            <w:hideMark/>
          </w:tcPr>
          <w:p w14:paraId="10DAE33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384A94A2"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034EFC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9DF98D6"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10"/>
            <w:tcBorders>
              <w:bottom w:val="single" w:sz="4" w:space="0" w:color="000000"/>
            </w:tcBorders>
            <w:shd w:val="clear" w:color="auto" w:fill="FFFFFF"/>
            <w:vAlign w:val="bottom"/>
            <w:hideMark/>
          </w:tcPr>
          <w:p w14:paraId="01F700A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Years ended December 31</w:t>
            </w:r>
          </w:p>
        </w:tc>
        <w:tc>
          <w:tcPr>
            <w:tcW w:w="0" w:type="auto"/>
            <w:shd w:val="clear" w:color="auto" w:fill="FFFFFF"/>
            <w:vAlign w:val="bottom"/>
            <w:hideMark/>
          </w:tcPr>
          <w:p w14:paraId="7BE1591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5297B676" w14:textId="77777777" w:rsidTr="004B2A77">
        <w:trPr>
          <w:trHeight w:val="160"/>
          <w:tblCellSpacing w:w="15" w:type="dxa"/>
        </w:trPr>
        <w:tc>
          <w:tcPr>
            <w:tcW w:w="0" w:type="auto"/>
            <w:shd w:val="clear" w:color="auto" w:fill="FFFFFF"/>
            <w:vAlign w:val="bottom"/>
            <w:hideMark/>
          </w:tcPr>
          <w:p w14:paraId="42B26E06"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(DOLLARS AND SHARES IN MILLIONS, EXCEPT PER SHARE DATA)</w:t>
            </w:r>
          </w:p>
        </w:tc>
        <w:tc>
          <w:tcPr>
            <w:tcW w:w="0" w:type="auto"/>
            <w:shd w:val="clear" w:color="auto" w:fill="FFFFFF"/>
            <w:vAlign w:val="bottom"/>
            <w:hideMark/>
          </w:tcPr>
          <w:p w14:paraId="5233BCB0"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5DA83F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4B05F81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F0A93B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13D2CBA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8DA664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0D93AC7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754CC4F8"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D2D599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FD2436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2020</w:t>
            </w:r>
          </w:p>
        </w:tc>
        <w:tc>
          <w:tcPr>
            <w:tcW w:w="0" w:type="auto"/>
            <w:shd w:val="clear" w:color="auto" w:fill="FFFFFF"/>
            <w:vAlign w:val="bottom"/>
            <w:hideMark/>
          </w:tcPr>
          <w:p w14:paraId="7071A36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0C225AE6" w14:textId="77777777" w:rsidTr="004B2A77">
        <w:trPr>
          <w:trHeight w:val="180"/>
          <w:tblCellSpacing w:w="15" w:type="dxa"/>
        </w:trPr>
        <w:tc>
          <w:tcPr>
            <w:tcW w:w="0" w:type="auto"/>
            <w:shd w:val="clear" w:color="auto" w:fill="CFF0FC"/>
            <w:hideMark/>
          </w:tcPr>
          <w:p w14:paraId="213F9E51"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Net sales</w:t>
            </w:r>
          </w:p>
        </w:tc>
        <w:tc>
          <w:tcPr>
            <w:tcW w:w="0" w:type="auto"/>
            <w:shd w:val="clear" w:color="auto" w:fill="CFF0FC"/>
            <w:vAlign w:val="bottom"/>
            <w:hideMark/>
          </w:tcPr>
          <w:p w14:paraId="20A94D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A1EBE3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20</w:t>
            </w:r>
          </w:p>
        </w:tc>
        <w:tc>
          <w:tcPr>
            <w:tcW w:w="0" w:type="auto"/>
            <w:shd w:val="clear" w:color="auto" w:fill="CFF0FC"/>
            <w:vAlign w:val="bottom"/>
            <w:hideMark/>
          </w:tcPr>
          <w:p w14:paraId="2874CE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42002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7AFEF10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8,842</w:t>
            </w:r>
          </w:p>
        </w:tc>
        <w:tc>
          <w:tcPr>
            <w:tcW w:w="0" w:type="auto"/>
            <w:shd w:val="clear" w:color="auto" w:fill="CFF0FC"/>
            <w:noWrap/>
            <w:vAlign w:val="bottom"/>
            <w:hideMark/>
          </w:tcPr>
          <w:p w14:paraId="21724E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93F0D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306AA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71D227B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8,230</w:t>
            </w:r>
          </w:p>
        </w:tc>
        <w:tc>
          <w:tcPr>
            <w:tcW w:w="0" w:type="auto"/>
            <w:shd w:val="clear" w:color="auto" w:fill="CFF0FC"/>
            <w:noWrap/>
            <w:vAlign w:val="bottom"/>
            <w:hideMark/>
          </w:tcPr>
          <w:p w14:paraId="2649D9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A2D4E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72933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42A5EB8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7,447</w:t>
            </w:r>
          </w:p>
        </w:tc>
        <w:tc>
          <w:tcPr>
            <w:tcW w:w="0" w:type="auto"/>
            <w:shd w:val="clear" w:color="auto" w:fill="CFF0FC"/>
            <w:noWrap/>
            <w:vAlign w:val="bottom"/>
            <w:hideMark/>
          </w:tcPr>
          <w:p w14:paraId="724996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1C623F5" w14:textId="77777777" w:rsidTr="004B2A77">
        <w:trPr>
          <w:trHeight w:val="180"/>
          <w:tblCellSpacing w:w="15" w:type="dxa"/>
        </w:trPr>
        <w:tc>
          <w:tcPr>
            <w:tcW w:w="0" w:type="auto"/>
            <w:shd w:val="clear" w:color="auto" w:fill="FFFFFF"/>
            <w:hideMark/>
          </w:tcPr>
          <w:p w14:paraId="1D05E6C6"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Cost of sales</w:t>
            </w:r>
          </w:p>
        </w:tc>
        <w:tc>
          <w:tcPr>
            <w:tcW w:w="0" w:type="auto"/>
            <w:shd w:val="clear" w:color="auto" w:fill="FFFFFF"/>
            <w:vAlign w:val="bottom"/>
            <w:hideMark/>
          </w:tcPr>
          <w:p w14:paraId="0672FC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457C5F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65187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70B958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11796F4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(7,446</w:t>
            </w:r>
          </w:p>
        </w:tc>
        <w:tc>
          <w:tcPr>
            <w:tcW w:w="0" w:type="auto"/>
            <w:shd w:val="clear" w:color="auto" w:fill="FFFFFF"/>
            <w:noWrap/>
            <w:vAlign w:val="bottom"/>
            <w:hideMark/>
          </w:tcPr>
          <w:p w14:paraId="7AADB2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49697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502E38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1833973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(6,719</w:t>
            </w:r>
          </w:p>
        </w:tc>
        <w:tc>
          <w:tcPr>
            <w:tcW w:w="0" w:type="auto"/>
            <w:shd w:val="clear" w:color="auto" w:fill="FFFFFF"/>
            <w:noWrap/>
            <w:vAlign w:val="bottom"/>
            <w:hideMark/>
          </w:tcPr>
          <w:p w14:paraId="0E3C71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FDDB3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372AB8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7CEF9BE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(6,201</w:t>
            </w:r>
          </w:p>
        </w:tc>
        <w:tc>
          <w:tcPr>
            <w:tcW w:w="0" w:type="auto"/>
            <w:shd w:val="clear" w:color="auto" w:fill="FFFFFF"/>
            <w:noWrap/>
            <w:vAlign w:val="bottom"/>
            <w:hideMark/>
          </w:tcPr>
          <w:p w14:paraId="0F3DD2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5EEA98E" w14:textId="77777777" w:rsidTr="004B2A77">
        <w:trPr>
          <w:trHeight w:val="180"/>
          <w:tblCellSpacing w:w="15" w:type="dxa"/>
        </w:trPr>
        <w:tc>
          <w:tcPr>
            <w:tcW w:w="0" w:type="auto"/>
            <w:shd w:val="clear" w:color="auto" w:fill="CFF0FC"/>
            <w:hideMark/>
          </w:tcPr>
          <w:p w14:paraId="395E54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Gross profit</w:t>
            </w:r>
          </w:p>
        </w:tc>
        <w:tc>
          <w:tcPr>
            <w:tcW w:w="0" w:type="auto"/>
            <w:shd w:val="clear" w:color="auto" w:fill="CFF0FC"/>
            <w:vAlign w:val="bottom"/>
            <w:hideMark/>
          </w:tcPr>
          <w:p w14:paraId="72CB86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E2D9A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DC473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49DFF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C53B1B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1,396</w:t>
            </w:r>
          </w:p>
        </w:tc>
        <w:tc>
          <w:tcPr>
            <w:tcW w:w="0" w:type="auto"/>
            <w:shd w:val="clear" w:color="auto" w:fill="CFF0FC"/>
            <w:noWrap/>
            <w:vAlign w:val="bottom"/>
            <w:hideMark/>
          </w:tcPr>
          <w:p w14:paraId="31D5E5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5D2D4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43284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10ADAC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1,511</w:t>
            </w:r>
          </w:p>
        </w:tc>
        <w:tc>
          <w:tcPr>
            <w:tcW w:w="0" w:type="auto"/>
            <w:shd w:val="clear" w:color="auto" w:fill="CFF0FC"/>
            <w:noWrap/>
            <w:vAlign w:val="bottom"/>
            <w:hideMark/>
          </w:tcPr>
          <w:p w14:paraId="687836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6C318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57F15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759408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1,247</w:t>
            </w:r>
          </w:p>
        </w:tc>
        <w:tc>
          <w:tcPr>
            <w:tcW w:w="0" w:type="auto"/>
            <w:shd w:val="clear" w:color="auto" w:fill="CFF0FC"/>
            <w:noWrap/>
            <w:vAlign w:val="bottom"/>
            <w:hideMark/>
          </w:tcPr>
          <w:p w14:paraId="160CD9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45374F4" w14:textId="77777777" w:rsidTr="004B2A77">
        <w:trPr>
          <w:trHeight w:val="180"/>
          <w:tblCellSpacing w:w="15" w:type="dxa"/>
        </w:trPr>
        <w:tc>
          <w:tcPr>
            <w:tcW w:w="0" w:type="auto"/>
            <w:shd w:val="clear" w:color="auto" w:fill="FFFFFF"/>
            <w:hideMark/>
          </w:tcPr>
          <w:p w14:paraId="2FEB4F0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Selling, general and administrative expenses</w:t>
            </w:r>
          </w:p>
        </w:tc>
        <w:tc>
          <w:tcPr>
            <w:tcW w:w="0" w:type="auto"/>
            <w:shd w:val="clear" w:color="auto" w:fill="FFFFFF"/>
            <w:vAlign w:val="bottom"/>
            <w:hideMark/>
          </w:tcPr>
          <w:p w14:paraId="714494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F0EE44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9577E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C8AF2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99203B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(437</w:t>
            </w:r>
          </w:p>
        </w:tc>
        <w:tc>
          <w:tcPr>
            <w:tcW w:w="0" w:type="auto"/>
            <w:shd w:val="clear" w:color="auto" w:fill="FFFFFF"/>
            <w:noWrap/>
            <w:vAlign w:val="bottom"/>
            <w:hideMark/>
          </w:tcPr>
          <w:p w14:paraId="11A511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48BA8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CBD47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46F2FC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(432</w:t>
            </w:r>
          </w:p>
        </w:tc>
        <w:tc>
          <w:tcPr>
            <w:tcW w:w="0" w:type="auto"/>
            <w:shd w:val="clear" w:color="auto" w:fill="FFFFFF"/>
            <w:noWrap/>
            <w:vAlign w:val="bottom"/>
            <w:hideMark/>
          </w:tcPr>
          <w:p w14:paraId="38890F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D1742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06E7B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9901FE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(389</w:t>
            </w:r>
          </w:p>
        </w:tc>
        <w:tc>
          <w:tcPr>
            <w:tcW w:w="0" w:type="auto"/>
            <w:shd w:val="clear" w:color="auto" w:fill="FFFFFF"/>
            <w:noWrap/>
            <w:vAlign w:val="bottom"/>
            <w:hideMark/>
          </w:tcPr>
          <w:p w14:paraId="192465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49D044B" w14:textId="77777777" w:rsidTr="004B2A77">
        <w:trPr>
          <w:trHeight w:val="180"/>
          <w:tblCellSpacing w:w="15" w:type="dxa"/>
        </w:trPr>
        <w:tc>
          <w:tcPr>
            <w:tcW w:w="0" w:type="auto"/>
            <w:shd w:val="clear" w:color="auto" w:fill="CFF0FC"/>
            <w:hideMark/>
          </w:tcPr>
          <w:p w14:paraId="30BA83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Research, development and engineering expenses, net</w:t>
            </w:r>
          </w:p>
        </w:tc>
        <w:tc>
          <w:tcPr>
            <w:tcW w:w="0" w:type="auto"/>
            <w:shd w:val="clear" w:color="auto" w:fill="CFF0FC"/>
            <w:vAlign w:val="bottom"/>
            <w:hideMark/>
          </w:tcPr>
          <w:p w14:paraId="7E6218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458B2E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9D4C7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2F083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FEB6A8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(390</w:t>
            </w:r>
          </w:p>
        </w:tc>
        <w:tc>
          <w:tcPr>
            <w:tcW w:w="0" w:type="auto"/>
            <w:shd w:val="clear" w:color="auto" w:fill="CFF0FC"/>
            <w:noWrap/>
            <w:vAlign w:val="bottom"/>
            <w:hideMark/>
          </w:tcPr>
          <w:p w14:paraId="4563D4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1DC29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63344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7E4C98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(391</w:t>
            </w:r>
          </w:p>
        </w:tc>
        <w:tc>
          <w:tcPr>
            <w:tcW w:w="0" w:type="auto"/>
            <w:shd w:val="clear" w:color="auto" w:fill="CFF0FC"/>
            <w:noWrap/>
            <w:vAlign w:val="bottom"/>
            <w:hideMark/>
          </w:tcPr>
          <w:p w14:paraId="2F14A0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5597C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50F33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326A8F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(376</w:t>
            </w:r>
          </w:p>
        </w:tc>
        <w:tc>
          <w:tcPr>
            <w:tcW w:w="0" w:type="auto"/>
            <w:shd w:val="clear" w:color="auto" w:fill="CFF0FC"/>
            <w:noWrap/>
            <w:vAlign w:val="bottom"/>
            <w:hideMark/>
          </w:tcPr>
          <w:p w14:paraId="7D2D79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279CA165" w14:textId="77777777" w:rsidTr="004B2A77">
        <w:trPr>
          <w:trHeight w:val="180"/>
          <w:tblCellSpacing w:w="15" w:type="dxa"/>
        </w:trPr>
        <w:tc>
          <w:tcPr>
            <w:tcW w:w="0" w:type="auto"/>
            <w:shd w:val="clear" w:color="auto" w:fill="FFFFFF"/>
            <w:hideMark/>
          </w:tcPr>
          <w:p w14:paraId="26BA9B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Amortization of intangibles</w:t>
            </w:r>
          </w:p>
        </w:tc>
        <w:tc>
          <w:tcPr>
            <w:tcW w:w="0" w:type="auto"/>
            <w:shd w:val="clear" w:color="auto" w:fill="FFFFFF"/>
            <w:vAlign w:val="bottom"/>
            <w:hideMark/>
          </w:tcPr>
          <w:p w14:paraId="5FEF00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EE7FF1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10</w:t>
            </w:r>
          </w:p>
        </w:tc>
        <w:tc>
          <w:tcPr>
            <w:tcW w:w="0" w:type="auto"/>
            <w:shd w:val="clear" w:color="auto" w:fill="FFFFFF"/>
            <w:vAlign w:val="bottom"/>
            <w:hideMark/>
          </w:tcPr>
          <w:p w14:paraId="55320F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C8ECA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D085FC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w:t>
            </w:r>
          </w:p>
        </w:tc>
        <w:tc>
          <w:tcPr>
            <w:tcW w:w="0" w:type="auto"/>
            <w:shd w:val="clear" w:color="auto" w:fill="FFFFFF"/>
            <w:noWrap/>
            <w:vAlign w:val="bottom"/>
            <w:hideMark/>
          </w:tcPr>
          <w:p w14:paraId="154F9F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AA7BB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FBF1C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1B7A76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(10</w:t>
            </w:r>
          </w:p>
        </w:tc>
        <w:tc>
          <w:tcPr>
            <w:tcW w:w="0" w:type="auto"/>
            <w:shd w:val="clear" w:color="auto" w:fill="FFFFFF"/>
            <w:noWrap/>
            <w:vAlign w:val="bottom"/>
            <w:hideMark/>
          </w:tcPr>
          <w:p w14:paraId="5D9E64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09397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91A2A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BD3C1D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(10</w:t>
            </w:r>
          </w:p>
        </w:tc>
        <w:tc>
          <w:tcPr>
            <w:tcW w:w="0" w:type="auto"/>
            <w:shd w:val="clear" w:color="auto" w:fill="FFFFFF"/>
            <w:noWrap/>
            <w:vAlign w:val="bottom"/>
            <w:hideMark/>
          </w:tcPr>
          <w:p w14:paraId="65C091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9A6E4D3" w14:textId="77777777" w:rsidTr="004B2A77">
        <w:trPr>
          <w:trHeight w:val="180"/>
          <w:tblCellSpacing w:w="15" w:type="dxa"/>
        </w:trPr>
        <w:tc>
          <w:tcPr>
            <w:tcW w:w="0" w:type="auto"/>
            <w:shd w:val="clear" w:color="auto" w:fill="CFF0FC"/>
            <w:hideMark/>
          </w:tcPr>
          <w:p w14:paraId="3EE86A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income (expense), net</w:t>
            </w:r>
          </w:p>
        </w:tc>
        <w:tc>
          <w:tcPr>
            <w:tcW w:w="0" w:type="auto"/>
            <w:shd w:val="clear" w:color="auto" w:fill="CFF0FC"/>
            <w:vAlign w:val="bottom"/>
            <w:hideMark/>
          </w:tcPr>
          <w:p w14:paraId="755D81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F3121D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Notes 11, 17</w:t>
            </w:r>
          </w:p>
        </w:tc>
        <w:tc>
          <w:tcPr>
            <w:tcW w:w="0" w:type="auto"/>
            <w:shd w:val="clear" w:color="auto" w:fill="CFF0FC"/>
            <w:vAlign w:val="bottom"/>
            <w:hideMark/>
          </w:tcPr>
          <w:p w14:paraId="3AED13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3424E9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70C0DF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93</w:t>
            </w:r>
          </w:p>
        </w:tc>
        <w:tc>
          <w:tcPr>
            <w:tcW w:w="0" w:type="auto"/>
            <w:shd w:val="clear" w:color="auto" w:fill="CFF0FC"/>
            <w:noWrap/>
            <w:vAlign w:val="bottom"/>
            <w:hideMark/>
          </w:tcPr>
          <w:p w14:paraId="748018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142E9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2F1211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32917F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w:t>
            </w:r>
          </w:p>
        </w:tc>
        <w:tc>
          <w:tcPr>
            <w:tcW w:w="0" w:type="auto"/>
            <w:shd w:val="clear" w:color="auto" w:fill="CFF0FC"/>
            <w:noWrap/>
            <w:vAlign w:val="bottom"/>
            <w:hideMark/>
          </w:tcPr>
          <w:p w14:paraId="3A88BF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B187C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56740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52B8DC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(90</w:t>
            </w:r>
          </w:p>
        </w:tc>
        <w:tc>
          <w:tcPr>
            <w:tcW w:w="0" w:type="auto"/>
            <w:shd w:val="clear" w:color="auto" w:fill="CFF0FC"/>
            <w:noWrap/>
            <w:vAlign w:val="bottom"/>
            <w:hideMark/>
          </w:tcPr>
          <w:p w14:paraId="32EA82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36C88802" w14:textId="77777777" w:rsidTr="004B2A77">
        <w:trPr>
          <w:trHeight w:val="180"/>
          <w:tblCellSpacing w:w="15" w:type="dxa"/>
        </w:trPr>
        <w:tc>
          <w:tcPr>
            <w:tcW w:w="0" w:type="auto"/>
            <w:shd w:val="clear" w:color="auto" w:fill="FFFFFF"/>
            <w:hideMark/>
          </w:tcPr>
          <w:p w14:paraId="42A5742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Operating income</w:t>
            </w:r>
          </w:p>
        </w:tc>
        <w:tc>
          <w:tcPr>
            <w:tcW w:w="0" w:type="auto"/>
            <w:shd w:val="clear" w:color="auto" w:fill="FFFFFF"/>
            <w:vAlign w:val="bottom"/>
            <w:hideMark/>
          </w:tcPr>
          <w:p w14:paraId="6064EB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A9971F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BB5E5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C2B7D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B848F2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659</w:t>
            </w:r>
          </w:p>
        </w:tc>
        <w:tc>
          <w:tcPr>
            <w:tcW w:w="0" w:type="auto"/>
            <w:shd w:val="clear" w:color="auto" w:fill="FFFFFF"/>
            <w:noWrap/>
            <w:vAlign w:val="bottom"/>
            <w:hideMark/>
          </w:tcPr>
          <w:p w14:paraId="7774F2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C7EAA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24F0A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D5DE59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675</w:t>
            </w:r>
          </w:p>
        </w:tc>
        <w:tc>
          <w:tcPr>
            <w:tcW w:w="0" w:type="auto"/>
            <w:shd w:val="clear" w:color="auto" w:fill="FFFFFF"/>
            <w:noWrap/>
            <w:vAlign w:val="bottom"/>
            <w:hideMark/>
          </w:tcPr>
          <w:p w14:paraId="063C9A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E060B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8F7F4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B65FFA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382</w:t>
            </w:r>
          </w:p>
        </w:tc>
        <w:tc>
          <w:tcPr>
            <w:tcW w:w="0" w:type="auto"/>
            <w:shd w:val="clear" w:color="auto" w:fill="FFFFFF"/>
            <w:noWrap/>
            <w:vAlign w:val="bottom"/>
            <w:hideMark/>
          </w:tcPr>
          <w:p w14:paraId="230CA2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B576334" w14:textId="77777777" w:rsidTr="004B2A77">
        <w:trPr>
          <w:trHeight w:val="180"/>
          <w:tblCellSpacing w:w="15" w:type="dxa"/>
        </w:trPr>
        <w:tc>
          <w:tcPr>
            <w:tcW w:w="0" w:type="auto"/>
            <w:shd w:val="clear" w:color="auto" w:fill="CFF0FC"/>
            <w:hideMark/>
          </w:tcPr>
          <w:p w14:paraId="461676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from equity method investment</w:t>
            </w:r>
          </w:p>
        </w:tc>
        <w:tc>
          <w:tcPr>
            <w:tcW w:w="0" w:type="auto"/>
            <w:shd w:val="clear" w:color="auto" w:fill="CFF0FC"/>
            <w:vAlign w:val="bottom"/>
            <w:hideMark/>
          </w:tcPr>
          <w:p w14:paraId="66BC2C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09477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8</w:t>
            </w:r>
          </w:p>
        </w:tc>
        <w:tc>
          <w:tcPr>
            <w:tcW w:w="0" w:type="auto"/>
            <w:shd w:val="clear" w:color="auto" w:fill="CFF0FC"/>
            <w:vAlign w:val="bottom"/>
            <w:hideMark/>
          </w:tcPr>
          <w:p w14:paraId="6B07DA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747F0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DDEF6D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w:t>
            </w:r>
          </w:p>
        </w:tc>
        <w:tc>
          <w:tcPr>
            <w:tcW w:w="0" w:type="auto"/>
            <w:shd w:val="clear" w:color="auto" w:fill="CFF0FC"/>
            <w:noWrap/>
            <w:vAlign w:val="bottom"/>
            <w:hideMark/>
          </w:tcPr>
          <w:p w14:paraId="3DB051E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042BC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B443D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400DA0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w:t>
            </w:r>
          </w:p>
        </w:tc>
        <w:tc>
          <w:tcPr>
            <w:tcW w:w="0" w:type="auto"/>
            <w:shd w:val="clear" w:color="auto" w:fill="CFF0FC"/>
            <w:noWrap/>
            <w:vAlign w:val="bottom"/>
            <w:hideMark/>
          </w:tcPr>
          <w:p w14:paraId="3FB8B6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C3682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23B98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3672C1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CFF0FC"/>
            <w:noWrap/>
            <w:vAlign w:val="bottom"/>
            <w:hideMark/>
          </w:tcPr>
          <w:p w14:paraId="281366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C8EDD3A" w14:textId="77777777" w:rsidTr="004B2A77">
        <w:trPr>
          <w:trHeight w:val="180"/>
          <w:tblCellSpacing w:w="15" w:type="dxa"/>
        </w:trPr>
        <w:tc>
          <w:tcPr>
            <w:tcW w:w="0" w:type="auto"/>
            <w:shd w:val="clear" w:color="auto" w:fill="FFFFFF"/>
            <w:hideMark/>
          </w:tcPr>
          <w:p w14:paraId="32857F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Interest income</w:t>
            </w:r>
          </w:p>
        </w:tc>
        <w:tc>
          <w:tcPr>
            <w:tcW w:w="0" w:type="auto"/>
            <w:shd w:val="clear" w:color="auto" w:fill="FFFFFF"/>
            <w:vAlign w:val="bottom"/>
            <w:hideMark/>
          </w:tcPr>
          <w:p w14:paraId="467E37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314C4B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ECAE2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85534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BB532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6</w:t>
            </w:r>
          </w:p>
        </w:tc>
        <w:tc>
          <w:tcPr>
            <w:tcW w:w="0" w:type="auto"/>
            <w:shd w:val="clear" w:color="auto" w:fill="FFFFFF"/>
            <w:noWrap/>
            <w:vAlign w:val="bottom"/>
            <w:hideMark/>
          </w:tcPr>
          <w:p w14:paraId="3871FD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81114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25306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629FAF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w:t>
            </w:r>
          </w:p>
        </w:tc>
        <w:tc>
          <w:tcPr>
            <w:tcW w:w="0" w:type="auto"/>
            <w:shd w:val="clear" w:color="auto" w:fill="FFFFFF"/>
            <w:noWrap/>
            <w:vAlign w:val="bottom"/>
            <w:hideMark/>
          </w:tcPr>
          <w:p w14:paraId="638E4D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53815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39CE4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4F1344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w:t>
            </w:r>
          </w:p>
        </w:tc>
        <w:tc>
          <w:tcPr>
            <w:tcW w:w="0" w:type="auto"/>
            <w:shd w:val="clear" w:color="auto" w:fill="FFFFFF"/>
            <w:noWrap/>
            <w:vAlign w:val="bottom"/>
            <w:hideMark/>
          </w:tcPr>
          <w:p w14:paraId="546F4A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44F0379" w14:textId="77777777" w:rsidTr="004B2A77">
        <w:trPr>
          <w:trHeight w:val="180"/>
          <w:tblCellSpacing w:w="15" w:type="dxa"/>
        </w:trPr>
        <w:tc>
          <w:tcPr>
            <w:tcW w:w="0" w:type="auto"/>
            <w:shd w:val="clear" w:color="auto" w:fill="CFF0FC"/>
            <w:hideMark/>
          </w:tcPr>
          <w:p w14:paraId="1FC9D2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Interest expense</w:t>
            </w:r>
          </w:p>
        </w:tc>
        <w:tc>
          <w:tcPr>
            <w:tcW w:w="0" w:type="auto"/>
            <w:shd w:val="clear" w:color="auto" w:fill="CFF0FC"/>
            <w:vAlign w:val="bottom"/>
            <w:hideMark/>
          </w:tcPr>
          <w:p w14:paraId="1CA285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1E8EBA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13</w:t>
            </w:r>
          </w:p>
        </w:tc>
        <w:tc>
          <w:tcPr>
            <w:tcW w:w="0" w:type="auto"/>
            <w:shd w:val="clear" w:color="auto" w:fill="CFF0FC"/>
            <w:vAlign w:val="bottom"/>
            <w:hideMark/>
          </w:tcPr>
          <w:p w14:paraId="7FA613B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14EC1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567CE7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(60</w:t>
            </w:r>
          </w:p>
        </w:tc>
        <w:tc>
          <w:tcPr>
            <w:tcW w:w="0" w:type="auto"/>
            <w:shd w:val="clear" w:color="auto" w:fill="CFF0FC"/>
            <w:noWrap/>
            <w:vAlign w:val="bottom"/>
            <w:hideMark/>
          </w:tcPr>
          <w:p w14:paraId="5A6807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3E5CE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233FF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FE9401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(60</w:t>
            </w:r>
          </w:p>
        </w:tc>
        <w:tc>
          <w:tcPr>
            <w:tcW w:w="0" w:type="auto"/>
            <w:shd w:val="clear" w:color="auto" w:fill="CFF0FC"/>
            <w:noWrap/>
            <w:vAlign w:val="bottom"/>
            <w:hideMark/>
          </w:tcPr>
          <w:p w14:paraId="524CFD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E971F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6B15B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D1626A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(73</w:t>
            </w:r>
          </w:p>
        </w:tc>
        <w:tc>
          <w:tcPr>
            <w:tcW w:w="0" w:type="auto"/>
            <w:shd w:val="clear" w:color="auto" w:fill="CFF0FC"/>
            <w:noWrap/>
            <w:vAlign w:val="bottom"/>
            <w:hideMark/>
          </w:tcPr>
          <w:p w14:paraId="65D5C0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2AB283D6" w14:textId="77777777" w:rsidTr="004B2A77">
        <w:trPr>
          <w:trHeight w:val="180"/>
          <w:tblCellSpacing w:w="15" w:type="dxa"/>
        </w:trPr>
        <w:tc>
          <w:tcPr>
            <w:tcW w:w="0" w:type="auto"/>
            <w:shd w:val="clear" w:color="auto" w:fill="FFFFFF"/>
            <w:hideMark/>
          </w:tcPr>
          <w:p w14:paraId="76450E5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non-operating items, net</w:t>
            </w:r>
          </w:p>
        </w:tc>
        <w:tc>
          <w:tcPr>
            <w:tcW w:w="0" w:type="auto"/>
            <w:shd w:val="clear" w:color="auto" w:fill="FFFFFF"/>
            <w:vAlign w:val="bottom"/>
            <w:hideMark/>
          </w:tcPr>
          <w:p w14:paraId="5245556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8EA839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7C65D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3FFD82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7B7F109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w:t>
            </w:r>
          </w:p>
        </w:tc>
        <w:tc>
          <w:tcPr>
            <w:tcW w:w="0" w:type="auto"/>
            <w:shd w:val="clear" w:color="auto" w:fill="FFFFFF"/>
            <w:noWrap/>
            <w:vAlign w:val="bottom"/>
            <w:hideMark/>
          </w:tcPr>
          <w:p w14:paraId="54AC2C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6C3114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31F260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A73993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w:t>
            </w:r>
          </w:p>
        </w:tc>
        <w:tc>
          <w:tcPr>
            <w:tcW w:w="0" w:type="auto"/>
            <w:shd w:val="clear" w:color="auto" w:fill="FFFFFF"/>
            <w:noWrap/>
            <w:vAlign w:val="bottom"/>
            <w:hideMark/>
          </w:tcPr>
          <w:p w14:paraId="7FC916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607FE8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261098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5BBA5D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(25</w:t>
            </w:r>
          </w:p>
        </w:tc>
        <w:tc>
          <w:tcPr>
            <w:tcW w:w="0" w:type="auto"/>
            <w:shd w:val="clear" w:color="auto" w:fill="FFFFFF"/>
            <w:noWrap/>
            <w:vAlign w:val="bottom"/>
            <w:hideMark/>
          </w:tcPr>
          <w:p w14:paraId="6AD5E4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196D0D74" w14:textId="77777777" w:rsidTr="004B2A77">
        <w:trPr>
          <w:trHeight w:val="180"/>
          <w:tblCellSpacing w:w="15" w:type="dxa"/>
        </w:trPr>
        <w:tc>
          <w:tcPr>
            <w:tcW w:w="0" w:type="auto"/>
            <w:shd w:val="clear" w:color="auto" w:fill="CFF0FC"/>
            <w:hideMark/>
          </w:tcPr>
          <w:p w14:paraId="1D786B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Income before income taxes</w:t>
            </w:r>
          </w:p>
        </w:tc>
        <w:tc>
          <w:tcPr>
            <w:tcW w:w="0" w:type="auto"/>
            <w:shd w:val="clear" w:color="auto" w:fill="CFF0FC"/>
            <w:vAlign w:val="bottom"/>
            <w:hideMark/>
          </w:tcPr>
          <w:p w14:paraId="2FB588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23506F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75971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D5A62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F76BA2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603</w:t>
            </w:r>
          </w:p>
        </w:tc>
        <w:tc>
          <w:tcPr>
            <w:tcW w:w="0" w:type="auto"/>
            <w:shd w:val="clear" w:color="auto" w:fill="CFF0FC"/>
            <w:noWrap/>
            <w:vAlign w:val="bottom"/>
            <w:hideMark/>
          </w:tcPr>
          <w:p w14:paraId="08CFA8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1841EB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49A6B1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30AC4F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614</w:t>
            </w:r>
          </w:p>
        </w:tc>
        <w:tc>
          <w:tcPr>
            <w:tcW w:w="0" w:type="auto"/>
            <w:shd w:val="clear" w:color="auto" w:fill="CFF0FC"/>
            <w:noWrap/>
            <w:vAlign w:val="bottom"/>
            <w:hideMark/>
          </w:tcPr>
          <w:p w14:paraId="1F341F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D9F2E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EBECF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9182D3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291</w:t>
            </w:r>
          </w:p>
        </w:tc>
        <w:tc>
          <w:tcPr>
            <w:tcW w:w="0" w:type="auto"/>
            <w:shd w:val="clear" w:color="auto" w:fill="CFF0FC"/>
            <w:noWrap/>
            <w:vAlign w:val="bottom"/>
            <w:hideMark/>
          </w:tcPr>
          <w:p w14:paraId="7F8B2D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9CD5E78" w14:textId="77777777" w:rsidTr="004B2A77">
        <w:trPr>
          <w:trHeight w:val="180"/>
          <w:tblCellSpacing w:w="15" w:type="dxa"/>
        </w:trPr>
        <w:tc>
          <w:tcPr>
            <w:tcW w:w="0" w:type="auto"/>
            <w:shd w:val="clear" w:color="auto" w:fill="FFFFFF"/>
            <w:hideMark/>
          </w:tcPr>
          <w:p w14:paraId="07A9CB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tax expense</w:t>
            </w:r>
          </w:p>
        </w:tc>
        <w:tc>
          <w:tcPr>
            <w:tcW w:w="0" w:type="auto"/>
            <w:shd w:val="clear" w:color="auto" w:fill="FFFFFF"/>
            <w:vAlign w:val="bottom"/>
            <w:hideMark/>
          </w:tcPr>
          <w:p w14:paraId="17EF9A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E070D8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5</w:t>
            </w:r>
          </w:p>
        </w:tc>
        <w:tc>
          <w:tcPr>
            <w:tcW w:w="0" w:type="auto"/>
            <w:shd w:val="clear" w:color="auto" w:fill="FFFFFF"/>
            <w:vAlign w:val="bottom"/>
            <w:hideMark/>
          </w:tcPr>
          <w:p w14:paraId="4F9E8C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10743A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55E94B3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(178</w:t>
            </w:r>
          </w:p>
        </w:tc>
        <w:tc>
          <w:tcPr>
            <w:tcW w:w="0" w:type="auto"/>
            <w:shd w:val="clear" w:color="auto" w:fill="FFFFFF"/>
            <w:noWrap/>
            <w:vAlign w:val="bottom"/>
            <w:hideMark/>
          </w:tcPr>
          <w:p w14:paraId="71F70F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2E0E83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7DDB52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1F63B9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(177</w:t>
            </w:r>
          </w:p>
        </w:tc>
        <w:tc>
          <w:tcPr>
            <w:tcW w:w="0" w:type="auto"/>
            <w:shd w:val="clear" w:color="auto" w:fill="FFFFFF"/>
            <w:noWrap/>
            <w:vAlign w:val="bottom"/>
            <w:hideMark/>
          </w:tcPr>
          <w:p w14:paraId="3E593D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09213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7EF011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5AE07E5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(103</w:t>
            </w:r>
          </w:p>
        </w:tc>
        <w:tc>
          <w:tcPr>
            <w:tcW w:w="0" w:type="auto"/>
            <w:shd w:val="clear" w:color="auto" w:fill="FFFFFF"/>
            <w:noWrap/>
            <w:vAlign w:val="bottom"/>
            <w:hideMark/>
          </w:tcPr>
          <w:p w14:paraId="715CA2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1B97132" w14:textId="77777777" w:rsidTr="004B2A77">
        <w:trPr>
          <w:trHeight w:val="180"/>
          <w:tblCellSpacing w:w="15" w:type="dxa"/>
        </w:trPr>
        <w:tc>
          <w:tcPr>
            <w:tcW w:w="0" w:type="auto"/>
            <w:shd w:val="clear" w:color="auto" w:fill="CFF0FC"/>
            <w:hideMark/>
          </w:tcPr>
          <w:p w14:paraId="26ADDA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Net income</w:t>
            </w:r>
          </w:p>
        </w:tc>
        <w:tc>
          <w:tcPr>
            <w:tcW w:w="0" w:type="auto"/>
            <w:shd w:val="clear" w:color="auto" w:fill="CFF0FC"/>
            <w:vAlign w:val="bottom"/>
            <w:hideMark/>
          </w:tcPr>
          <w:p w14:paraId="76975C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7C1429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C23C2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2F595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26F9E3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425</w:t>
            </w:r>
          </w:p>
        </w:tc>
        <w:tc>
          <w:tcPr>
            <w:tcW w:w="0" w:type="auto"/>
            <w:shd w:val="clear" w:color="auto" w:fill="CFF0FC"/>
            <w:noWrap/>
            <w:vAlign w:val="bottom"/>
            <w:hideMark/>
          </w:tcPr>
          <w:p w14:paraId="6F14D1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CBDFC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F7A41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041FED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437</w:t>
            </w:r>
          </w:p>
        </w:tc>
        <w:tc>
          <w:tcPr>
            <w:tcW w:w="0" w:type="auto"/>
            <w:shd w:val="clear" w:color="auto" w:fill="CFF0FC"/>
            <w:noWrap/>
            <w:vAlign w:val="bottom"/>
            <w:hideMark/>
          </w:tcPr>
          <w:p w14:paraId="3ED980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921A4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AB1A6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C46FC2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188</w:t>
            </w:r>
          </w:p>
        </w:tc>
        <w:tc>
          <w:tcPr>
            <w:tcW w:w="0" w:type="auto"/>
            <w:shd w:val="clear" w:color="auto" w:fill="CFF0FC"/>
            <w:noWrap/>
            <w:vAlign w:val="bottom"/>
            <w:hideMark/>
          </w:tcPr>
          <w:p w14:paraId="7A44F0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70A78AB" w14:textId="77777777" w:rsidTr="004B2A77">
        <w:trPr>
          <w:trHeight w:val="180"/>
          <w:tblCellSpacing w:w="15" w:type="dxa"/>
        </w:trPr>
        <w:tc>
          <w:tcPr>
            <w:tcW w:w="0" w:type="auto"/>
            <w:shd w:val="clear" w:color="auto" w:fill="FFFFFF"/>
            <w:hideMark/>
          </w:tcPr>
          <w:p w14:paraId="023862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Less: Net income attributable to non-controlling interest</w:t>
            </w:r>
          </w:p>
        </w:tc>
        <w:tc>
          <w:tcPr>
            <w:tcW w:w="0" w:type="auto"/>
            <w:shd w:val="clear" w:color="auto" w:fill="FFFFFF"/>
            <w:vAlign w:val="bottom"/>
            <w:hideMark/>
          </w:tcPr>
          <w:p w14:paraId="482BAD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E9F5B2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2790D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08F9B8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F14D25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FFFFFF"/>
            <w:noWrap/>
            <w:vAlign w:val="bottom"/>
            <w:hideMark/>
          </w:tcPr>
          <w:p w14:paraId="0CD6DE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A286E3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6C19A4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2ED41E5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FFFFFF"/>
            <w:noWrap/>
            <w:vAlign w:val="bottom"/>
            <w:hideMark/>
          </w:tcPr>
          <w:p w14:paraId="1A9DEA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73AB9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62DDAF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DA4E91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w:t>
            </w:r>
          </w:p>
        </w:tc>
        <w:tc>
          <w:tcPr>
            <w:tcW w:w="0" w:type="auto"/>
            <w:shd w:val="clear" w:color="auto" w:fill="FFFFFF"/>
            <w:noWrap/>
            <w:vAlign w:val="bottom"/>
            <w:hideMark/>
          </w:tcPr>
          <w:p w14:paraId="6A8F50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BFDD896" w14:textId="77777777" w:rsidTr="004B2A77">
        <w:trPr>
          <w:trHeight w:val="180"/>
          <w:tblCellSpacing w:w="15" w:type="dxa"/>
        </w:trPr>
        <w:tc>
          <w:tcPr>
            <w:tcW w:w="0" w:type="auto"/>
            <w:shd w:val="clear" w:color="auto" w:fill="CFF0FC"/>
            <w:hideMark/>
          </w:tcPr>
          <w:p w14:paraId="07C408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Net income attributable to controlling interest</w:t>
            </w:r>
          </w:p>
        </w:tc>
        <w:tc>
          <w:tcPr>
            <w:tcW w:w="0" w:type="auto"/>
            <w:shd w:val="clear" w:color="auto" w:fill="CFF0FC"/>
            <w:vAlign w:val="bottom"/>
            <w:hideMark/>
          </w:tcPr>
          <w:p w14:paraId="06794C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68B155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0BEBA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012BD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29F3E0E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423</w:t>
            </w:r>
          </w:p>
        </w:tc>
        <w:tc>
          <w:tcPr>
            <w:tcW w:w="0" w:type="auto"/>
            <w:shd w:val="clear" w:color="auto" w:fill="CFF0FC"/>
            <w:noWrap/>
            <w:vAlign w:val="bottom"/>
            <w:hideMark/>
          </w:tcPr>
          <w:p w14:paraId="0C06BE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9D763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71EDFF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5683CA7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435</w:t>
            </w:r>
          </w:p>
        </w:tc>
        <w:tc>
          <w:tcPr>
            <w:tcW w:w="0" w:type="auto"/>
            <w:shd w:val="clear" w:color="auto" w:fill="CFF0FC"/>
            <w:noWrap/>
            <w:vAlign w:val="bottom"/>
            <w:hideMark/>
          </w:tcPr>
          <w:p w14:paraId="18FC3E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008082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F2DC77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4A4AE1E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187</w:t>
            </w:r>
          </w:p>
        </w:tc>
        <w:tc>
          <w:tcPr>
            <w:tcW w:w="0" w:type="auto"/>
            <w:shd w:val="clear" w:color="auto" w:fill="CFF0FC"/>
            <w:noWrap/>
            <w:vAlign w:val="bottom"/>
            <w:hideMark/>
          </w:tcPr>
          <w:p w14:paraId="35C906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322A24C" w14:textId="77777777" w:rsidTr="004B2A77">
        <w:trPr>
          <w:tblCellSpacing w:w="15" w:type="dxa"/>
        </w:trPr>
        <w:tc>
          <w:tcPr>
            <w:tcW w:w="0" w:type="auto"/>
            <w:shd w:val="clear" w:color="auto" w:fill="FFFFFF"/>
            <w:hideMark/>
          </w:tcPr>
          <w:p w14:paraId="546AEB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lastRenderedPageBreak/>
              <w:t> </w:t>
            </w:r>
          </w:p>
        </w:tc>
        <w:tc>
          <w:tcPr>
            <w:tcW w:w="0" w:type="auto"/>
            <w:shd w:val="clear" w:color="auto" w:fill="FFFFFF"/>
            <w:vAlign w:val="bottom"/>
            <w:hideMark/>
          </w:tcPr>
          <w:p w14:paraId="24CDF5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C4A077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F0C1EB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5F023F5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444108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23A8F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4B90380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6C13F5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EA73F7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213BDE2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0C6511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5C40041" w14:textId="77777777" w:rsidTr="004B2A77">
        <w:trPr>
          <w:trHeight w:val="180"/>
          <w:tblCellSpacing w:w="15" w:type="dxa"/>
        </w:trPr>
        <w:tc>
          <w:tcPr>
            <w:tcW w:w="0" w:type="auto"/>
            <w:shd w:val="clear" w:color="auto" w:fill="CFF0FC"/>
            <w:hideMark/>
          </w:tcPr>
          <w:p w14:paraId="02B912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Earnings per share - basic</w:t>
            </w:r>
            <w:r w:rsidRPr="004B2A77">
              <w:rPr>
                <w:rFonts w:ascii="Arial" w:eastAsia="微软雅黑" w:hAnsi="Arial" w:cs="Arial"/>
                <w:color w:val="000000"/>
                <w:kern w:val="0"/>
                <w:sz w:val="12"/>
                <w:szCs w:val="12"/>
              </w:rPr>
              <w:t>1)</w:t>
            </w:r>
          </w:p>
        </w:tc>
        <w:tc>
          <w:tcPr>
            <w:tcW w:w="0" w:type="auto"/>
            <w:shd w:val="clear" w:color="auto" w:fill="CFF0FC"/>
            <w:vAlign w:val="bottom"/>
            <w:hideMark/>
          </w:tcPr>
          <w:p w14:paraId="1107B0F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F1D906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38F2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FBAAA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072FBAF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4.86</w:t>
            </w:r>
          </w:p>
        </w:tc>
        <w:tc>
          <w:tcPr>
            <w:tcW w:w="0" w:type="auto"/>
            <w:shd w:val="clear" w:color="auto" w:fill="CFF0FC"/>
            <w:noWrap/>
            <w:vAlign w:val="bottom"/>
            <w:hideMark/>
          </w:tcPr>
          <w:p w14:paraId="4D23D0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1FF98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58660B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3F3A0AD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4.97</w:t>
            </w:r>
          </w:p>
        </w:tc>
        <w:tc>
          <w:tcPr>
            <w:tcW w:w="0" w:type="auto"/>
            <w:shd w:val="clear" w:color="auto" w:fill="CFF0FC"/>
            <w:noWrap/>
            <w:vAlign w:val="bottom"/>
            <w:hideMark/>
          </w:tcPr>
          <w:p w14:paraId="30BF1F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F18A3A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F4AFF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B39D14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2.14</w:t>
            </w:r>
          </w:p>
        </w:tc>
        <w:tc>
          <w:tcPr>
            <w:tcW w:w="0" w:type="auto"/>
            <w:shd w:val="clear" w:color="auto" w:fill="CFF0FC"/>
            <w:noWrap/>
            <w:vAlign w:val="bottom"/>
            <w:hideMark/>
          </w:tcPr>
          <w:p w14:paraId="541E9E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730B8D5" w14:textId="77777777" w:rsidTr="004B2A77">
        <w:trPr>
          <w:trHeight w:val="180"/>
          <w:tblCellSpacing w:w="15" w:type="dxa"/>
        </w:trPr>
        <w:tc>
          <w:tcPr>
            <w:tcW w:w="0" w:type="auto"/>
            <w:shd w:val="clear" w:color="auto" w:fill="FFFFFF"/>
            <w:hideMark/>
          </w:tcPr>
          <w:p w14:paraId="3B4A97C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Earnings per share - diluted </w:t>
            </w:r>
            <w:r w:rsidRPr="004B2A77">
              <w:rPr>
                <w:rFonts w:ascii="Arial" w:eastAsia="微软雅黑" w:hAnsi="Arial" w:cs="Arial"/>
                <w:color w:val="000000"/>
                <w:kern w:val="0"/>
                <w:sz w:val="12"/>
                <w:szCs w:val="12"/>
              </w:rPr>
              <w:t>1)</w:t>
            </w:r>
          </w:p>
        </w:tc>
        <w:tc>
          <w:tcPr>
            <w:tcW w:w="0" w:type="auto"/>
            <w:shd w:val="clear" w:color="auto" w:fill="FFFFFF"/>
            <w:vAlign w:val="bottom"/>
            <w:hideMark/>
          </w:tcPr>
          <w:p w14:paraId="37AC8E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1DBC28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6C211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E2CFD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F14670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4.85</w:t>
            </w:r>
          </w:p>
        </w:tc>
        <w:tc>
          <w:tcPr>
            <w:tcW w:w="0" w:type="auto"/>
            <w:shd w:val="clear" w:color="auto" w:fill="FFFFFF"/>
            <w:noWrap/>
            <w:vAlign w:val="bottom"/>
            <w:hideMark/>
          </w:tcPr>
          <w:p w14:paraId="1CC113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60A199D"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noWrap/>
            <w:vAlign w:val="bottom"/>
            <w:hideMark/>
          </w:tcPr>
          <w:p w14:paraId="3C857B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67E25A3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4.96</w:t>
            </w:r>
          </w:p>
        </w:tc>
        <w:tc>
          <w:tcPr>
            <w:tcW w:w="0" w:type="auto"/>
            <w:shd w:val="clear" w:color="auto" w:fill="FFFFFF"/>
            <w:noWrap/>
            <w:vAlign w:val="bottom"/>
            <w:hideMark/>
          </w:tcPr>
          <w:p w14:paraId="71ABE9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B275862"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noWrap/>
            <w:vAlign w:val="bottom"/>
            <w:hideMark/>
          </w:tcPr>
          <w:p w14:paraId="5F769A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6416725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2.14</w:t>
            </w:r>
          </w:p>
        </w:tc>
        <w:tc>
          <w:tcPr>
            <w:tcW w:w="0" w:type="auto"/>
            <w:shd w:val="clear" w:color="auto" w:fill="FFFFFF"/>
            <w:noWrap/>
            <w:vAlign w:val="bottom"/>
            <w:hideMark/>
          </w:tcPr>
          <w:p w14:paraId="4C2D76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DF9E30C" w14:textId="77777777" w:rsidTr="004B2A77">
        <w:trPr>
          <w:tblCellSpacing w:w="15" w:type="dxa"/>
        </w:trPr>
        <w:tc>
          <w:tcPr>
            <w:tcW w:w="0" w:type="auto"/>
            <w:shd w:val="clear" w:color="auto" w:fill="FFFFFF"/>
            <w:vAlign w:val="bottom"/>
            <w:hideMark/>
          </w:tcPr>
          <w:p w14:paraId="732F6F22"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7DC76E8C"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66E8F32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11C540F1"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shd w:val="clear" w:color="auto" w:fill="FFFFFF"/>
            <w:vAlign w:val="bottom"/>
            <w:hideMark/>
          </w:tcPr>
          <w:p w14:paraId="5759173F"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0FDDA07C"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44626B4C"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shd w:val="clear" w:color="auto" w:fill="FFFFFF"/>
            <w:vAlign w:val="bottom"/>
            <w:hideMark/>
          </w:tcPr>
          <w:p w14:paraId="0EBB0992"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386ADA0A"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763B8DB7"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gridSpan w:val="2"/>
            <w:shd w:val="clear" w:color="auto" w:fill="FFFFFF"/>
            <w:vAlign w:val="bottom"/>
            <w:hideMark/>
          </w:tcPr>
          <w:p w14:paraId="65B8AEBF"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c>
          <w:tcPr>
            <w:tcW w:w="0" w:type="auto"/>
            <w:shd w:val="clear" w:color="auto" w:fill="FFFFFF"/>
            <w:vAlign w:val="bottom"/>
            <w:hideMark/>
          </w:tcPr>
          <w:p w14:paraId="7914CC9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kern w:val="0"/>
                <w:sz w:val="22"/>
              </w:rPr>
              <w:t> </w:t>
            </w:r>
          </w:p>
        </w:tc>
      </w:tr>
      <w:tr w:rsidR="004B2A77" w:rsidRPr="004B2A77" w14:paraId="79F608F9" w14:textId="77777777" w:rsidTr="004B2A77">
        <w:trPr>
          <w:trHeight w:val="180"/>
          <w:tblCellSpacing w:w="15" w:type="dxa"/>
        </w:trPr>
        <w:tc>
          <w:tcPr>
            <w:tcW w:w="0" w:type="auto"/>
            <w:shd w:val="clear" w:color="auto" w:fill="CFF0FC"/>
            <w:vAlign w:val="bottom"/>
            <w:hideMark/>
          </w:tcPr>
          <w:p w14:paraId="668818B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Weighted average number of shares outstanding, net of</w:t>
            </w:r>
            <w:r w:rsidRPr="004B2A77">
              <w:rPr>
                <w:rFonts w:ascii="Arial" w:eastAsia="微软雅黑" w:hAnsi="Arial" w:cs="Arial"/>
                <w:b/>
                <w:bCs/>
                <w:color w:val="000000"/>
                <w:kern w:val="0"/>
                <w:sz w:val="18"/>
                <w:szCs w:val="18"/>
              </w:rPr>
              <w:br/>
              <w:t>   treasury shares (in millions)</w:t>
            </w:r>
          </w:p>
        </w:tc>
        <w:tc>
          <w:tcPr>
            <w:tcW w:w="0" w:type="auto"/>
            <w:shd w:val="clear" w:color="auto" w:fill="CFF0FC"/>
            <w:vAlign w:val="bottom"/>
            <w:hideMark/>
          </w:tcPr>
          <w:p w14:paraId="0E2886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3CE4F7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CBD9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36130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282C2D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87.1</w:t>
            </w:r>
          </w:p>
        </w:tc>
        <w:tc>
          <w:tcPr>
            <w:tcW w:w="0" w:type="auto"/>
            <w:shd w:val="clear" w:color="auto" w:fill="CFF0FC"/>
            <w:noWrap/>
            <w:vAlign w:val="bottom"/>
            <w:hideMark/>
          </w:tcPr>
          <w:p w14:paraId="3D7948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0F0C83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03D4D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AD7F22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87.5</w:t>
            </w:r>
          </w:p>
        </w:tc>
        <w:tc>
          <w:tcPr>
            <w:tcW w:w="0" w:type="auto"/>
            <w:shd w:val="clear" w:color="auto" w:fill="CFF0FC"/>
            <w:noWrap/>
            <w:vAlign w:val="bottom"/>
            <w:hideMark/>
          </w:tcPr>
          <w:p w14:paraId="3970B1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34CFF9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BF599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7FB4C6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87.3</w:t>
            </w:r>
          </w:p>
        </w:tc>
        <w:tc>
          <w:tcPr>
            <w:tcW w:w="0" w:type="auto"/>
            <w:shd w:val="clear" w:color="auto" w:fill="CFF0FC"/>
            <w:noWrap/>
            <w:vAlign w:val="bottom"/>
            <w:hideMark/>
          </w:tcPr>
          <w:p w14:paraId="4EADBB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B6AC961" w14:textId="77777777" w:rsidTr="004B2A77">
        <w:trPr>
          <w:trHeight w:val="180"/>
          <w:tblCellSpacing w:w="15" w:type="dxa"/>
        </w:trPr>
        <w:tc>
          <w:tcPr>
            <w:tcW w:w="0" w:type="auto"/>
            <w:shd w:val="clear" w:color="auto" w:fill="FFFFFF"/>
            <w:vAlign w:val="bottom"/>
            <w:hideMark/>
          </w:tcPr>
          <w:p w14:paraId="6EC340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Weighted average number of shares outstanding, assuming</w:t>
            </w:r>
            <w:r w:rsidRPr="004B2A77">
              <w:rPr>
                <w:rFonts w:ascii="Arial" w:eastAsia="微软雅黑" w:hAnsi="Arial" w:cs="Arial"/>
                <w:b/>
                <w:bCs/>
                <w:color w:val="000000"/>
                <w:kern w:val="0"/>
                <w:sz w:val="18"/>
                <w:szCs w:val="18"/>
              </w:rPr>
              <w:br/>
              <w:t>   dilution and net of treasury shares (in millions)</w:t>
            </w:r>
          </w:p>
        </w:tc>
        <w:tc>
          <w:tcPr>
            <w:tcW w:w="0" w:type="auto"/>
            <w:shd w:val="clear" w:color="auto" w:fill="FFFFFF"/>
            <w:vAlign w:val="bottom"/>
            <w:hideMark/>
          </w:tcPr>
          <w:p w14:paraId="538F4F7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BE93D2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DDC24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1604F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6CF46E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87.2</w:t>
            </w:r>
          </w:p>
        </w:tc>
        <w:tc>
          <w:tcPr>
            <w:tcW w:w="0" w:type="auto"/>
            <w:shd w:val="clear" w:color="auto" w:fill="FFFFFF"/>
            <w:noWrap/>
            <w:vAlign w:val="bottom"/>
            <w:hideMark/>
          </w:tcPr>
          <w:p w14:paraId="38E068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40A9F7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6941C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B0502A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87.7</w:t>
            </w:r>
          </w:p>
        </w:tc>
        <w:tc>
          <w:tcPr>
            <w:tcW w:w="0" w:type="auto"/>
            <w:shd w:val="clear" w:color="auto" w:fill="FFFFFF"/>
            <w:noWrap/>
            <w:vAlign w:val="bottom"/>
            <w:hideMark/>
          </w:tcPr>
          <w:p w14:paraId="7A448C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2D59CE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7F1B5B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ED51F3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87.5</w:t>
            </w:r>
          </w:p>
        </w:tc>
        <w:tc>
          <w:tcPr>
            <w:tcW w:w="0" w:type="auto"/>
            <w:shd w:val="clear" w:color="auto" w:fill="FFFFFF"/>
            <w:noWrap/>
            <w:vAlign w:val="bottom"/>
            <w:hideMark/>
          </w:tcPr>
          <w:p w14:paraId="711B9D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9336705" w14:textId="77777777" w:rsidTr="004B2A77">
        <w:trPr>
          <w:tblCellSpacing w:w="15" w:type="dxa"/>
        </w:trPr>
        <w:tc>
          <w:tcPr>
            <w:tcW w:w="0" w:type="auto"/>
            <w:shd w:val="clear" w:color="auto" w:fill="CFF0FC"/>
            <w:hideMark/>
          </w:tcPr>
          <w:p w14:paraId="5ABC60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7DDA5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D1D531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908D0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72348F9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575E88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76563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07A7CA2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B03C05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9F6B8F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392218F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C24C20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8113842" w14:textId="77777777" w:rsidTr="004B2A77">
        <w:trPr>
          <w:trHeight w:val="180"/>
          <w:tblCellSpacing w:w="15" w:type="dxa"/>
        </w:trPr>
        <w:tc>
          <w:tcPr>
            <w:tcW w:w="0" w:type="auto"/>
            <w:shd w:val="clear" w:color="auto" w:fill="FFFFFF"/>
            <w:vAlign w:val="bottom"/>
            <w:hideMark/>
          </w:tcPr>
          <w:p w14:paraId="24040F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Cash dividend per share - declared</w:t>
            </w:r>
          </w:p>
        </w:tc>
        <w:tc>
          <w:tcPr>
            <w:tcW w:w="0" w:type="auto"/>
            <w:shd w:val="clear" w:color="auto" w:fill="FFFFFF"/>
            <w:vAlign w:val="bottom"/>
            <w:hideMark/>
          </w:tcPr>
          <w:p w14:paraId="4ADCDF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679749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C7AF0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37836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55CE52B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2.58</w:t>
            </w:r>
          </w:p>
        </w:tc>
        <w:tc>
          <w:tcPr>
            <w:tcW w:w="0" w:type="auto"/>
            <w:shd w:val="clear" w:color="auto" w:fill="FFFFFF"/>
            <w:noWrap/>
            <w:vAlign w:val="bottom"/>
            <w:hideMark/>
          </w:tcPr>
          <w:p w14:paraId="674713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CC45F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49C4C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7B22911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1.88</w:t>
            </w:r>
          </w:p>
        </w:tc>
        <w:tc>
          <w:tcPr>
            <w:tcW w:w="0" w:type="auto"/>
            <w:shd w:val="clear" w:color="auto" w:fill="FFFFFF"/>
            <w:noWrap/>
            <w:vAlign w:val="bottom"/>
            <w:hideMark/>
          </w:tcPr>
          <w:p w14:paraId="782420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D057AA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63F97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0093095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w:t>
            </w:r>
          </w:p>
        </w:tc>
        <w:tc>
          <w:tcPr>
            <w:tcW w:w="0" w:type="auto"/>
            <w:shd w:val="clear" w:color="auto" w:fill="FFFFFF"/>
            <w:noWrap/>
            <w:vAlign w:val="bottom"/>
            <w:hideMark/>
          </w:tcPr>
          <w:p w14:paraId="23DA48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833E01D" w14:textId="77777777" w:rsidTr="004B2A77">
        <w:trPr>
          <w:trHeight w:val="180"/>
          <w:tblCellSpacing w:w="15" w:type="dxa"/>
        </w:trPr>
        <w:tc>
          <w:tcPr>
            <w:tcW w:w="0" w:type="auto"/>
            <w:shd w:val="clear" w:color="auto" w:fill="CFF0FC"/>
            <w:hideMark/>
          </w:tcPr>
          <w:p w14:paraId="17A7E5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Cash dividend per share - paid</w:t>
            </w:r>
          </w:p>
        </w:tc>
        <w:tc>
          <w:tcPr>
            <w:tcW w:w="0" w:type="auto"/>
            <w:shd w:val="clear" w:color="auto" w:fill="CFF0FC"/>
            <w:vAlign w:val="bottom"/>
            <w:hideMark/>
          </w:tcPr>
          <w:p w14:paraId="1F1D27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C92647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72406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C06FF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5396C25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2.58</w:t>
            </w:r>
          </w:p>
        </w:tc>
        <w:tc>
          <w:tcPr>
            <w:tcW w:w="0" w:type="auto"/>
            <w:shd w:val="clear" w:color="auto" w:fill="CFF0FC"/>
            <w:noWrap/>
            <w:vAlign w:val="bottom"/>
            <w:hideMark/>
          </w:tcPr>
          <w:p w14:paraId="59AB01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05875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CA0E0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32D0A9D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1.88</w:t>
            </w:r>
          </w:p>
        </w:tc>
        <w:tc>
          <w:tcPr>
            <w:tcW w:w="0" w:type="auto"/>
            <w:shd w:val="clear" w:color="auto" w:fill="CFF0FC"/>
            <w:noWrap/>
            <w:vAlign w:val="bottom"/>
            <w:hideMark/>
          </w:tcPr>
          <w:p w14:paraId="0A11AC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3013E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1B8D9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6B8AF2B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0.62</w:t>
            </w:r>
          </w:p>
        </w:tc>
        <w:tc>
          <w:tcPr>
            <w:tcW w:w="0" w:type="auto"/>
            <w:shd w:val="clear" w:color="auto" w:fill="CFF0FC"/>
            <w:noWrap/>
            <w:vAlign w:val="bottom"/>
            <w:hideMark/>
          </w:tcPr>
          <w:p w14:paraId="4C8F15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6929830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7893F90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Notes to the Consolidated Financial Statements.</w:t>
      </w:r>
    </w:p>
    <w:p w14:paraId="5FC68EA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5F5BDDE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Participating share awards with the right to receive dividend equivalents are (under the two class method) excluded from the earnings per share calculation (see Note 21 in this Annual Report).</w:t>
      </w:r>
    </w:p>
    <w:p w14:paraId="625CF86D"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56</w:t>
      </w:r>
    </w:p>
    <w:p w14:paraId="23B36410"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56D6CB6">
          <v:rect id="_x0000_i1083" style="width:0;height:1.5pt" o:hralign="center" o:hrstd="t" o:hrnoshade="t" o:hr="t" fillcolor="black" stroked="f"/>
        </w:pict>
      </w:r>
    </w:p>
    <w:p w14:paraId="341273F5"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2F7560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Consolidated Statements of Comprehensive Income</w:t>
      </w:r>
    </w:p>
    <w:p w14:paraId="25ACCE3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349"/>
        <w:gridCol w:w="351"/>
        <w:gridCol w:w="231"/>
        <w:gridCol w:w="1583"/>
        <w:gridCol w:w="232"/>
        <w:gridCol w:w="352"/>
        <w:gridCol w:w="232"/>
        <w:gridCol w:w="1583"/>
        <w:gridCol w:w="232"/>
        <w:gridCol w:w="352"/>
        <w:gridCol w:w="232"/>
        <w:gridCol w:w="1638"/>
        <w:gridCol w:w="247"/>
      </w:tblGrid>
      <w:tr w:rsidR="004B2A77" w:rsidRPr="004B2A77" w14:paraId="57844EC6" w14:textId="77777777" w:rsidTr="004B2A77">
        <w:trPr>
          <w:tblCellSpacing w:w="15" w:type="dxa"/>
        </w:trPr>
        <w:tc>
          <w:tcPr>
            <w:tcW w:w="13328" w:type="dxa"/>
            <w:vAlign w:val="center"/>
            <w:hideMark/>
          </w:tcPr>
          <w:p w14:paraId="71711017"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22" w:type="dxa"/>
            <w:vAlign w:val="center"/>
            <w:hideMark/>
          </w:tcPr>
          <w:p w14:paraId="19832DF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5886BD2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55" w:type="dxa"/>
            <w:vAlign w:val="center"/>
            <w:hideMark/>
          </w:tcPr>
          <w:p w14:paraId="4414A23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66A018A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22" w:type="dxa"/>
            <w:vAlign w:val="center"/>
            <w:hideMark/>
          </w:tcPr>
          <w:p w14:paraId="26DDD3F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2719B81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55" w:type="dxa"/>
            <w:vAlign w:val="center"/>
            <w:hideMark/>
          </w:tcPr>
          <w:p w14:paraId="20B94DB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7FE8024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22" w:type="dxa"/>
            <w:vAlign w:val="center"/>
            <w:hideMark/>
          </w:tcPr>
          <w:p w14:paraId="02AC6DF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2C0315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1" w:type="dxa"/>
            <w:vAlign w:val="center"/>
            <w:hideMark/>
          </w:tcPr>
          <w:p w14:paraId="0D66B7C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38A61BC6"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41032DF" w14:textId="77777777" w:rsidTr="004B2A77">
        <w:trPr>
          <w:trHeight w:val="160"/>
          <w:tblCellSpacing w:w="15" w:type="dxa"/>
        </w:trPr>
        <w:tc>
          <w:tcPr>
            <w:tcW w:w="0" w:type="auto"/>
            <w:shd w:val="clear" w:color="auto" w:fill="FFFFFF"/>
            <w:vAlign w:val="bottom"/>
            <w:hideMark/>
          </w:tcPr>
          <w:p w14:paraId="09CEE59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14A754B"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10"/>
            <w:tcBorders>
              <w:bottom w:val="single" w:sz="4" w:space="0" w:color="000000"/>
            </w:tcBorders>
            <w:shd w:val="clear" w:color="auto" w:fill="FFFFFF"/>
            <w:vAlign w:val="bottom"/>
            <w:hideMark/>
          </w:tcPr>
          <w:p w14:paraId="0082BB3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Years ended December 31</w:t>
            </w:r>
          </w:p>
        </w:tc>
        <w:tc>
          <w:tcPr>
            <w:tcW w:w="0" w:type="auto"/>
            <w:shd w:val="clear" w:color="auto" w:fill="FFFFFF"/>
            <w:vAlign w:val="bottom"/>
            <w:hideMark/>
          </w:tcPr>
          <w:p w14:paraId="3255790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484F4EAE" w14:textId="77777777" w:rsidTr="004B2A77">
        <w:trPr>
          <w:trHeight w:val="160"/>
          <w:tblCellSpacing w:w="15" w:type="dxa"/>
        </w:trPr>
        <w:tc>
          <w:tcPr>
            <w:tcW w:w="0" w:type="auto"/>
            <w:shd w:val="clear" w:color="auto" w:fill="FFFFFF"/>
            <w:vAlign w:val="bottom"/>
            <w:hideMark/>
          </w:tcPr>
          <w:p w14:paraId="4C7C5EA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(DOLLARS IN MILLIONS)</w:t>
            </w:r>
          </w:p>
        </w:tc>
        <w:tc>
          <w:tcPr>
            <w:tcW w:w="0" w:type="auto"/>
            <w:shd w:val="clear" w:color="auto" w:fill="FFFFFF"/>
            <w:vAlign w:val="bottom"/>
            <w:hideMark/>
          </w:tcPr>
          <w:p w14:paraId="5A471EDD"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577FAAB"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16D8720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89B2C6C"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403CF5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6136784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1B1FC3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24248B9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2020</w:t>
            </w:r>
          </w:p>
        </w:tc>
        <w:tc>
          <w:tcPr>
            <w:tcW w:w="0" w:type="auto"/>
            <w:shd w:val="clear" w:color="auto" w:fill="FFFFFF"/>
            <w:vAlign w:val="bottom"/>
            <w:hideMark/>
          </w:tcPr>
          <w:p w14:paraId="290BE4A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380B91AF" w14:textId="77777777" w:rsidTr="004B2A77">
        <w:trPr>
          <w:trHeight w:val="180"/>
          <w:tblCellSpacing w:w="15" w:type="dxa"/>
        </w:trPr>
        <w:tc>
          <w:tcPr>
            <w:tcW w:w="0" w:type="auto"/>
            <w:shd w:val="clear" w:color="auto" w:fill="CFF0FC"/>
            <w:hideMark/>
          </w:tcPr>
          <w:p w14:paraId="258A40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Net income</w:t>
            </w:r>
          </w:p>
        </w:tc>
        <w:tc>
          <w:tcPr>
            <w:tcW w:w="0" w:type="auto"/>
            <w:shd w:val="clear" w:color="auto" w:fill="CFF0FC"/>
            <w:vAlign w:val="bottom"/>
            <w:hideMark/>
          </w:tcPr>
          <w:p w14:paraId="43DF1F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1C98E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0C6FAC5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425</w:t>
            </w:r>
          </w:p>
        </w:tc>
        <w:tc>
          <w:tcPr>
            <w:tcW w:w="0" w:type="auto"/>
            <w:shd w:val="clear" w:color="auto" w:fill="CFF0FC"/>
            <w:noWrap/>
            <w:vAlign w:val="bottom"/>
            <w:hideMark/>
          </w:tcPr>
          <w:p w14:paraId="33345B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AA737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BF71F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5283130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437</w:t>
            </w:r>
          </w:p>
        </w:tc>
        <w:tc>
          <w:tcPr>
            <w:tcW w:w="0" w:type="auto"/>
            <w:shd w:val="clear" w:color="auto" w:fill="CFF0FC"/>
            <w:noWrap/>
            <w:vAlign w:val="bottom"/>
            <w:hideMark/>
          </w:tcPr>
          <w:p w14:paraId="097D0E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D8F849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5DDBC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4684A8A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188</w:t>
            </w:r>
          </w:p>
        </w:tc>
        <w:tc>
          <w:tcPr>
            <w:tcW w:w="0" w:type="auto"/>
            <w:shd w:val="clear" w:color="auto" w:fill="CFF0FC"/>
            <w:noWrap/>
            <w:vAlign w:val="bottom"/>
            <w:hideMark/>
          </w:tcPr>
          <w:p w14:paraId="6A46C5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1FBBD7C" w14:textId="77777777" w:rsidTr="004B2A77">
        <w:trPr>
          <w:trHeight w:val="180"/>
          <w:tblCellSpacing w:w="15" w:type="dxa"/>
        </w:trPr>
        <w:tc>
          <w:tcPr>
            <w:tcW w:w="0" w:type="auto"/>
            <w:shd w:val="clear" w:color="auto" w:fill="FFFFFF"/>
            <w:hideMark/>
          </w:tcPr>
          <w:p w14:paraId="2EE0AC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Other comprehensive (loss) income before tax:</w:t>
            </w:r>
          </w:p>
        </w:tc>
        <w:tc>
          <w:tcPr>
            <w:tcW w:w="0" w:type="auto"/>
            <w:shd w:val="clear" w:color="auto" w:fill="FFFFFF"/>
            <w:vAlign w:val="bottom"/>
            <w:hideMark/>
          </w:tcPr>
          <w:p w14:paraId="7C4016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41B907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25DD7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51D74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26004E1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4C1196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EF87C1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0DBCE84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326C90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6D8E8B1" w14:textId="77777777" w:rsidTr="004B2A77">
        <w:trPr>
          <w:trHeight w:val="180"/>
          <w:tblCellSpacing w:w="15" w:type="dxa"/>
        </w:trPr>
        <w:tc>
          <w:tcPr>
            <w:tcW w:w="0" w:type="auto"/>
            <w:shd w:val="clear" w:color="auto" w:fill="CFF0FC"/>
            <w:hideMark/>
          </w:tcPr>
          <w:p w14:paraId="51A0F5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Change in cumulative translation adjustments</w:t>
            </w:r>
          </w:p>
        </w:tc>
        <w:tc>
          <w:tcPr>
            <w:tcW w:w="0" w:type="auto"/>
            <w:shd w:val="clear" w:color="auto" w:fill="CFF0FC"/>
            <w:vAlign w:val="bottom"/>
            <w:hideMark/>
          </w:tcPr>
          <w:p w14:paraId="26FC8C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19CDD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9D9DE5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(136</w:t>
            </w:r>
          </w:p>
        </w:tc>
        <w:tc>
          <w:tcPr>
            <w:tcW w:w="0" w:type="auto"/>
            <w:shd w:val="clear" w:color="auto" w:fill="CFF0FC"/>
            <w:noWrap/>
            <w:vAlign w:val="bottom"/>
            <w:hideMark/>
          </w:tcPr>
          <w:p w14:paraId="7634AC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DC655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CDAC6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00D5E0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(86</w:t>
            </w:r>
          </w:p>
        </w:tc>
        <w:tc>
          <w:tcPr>
            <w:tcW w:w="0" w:type="auto"/>
            <w:shd w:val="clear" w:color="auto" w:fill="CFF0FC"/>
            <w:noWrap/>
            <w:vAlign w:val="bottom"/>
            <w:hideMark/>
          </w:tcPr>
          <w:p w14:paraId="6BDD82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2BE311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12183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DC488D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97</w:t>
            </w:r>
          </w:p>
        </w:tc>
        <w:tc>
          <w:tcPr>
            <w:tcW w:w="0" w:type="auto"/>
            <w:shd w:val="clear" w:color="auto" w:fill="CFF0FC"/>
            <w:noWrap/>
            <w:vAlign w:val="bottom"/>
            <w:hideMark/>
          </w:tcPr>
          <w:p w14:paraId="37C18A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DD0ACB9" w14:textId="77777777" w:rsidTr="004B2A77">
        <w:trPr>
          <w:trHeight w:val="180"/>
          <w:tblCellSpacing w:w="15" w:type="dxa"/>
        </w:trPr>
        <w:tc>
          <w:tcPr>
            <w:tcW w:w="0" w:type="auto"/>
            <w:shd w:val="clear" w:color="auto" w:fill="FFFFFF"/>
            <w:hideMark/>
          </w:tcPr>
          <w:p w14:paraId="1A637F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change in unrealized components of defined benefit plans</w:t>
            </w:r>
          </w:p>
        </w:tc>
        <w:tc>
          <w:tcPr>
            <w:tcW w:w="0" w:type="auto"/>
            <w:shd w:val="clear" w:color="auto" w:fill="FFFFFF"/>
            <w:vAlign w:val="bottom"/>
            <w:hideMark/>
          </w:tcPr>
          <w:p w14:paraId="763184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64A46F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135FB7B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29</w:t>
            </w:r>
          </w:p>
        </w:tc>
        <w:tc>
          <w:tcPr>
            <w:tcW w:w="0" w:type="auto"/>
            <w:shd w:val="clear" w:color="auto" w:fill="FFFFFF"/>
            <w:noWrap/>
            <w:vAlign w:val="bottom"/>
            <w:hideMark/>
          </w:tcPr>
          <w:p w14:paraId="5A1702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FBB625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12B9B1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78CEDCF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37</w:t>
            </w:r>
          </w:p>
        </w:tc>
        <w:tc>
          <w:tcPr>
            <w:tcW w:w="0" w:type="auto"/>
            <w:shd w:val="clear" w:color="auto" w:fill="FFFFFF"/>
            <w:noWrap/>
            <w:vAlign w:val="bottom"/>
            <w:hideMark/>
          </w:tcPr>
          <w:p w14:paraId="32FF02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C096F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110ABF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457307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8</w:t>
            </w:r>
          </w:p>
        </w:tc>
        <w:tc>
          <w:tcPr>
            <w:tcW w:w="0" w:type="auto"/>
            <w:shd w:val="clear" w:color="auto" w:fill="FFFFFF"/>
            <w:noWrap/>
            <w:vAlign w:val="bottom"/>
            <w:hideMark/>
          </w:tcPr>
          <w:p w14:paraId="7FEA62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DD1CFFB" w14:textId="77777777" w:rsidTr="004B2A77">
        <w:trPr>
          <w:trHeight w:val="180"/>
          <w:tblCellSpacing w:w="15" w:type="dxa"/>
        </w:trPr>
        <w:tc>
          <w:tcPr>
            <w:tcW w:w="0" w:type="auto"/>
            <w:shd w:val="clear" w:color="auto" w:fill="CFF0FC"/>
            <w:hideMark/>
          </w:tcPr>
          <w:p w14:paraId="297F1D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Other comprehensive (loss) income, before tax</w:t>
            </w:r>
          </w:p>
        </w:tc>
        <w:tc>
          <w:tcPr>
            <w:tcW w:w="0" w:type="auto"/>
            <w:shd w:val="clear" w:color="auto" w:fill="CFF0FC"/>
            <w:vAlign w:val="bottom"/>
            <w:hideMark/>
          </w:tcPr>
          <w:p w14:paraId="0C9338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6E9D0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2F16D5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(108</w:t>
            </w:r>
          </w:p>
        </w:tc>
        <w:tc>
          <w:tcPr>
            <w:tcW w:w="0" w:type="auto"/>
            <w:shd w:val="clear" w:color="auto" w:fill="CFF0FC"/>
            <w:noWrap/>
            <w:vAlign w:val="bottom"/>
            <w:hideMark/>
          </w:tcPr>
          <w:p w14:paraId="12FD43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19175B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017DD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EA374C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(49</w:t>
            </w:r>
          </w:p>
        </w:tc>
        <w:tc>
          <w:tcPr>
            <w:tcW w:w="0" w:type="auto"/>
            <w:shd w:val="clear" w:color="auto" w:fill="CFF0FC"/>
            <w:noWrap/>
            <w:vAlign w:val="bottom"/>
            <w:hideMark/>
          </w:tcPr>
          <w:p w14:paraId="7FC3E8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19BD8F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844E9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6CEFE5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104</w:t>
            </w:r>
          </w:p>
        </w:tc>
        <w:tc>
          <w:tcPr>
            <w:tcW w:w="0" w:type="auto"/>
            <w:shd w:val="clear" w:color="auto" w:fill="CFF0FC"/>
            <w:noWrap/>
            <w:vAlign w:val="bottom"/>
            <w:hideMark/>
          </w:tcPr>
          <w:p w14:paraId="6E012A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581AEC0" w14:textId="77777777" w:rsidTr="004B2A77">
        <w:trPr>
          <w:trHeight w:val="180"/>
          <w:tblCellSpacing w:w="15" w:type="dxa"/>
        </w:trPr>
        <w:tc>
          <w:tcPr>
            <w:tcW w:w="0" w:type="auto"/>
            <w:shd w:val="clear" w:color="auto" w:fill="FFFFFF"/>
            <w:hideMark/>
          </w:tcPr>
          <w:p w14:paraId="3524AD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Tax effect allocated to other comprehensive (loss) income</w:t>
            </w:r>
          </w:p>
        </w:tc>
        <w:tc>
          <w:tcPr>
            <w:tcW w:w="0" w:type="auto"/>
            <w:shd w:val="clear" w:color="auto" w:fill="FFFFFF"/>
            <w:vAlign w:val="bottom"/>
            <w:hideMark/>
          </w:tcPr>
          <w:p w14:paraId="5B30F3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7FEBFB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1B2B884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w:t>
            </w:r>
          </w:p>
        </w:tc>
        <w:tc>
          <w:tcPr>
            <w:tcW w:w="0" w:type="auto"/>
            <w:shd w:val="clear" w:color="auto" w:fill="FFFFFF"/>
            <w:noWrap/>
            <w:vAlign w:val="bottom"/>
            <w:hideMark/>
          </w:tcPr>
          <w:p w14:paraId="701746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8035BB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3E18B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E9ED9A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w:t>
            </w:r>
          </w:p>
        </w:tc>
        <w:tc>
          <w:tcPr>
            <w:tcW w:w="0" w:type="auto"/>
            <w:shd w:val="clear" w:color="auto" w:fill="FFFFFF"/>
            <w:noWrap/>
            <w:vAlign w:val="bottom"/>
            <w:hideMark/>
          </w:tcPr>
          <w:p w14:paraId="6F1043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5DF912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37507C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25BF828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FFFFFF"/>
            <w:noWrap/>
            <w:vAlign w:val="bottom"/>
            <w:hideMark/>
          </w:tcPr>
          <w:p w14:paraId="3EFF5C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1FB3F24" w14:textId="77777777" w:rsidTr="004B2A77">
        <w:trPr>
          <w:trHeight w:val="180"/>
          <w:tblCellSpacing w:w="15" w:type="dxa"/>
        </w:trPr>
        <w:tc>
          <w:tcPr>
            <w:tcW w:w="0" w:type="auto"/>
            <w:shd w:val="clear" w:color="auto" w:fill="CFF0FC"/>
            <w:hideMark/>
          </w:tcPr>
          <w:p w14:paraId="3B19F6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Other comprehensive (loss) income, net of tax</w:t>
            </w:r>
          </w:p>
        </w:tc>
        <w:tc>
          <w:tcPr>
            <w:tcW w:w="0" w:type="auto"/>
            <w:shd w:val="clear" w:color="auto" w:fill="CFF0FC"/>
            <w:vAlign w:val="bottom"/>
            <w:hideMark/>
          </w:tcPr>
          <w:p w14:paraId="6E201A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09662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5C79A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(116</w:t>
            </w:r>
          </w:p>
        </w:tc>
        <w:tc>
          <w:tcPr>
            <w:tcW w:w="0" w:type="auto"/>
            <w:shd w:val="clear" w:color="auto" w:fill="CFF0FC"/>
            <w:noWrap/>
            <w:vAlign w:val="bottom"/>
            <w:hideMark/>
          </w:tcPr>
          <w:p w14:paraId="6AB3D7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10660A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5A028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C490D0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(60</w:t>
            </w:r>
          </w:p>
        </w:tc>
        <w:tc>
          <w:tcPr>
            <w:tcW w:w="0" w:type="auto"/>
            <w:shd w:val="clear" w:color="auto" w:fill="CFF0FC"/>
            <w:noWrap/>
            <w:vAlign w:val="bottom"/>
            <w:hideMark/>
          </w:tcPr>
          <w:p w14:paraId="798551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CFF0FC"/>
            <w:vAlign w:val="bottom"/>
            <w:hideMark/>
          </w:tcPr>
          <w:p w14:paraId="0A95AAA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AC046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D5D45B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103</w:t>
            </w:r>
          </w:p>
        </w:tc>
        <w:tc>
          <w:tcPr>
            <w:tcW w:w="0" w:type="auto"/>
            <w:shd w:val="clear" w:color="auto" w:fill="CFF0FC"/>
            <w:noWrap/>
            <w:vAlign w:val="bottom"/>
            <w:hideMark/>
          </w:tcPr>
          <w:p w14:paraId="6E482D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86CB7E1" w14:textId="77777777" w:rsidTr="004B2A77">
        <w:trPr>
          <w:trHeight w:val="180"/>
          <w:tblCellSpacing w:w="15" w:type="dxa"/>
        </w:trPr>
        <w:tc>
          <w:tcPr>
            <w:tcW w:w="0" w:type="auto"/>
            <w:shd w:val="clear" w:color="auto" w:fill="FFFFFF"/>
            <w:hideMark/>
          </w:tcPr>
          <w:p w14:paraId="7EB22FB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Comprehensive income</w:t>
            </w:r>
          </w:p>
        </w:tc>
        <w:tc>
          <w:tcPr>
            <w:tcW w:w="0" w:type="auto"/>
            <w:shd w:val="clear" w:color="auto" w:fill="FFFFFF"/>
            <w:vAlign w:val="bottom"/>
            <w:hideMark/>
          </w:tcPr>
          <w:p w14:paraId="14DCEE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AACC9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1B7E23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309</w:t>
            </w:r>
          </w:p>
        </w:tc>
        <w:tc>
          <w:tcPr>
            <w:tcW w:w="0" w:type="auto"/>
            <w:shd w:val="clear" w:color="auto" w:fill="FFFFFF"/>
            <w:noWrap/>
            <w:vAlign w:val="bottom"/>
            <w:hideMark/>
          </w:tcPr>
          <w:p w14:paraId="166F2C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20666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A96E7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A2DEAC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377</w:t>
            </w:r>
          </w:p>
        </w:tc>
        <w:tc>
          <w:tcPr>
            <w:tcW w:w="0" w:type="auto"/>
            <w:shd w:val="clear" w:color="auto" w:fill="FFFFFF"/>
            <w:noWrap/>
            <w:vAlign w:val="bottom"/>
            <w:hideMark/>
          </w:tcPr>
          <w:p w14:paraId="2E93BB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47C43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E388A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A1CE09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291</w:t>
            </w:r>
          </w:p>
        </w:tc>
        <w:tc>
          <w:tcPr>
            <w:tcW w:w="0" w:type="auto"/>
            <w:shd w:val="clear" w:color="auto" w:fill="FFFFFF"/>
            <w:noWrap/>
            <w:vAlign w:val="bottom"/>
            <w:hideMark/>
          </w:tcPr>
          <w:p w14:paraId="00DFE5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616AF73" w14:textId="77777777" w:rsidTr="004B2A77">
        <w:trPr>
          <w:trHeight w:val="180"/>
          <w:tblCellSpacing w:w="15" w:type="dxa"/>
        </w:trPr>
        <w:tc>
          <w:tcPr>
            <w:tcW w:w="0" w:type="auto"/>
            <w:shd w:val="clear" w:color="auto" w:fill="CFF0FC"/>
            <w:hideMark/>
          </w:tcPr>
          <w:p w14:paraId="6DD704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Less: Comprehensive income attributable to non-controlling interest</w:t>
            </w:r>
          </w:p>
        </w:tc>
        <w:tc>
          <w:tcPr>
            <w:tcW w:w="0" w:type="auto"/>
            <w:shd w:val="clear" w:color="auto" w:fill="CFF0FC"/>
            <w:vAlign w:val="bottom"/>
            <w:hideMark/>
          </w:tcPr>
          <w:p w14:paraId="6CDC94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53A7E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020034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0</w:t>
            </w:r>
          </w:p>
        </w:tc>
        <w:tc>
          <w:tcPr>
            <w:tcW w:w="0" w:type="auto"/>
            <w:shd w:val="clear" w:color="auto" w:fill="CFF0FC"/>
            <w:noWrap/>
            <w:vAlign w:val="bottom"/>
            <w:hideMark/>
          </w:tcPr>
          <w:p w14:paraId="372B5F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5FFDE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13FB63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E33680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CFF0FC"/>
            <w:noWrap/>
            <w:vAlign w:val="bottom"/>
            <w:hideMark/>
          </w:tcPr>
          <w:p w14:paraId="052BDF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F2C88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A7E8E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42D3D8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CFF0FC"/>
            <w:noWrap/>
            <w:vAlign w:val="bottom"/>
            <w:hideMark/>
          </w:tcPr>
          <w:p w14:paraId="269E685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3F5C615" w14:textId="77777777" w:rsidTr="004B2A77">
        <w:trPr>
          <w:trHeight w:val="180"/>
          <w:tblCellSpacing w:w="15" w:type="dxa"/>
        </w:trPr>
        <w:tc>
          <w:tcPr>
            <w:tcW w:w="0" w:type="auto"/>
            <w:shd w:val="clear" w:color="auto" w:fill="FFFFFF"/>
            <w:hideMark/>
          </w:tcPr>
          <w:p w14:paraId="4F5585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Comprehensive income attributable to controlling interest</w:t>
            </w:r>
          </w:p>
        </w:tc>
        <w:tc>
          <w:tcPr>
            <w:tcW w:w="0" w:type="auto"/>
            <w:shd w:val="clear" w:color="auto" w:fill="FFFFFF"/>
            <w:vAlign w:val="bottom"/>
            <w:hideMark/>
          </w:tcPr>
          <w:p w14:paraId="1EE8A3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DE7C4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1F67672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309</w:t>
            </w:r>
          </w:p>
        </w:tc>
        <w:tc>
          <w:tcPr>
            <w:tcW w:w="0" w:type="auto"/>
            <w:shd w:val="clear" w:color="auto" w:fill="FFFFFF"/>
            <w:noWrap/>
            <w:vAlign w:val="bottom"/>
            <w:hideMark/>
          </w:tcPr>
          <w:p w14:paraId="5CEE4A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CBBFE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31956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4E289D9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375</w:t>
            </w:r>
          </w:p>
        </w:tc>
        <w:tc>
          <w:tcPr>
            <w:tcW w:w="0" w:type="auto"/>
            <w:shd w:val="clear" w:color="auto" w:fill="FFFFFF"/>
            <w:noWrap/>
            <w:vAlign w:val="bottom"/>
            <w:hideMark/>
          </w:tcPr>
          <w:p w14:paraId="073255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0F445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62AAB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4E0BAFC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289</w:t>
            </w:r>
          </w:p>
        </w:tc>
        <w:tc>
          <w:tcPr>
            <w:tcW w:w="0" w:type="auto"/>
            <w:shd w:val="clear" w:color="auto" w:fill="FFFFFF"/>
            <w:noWrap/>
            <w:vAlign w:val="bottom"/>
            <w:hideMark/>
          </w:tcPr>
          <w:p w14:paraId="316252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26BCE46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379315E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Notes to the Consolidated Financial Statements.</w:t>
      </w:r>
    </w:p>
    <w:p w14:paraId="20BC8B5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C39B668"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57</w:t>
      </w:r>
    </w:p>
    <w:p w14:paraId="4D17AA05"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1F04E53">
          <v:rect id="_x0000_i1084" style="width:0;height:1.5pt" o:hralign="center" o:hrstd="t" o:hrnoshade="t" o:hr="t" fillcolor="black" stroked="f"/>
        </w:pict>
      </w:r>
    </w:p>
    <w:p w14:paraId="1FE24D9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7C6A60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lastRenderedPageBreak/>
        <w:t>Consolidated Balance Sheets</w:t>
      </w:r>
    </w:p>
    <w:p w14:paraId="2ADBC85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333"/>
        <w:gridCol w:w="342"/>
        <w:gridCol w:w="2036"/>
        <w:gridCol w:w="342"/>
        <w:gridCol w:w="232"/>
        <w:gridCol w:w="1609"/>
        <w:gridCol w:w="232"/>
        <w:gridCol w:w="342"/>
        <w:gridCol w:w="232"/>
        <w:gridCol w:w="1666"/>
        <w:gridCol w:w="248"/>
      </w:tblGrid>
      <w:tr w:rsidR="004B2A77" w:rsidRPr="004B2A77" w14:paraId="248AA3C5" w14:textId="77777777" w:rsidTr="004B2A77">
        <w:trPr>
          <w:tblCellSpacing w:w="15" w:type="dxa"/>
        </w:trPr>
        <w:tc>
          <w:tcPr>
            <w:tcW w:w="13310" w:type="dxa"/>
            <w:vAlign w:val="center"/>
            <w:hideMark/>
          </w:tcPr>
          <w:p w14:paraId="4CA15FC3"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12" w:type="dxa"/>
            <w:vAlign w:val="center"/>
            <w:hideMark/>
          </w:tcPr>
          <w:p w14:paraId="65E3917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9" w:type="dxa"/>
            <w:vAlign w:val="center"/>
            <w:hideMark/>
          </w:tcPr>
          <w:p w14:paraId="66510D1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2" w:type="dxa"/>
            <w:vAlign w:val="center"/>
            <w:hideMark/>
          </w:tcPr>
          <w:p w14:paraId="4E715E9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6E478CA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81" w:type="dxa"/>
            <w:vAlign w:val="center"/>
            <w:hideMark/>
          </w:tcPr>
          <w:p w14:paraId="49EB671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66DEAC6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2" w:type="dxa"/>
            <w:vAlign w:val="center"/>
            <w:hideMark/>
          </w:tcPr>
          <w:p w14:paraId="0788DD7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28A4BCE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38" w:type="dxa"/>
            <w:vAlign w:val="center"/>
            <w:hideMark/>
          </w:tcPr>
          <w:p w14:paraId="52EEC2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2CA3D762"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001755E" w14:textId="77777777" w:rsidTr="004B2A77">
        <w:trPr>
          <w:trHeight w:val="160"/>
          <w:tblCellSpacing w:w="15" w:type="dxa"/>
        </w:trPr>
        <w:tc>
          <w:tcPr>
            <w:tcW w:w="0" w:type="auto"/>
            <w:shd w:val="clear" w:color="auto" w:fill="FFFFFF"/>
            <w:vAlign w:val="bottom"/>
            <w:hideMark/>
          </w:tcPr>
          <w:p w14:paraId="75B975E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6EC5D9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4CEE7F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0A673A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6"/>
            <w:tcBorders>
              <w:bottom w:val="single" w:sz="4" w:space="0" w:color="000000"/>
            </w:tcBorders>
            <w:shd w:val="clear" w:color="auto" w:fill="FFFFFF"/>
            <w:vAlign w:val="bottom"/>
            <w:hideMark/>
          </w:tcPr>
          <w:p w14:paraId="6CAED37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At December 31</w:t>
            </w:r>
          </w:p>
        </w:tc>
        <w:tc>
          <w:tcPr>
            <w:tcW w:w="0" w:type="auto"/>
            <w:shd w:val="clear" w:color="auto" w:fill="FFFFFF"/>
            <w:vAlign w:val="bottom"/>
            <w:hideMark/>
          </w:tcPr>
          <w:p w14:paraId="09F325E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4F4AE4C9" w14:textId="77777777" w:rsidTr="004B2A77">
        <w:trPr>
          <w:trHeight w:val="160"/>
          <w:tblCellSpacing w:w="15" w:type="dxa"/>
        </w:trPr>
        <w:tc>
          <w:tcPr>
            <w:tcW w:w="0" w:type="auto"/>
            <w:shd w:val="clear" w:color="auto" w:fill="FFFFFF"/>
            <w:vAlign w:val="bottom"/>
            <w:hideMark/>
          </w:tcPr>
          <w:p w14:paraId="6300734F"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(DOLLARS AND SHARES IN MILLIONS)</w:t>
            </w:r>
          </w:p>
        </w:tc>
        <w:tc>
          <w:tcPr>
            <w:tcW w:w="0" w:type="auto"/>
            <w:shd w:val="clear" w:color="auto" w:fill="FFFFFF"/>
            <w:vAlign w:val="bottom"/>
            <w:hideMark/>
          </w:tcPr>
          <w:p w14:paraId="23548793"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7CE1DF2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039CED5"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4C06CC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2519553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57E65E0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BB1AD2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2A4C61A6"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37CE9982" w14:textId="77777777" w:rsidTr="004B2A77">
        <w:trPr>
          <w:trHeight w:val="180"/>
          <w:tblCellSpacing w:w="15" w:type="dxa"/>
        </w:trPr>
        <w:tc>
          <w:tcPr>
            <w:tcW w:w="0" w:type="auto"/>
            <w:shd w:val="clear" w:color="auto" w:fill="CFF0FC"/>
            <w:vAlign w:val="bottom"/>
            <w:hideMark/>
          </w:tcPr>
          <w:p w14:paraId="0737D7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Assets</w:t>
            </w:r>
          </w:p>
        </w:tc>
        <w:tc>
          <w:tcPr>
            <w:tcW w:w="0" w:type="auto"/>
            <w:shd w:val="clear" w:color="auto" w:fill="CFF0FC"/>
            <w:vAlign w:val="bottom"/>
            <w:hideMark/>
          </w:tcPr>
          <w:p w14:paraId="045E92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B2F35A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D29D9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6989E62E"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A50550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6DA60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22AC7E3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E73494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BD795F3" w14:textId="77777777" w:rsidTr="004B2A77">
        <w:trPr>
          <w:trHeight w:val="180"/>
          <w:tblCellSpacing w:w="15" w:type="dxa"/>
        </w:trPr>
        <w:tc>
          <w:tcPr>
            <w:tcW w:w="0" w:type="auto"/>
            <w:shd w:val="clear" w:color="auto" w:fill="FFFFFF"/>
            <w:vAlign w:val="bottom"/>
            <w:hideMark/>
          </w:tcPr>
          <w:p w14:paraId="0BE3E7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Cash and cash equivalents</w:t>
            </w:r>
          </w:p>
        </w:tc>
        <w:tc>
          <w:tcPr>
            <w:tcW w:w="0" w:type="auto"/>
            <w:shd w:val="clear" w:color="auto" w:fill="FFFFFF"/>
            <w:vAlign w:val="bottom"/>
            <w:hideMark/>
          </w:tcPr>
          <w:p w14:paraId="4146E3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7914C4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C2850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19BAF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C9ED17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594</w:t>
            </w:r>
          </w:p>
        </w:tc>
        <w:tc>
          <w:tcPr>
            <w:tcW w:w="0" w:type="auto"/>
            <w:shd w:val="clear" w:color="auto" w:fill="FFFFFF"/>
            <w:noWrap/>
            <w:vAlign w:val="bottom"/>
            <w:hideMark/>
          </w:tcPr>
          <w:p w14:paraId="33D58F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2ED1F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DEB7E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E73310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969</w:t>
            </w:r>
          </w:p>
        </w:tc>
        <w:tc>
          <w:tcPr>
            <w:tcW w:w="0" w:type="auto"/>
            <w:shd w:val="clear" w:color="auto" w:fill="FFFFFF"/>
            <w:noWrap/>
            <w:vAlign w:val="bottom"/>
            <w:hideMark/>
          </w:tcPr>
          <w:p w14:paraId="342CF5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B56EB60" w14:textId="77777777" w:rsidTr="004B2A77">
        <w:trPr>
          <w:trHeight w:val="180"/>
          <w:tblCellSpacing w:w="15" w:type="dxa"/>
        </w:trPr>
        <w:tc>
          <w:tcPr>
            <w:tcW w:w="0" w:type="auto"/>
            <w:shd w:val="clear" w:color="auto" w:fill="CFF0FC"/>
            <w:vAlign w:val="bottom"/>
            <w:hideMark/>
          </w:tcPr>
          <w:p w14:paraId="58A066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Receivables, net</w:t>
            </w:r>
          </w:p>
        </w:tc>
        <w:tc>
          <w:tcPr>
            <w:tcW w:w="0" w:type="auto"/>
            <w:shd w:val="clear" w:color="auto" w:fill="CFF0FC"/>
            <w:vAlign w:val="bottom"/>
            <w:hideMark/>
          </w:tcPr>
          <w:p w14:paraId="1C7C3F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5A6E1E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6</w:t>
            </w:r>
          </w:p>
        </w:tc>
        <w:tc>
          <w:tcPr>
            <w:tcW w:w="0" w:type="auto"/>
            <w:shd w:val="clear" w:color="auto" w:fill="CFF0FC"/>
            <w:vAlign w:val="bottom"/>
            <w:hideMark/>
          </w:tcPr>
          <w:p w14:paraId="4E3508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381B5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217427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1,907</w:t>
            </w:r>
          </w:p>
        </w:tc>
        <w:tc>
          <w:tcPr>
            <w:tcW w:w="0" w:type="auto"/>
            <w:shd w:val="clear" w:color="auto" w:fill="CFF0FC"/>
            <w:noWrap/>
            <w:vAlign w:val="bottom"/>
            <w:hideMark/>
          </w:tcPr>
          <w:p w14:paraId="515DCA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6282FC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EBE54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6BB2B4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1,699</w:t>
            </w:r>
          </w:p>
        </w:tc>
        <w:tc>
          <w:tcPr>
            <w:tcW w:w="0" w:type="auto"/>
            <w:shd w:val="clear" w:color="auto" w:fill="CFF0FC"/>
            <w:noWrap/>
            <w:vAlign w:val="bottom"/>
            <w:hideMark/>
          </w:tcPr>
          <w:p w14:paraId="557818A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129E2DA" w14:textId="77777777" w:rsidTr="004B2A77">
        <w:trPr>
          <w:trHeight w:val="180"/>
          <w:tblCellSpacing w:w="15" w:type="dxa"/>
        </w:trPr>
        <w:tc>
          <w:tcPr>
            <w:tcW w:w="0" w:type="auto"/>
            <w:shd w:val="clear" w:color="auto" w:fill="FFFFFF"/>
            <w:vAlign w:val="bottom"/>
            <w:hideMark/>
          </w:tcPr>
          <w:p w14:paraId="5090B5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Inventories, net</w:t>
            </w:r>
          </w:p>
        </w:tc>
        <w:tc>
          <w:tcPr>
            <w:tcW w:w="0" w:type="auto"/>
            <w:shd w:val="clear" w:color="auto" w:fill="FFFFFF"/>
            <w:vAlign w:val="bottom"/>
            <w:hideMark/>
          </w:tcPr>
          <w:p w14:paraId="5A9DC0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0DC466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7</w:t>
            </w:r>
          </w:p>
        </w:tc>
        <w:tc>
          <w:tcPr>
            <w:tcW w:w="0" w:type="auto"/>
            <w:shd w:val="clear" w:color="auto" w:fill="FFFFFF"/>
            <w:vAlign w:val="bottom"/>
            <w:hideMark/>
          </w:tcPr>
          <w:p w14:paraId="4D8594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8AFAB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66497A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969</w:t>
            </w:r>
          </w:p>
        </w:tc>
        <w:tc>
          <w:tcPr>
            <w:tcW w:w="0" w:type="auto"/>
            <w:shd w:val="clear" w:color="auto" w:fill="FFFFFF"/>
            <w:noWrap/>
            <w:vAlign w:val="bottom"/>
            <w:hideMark/>
          </w:tcPr>
          <w:p w14:paraId="7C1A4C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8057A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54439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55DC99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777</w:t>
            </w:r>
          </w:p>
        </w:tc>
        <w:tc>
          <w:tcPr>
            <w:tcW w:w="0" w:type="auto"/>
            <w:shd w:val="clear" w:color="auto" w:fill="FFFFFF"/>
            <w:noWrap/>
            <w:vAlign w:val="bottom"/>
            <w:hideMark/>
          </w:tcPr>
          <w:p w14:paraId="3A0BC8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1899D14" w14:textId="77777777" w:rsidTr="004B2A77">
        <w:trPr>
          <w:trHeight w:val="180"/>
          <w:tblCellSpacing w:w="15" w:type="dxa"/>
        </w:trPr>
        <w:tc>
          <w:tcPr>
            <w:tcW w:w="0" w:type="auto"/>
            <w:shd w:val="clear" w:color="auto" w:fill="CFF0FC"/>
            <w:vAlign w:val="bottom"/>
            <w:hideMark/>
          </w:tcPr>
          <w:p w14:paraId="6EF0C2B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tax receivable</w:t>
            </w:r>
          </w:p>
        </w:tc>
        <w:tc>
          <w:tcPr>
            <w:tcW w:w="0" w:type="auto"/>
            <w:shd w:val="clear" w:color="auto" w:fill="CFF0FC"/>
            <w:vAlign w:val="bottom"/>
            <w:hideMark/>
          </w:tcPr>
          <w:p w14:paraId="256A30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5D1D3D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DB8C9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505F1E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01F1B1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55</w:t>
            </w:r>
          </w:p>
        </w:tc>
        <w:tc>
          <w:tcPr>
            <w:tcW w:w="0" w:type="auto"/>
            <w:shd w:val="clear" w:color="auto" w:fill="CFF0FC"/>
            <w:noWrap/>
            <w:vAlign w:val="bottom"/>
            <w:hideMark/>
          </w:tcPr>
          <w:p w14:paraId="546017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57A2B0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AD0C4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6159EE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45</w:t>
            </w:r>
          </w:p>
        </w:tc>
        <w:tc>
          <w:tcPr>
            <w:tcW w:w="0" w:type="auto"/>
            <w:shd w:val="clear" w:color="auto" w:fill="CFF0FC"/>
            <w:noWrap/>
            <w:vAlign w:val="bottom"/>
            <w:hideMark/>
          </w:tcPr>
          <w:p w14:paraId="367DC2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97D147F" w14:textId="77777777" w:rsidTr="004B2A77">
        <w:trPr>
          <w:trHeight w:val="180"/>
          <w:tblCellSpacing w:w="15" w:type="dxa"/>
        </w:trPr>
        <w:tc>
          <w:tcPr>
            <w:tcW w:w="0" w:type="auto"/>
            <w:shd w:val="clear" w:color="auto" w:fill="FFFFFF"/>
            <w:vAlign w:val="bottom"/>
            <w:hideMark/>
          </w:tcPr>
          <w:p w14:paraId="675BB8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Prepaid expenses and accrued income</w:t>
            </w:r>
          </w:p>
        </w:tc>
        <w:tc>
          <w:tcPr>
            <w:tcW w:w="0" w:type="auto"/>
            <w:shd w:val="clear" w:color="auto" w:fill="FFFFFF"/>
            <w:vAlign w:val="bottom"/>
            <w:hideMark/>
          </w:tcPr>
          <w:p w14:paraId="44C29F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96471C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D6CDD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47DDA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B21EEC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160</w:t>
            </w:r>
          </w:p>
        </w:tc>
        <w:tc>
          <w:tcPr>
            <w:tcW w:w="0" w:type="auto"/>
            <w:shd w:val="clear" w:color="auto" w:fill="FFFFFF"/>
            <w:noWrap/>
            <w:vAlign w:val="bottom"/>
            <w:hideMark/>
          </w:tcPr>
          <w:p w14:paraId="7FD2E1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8107A8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B3865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D8C7AA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164</w:t>
            </w:r>
          </w:p>
        </w:tc>
        <w:tc>
          <w:tcPr>
            <w:tcW w:w="0" w:type="auto"/>
            <w:shd w:val="clear" w:color="auto" w:fill="FFFFFF"/>
            <w:noWrap/>
            <w:vAlign w:val="bottom"/>
            <w:hideMark/>
          </w:tcPr>
          <w:p w14:paraId="614A46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41DEEE8" w14:textId="77777777" w:rsidTr="004B2A77">
        <w:trPr>
          <w:trHeight w:val="180"/>
          <w:tblCellSpacing w:w="15" w:type="dxa"/>
        </w:trPr>
        <w:tc>
          <w:tcPr>
            <w:tcW w:w="0" w:type="auto"/>
            <w:shd w:val="clear" w:color="auto" w:fill="CFF0FC"/>
            <w:vAlign w:val="bottom"/>
            <w:hideMark/>
          </w:tcPr>
          <w:p w14:paraId="4E8835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Related party receivable</w:t>
            </w:r>
          </w:p>
        </w:tc>
        <w:tc>
          <w:tcPr>
            <w:tcW w:w="0" w:type="auto"/>
            <w:shd w:val="clear" w:color="auto" w:fill="CFF0FC"/>
            <w:vAlign w:val="bottom"/>
            <w:hideMark/>
          </w:tcPr>
          <w:p w14:paraId="5A871E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C9C80D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19</w:t>
            </w:r>
          </w:p>
        </w:tc>
        <w:tc>
          <w:tcPr>
            <w:tcW w:w="0" w:type="auto"/>
            <w:shd w:val="clear" w:color="auto" w:fill="CFF0FC"/>
            <w:vAlign w:val="bottom"/>
            <w:hideMark/>
          </w:tcPr>
          <w:p w14:paraId="6B081E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181903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286F4F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1E7141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9E364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39D90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EC58A5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w:t>
            </w:r>
          </w:p>
        </w:tc>
        <w:tc>
          <w:tcPr>
            <w:tcW w:w="0" w:type="auto"/>
            <w:shd w:val="clear" w:color="auto" w:fill="CFF0FC"/>
            <w:noWrap/>
            <w:vAlign w:val="bottom"/>
            <w:hideMark/>
          </w:tcPr>
          <w:p w14:paraId="2B58AE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00593DA" w14:textId="77777777" w:rsidTr="004B2A77">
        <w:trPr>
          <w:trHeight w:val="180"/>
          <w:tblCellSpacing w:w="15" w:type="dxa"/>
        </w:trPr>
        <w:tc>
          <w:tcPr>
            <w:tcW w:w="0" w:type="auto"/>
            <w:shd w:val="clear" w:color="auto" w:fill="FFFFFF"/>
            <w:vAlign w:val="bottom"/>
            <w:hideMark/>
          </w:tcPr>
          <w:p w14:paraId="0B62DA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current assets</w:t>
            </w:r>
          </w:p>
        </w:tc>
        <w:tc>
          <w:tcPr>
            <w:tcW w:w="0" w:type="auto"/>
            <w:shd w:val="clear" w:color="auto" w:fill="FFFFFF"/>
            <w:vAlign w:val="bottom"/>
            <w:hideMark/>
          </w:tcPr>
          <w:p w14:paraId="6A653E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917264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12, 17</w:t>
            </w:r>
          </w:p>
        </w:tc>
        <w:tc>
          <w:tcPr>
            <w:tcW w:w="0" w:type="auto"/>
            <w:shd w:val="clear" w:color="auto" w:fill="FFFFFF"/>
            <w:vAlign w:val="bottom"/>
            <w:hideMark/>
          </w:tcPr>
          <w:p w14:paraId="1824EC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5B89423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BBF5EA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29</w:t>
            </w:r>
          </w:p>
        </w:tc>
        <w:tc>
          <w:tcPr>
            <w:tcW w:w="0" w:type="auto"/>
            <w:shd w:val="clear" w:color="auto" w:fill="FFFFFF"/>
            <w:noWrap/>
            <w:vAlign w:val="bottom"/>
            <w:hideMark/>
          </w:tcPr>
          <w:p w14:paraId="379EF8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8AFF31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10D49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5C5563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20</w:t>
            </w:r>
          </w:p>
        </w:tc>
        <w:tc>
          <w:tcPr>
            <w:tcW w:w="0" w:type="auto"/>
            <w:shd w:val="clear" w:color="auto" w:fill="FFFFFF"/>
            <w:noWrap/>
            <w:vAlign w:val="bottom"/>
            <w:hideMark/>
          </w:tcPr>
          <w:p w14:paraId="6E899A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397F088" w14:textId="77777777" w:rsidTr="004B2A77">
        <w:trPr>
          <w:trHeight w:val="180"/>
          <w:tblCellSpacing w:w="15" w:type="dxa"/>
        </w:trPr>
        <w:tc>
          <w:tcPr>
            <w:tcW w:w="0" w:type="auto"/>
            <w:shd w:val="clear" w:color="auto" w:fill="CFF0FC"/>
            <w:vAlign w:val="bottom"/>
            <w:hideMark/>
          </w:tcPr>
          <w:p w14:paraId="6105EE2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current assets</w:t>
            </w:r>
          </w:p>
        </w:tc>
        <w:tc>
          <w:tcPr>
            <w:tcW w:w="0" w:type="auto"/>
            <w:shd w:val="clear" w:color="auto" w:fill="CFF0FC"/>
            <w:vAlign w:val="bottom"/>
            <w:hideMark/>
          </w:tcPr>
          <w:p w14:paraId="3B8D63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A2819E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F75A5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F592F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B7B66B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3,714</w:t>
            </w:r>
          </w:p>
        </w:tc>
        <w:tc>
          <w:tcPr>
            <w:tcW w:w="0" w:type="auto"/>
            <w:shd w:val="clear" w:color="auto" w:fill="CFF0FC"/>
            <w:noWrap/>
            <w:vAlign w:val="bottom"/>
            <w:hideMark/>
          </w:tcPr>
          <w:p w14:paraId="382069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E7A3A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235F0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A554A6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3,675</w:t>
            </w:r>
          </w:p>
        </w:tc>
        <w:tc>
          <w:tcPr>
            <w:tcW w:w="0" w:type="auto"/>
            <w:shd w:val="clear" w:color="auto" w:fill="CFF0FC"/>
            <w:noWrap/>
            <w:vAlign w:val="bottom"/>
            <w:hideMark/>
          </w:tcPr>
          <w:p w14:paraId="251361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AF61917" w14:textId="77777777" w:rsidTr="004B2A77">
        <w:trPr>
          <w:trHeight w:val="180"/>
          <w:tblCellSpacing w:w="15" w:type="dxa"/>
        </w:trPr>
        <w:tc>
          <w:tcPr>
            <w:tcW w:w="0" w:type="auto"/>
            <w:shd w:val="clear" w:color="auto" w:fill="FFFFFF"/>
            <w:vAlign w:val="bottom"/>
            <w:hideMark/>
          </w:tcPr>
          <w:p w14:paraId="26F38F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Property, plant and equipment, net</w:t>
            </w:r>
          </w:p>
        </w:tc>
        <w:tc>
          <w:tcPr>
            <w:tcW w:w="0" w:type="auto"/>
            <w:shd w:val="clear" w:color="auto" w:fill="FFFFFF"/>
            <w:vAlign w:val="bottom"/>
            <w:hideMark/>
          </w:tcPr>
          <w:p w14:paraId="68E0E2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65EFED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9</w:t>
            </w:r>
          </w:p>
        </w:tc>
        <w:tc>
          <w:tcPr>
            <w:tcW w:w="0" w:type="auto"/>
            <w:shd w:val="clear" w:color="auto" w:fill="FFFFFF"/>
            <w:vAlign w:val="bottom"/>
            <w:hideMark/>
          </w:tcPr>
          <w:p w14:paraId="5563D8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27C12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CDAE40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1,960</w:t>
            </w:r>
          </w:p>
        </w:tc>
        <w:tc>
          <w:tcPr>
            <w:tcW w:w="0" w:type="auto"/>
            <w:shd w:val="clear" w:color="auto" w:fill="FFFFFF"/>
            <w:noWrap/>
            <w:vAlign w:val="bottom"/>
            <w:hideMark/>
          </w:tcPr>
          <w:p w14:paraId="146B3F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179AD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3F183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43188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1,855</w:t>
            </w:r>
          </w:p>
        </w:tc>
        <w:tc>
          <w:tcPr>
            <w:tcW w:w="0" w:type="auto"/>
            <w:shd w:val="clear" w:color="auto" w:fill="FFFFFF"/>
            <w:noWrap/>
            <w:vAlign w:val="bottom"/>
            <w:hideMark/>
          </w:tcPr>
          <w:p w14:paraId="001043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6DC1045" w14:textId="77777777" w:rsidTr="004B2A77">
        <w:trPr>
          <w:trHeight w:val="180"/>
          <w:tblCellSpacing w:w="15" w:type="dxa"/>
        </w:trPr>
        <w:tc>
          <w:tcPr>
            <w:tcW w:w="0" w:type="auto"/>
            <w:shd w:val="clear" w:color="auto" w:fill="CFF0FC"/>
            <w:vAlign w:val="bottom"/>
            <w:hideMark/>
          </w:tcPr>
          <w:p w14:paraId="1E2D3E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lease right-of-use assets</w:t>
            </w:r>
          </w:p>
        </w:tc>
        <w:tc>
          <w:tcPr>
            <w:tcW w:w="0" w:type="auto"/>
            <w:shd w:val="clear" w:color="auto" w:fill="CFF0FC"/>
            <w:vAlign w:val="bottom"/>
            <w:hideMark/>
          </w:tcPr>
          <w:p w14:paraId="48D4F5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CDE9F8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3</w:t>
            </w:r>
          </w:p>
        </w:tc>
        <w:tc>
          <w:tcPr>
            <w:tcW w:w="0" w:type="auto"/>
            <w:shd w:val="clear" w:color="auto" w:fill="CFF0FC"/>
            <w:vAlign w:val="bottom"/>
            <w:hideMark/>
          </w:tcPr>
          <w:p w14:paraId="739A2F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D1DCD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B5C771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160</w:t>
            </w:r>
          </w:p>
        </w:tc>
        <w:tc>
          <w:tcPr>
            <w:tcW w:w="0" w:type="auto"/>
            <w:shd w:val="clear" w:color="auto" w:fill="CFF0FC"/>
            <w:noWrap/>
            <w:vAlign w:val="bottom"/>
            <w:hideMark/>
          </w:tcPr>
          <w:p w14:paraId="2550EB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C6167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FDC20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AD4B3B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132</w:t>
            </w:r>
          </w:p>
        </w:tc>
        <w:tc>
          <w:tcPr>
            <w:tcW w:w="0" w:type="auto"/>
            <w:shd w:val="clear" w:color="auto" w:fill="CFF0FC"/>
            <w:noWrap/>
            <w:vAlign w:val="bottom"/>
            <w:hideMark/>
          </w:tcPr>
          <w:p w14:paraId="3CFF3D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9C73F4D" w14:textId="77777777" w:rsidTr="004B2A77">
        <w:trPr>
          <w:trHeight w:val="180"/>
          <w:tblCellSpacing w:w="15" w:type="dxa"/>
        </w:trPr>
        <w:tc>
          <w:tcPr>
            <w:tcW w:w="0" w:type="auto"/>
            <w:shd w:val="clear" w:color="auto" w:fill="FFFFFF"/>
            <w:vAlign w:val="bottom"/>
            <w:hideMark/>
          </w:tcPr>
          <w:p w14:paraId="6368DD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Goodwill</w:t>
            </w:r>
          </w:p>
        </w:tc>
        <w:tc>
          <w:tcPr>
            <w:tcW w:w="0" w:type="auto"/>
            <w:shd w:val="clear" w:color="auto" w:fill="FFFFFF"/>
            <w:vAlign w:val="bottom"/>
            <w:hideMark/>
          </w:tcPr>
          <w:p w14:paraId="491072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7098C5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10</w:t>
            </w:r>
          </w:p>
        </w:tc>
        <w:tc>
          <w:tcPr>
            <w:tcW w:w="0" w:type="auto"/>
            <w:shd w:val="clear" w:color="auto" w:fill="FFFFFF"/>
            <w:vAlign w:val="bottom"/>
            <w:hideMark/>
          </w:tcPr>
          <w:p w14:paraId="645891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4C0D4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49398A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1,375</w:t>
            </w:r>
          </w:p>
        </w:tc>
        <w:tc>
          <w:tcPr>
            <w:tcW w:w="0" w:type="auto"/>
            <w:shd w:val="clear" w:color="auto" w:fill="FFFFFF"/>
            <w:noWrap/>
            <w:vAlign w:val="bottom"/>
            <w:hideMark/>
          </w:tcPr>
          <w:p w14:paraId="0D5496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11D0B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24F17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F37EAF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1,387</w:t>
            </w:r>
          </w:p>
        </w:tc>
        <w:tc>
          <w:tcPr>
            <w:tcW w:w="0" w:type="auto"/>
            <w:shd w:val="clear" w:color="auto" w:fill="FFFFFF"/>
            <w:noWrap/>
            <w:vAlign w:val="bottom"/>
            <w:hideMark/>
          </w:tcPr>
          <w:p w14:paraId="5F3EDD9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750E90E" w14:textId="77777777" w:rsidTr="004B2A77">
        <w:trPr>
          <w:trHeight w:val="180"/>
          <w:tblCellSpacing w:w="15" w:type="dxa"/>
        </w:trPr>
        <w:tc>
          <w:tcPr>
            <w:tcW w:w="0" w:type="auto"/>
            <w:shd w:val="clear" w:color="auto" w:fill="CFF0FC"/>
            <w:vAlign w:val="bottom"/>
            <w:hideMark/>
          </w:tcPr>
          <w:p w14:paraId="3BD419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Intangible assets, net</w:t>
            </w:r>
          </w:p>
        </w:tc>
        <w:tc>
          <w:tcPr>
            <w:tcW w:w="0" w:type="auto"/>
            <w:shd w:val="clear" w:color="auto" w:fill="CFF0FC"/>
            <w:vAlign w:val="bottom"/>
            <w:hideMark/>
          </w:tcPr>
          <w:p w14:paraId="52F0B8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7EF87C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10</w:t>
            </w:r>
          </w:p>
        </w:tc>
        <w:tc>
          <w:tcPr>
            <w:tcW w:w="0" w:type="auto"/>
            <w:shd w:val="clear" w:color="auto" w:fill="CFF0FC"/>
            <w:vAlign w:val="bottom"/>
            <w:hideMark/>
          </w:tcPr>
          <w:p w14:paraId="3B3924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A27091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69573B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w:t>
            </w:r>
          </w:p>
        </w:tc>
        <w:tc>
          <w:tcPr>
            <w:tcW w:w="0" w:type="auto"/>
            <w:shd w:val="clear" w:color="auto" w:fill="CFF0FC"/>
            <w:noWrap/>
            <w:vAlign w:val="bottom"/>
            <w:hideMark/>
          </w:tcPr>
          <w:p w14:paraId="0E8495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F76E2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EE036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A992AF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8</w:t>
            </w:r>
          </w:p>
        </w:tc>
        <w:tc>
          <w:tcPr>
            <w:tcW w:w="0" w:type="auto"/>
            <w:shd w:val="clear" w:color="auto" w:fill="CFF0FC"/>
            <w:noWrap/>
            <w:vAlign w:val="bottom"/>
            <w:hideMark/>
          </w:tcPr>
          <w:p w14:paraId="41132A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D171A45" w14:textId="77777777" w:rsidTr="004B2A77">
        <w:trPr>
          <w:trHeight w:val="180"/>
          <w:tblCellSpacing w:w="15" w:type="dxa"/>
        </w:trPr>
        <w:tc>
          <w:tcPr>
            <w:tcW w:w="0" w:type="auto"/>
            <w:shd w:val="clear" w:color="auto" w:fill="FFFFFF"/>
            <w:vAlign w:val="bottom"/>
            <w:hideMark/>
          </w:tcPr>
          <w:p w14:paraId="16097F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non-current assets</w:t>
            </w:r>
          </w:p>
        </w:tc>
        <w:tc>
          <w:tcPr>
            <w:tcW w:w="0" w:type="auto"/>
            <w:shd w:val="clear" w:color="auto" w:fill="FFFFFF"/>
            <w:vAlign w:val="bottom"/>
            <w:hideMark/>
          </w:tcPr>
          <w:p w14:paraId="055BDB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0087B4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8, 17</w:t>
            </w:r>
          </w:p>
        </w:tc>
        <w:tc>
          <w:tcPr>
            <w:tcW w:w="0" w:type="auto"/>
            <w:shd w:val="clear" w:color="auto" w:fill="FFFFFF"/>
            <w:vAlign w:val="bottom"/>
            <w:hideMark/>
          </w:tcPr>
          <w:p w14:paraId="506D57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0DD263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5B46E27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502</w:t>
            </w:r>
          </w:p>
        </w:tc>
        <w:tc>
          <w:tcPr>
            <w:tcW w:w="0" w:type="auto"/>
            <w:shd w:val="clear" w:color="auto" w:fill="FFFFFF"/>
            <w:noWrap/>
            <w:vAlign w:val="bottom"/>
            <w:hideMark/>
          </w:tcPr>
          <w:p w14:paraId="496B3B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1C784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E2E43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5FE40D9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481</w:t>
            </w:r>
          </w:p>
        </w:tc>
        <w:tc>
          <w:tcPr>
            <w:tcW w:w="0" w:type="auto"/>
            <w:shd w:val="clear" w:color="auto" w:fill="FFFFFF"/>
            <w:noWrap/>
            <w:vAlign w:val="bottom"/>
            <w:hideMark/>
          </w:tcPr>
          <w:p w14:paraId="4AE924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6346190" w14:textId="77777777" w:rsidTr="004B2A77">
        <w:trPr>
          <w:trHeight w:val="180"/>
          <w:tblCellSpacing w:w="15" w:type="dxa"/>
        </w:trPr>
        <w:tc>
          <w:tcPr>
            <w:tcW w:w="0" w:type="auto"/>
            <w:shd w:val="clear" w:color="auto" w:fill="CFF0FC"/>
            <w:vAlign w:val="bottom"/>
            <w:hideMark/>
          </w:tcPr>
          <w:p w14:paraId="2A57B6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assets</w:t>
            </w:r>
          </w:p>
        </w:tc>
        <w:tc>
          <w:tcPr>
            <w:tcW w:w="0" w:type="auto"/>
            <w:shd w:val="clear" w:color="auto" w:fill="CFF0FC"/>
            <w:vAlign w:val="bottom"/>
            <w:hideMark/>
          </w:tcPr>
          <w:p w14:paraId="01F14E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16D80E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0F747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298F6B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E265D8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7,717</w:t>
            </w:r>
          </w:p>
        </w:tc>
        <w:tc>
          <w:tcPr>
            <w:tcW w:w="0" w:type="auto"/>
            <w:shd w:val="clear" w:color="auto" w:fill="CFF0FC"/>
            <w:noWrap/>
            <w:vAlign w:val="bottom"/>
            <w:hideMark/>
          </w:tcPr>
          <w:p w14:paraId="20DDE3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B6539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55885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011F1B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7,537</w:t>
            </w:r>
          </w:p>
        </w:tc>
        <w:tc>
          <w:tcPr>
            <w:tcW w:w="0" w:type="auto"/>
            <w:shd w:val="clear" w:color="auto" w:fill="CFF0FC"/>
            <w:noWrap/>
            <w:vAlign w:val="bottom"/>
            <w:hideMark/>
          </w:tcPr>
          <w:p w14:paraId="2B722C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92927F0" w14:textId="77777777" w:rsidTr="004B2A77">
        <w:trPr>
          <w:trHeight w:val="180"/>
          <w:tblCellSpacing w:w="15" w:type="dxa"/>
        </w:trPr>
        <w:tc>
          <w:tcPr>
            <w:tcW w:w="0" w:type="auto"/>
            <w:shd w:val="clear" w:color="auto" w:fill="FFFFFF"/>
            <w:vAlign w:val="bottom"/>
            <w:hideMark/>
          </w:tcPr>
          <w:p w14:paraId="328FBC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Liabilities and equity</w:t>
            </w:r>
          </w:p>
        </w:tc>
        <w:tc>
          <w:tcPr>
            <w:tcW w:w="0" w:type="auto"/>
            <w:shd w:val="clear" w:color="auto" w:fill="FFFFFF"/>
            <w:vAlign w:val="bottom"/>
            <w:hideMark/>
          </w:tcPr>
          <w:p w14:paraId="4F51EA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48D2B7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6C99B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7F63F45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8A23FD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7813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709D044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2BAF3D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6B26D3C" w14:textId="77777777" w:rsidTr="004B2A77">
        <w:trPr>
          <w:trHeight w:val="180"/>
          <w:tblCellSpacing w:w="15" w:type="dxa"/>
        </w:trPr>
        <w:tc>
          <w:tcPr>
            <w:tcW w:w="0" w:type="auto"/>
            <w:shd w:val="clear" w:color="auto" w:fill="CFF0FC"/>
            <w:vAlign w:val="bottom"/>
            <w:hideMark/>
          </w:tcPr>
          <w:p w14:paraId="6AEE22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Short-term debt</w:t>
            </w:r>
          </w:p>
        </w:tc>
        <w:tc>
          <w:tcPr>
            <w:tcW w:w="0" w:type="auto"/>
            <w:shd w:val="clear" w:color="auto" w:fill="CFF0FC"/>
            <w:vAlign w:val="bottom"/>
            <w:hideMark/>
          </w:tcPr>
          <w:p w14:paraId="4CA188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BFA23C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13</w:t>
            </w:r>
          </w:p>
        </w:tc>
        <w:tc>
          <w:tcPr>
            <w:tcW w:w="0" w:type="auto"/>
            <w:shd w:val="clear" w:color="auto" w:fill="CFF0FC"/>
            <w:vAlign w:val="bottom"/>
            <w:hideMark/>
          </w:tcPr>
          <w:p w14:paraId="763BF6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57882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B2A82E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711</w:t>
            </w:r>
          </w:p>
        </w:tc>
        <w:tc>
          <w:tcPr>
            <w:tcW w:w="0" w:type="auto"/>
            <w:shd w:val="clear" w:color="auto" w:fill="CFF0FC"/>
            <w:noWrap/>
            <w:vAlign w:val="bottom"/>
            <w:hideMark/>
          </w:tcPr>
          <w:p w14:paraId="18EBEE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E2F01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C693C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C52746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346</w:t>
            </w:r>
          </w:p>
        </w:tc>
        <w:tc>
          <w:tcPr>
            <w:tcW w:w="0" w:type="auto"/>
            <w:shd w:val="clear" w:color="auto" w:fill="CFF0FC"/>
            <w:noWrap/>
            <w:vAlign w:val="bottom"/>
            <w:hideMark/>
          </w:tcPr>
          <w:p w14:paraId="1247C73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BD03B9F" w14:textId="77777777" w:rsidTr="004B2A77">
        <w:trPr>
          <w:trHeight w:val="180"/>
          <w:tblCellSpacing w:w="15" w:type="dxa"/>
        </w:trPr>
        <w:tc>
          <w:tcPr>
            <w:tcW w:w="0" w:type="auto"/>
            <w:shd w:val="clear" w:color="auto" w:fill="FFFFFF"/>
            <w:vAlign w:val="bottom"/>
            <w:hideMark/>
          </w:tcPr>
          <w:p w14:paraId="661571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Accounts payable</w:t>
            </w:r>
          </w:p>
        </w:tc>
        <w:tc>
          <w:tcPr>
            <w:tcW w:w="0" w:type="auto"/>
            <w:shd w:val="clear" w:color="auto" w:fill="FFFFFF"/>
            <w:vAlign w:val="bottom"/>
            <w:hideMark/>
          </w:tcPr>
          <w:p w14:paraId="5FC2AC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A62C5E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A4E6A6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D55FD6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6E7A43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1,693</w:t>
            </w:r>
          </w:p>
        </w:tc>
        <w:tc>
          <w:tcPr>
            <w:tcW w:w="0" w:type="auto"/>
            <w:shd w:val="clear" w:color="auto" w:fill="FFFFFF"/>
            <w:noWrap/>
            <w:vAlign w:val="bottom"/>
            <w:hideMark/>
          </w:tcPr>
          <w:p w14:paraId="1F93FAF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B0EE06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4C34B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32C7CD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1,129</w:t>
            </w:r>
          </w:p>
        </w:tc>
        <w:tc>
          <w:tcPr>
            <w:tcW w:w="0" w:type="auto"/>
            <w:shd w:val="clear" w:color="auto" w:fill="FFFFFF"/>
            <w:noWrap/>
            <w:vAlign w:val="bottom"/>
            <w:hideMark/>
          </w:tcPr>
          <w:p w14:paraId="3CBD78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0721304" w14:textId="77777777" w:rsidTr="004B2A77">
        <w:trPr>
          <w:trHeight w:val="180"/>
          <w:tblCellSpacing w:w="15" w:type="dxa"/>
        </w:trPr>
        <w:tc>
          <w:tcPr>
            <w:tcW w:w="0" w:type="auto"/>
            <w:shd w:val="clear" w:color="auto" w:fill="CFF0FC"/>
            <w:vAlign w:val="bottom"/>
            <w:hideMark/>
          </w:tcPr>
          <w:p w14:paraId="0E8C12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Accrued expenses</w:t>
            </w:r>
          </w:p>
        </w:tc>
        <w:tc>
          <w:tcPr>
            <w:tcW w:w="0" w:type="auto"/>
            <w:shd w:val="clear" w:color="auto" w:fill="CFF0FC"/>
            <w:vAlign w:val="bottom"/>
            <w:hideMark/>
          </w:tcPr>
          <w:p w14:paraId="2EBC62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C18EE0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Notes 11, 12</w:t>
            </w:r>
          </w:p>
        </w:tc>
        <w:tc>
          <w:tcPr>
            <w:tcW w:w="0" w:type="auto"/>
            <w:shd w:val="clear" w:color="auto" w:fill="CFF0FC"/>
            <w:vAlign w:val="bottom"/>
            <w:hideMark/>
          </w:tcPr>
          <w:p w14:paraId="336F60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2CC40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0D18DB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915</w:t>
            </w:r>
          </w:p>
        </w:tc>
        <w:tc>
          <w:tcPr>
            <w:tcW w:w="0" w:type="auto"/>
            <w:shd w:val="clear" w:color="auto" w:fill="CFF0FC"/>
            <w:noWrap/>
            <w:vAlign w:val="bottom"/>
            <w:hideMark/>
          </w:tcPr>
          <w:p w14:paraId="02375F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14C3C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4A80B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DBD0B3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987</w:t>
            </w:r>
          </w:p>
        </w:tc>
        <w:tc>
          <w:tcPr>
            <w:tcW w:w="0" w:type="auto"/>
            <w:shd w:val="clear" w:color="auto" w:fill="CFF0FC"/>
            <w:noWrap/>
            <w:vAlign w:val="bottom"/>
            <w:hideMark/>
          </w:tcPr>
          <w:p w14:paraId="186407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7F77638" w14:textId="77777777" w:rsidTr="004B2A77">
        <w:trPr>
          <w:trHeight w:val="180"/>
          <w:tblCellSpacing w:w="15" w:type="dxa"/>
        </w:trPr>
        <w:tc>
          <w:tcPr>
            <w:tcW w:w="0" w:type="auto"/>
            <w:shd w:val="clear" w:color="auto" w:fill="FFFFFF"/>
            <w:vAlign w:val="bottom"/>
            <w:hideMark/>
          </w:tcPr>
          <w:p w14:paraId="435069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Related party liabilities</w:t>
            </w:r>
          </w:p>
        </w:tc>
        <w:tc>
          <w:tcPr>
            <w:tcW w:w="0" w:type="auto"/>
            <w:shd w:val="clear" w:color="auto" w:fill="FFFFFF"/>
            <w:vAlign w:val="bottom"/>
            <w:hideMark/>
          </w:tcPr>
          <w:p w14:paraId="7EF4E6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433063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19</w:t>
            </w:r>
          </w:p>
        </w:tc>
        <w:tc>
          <w:tcPr>
            <w:tcW w:w="0" w:type="auto"/>
            <w:shd w:val="clear" w:color="auto" w:fill="FFFFFF"/>
            <w:vAlign w:val="bottom"/>
            <w:hideMark/>
          </w:tcPr>
          <w:p w14:paraId="048320E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59260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B98E10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42FEB9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122B8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BFD02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4633D6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24</w:t>
            </w:r>
          </w:p>
        </w:tc>
        <w:tc>
          <w:tcPr>
            <w:tcW w:w="0" w:type="auto"/>
            <w:shd w:val="clear" w:color="auto" w:fill="FFFFFF"/>
            <w:noWrap/>
            <w:vAlign w:val="bottom"/>
            <w:hideMark/>
          </w:tcPr>
          <w:p w14:paraId="4E36D0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86AFBDD" w14:textId="77777777" w:rsidTr="004B2A77">
        <w:trPr>
          <w:trHeight w:val="180"/>
          <w:tblCellSpacing w:w="15" w:type="dxa"/>
        </w:trPr>
        <w:tc>
          <w:tcPr>
            <w:tcW w:w="0" w:type="auto"/>
            <w:shd w:val="clear" w:color="auto" w:fill="CFF0FC"/>
            <w:vAlign w:val="bottom"/>
            <w:hideMark/>
          </w:tcPr>
          <w:p w14:paraId="5B7F04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tax payable</w:t>
            </w:r>
          </w:p>
        </w:tc>
        <w:tc>
          <w:tcPr>
            <w:tcW w:w="0" w:type="auto"/>
            <w:shd w:val="clear" w:color="auto" w:fill="CFF0FC"/>
            <w:vAlign w:val="bottom"/>
            <w:hideMark/>
          </w:tcPr>
          <w:p w14:paraId="32D132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E7D03C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D063F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3C403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1D9EE7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75</w:t>
            </w:r>
          </w:p>
        </w:tc>
        <w:tc>
          <w:tcPr>
            <w:tcW w:w="0" w:type="auto"/>
            <w:shd w:val="clear" w:color="auto" w:fill="CFF0FC"/>
            <w:noWrap/>
            <w:vAlign w:val="bottom"/>
            <w:hideMark/>
          </w:tcPr>
          <w:p w14:paraId="209DC76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FF7D6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1FAFD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4E2DFC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81</w:t>
            </w:r>
          </w:p>
        </w:tc>
        <w:tc>
          <w:tcPr>
            <w:tcW w:w="0" w:type="auto"/>
            <w:shd w:val="clear" w:color="auto" w:fill="CFF0FC"/>
            <w:noWrap/>
            <w:vAlign w:val="bottom"/>
            <w:hideMark/>
          </w:tcPr>
          <w:p w14:paraId="1EB031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26B2950" w14:textId="77777777" w:rsidTr="004B2A77">
        <w:trPr>
          <w:trHeight w:val="180"/>
          <w:tblCellSpacing w:w="15" w:type="dxa"/>
        </w:trPr>
        <w:tc>
          <w:tcPr>
            <w:tcW w:w="0" w:type="auto"/>
            <w:shd w:val="clear" w:color="auto" w:fill="FFFFFF"/>
            <w:vAlign w:val="bottom"/>
            <w:hideMark/>
          </w:tcPr>
          <w:p w14:paraId="6B4D4C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lease liabilities, current</w:t>
            </w:r>
          </w:p>
        </w:tc>
        <w:tc>
          <w:tcPr>
            <w:tcW w:w="0" w:type="auto"/>
            <w:shd w:val="clear" w:color="auto" w:fill="FFFFFF"/>
            <w:vAlign w:val="bottom"/>
            <w:hideMark/>
          </w:tcPr>
          <w:p w14:paraId="0F71A8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651A4F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3</w:t>
            </w:r>
          </w:p>
        </w:tc>
        <w:tc>
          <w:tcPr>
            <w:tcW w:w="0" w:type="auto"/>
            <w:shd w:val="clear" w:color="auto" w:fill="FFFFFF"/>
            <w:vAlign w:val="bottom"/>
            <w:hideMark/>
          </w:tcPr>
          <w:p w14:paraId="5531F3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855F9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54C5C8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39</w:t>
            </w:r>
          </w:p>
        </w:tc>
        <w:tc>
          <w:tcPr>
            <w:tcW w:w="0" w:type="auto"/>
            <w:shd w:val="clear" w:color="auto" w:fill="FFFFFF"/>
            <w:noWrap/>
            <w:vAlign w:val="bottom"/>
            <w:hideMark/>
          </w:tcPr>
          <w:p w14:paraId="2D863E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212A2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FF549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00E1BF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38</w:t>
            </w:r>
          </w:p>
        </w:tc>
        <w:tc>
          <w:tcPr>
            <w:tcW w:w="0" w:type="auto"/>
            <w:shd w:val="clear" w:color="auto" w:fill="FFFFFF"/>
            <w:noWrap/>
            <w:vAlign w:val="bottom"/>
            <w:hideMark/>
          </w:tcPr>
          <w:p w14:paraId="2853658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88E9A2E" w14:textId="77777777" w:rsidTr="004B2A77">
        <w:trPr>
          <w:trHeight w:val="180"/>
          <w:tblCellSpacing w:w="15" w:type="dxa"/>
        </w:trPr>
        <w:tc>
          <w:tcPr>
            <w:tcW w:w="0" w:type="auto"/>
            <w:shd w:val="clear" w:color="auto" w:fill="CFF0FC"/>
            <w:vAlign w:val="bottom"/>
            <w:hideMark/>
          </w:tcPr>
          <w:p w14:paraId="041CB5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current liabilities</w:t>
            </w:r>
          </w:p>
        </w:tc>
        <w:tc>
          <w:tcPr>
            <w:tcW w:w="0" w:type="auto"/>
            <w:shd w:val="clear" w:color="auto" w:fill="CFF0FC"/>
            <w:vAlign w:val="bottom"/>
            <w:hideMark/>
          </w:tcPr>
          <w:p w14:paraId="5C5EAA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6B5661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81A2C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F37F01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002084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207</w:t>
            </w:r>
          </w:p>
        </w:tc>
        <w:tc>
          <w:tcPr>
            <w:tcW w:w="0" w:type="auto"/>
            <w:shd w:val="clear" w:color="auto" w:fill="CFF0FC"/>
            <w:noWrap/>
            <w:vAlign w:val="bottom"/>
            <w:hideMark/>
          </w:tcPr>
          <w:p w14:paraId="590483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D4515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E4E0E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39E59A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216</w:t>
            </w:r>
          </w:p>
        </w:tc>
        <w:tc>
          <w:tcPr>
            <w:tcW w:w="0" w:type="auto"/>
            <w:shd w:val="clear" w:color="auto" w:fill="CFF0FC"/>
            <w:noWrap/>
            <w:vAlign w:val="bottom"/>
            <w:hideMark/>
          </w:tcPr>
          <w:p w14:paraId="3CE357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4FCAE18" w14:textId="77777777" w:rsidTr="004B2A77">
        <w:trPr>
          <w:trHeight w:val="180"/>
          <w:tblCellSpacing w:w="15" w:type="dxa"/>
        </w:trPr>
        <w:tc>
          <w:tcPr>
            <w:tcW w:w="0" w:type="auto"/>
            <w:shd w:val="clear" w:color="auto" w:fill="FFFFFF"/>
            <w:vAlign w:val="bottom"/>
            <w:hideMark/>
          </w:tcPr>
          <w:p w14:paraId="11BDD3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current liabilities</w:t>
            </w:r>
          </w:p>
        </w:tc>
        <w:tc>
          <w:tcPr>
            <w:tcW w:w="0" w:type="auto"/>
            <w:shd w:val="clear" w:color="auto" w:fill="FFFFFF"/>
            <w:vAlign w:val="bottom"/>
            <w:hideMark/>
          </w:tcPr>
          <w:p w14:paraId="3A6666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57EE58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0373E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126E86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53C957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3,642</w:t>
            </w:r>
          </w:p>
        </w:tc>
        <w:tc>
          <w:tcPr>
            <w:tcW w:w="0" w:type="auto"/>
            <w:shd w:val="clear" w:color="auto" w:fill="FFFFFF"/>
            <w:noWrap/>
            <w:vAlign w:val="bottom"/>
            <w:hideMark/>
          </w:tcPr>
          <w:p w14:paraId="703EA0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DA586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215604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491BEB7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2,821</w:t>
            </w:r>
          </w:p>
        </w:tc>
        <w:tc>
          <w:tcPr>
            <w:tcW w:w="0" w:type="auto"/>
            <w:shd w:val="clear" w:color="auto" w:fill="FFFFFF"/>
            <w:noWrap/>
            <w:vAlign w:val="bottom"/>
            <w:hideMark/>
          </w:tcPr>
          <w:p w14:paraId="4F254CB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AA138D7" w14:textId="77777777" w:rsidTr="004B2A77">
        <w:trPr>
          <w:trHeight w:val="180"/>
          <w:tblCellSpacing w:w="15" w:type="dxa"/>
        </w:trPr>
        <w:tc>
          <w:tcPr>
            <w:tcW w:w="0" w:type="auto"/>
            <w:shd w:val="clear" w:color="auto" w:fill="CFF0FC"/>
            <w:vAlign w:val="bottom"/>
            <w:hideMark/>
          </w:tcPr>
          <w:p w14:paraId="4CAFAF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Long-term debt</w:t>
            </w:r>
          </w:p>
        </w:tc>
        <w:tc>
          <w:tcPr>
            <w:tcW w:w="0" w:type="auto"/>
            <w:shd w:val="clear" w:color="auto" w:fill="CFF0FC"/>
            <w:vAlign w:val="bottom"/>
            <w:hideMark/>
          </w:tcPr>
          <w:p w14:paraId="0AF07B7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6BD59E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13</w:t>
            </w:r>
          </w:p>
        </w:tc>
        <w:tc>
          <w:tcPr>
            <w:tcW w:w="0" w:type="auto"/>
            <w:shd w:val="clear" w:color="auto" w:fill="CFF0FC"/>
            <w:vAlign w:val="bottom"/>
            <w:hideMark/>
          </w:tcPr>
          <w:p w14:paraId="692DB1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8FD89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182969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1,054</w:t>
            </w:r>
          </w:p>
        </w:tc>
        <w:tc>
          <w:tcPr>
            <w:tcW w:w="0" w:type="auto"/>
            <w:shd w:val="clear" w:color="auto" w:fill="CFF0FC"/>
            <w:noWrap/>
            <w:vAlign w:val="bottom"/>
            <w:hideMark/>
          </w:tcPr>
          <w:p w14:paraId="19D83C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79EA0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B8FCF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7129F3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1,662</w:t>
            </w:r>
          </w:p>
        </w:tc>
        <w:tc>
          <w:tcPr>
            <w:tcW w:w="0" w:type="auto"/>
            <w:shd w:val="clear" w:color="auto" w:fill="CFF0FC"/>
            <w:noWrap/>
            <w:vAlign w:val="bottom"/>
            <w:hideMark/>
          </w:tcPr>
          <w:p w14:paraId="4071D9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9381F4A" w14:textId="77777777" w:rsidTr="004B2A77">
        <w:trPr>
          <w:trHeight w:val="180"/>
          <w:tblCellSpacing w:w="15" w:type="dxa"/>
        </w:trPr>
        <w:tc>
          <w:tcPr>
            <w:tcW w:w="0" w:type="auto"/>
            <w:shd w:val="clear" w:color="auto" w:fill="FFFFFF"/>
            <w:vAlign w:val="bottom"/>
            <w:hideMark/>
          </w:tcPr>
          <w:p w14:paraId="460E7D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Pension liability</w:t>
            </w:r>
          </w:p>
        </w:tc>
        <w:tc>
          <w:tcPr>
            <w:tcW w:w="0" w:type="auto"/>
            <w:shd w:val="clear" w:color="auto" w:fill="FFFFFF"/>
            <w:vAlign w:val="bottom"/>
            <w:hideMark/>
          </w:tcPr>
          <w:p w14:paraId="34FFD8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6156CC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18</w:t>
            </w:r>
          </w:p>
        </w:tc>
        <w:tc>
          <w:tcPr>
            <w:tcW w:w="0" w:type="auto"/>
            <w:shd w:val="clear" w:color="auto" w:fill="FFFFFF"/>
            <w:vAlign w:val="bottom"/>
            <w:hideMark/>
          </w:tcPr>
          <w:p w14:paraId="0EFBB3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918F3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D3F472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154</w:t>
            </w:r>
          </w:p>
        </w:tc>
        <w:tc>
          <w:tcPr>
            <w:tcW w:w="0" w:type="auto"/>
            <w:shd w:val="clear" w:color="auto" w:fill="FFFFFF"/>
            <w:noWrap/>
            <w:vAlign w:val="bottom"/>
            <w:hideMark/>
          </w:tcPr>
          <w:p w14:paraId="7F99A9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51A39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A2B3B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A1801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197</w:t>
            </w:r>
          </w:p>
        </w:tc>
        <w:tc>
          <w:tcPr>
            <w:tcW w:w="0" w:type="auto"/>
            <w:shd w:val="clear" w:color="auto" w:fill="FFFFFF"/>
            <w:noWrap/>
            <w:vAlign w:val="bottom"/>
            <w:hideMark/>
          </w:tcPr>
          <w:p w14:paraId="59BAAAD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523F66C" w14:textId="77777777" w:rsidTr="004B2A77">
        <w:trPr>
          <w:trHeight w:val="180"/>
          <w:tblCellSpacing w:w="15" w:type="dxa"/>
        </w:trPr>
        <w:tc>
          <w:tcPr>
            <w:tcW w:w="0" w:type="auto"/>
            <w:shd w:val="clear" w:color="auto" w:fill="CFF0FC"/>
            <w:vAlign w:val="bottom"/>
            <w:hideMark/>
          </w:tcPr>
          <w:p w14:paraId="291554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Operating lease liabilities, non-current</w:t>
            </w:r>
          </w:p>
        </w:tc>
        <w:tc>
          <w:tcPr>
            <w:tcW w:w="0" w:type="auto"/>
            <w:shd w:val="clear" w:color="auto" w:fill="CFF0FC"/>
            <w:vAlign w:val="bottom"/>
            <w:hideMark/>
          </w:tcPr>
          <w:p w14:paraId="325359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29D167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3</w:t>
            </w:r>
          </w:p>
        </w:tc>
        <w:tc>
          <w:tcPr>
            <w:tcW w:w="0" w:type="auto"/>
            <w:shd w:val="clear" w:color="auto" w:fill="CFF0FC"/>
            <w:vAlign w:val="bottom"/>
            <w:hideMark/>
          </w:tcPr>
          <w:p w14:paraId="1F735E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801C4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6E0A67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119</w:t>
            </w:r>
          </w:p>
        </w:tc>
        <w:tc>
          <w:tcPr>
            <w:tcW w:w="0" w:type="auto"/>
            <w:shd w:val="clear" w:color="auto" w:fill="CFF0FC"/>
            <w:noWrap/>
            <w:vAlign w:val="bottom"/>
            <w:hideMark/>
          </w:tcPr>
          <w:p w14:paraId="535FA8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7D605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88CC3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B39AD4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94</w:t>
            </w:r>
          </w:p>
        </w:tc>
        <w:tc>
          <w:tcPr>
            <w:tcW w:w="0" w:type="auto"/>
            <w:shd w:val="clear" w:color="auto" w:fill="CFF0FC"/>
            <w:noWrap/>
            <w:vAlign w:val="bottom"/>
            <w:hideMark/>
          </w:tcPr>
          <w:p w14:paraId="0EB9B3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4413971" w14:textId="77777777" w:rsidTr="004B2A77">
        <w:trPr>
          <w:trHeight w:val="180"/>
          <w:tblCellSpacing w:w="15" w:type="dxa"/>
        </w:trPr>
        <w:tc>
          <w:tcPr>
            <w:tcW w:w="0" w:type="auto"/>
            <w:shd w:val="clear" w:color="auto" w:fill="FFFFFF"/>
            <w:vAlign w:val="bottom"/>
            <w:hideMark/>
          </w:tcPr>
          <w:p w14:paraId="4FB140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non-current liabilities</w:t>
            </w:r>
          </w:p>
        </w:tc>
        <w:tc>
          <w:tcPr>
            <w:tcW w:w="0" w:type="auto"/>
            <w:shd w:val="clear" w:color="auto" w:fill="FFFFFF"/>
            <w:vAlign w:val="bottom"/>
            <w:hideMark/>
          </w:tcPr>
          <w:p w14:paraId="5E0C57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A90B9C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D33AF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02D35D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01AE858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121</w:t>
            </w:r>
          </w:p>
        </w:tc>
        <w:tc>
          <w:tcPr>
            <w:tcW w:w="0" w:type="auto"/>
            <w:shd w:val="clear" w:color="auto" w:fill="FFFFFF"/>
            <w:noWrap/>
            <w:vAlign w:val="bottom"/>
            <w:hideMark/>
          </w:tcPr>
          <w:p w14:paraId="1F443A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772BD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27D651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3F5096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115</w:t>
            </w:r>
          </w:p>
        </w:tc>
        <w:tc>
          <w:tcPr>
            <w:tcW w:w="0" w:type="auto"/>
            <w:shd w:val="clear" w:color="auto" w:fill="FFFFFF"/>
            <w:noWrap/>
            <w:vAlign w:val="bottom"/>
            <w:hideMark/>
          </w:tcPr>
          <w:p w14:paraId="4A75CCD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0CF293B" w14:textId="77777777" w:rsidTr="004B2A77">
        <w:trPr>
          <w:trHeight w:val="180"/>
          <w:tblCellSpacing w:w="15" w:type="dxa"/>
        </w:trPr>
        <w:tc>
          <w:tcPr>
            <w:tcW w:w="0" w:type="auto"/>
            <w:shd w:val="clear" w:color="auto" w:fill="CFF0FC"/>
            <w:vAlign w:val="bottom"/>
            <w:hideMark/>
          </w:tcPr>
          <w:p w14:paraId="754560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non-current liabilities</w:t>
            </w:r>
          </w:p>
        </w:tc>
        <w:tc>
          <w:tcPr>
            <w:tcW w:w="0" w:type="auto"/>
            <w:shd w:val="clear" w:color="auto" w:fill="CFF0FC"/>
            <w:vAlign w:val="bottom"/>
            <w:hideMark/>
          </w:tcPr>
          <w:p w14:paraId="01A2F7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3FFA54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17472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B57B3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E89E8B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1,450</w:t>
            </w:r>
          </w:p>
        </w:tc>
        <w:tc>
          <w:tcPr>
            <w:tcW w:w="0" w:type="auto"/>
            <w:shd w:val="clear" w:color="auto" w:fill="CFF0FC"/>
            <w:noWrap/>
            <w:vAlign w:val="bottom"/>
            <w:hideMark/>
          </w:tcPr>
          <w:p w14:paraId="0BB138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8CCA5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4E0164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67FBAA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2,067</w:t>
            </w:r>
          </w:p>
        </w:tc>
        <w:tc>
          <w:tcPr>
            <w:tcW w:w="0" w:type="auto"/>
            <w:shd w:val="clear" w:color="auto" w:fill="CFF0FC"/>
            <w:noWrap/>
            <w:vAlign w:val="bottom"/>
            <w:hideMark/>
          </w:tcPr>
          <w:p w14:paraId="0D27896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17DF41E" w14:textId="77777777" w:rsidTr="004B2A77">
        <w:trPr>
          <w:trHeight w:val="180"/>
          <w:tblCellSpacing w:w="15" w:type="dxa"/>
        </w:trPr>
        <w:tc>
          <w:tcPr>
            <w:tcW w:w="0" w:type="auto"/>
            <w:shd w:val="clear" w:color="auto" w:fill="FFFFFF"/>
            <w:vAlign w:val="bottom"/>
            <w:hideMark/>
          </w:tcPr>
          <w:p w14:paraId="666D9D17"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Commitments and contingencies</w:t>
            </w:r>
          </w:p>
        </w:tc>
        <w:tc>
          <w:tcPr>
            <w:tcW w:w="0" w:type="auto"/>
            <w:shd w:val="clear" w:color="auto" w:fill="FFFFFF"/>
            <w:vAlign w:val="bottom"/>
            <w:hideMark/>
          </w:tcPr>
          <w:p w14:paraId="163061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912DBE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17</w:t>
            </w:r>
          </w:p>
        </w:tc>
        <w:tc>
          <w:tcPr>
            <w:tcW w:w="0" w:type="auto"/>
            <w:shd w:val="clear" w:color="auto" w:fill="FFFFFF"/>
            <w:vAlign w:val="bottom"/>
            <w:hideMark/>
          </w:tcPr>
          <w:p w14:paraId="438A5D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2E2EB66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119444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15DE3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FFFFFF"/>
            <w:vAlign w:val="bottom"/>
            <w:hideMark/>
          </w:tcPr>
          <w:p w14:paraId="19DF932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11D060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9BC9D3B" w14:textId="77777777" w:rsidTr="004B2A77">
        <w:trPr>
          <w:trHeight w:val="180"/>
          <w:tblCellSpacing w:w="15" w:type="dxa"/>
        </w:trPr>
        <w:tc>
          <w:tcPr>
            <w:tcW w:w="0" w:type="auto"/>
            <w:shd w:val="clear" w:color="auto" w:fill="CFF0FC"/>
            <w:vAlign w:val="bottom"/>
            <w:hideMark/>
          </w:tcPr>
          <w:p w14:paraId="180B03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Common stock</w:t>
            </w:r>
            <w:r w:rsidRPr="004B2A77">
              <w:rPr>
                <w:rFonts w:ascii="Arial" w:eastAsia="微软雅黑" w:hAnsi="Arial" w:cs="Arial"/>
                <w:color w:val="000000"/>
                <w:kern w:val="0"/>
                <w:sz w:val="12"/>
                <w:szCs w:val="12"/>
              </w:rPr>
              <w:t>1)</w:t>
            </w:r>
          </w:p>
        </w:tc>
        <w:tc>
          <w:tcPr>
            <w:tcW w:w="0" w:type="auto"/>
            <w:shd w:val="clear" w:color="auto" w:fill="CFF0FC"/>
            <w:vAlign w:val="bottom"/>
            <w:hideMark/>
          </w:tcPr>
          <w:p w14:paraId="798305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270AEF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7F574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E89F2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D19C6C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91</w:t>
            </w:r>
          </w:p>
        </w:tc>
        <w:tc>
          <w:tcPr>
            <w:tcW w:w="0" w:type="auto"/>
            <w:shd w:val="clear" w:color="auto" w:fill="CFF0FC"/>
            <w:noWrap/>
            <w:vAlign w:val="bottom"/>
            <w:hideMark/>
          </w:tcPr>
          <w:p w14:paraId="40ECB4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3CB55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A8D01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E8F59A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103</w:t>
            </w:r>
          </w:p>
        </w:tc>
        <w:tc>
          <w:tcPr>
            <w:tcW w:w="0" w:type="auto"/>
            <w:shd w:val="clear" w:color="auto" w:fill="CFF0FC"/>
            <w:noWrap/>
            <w:vAlign w:val="bottom"/>
            <w:hideMark/>
          </w:tcPr>
          <w:p w14:paraId="6C7042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7773BB5" w14:textId="77777777" w:rsidTr="004B2A77">
        <w:trPr>
          <w:trHeight w:val="180"/>
          <w:tblCellSpacing w:w="15" w:type="dxa"/>
        </w:trPr>
        <w:tc>
          <w:tcPr>
            <w:tcW w:w="0" w:type="auto"/>
            <w:shd w:val="clear" w:color="auto" w:fill="FFFFFF"/>
            <w:vAlign w:val="bottom"/>
            <w:hideMark/>
          </w:tcPr>
          <w:p w14:paraId="43E8BB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Additional paid-in capital</w:t>
            </w:r>
          </w:p>
        </w:tc>
        <w:tc>
          <w:tcPr>
            <w:tcW w:w="0" w:type="auto"/>
            <w:shd w:val="clear" w:color="auto" w:fill="FFFFFF"/>
            <w:vAlign w:val="bottom"/>
            <w:hideMark/>
          </w:tcPr>
          <w:p w14:paraId="52615F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C9B728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28551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F90A4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AFAF2C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1,113</w:t>
            </w:r>
          </w:p>
        </w:tc>
        <w:tc>
          <w:tcPr>
            <w:tcW w:w="0" w:type="auto"/>
            <w:shd w:val="clear" w:color="auto" w:fill="FFFFFF"/>
            <w:noWrap/>
            <w:vAlign w:val="bottom"/>
            <w:hideMark/>
          </w:tcPr>
          <w:p w14:paraId="383FFA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98874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2D959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75E000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1,329</w:t>
            </w:r>
          </w:p>
        </w:tc>
        <w:tc>
          <w:tcPr>
            <w:tcW w:w="0" w:type="auto"/>
            <w:shd w:val="clear" w:color="auto" w:fill="FFFFFF"/>
            <w:noWrap/>
            <w:vAlign w:val="bottom"/>
            <w:hideMark/>
          </w:tcPr>
          <w:p w14:paraId="6C33BA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B42A8A5" w14:textId="77777777" w:rsidTr="004B2A77">
        <w:trPr>
          <w:trHeight w:val="180"/>
          <w:tblCellSpacing w:w="15" w:type="dxa"/>
        </w:trPr>
        <w:tc>
          <w:tcPr>
            <w:tcW w:w="0" w:type="auto"/>
            <w:shd w:val="clear" w:color="auto" w:fill="CFF0FC"/>
            <w:vAlign w:val="bottom"/>
            <w:hideMark/>
          </w:tcPr>
          <w:p w14:paraId="543A54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Retained earnings</w:t>
            </w:r>
          </w:p>
        </w:tc>
        <w:tc>
          <w:tcPr>
            <w:tcW w:w="0" w:type="auto"/>
            <w:shd w:val="clear" w:color="auto" w:fill="CFF0FC"/>
            <w:vAlign w:val="bottom"/>
            <w:hideMark/>
          </w:tcPr>
          <w:p w14:paraId="5CC903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69A098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E6C10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2B763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0805EE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2,310</w:t>
            </w:r>
          </w:p>
        </w:tc>
        <w:tc>
          <w:tcPr>
            <w:tcW w:w="0" w:type="auto"/>
            <w:shd w:val="clear" w:color="auto" w:fill="CFF0FC"/>
            <w:noWrap/>
            <w:vAlign w:val="bottom"/>
            <w:hideMark/>
          </w:tcPr>
          <w:p w14:paraId="77C475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6DF0C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5EA8A7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1CF4EB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2,742</w:t>
            </w:r>
          </w:p>
        </w:tc>
        <w:tc>
          <w:tcPr>
            <w:tcW w:w="0" w:type="auto"/>
            <w:shd w:val="clear" w:color="auto" w:fill="CFF0FC"/>
            <w:noWrap/>
            <w:vAlign w:val="bottom"/>
            <w:hideMark/>
          </w:tcPr>
          <w:p w14:paraId="490BF8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386093C" w14:textId="77777777" w:rsidTr="004B2A77">
        <w:trPr>
          <w:trHeight w:val="180"/>
          <w:tblCellSpacing w:w="15" w:type="dxa"/>
        </w:trPr>
        <w:tc>
          <w:tcPr>
            <w:tcW w:w="0" w:type="auto"/>
            <w:shd w:val="clear" w:color="auto" w:fill="FFFFFF"/>
            <w:vAlign w:val="bottom"/>
            <w:hideMark/>
          </w:tcPr>
          <w:p w14:paraId="774CC4F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lastRenderedPageBreak/>
              <w:t>Accumulated other comprehensive loss</w:t>
            </w:r>
          </w:p>
        </w:tc>
        <w:tc>
          <w:tcPr>
            <w:tcW w:w="0" w:type="auto"/>
            <w:shd w:val="clear" w:color="auto" w:fill="FFFFFF"/>
            <w:vAlign w:val="bottom"/>
            <w:hideMark/>
          </w:tcPr>
          <w:p w14:paraId="572E124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D7FE4B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Note 14</w:t>
            </w:r>
          </w:p>
        </w:tc>
        <w:tc>
          <w:tcPr>
            <w:tcW w:w="0" w:type="auto"/>
            <w:shd w:val="clear" w:color="auto" w:fill="FFFFFF"/>
            <w:vAlign w:val="bottom"/>
            <w:hideMark/>
          </w:tcPr>
          <w:p w14:paraId="4E761F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4AE64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13FF34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(522</w:t>
            </w:r>
          </w:p>
        </w:tc>
        <w:tc>
          <w:tcPr>
            <w:tcW w:w="0" w:type="auto"/>
            <w:shd w:val="clear" w:color="auto" w:fill="FFFFFF"/>
            <w:noWrap/>
            <w:vAlign w:val="bottom"/>
            <w:hideMark/>
          </w:tcPr>
          <w:p w14:paraId="1D64AE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A7433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6EB9F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843058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(408</w:t>
            </w:r>
          </w:p>
        </w:tc>
        <w:tc>
          <w:tcPr>
            <w:tcW w:w="0" w:type="auto"/>
            <w:shd w:val="clear" w:color="auto" w:fill="FFFFFF"/>
            <w:noWrap/>
            <w:vAlign w:val="bottom"/>
            <w:hideMark/>
          </w:tcPr>
          <w:p w14:paraId="6E37F3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72EBC064" w14:textId="77777777" w:rsidTr="004B2A77">
        <w:trPr>
          <w:trHeight w:val="180"/>
          <w:tblCellSpacing w:w="15" w:type="dxa"/>
        </w:trPr>
        <w:tc>
          <w:tcPr>
            <w:tcW w:w="0" w:type="auto"/>
            <w:shd w:val="clear" w:color="auto" w:fill="CFF0FC"/>
            <w:vAlign w:val="bottom"/>
            <w:hideMark/>
          </w:tcPr>
          <w:p w14:paraId="781D2D6B"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Treasury stock (5.0 and 15.3 million shares, respectively)</w:t>
            </w:r>
          </w:p>
        </w:tc>
        <w:tc>
          <w:tcPr>
            <w:tcW w:w="0" w:type="auto"/>
            <w:shd w:val="clear" w:color="auto" w:fill="CFF0FC"/>
            <w:vAlign w:val="bottom"/>
            <w:hideMark/>
          </w:tcPr>
          <w:p w14:paraId="12644D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D10E74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C8699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52CD71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E88DE9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(379</w:t>
            </w:r>
          </w:p>
        </w:tc>
        <w:tc>
          <w:tcPr>
            <w:tcW w:w="0" w:type="auto"/>
            <w:shd w:val="clear" w:color="auto" w:fill="CFF0FC"/>
            <w:noWrap/>
            <w:vAlign w:val="bottom"/>
            <w:hideMark/>
          </w:tcPr>
          <w:p w14:paraId="53D060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C228F8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54E81E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7F76CF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(1,133</w:t>
            </w:r>
          </w:p>
        </w:tc>
        <w:tc>
          <w:tcPr>
            <w:tcW w:w="0" w:type="auto"/>
            <w:shd w:val="clear" w:color="auto" w:fill="CFF0FC"/>
            <w:noWrap/>
            <w:vAlign w:val="bottom"/>
            <w:hideMark/>
          </w:tcPr>
          <w:p w14:paraId="1A1D58F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003EDC18" w14:textId="77777777" w:rsidTr="004B2A77">
        <w:trPr>
          <w:trHeight w:val="180"/>
          <w:tblCellSpacing w:w="15" w:type="dxa"/>
        </w:trPr>
        <w:tc>
          <w:tcPr>
            <w:tcW w:w="0" w:type="auto"/>
            <w:shd w:val="clear" w:color="auto" w:fill="FFFFFF"/>
            <w:vAlign w:val="bottom"/>
            <w:hideMark/>
          </w:tcPr>
          <w:p w14:paraId="5940BE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controlling interest’s equity</w:t>
            </w:r>
          </w:p>
        </w:tc>
        <w:tc>
          <w:tcPr>
            <w:tcW w:w="0" w:type="auto"/>
            <w:shd w:val="clear" w:color="auto" w:fill="FFFFFF"/>
            <w:vAlign w:val="bottom"/>
            <w:hideMark/>
          </w:tcPr>
          <w:p w14:paraId="23D55B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B3152E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E46FF5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44BDF9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472AE79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2,613</w:t>
            </w:r>
          </w:p>
        </w:tc>
        <w:tc>
          <w:tcPr>
            <w:tcW w:w="0" w:type="auto"/>
            <w:shd w:val="clear" w:color="auto" w:fill="FFFFFF"/>
            <w:noWrap/>
            <w:vAlign w:val="bottom"/>
            <w:hideMark/>
          </w:tcPr>
          <w:p w14:paraId="5402B56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6F57F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132E86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7AFA1AF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2,633</w:t>
            </w:r>
          </w:p>
        </w:tc>
        <w:tc>
          <w:tcPr>
            <w:tcW w:w="0" w:type="auto"/>
            <w:shd w:val="clear" w:color="auto" w:fill="FFFFFF"/>
            <w:noWrap/>
            <w:vAlign w:val="bottom"/>
            <w:hideMark/>
          </w:tcPr>
          <w:p w14:paraId="67E967C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37D863B" w14:textId="77777777" w:rsidTr="004B2A77">
        <w:trPr>
          <w:trHeight w:val="180"/>
          <w:tblCellSpacing w:w="15" w:type="dxa"/>
        </w:trPr>
        <w:tc>
          <w:tcPr>
            <w:tcW w:w="0" w:type="auto"/>
            <w:shd w:val="clear" w:color="auto" w:fill="CFF0FC"/>
            <w:vAlign w:val="bottom"/>
            <w:hideMark/>
          </w:tcPr>
          <w:p w14:paraId="068E2AF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Non-controlling interest</w:t>
            </w:r>
          </w:p>
        </w:tc>
        <w:tc>
          <w:tcPr>
            <w:tcW w:w="0" w:type="auto"/>
            <w:shd w:val="clear" w:color="auto" w:fill="CFF0FC"/>
            <w:vAlign w:val="bottom"/>
            <w:hideMark/>
          </w:tcPr>
          <w:p w14:paraId="1711DE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39A6DD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6754D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0D396E5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6F4BE23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13</w:t>
            </w:r>
          </w:p>
        </w:tc>
        <w:tc>
          <w:tcPr>
            <w:tcW w:w="0" w:type="auto"/>
            <w:shd w:val="clear" w:color="auto" w:fill="CFF0FC"/>
            <w:noWrap/>
            <w:vAlign w:val="bottom"/>
            <w:hideMark/>
          </w:tcPr>
          <w:p w14:paraId="4D33330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03A3A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14F5B7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189CCC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15</w:t>
            </w:r>
          </w:p>
        </w:tc>
        <w:tc>
          <w:tcPr>
            <w:tcW w:w="0" w:type="auto"/>
            <w:shd w:val="clear" w:color="auto" w:fill="CFF0FC"/>
            <w:noWrap/>
            <w:vAlign w:val="bottom"/>
            <w:hideMark/>
          </w:tcPr>
          <w:p w14:paraId="0E829A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9E9AAE6" w14:textId="77777777" w:rsidTr="004B2A77">
        <w:trPr>
          <w:trHeight w:val="180"/>
          <w:tblCellSpacing w:w="15" w:type="dxa"/>
        </w:trPr>
        <w:tc>
          <w:tcPr>
            <w:tcW w:w="0" w:type="auto"/>
            <w:shd w:val="clear" w:color="auto" w:fill="FFFFFF"/>
            <w:vAlign w:val="bottom"/>
            <w:hideMark/>
          </w:tcPr>
          <w:p w14:paraId="419358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equity</w:t>
            </w:r>
          </w:p>
        </w:tc>
        <w:tc>
          <w:tcPr>
            <w:tcW w:w="0" w:type="auto"/>
            <w:shd w:val="clear" w:color="auto" w:fill="FFFFFF"/>
            <w:vAlign w:val="bottom"/>
            <w:hideMark/>
          </w:tcPr>
          <w:p w14:paraId="4CA3FE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A6CE97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F4464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0DC8A60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59736E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2,626</w:t>
            </w:r>
          </w:p>
        </w:tc>
        <w:tc>
          <w:tcPr>
            <w:tcW w:w="0" w:type="auto"/>
            <w:shd w:val="clear" w:color="auto" w:fill="FFFFFF"/>
            <w:noWrap/>
            <w:vAlign w:val="bottom"/>
            <w:hideMark/>
          </w:tcPr>
          <w:p w14:paraId="752167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D7D12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623FAD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FE1CF9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2,648</w:t>
            </w:r>
          </w:p>
        </w:tc>
        <w:tc>
          <w:tcPr>
            <w:tcW w:w="0" w:type="auto"/>
            <w:shd w:val="clear" w:color="auto" w:fill="FFFFFF"/>
            <w:noWrap/>
            <w:vAlign w:val="bottom"/>
            <w:hideMark/>
          </w:tcPr>
          <w:p w14:paraId="54E680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422EC35" w14:textId="77777777" w:rsidTr="004B2A77">
        <w:trPr>
          <w:trHeight w:val="180"/>
          <w:tblCellSpacing w:w="15" w:type="dxa"/>
        </w:trPr>
        <w:tc>
          <w:tcPr>
            <w:tcW w:w="0" w:type="auto"/>
            <w:shd w:val="clear" w:color="auto" w:fill="CFF0FC"/>
            <w:vAlign w:val="bottom"/>
            <w:hideMark/>
          </w:tcPr>
          <w:p w14:paraId="044DF7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 liabilities and equity</w:t>
            </w:r>
          </w:p>
        </w:tc>
        <w:tc>
          <w:tcPr>
            <w:tcW w:w="0" w:type="auto"/>
            <w:shd w:val="clear" w:color="auto" w:fill="CFF0FC"/>
            <w:vAlign w:val="bottom"/>
            <w:hideMark/>
          </w:tcPr>
          <w:p w14:paraId="3E1D8B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E7C78D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834F9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0346D1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EEEDC5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7,717</w:t>
            </w:r>
          </w:p>
        </w:tc>
        <w:tc>
          <w:tcPr>
            <w:tcW w:w="0" w:type="auto"/>
            <w:shd w:val="clear" w:color="auto" w:fill="CFF0FC"/>
            <w:noWrap/>
            <w:vAlign w:val="bottom"/>
            <w:hideMark/>
          </w:tcPr>
          <w:p w14:paraId="3C86C3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90CBF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1913BA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24E4A09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7,537</w:t>
            </w:r>
          </w:p>
        </w:tc>
        <w:tc>
          <w:tcPr>
            <w:tcW w:w="0" w:type="auto"/>
            <w:shd w:val="clear" w:color="auto" w:fill="CFF0FC"/>
            <w:noWrap/>
            <w:vAlign w:val="bottom"/>
            <w:hideMark/>
          </w:tcPr>
          <w:p w14:paraId="71F0F6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0ACC7EB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622583E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Number of shares: 350 million authorized for both years, 91.2 and 102.8 million issued, and 86.2 and 87.5 million outstanding, net of treasury shares, for 2022 and 2021, respectively.</w:t>
      </w:r>
    </w:p>
    <w:p w14:paraId="544102F6" w14:textId="77777777" w:rsidR="004B2A77" w:rsidRPr="004B2A77" w:rsidRDefault="004B2A77" w:rsidP="004B2A77">
      <w:pPr>
        <w:widowControl/>
        <w:spacing w:before="18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Notes to the Consolidated Financial Statements.</w:t>
      </w:r>
    </w:p>
    <w:p w14:paraId="5D1B885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58</w:t>
      </w:r>
    </w:p>
    <w:p w14:paraId="044B07F8"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AF96F36">
          <v:rect id="_x0000_i1085" style="width:0;height:1.5pt" o:hralign="center" o:hrstd="t" o:hrnoshade="t" o:hr="t" fillcolor="black" stroked="f"/>
        </w:pict>
      </w:r>
    </w:p>
    <w:p w14:paraId="4D7D60B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DF3A84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Consolidated Statements of Cash Flows</w:t>
      </w:r>
    </w:p>
    <w:p w14:paraId="678C02F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192"/>
        <w:gridCol w:w="373"/>
        <w:gridCol w:w="231"/>
        <w:gridCol w:w="1613"/>
        <w:gridCol w:w="232"/>
        <w:gridCol w:w="374"/>
        <w:gridCol w:w="232"/>
        <w:gridCol w:w="1613"/>
        <w:gridCol w:w="232"/>
        <w:gridCol w:w="374"/>
        <w:gridCol w:w="232"/>
        <w:gridCol w:w="1669"/>
        <w:gridCol w:w="247"/>
      </w:tblGrid>
      <w:tr w:rsidR="004B2A77" w:rsidRPr="004B2A77" w14:paraId="4CD5B610" w14:textId="77777777" w:rsidTr="004B2A77">
        <w:trPr>
          <w:tblCellSpacing w:w="15" w:type="dxa"/>
        </w:trPr>
        <w:tc>
          <w:tcPr>
            <w:tcW w:w="13170" w:type="dxa"/>
            <w:vAlign w:val="center"/>
            <w:hideMark/>
          </w:tcPr>
          <w:p w14:paraId="015B712A"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344" w:type="dxa"/>
            <w:vAlign w:val="center"/>
            <w:hideMark/>
          </w:tcPr>
          <w:p w14:paraId="2C11162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268B8AF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85" w:type="dxa"/>
            <w:vAlign w:val="center"/>
            <w:hideMark/>
          </w:tcPr>
          <w:p w14:paraId="526019C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4BCA1E9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4" w:type="dxa"/>
            <w:vAlign w:val="center"/>
            <w:hideMark/>
          </w:tcPr>
          <w:p w14:paraId="2404F5B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6D53BD1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85" w:type="dxa"/>
            <w:vAlign w:val="center"/>
            <w:hideMark/>
          </w:tcPr>
          <w:p w14:paraId="408A9B2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206F528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44" w:type="dxa"/>
            <w:vAlign w:val="center"/>
            <w:hideMark/>
          </w:tcPr>
          <w:p w14:paraId="69BDEEB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367ADA7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41" w:type="dxa"/>
            <w:vAlign w:val="center"/>
            <w:hideMark/>
          </w:tcPr>
          <w:p w14:paraId="221CAD4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412F40CC"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989E157" w14:textId="77777777" w:rsidTr="004B2A77">
        <w:trPr>
          <w:trHeight w:val="160"/>
          <w:tblCellSpacing w:w="15" w:type="dxa"/>
        </w:trPr>
        <w:tc>
          <w:tcPr>
            <w:tcW w:w="0" w:type="auto"/>
            <w:shd w:val="clear" w:color="auto" w:fill="FFFFFF"/>
            <w:vAlign w:val="bottom"/>
            <w:hideMark/>
          </w:tcPr>
          <w:p w14:paraId="3DB6697E"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19F9CCE9"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10"/>
            <w:tcBorders>
              <w:bottom w:val="single" w:sz="4" w:space="0" w:color="000000"/>
            </w:tcBorders>
            <w:shd w:val="clear" w:color="auto" w:fill="FFFFFF"/>
            <w:vAlign w:val="bottom"/>
            <w:hideMark/>
          </w:tcPr>
          <w:p w14:paraId="1F36BAB9"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Years ended December 31</w:t>
            </w:r>
          </w:p>
        </w:tc>
        <w:tc>
          <w:tcPr>
            <w:tcW w:w="0" w:type="auto"/>
            <w:shd w:val="clear" w:color="auto" w:fill="FFFFFF"/>
            <w:vAlign w:val="bottom"/>
            <w:hideMark/>
          </w:tcPr>
          <w:p w14:paraId="11A607E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11EF0B4D" w14:textId="77777777" w:rsidTr="004B2A77">
        <w:trPr>
          <w:trHeight w:val="160"/>
          <w:tblCellSpacing w:w="15" w:type="dxa"/>
        </w:trPr>
        <w:tc>
          <w:tcPr>
            <w:tcW w:w="0" w:type="auto"/>
            <w:shd w:val="clear" w:color="auto" w:fill="FFFFFF"/>
            <w:vAlign w:val="bottom"/>
            <w:hideMark/>
          </w:tcPr>
          <w:p w14:paraId="299697D4"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(DOLLARS IN MILLIONS)</w:t>
            </w:r>
          </w:p>
        </w:tc>
        <w:tc>
          <w:tcPr>
            <w:tcW w:w="0" w:type="auto"/>
            <w:shd w:val="clear" w:color="auto" w:fill="FFFFFF"/>
            <w:vAlign w:val="bottom"/>
            <w:hideMark/>
          </w:tcPr>
          <w:p w14:paraId="114B75F6"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16F91EF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2022</w:t>
            </w:r>
          </w:p>
        </w:tc>
        <w:tc>
          <w:tcPr>
            <w:tcW w:w="0" w:type="auto"/>
            <w:shd w:val="clear" w:color="auto" w:fill="FFFFFF"/>
            <w:vAlign w:val="bottom"/>
            <w:hideMark/>
          </w:tcPr>
          <w:p w14:paraId="6E256682"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2BDA6A56"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752E284D"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2021</w:t>
            </w:r>
          </w:p>
        </w:tc>
        <w:tc>
          <w:tcPr>
            <w:tcW w:w="0" w:type="auto"/>
            <w:shd w:val="clear" w:color="auto" w:fill="FFFFFF"/>
            <w:vAlign w:val="bottom"/>
            <w:hideMark/>
          </w:tcPr>
          <w:p w14:paraId="06CD019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01C3D6C1"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5112611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2020</w:t>
            </w:r>
          </w:p>
        </w:tc>
        <w:tc>
          <w:tcPr>
            <w:tcW w:w="0" w:type="auto"/>
            <w:shd w:val="clear" w:color="auto" w:fill="FFFFFF"/>
            <w:vAlign w:val="bottom"/>
            <w:hideMark/>
          </w:tcPr>
          <w:p w14:paraId="4924557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638A23FA" w14:textId="77777777" w:rsidTr="004B2A77">
        <w:trPr>
          <w:trHeight w:val="180"/>
          <w:tblCellSpacing w:w="15" w:type="dxa"/>
        </w:trPr>
        <w:tc>
          <w:tcPr>
            <w:tcW w:w="0" w:type="auto"/>
            <w:shd w:val="clear" w:color="auto" w:fill="CFF0FC"/>
            <w:hideMark/>
          </w:tcPr>
          <w:p w14:paraId="1A9139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Operating activities</w:t>
            </w:r>
          </w:p>
        </w:tc>
        <w:tc>
          <w:tcPr>
            <w:tcW w:w="0" w:type="auto"/>
            <w:shd w:val="clear" w:color="auto" w:fill="CFF0FC"/>
            <w:vAlign w:val="bottom"/>
            <w:hideMark/>
          </w:tcPr>
          <w:p w14:paraId="5052FE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1B03F4A7"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1CD6989"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0566F7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4EFEA84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A8BB02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BF166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76EDFF7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36E8FA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0E8AD7C" w14:textId="77777777" w:rsidTr="004B2A77">
        <w:trPr>
          <w:trHeight w:val="180"/>
          <w:tblCellSpacing w:w="15" w:type="dxa"/>
        </w:trPr>
        <w:tc>
          <w:tcPr>
            <w:tcW w:w="0" w:type="auto"/>
            <w:shd w:val="clear" w:color="auto" w:fill="FFFFFF"/>
            <w:hideMark/>
          </w:tcPr>
          <w:p w14:paraId="459329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Net income</w:t>
            </w:r>
          </w:p>
        </w:tc>
        <w:tc>
          <w:tcPr>
            <w:tcW w:w="0" w:type="auto"/>
            <w:shd w:val="clear" w:color="auto" w:fill="FFFFFF"/>
            <w:vAlign w:val="bottom"/>
            <w:hideMark/>
          </w:tcPr>
          <w:p w14:paraId="3998D6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76A66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7FAD42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425</w:t>
            </w:r>
          </w:p>
        </w:tc>
        <w:tc>
          <w:tcPr>
            <w:tcW w:w="0" w:type="auto"/>
            <w:shd w:val="clear" w:color="auto" w:fill="FFFFFF"/>
            <w:noWrap/>
            <w:vAlign w:val="bottom"/>
            <w:hideMark/>
          </w:tcPr>
          <w:p w14:paraId="3CA8EDE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7BA75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7471C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E1C8C0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437</w:t>
            </w:r>
          </w:p>
        </w:tc>
        <w:tc>
          <w:tcPr>
            <w:tcW w:w="0" w:type="auto"/>
            <w:shd w:val="clear" w:color="auto" w:fill="FFFFFF"/>
            <w:noWrap/>
            <w:vAlign w:val="bottom"/>
            <w:hideMark/>
          </w:tcPr>
          <w:p w14:paraId="3835A1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C8AD9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5D091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5D79841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188</w:t>
            </w:r>
          </w:p>
        </w:tc>
        <w:tc>
          <w:tcPr>
            <w:tcW w:w="0" w:type="auto"/>
            <w:shd w:val="clear" w:color="auto" w:fill="FFFFFF"/>
            <w:noWrap/>
            <w:vAlign w:val="bottom"/>
            <w:hideMark/>
          </w:tcPr>
          <w:p w14:paraId="19CE0D8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96A95A3" w14:textId="77777777" w:rsidTr="004B2A77">
        <w:trPr>
          <w:trHeight w:val="180"/>
          <w:tblCellSpacing w:w="15" w:type="dxa"/>
        </w:trPr>
        <w:tc>
          <w:tcPr>
            <w:tcW w:w="0" w:type="auto"/>
            <w:shd w:val="clear" w:color="auto" w:fill="CFF0FC"/>
            <w:hideMark/>
          </w:tcPr>
          <w:p w14:paraId="49543A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Adjustments to reconcile net income to cash provided by operating activities:</w:t>
            </w:r>
          </w:p>
        </w:tc>
        <w:tc>
          <w:tcPr>
            <w:tcW w:w="0" w:type="auto"/>
            <w:shd w:val="clear" w:color="auto" w:fill="CFF0FC"/>
            <w:vAlign w:val="bottom"/>
            <w:hideMark/>
          </w:tcPr>
          <w:p w14:paraId="3F56F82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067AF49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60536F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11994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4D5CB0C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7F7E1E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BA2EF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34BE867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C39331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F8A053D" w14:textId="77777777" w:rsidTr="004B2A77">
        <w:trPr>
          <w:trHeight w:val="180"/>
          <w:tblCellSpacing w:w="15" w:type="dxa"/>
        </w:trPr>
        <w:tc>
          <w:tcPr>
            <w:tcW w:w="0" w:type="auto"/>
            <w:shd w:val="clear" w:color="auto" w:fill="FFFFFF"/>
            <w:hideMark/>
          </w:tcPr>
          <w:p w14:paraId="58FB473C"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Depreciation and amortization</w:t>
            </w:r>
          </w:p>
        </w:tc>
        <w:tc>
          <w:tcPr>
            <w:tcW w:w="0" w:type="auto"/>
            <w:shd w:val="clear" w:color="auto" w:fill="FFFFFF"/>
            <w:vAlign w:val="bottom"/>
            <w:hideMark/>
          </w:tcPr>
          <w:p w14:paraId="3AE8AB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B0469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359FB1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363</w:t>
            </w:r>
          </w:p>
        </w:tc>
        <w:tc>
          <w:tcPr>
            <w:tcW w:w="0" w:type="auto"/>
            <w:shd w:val="clear" w:color="auto" w:fill="FFFFFF"/>
            <w:noWrap/>
            <w:vAlign w:val="bottom"/>
            <w:hideMark/>
          </w:tcPr>
          <w:p w14:paraId="6E0168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71318F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2B0CD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3DA2C3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394</w:t>
            </w:r>
          </w:p>
        </w:tc>
        <w:tc>
          <w:tcPr>
            <w:tcW w:w="0" w:type="auto"/>
            <w:shd w:val="clear" w:color="auto" w:fill="FFFFFF"/>
            <w:noWrap/>
            <w:vAlign w:val="bottom"/>
            <w:hideMark/>
          </w:tcPr>
          <w:p w14:paraId="33DFD9C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DB29B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7FBF9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8AE666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371</w:t>
            </w:r>
          </w:p>
        </w:tc>
        <w:tc>
          <w:tcPr>
            <w:tcW w:w="0" w:type="auto"/>
            <w:shd w:val="clear" w:color="auto" w:fill="FFFFFF"/>
            <w:noWrap/>
            <w:vAlign w:val="bottom"/>
            <w:hideMark/>
          </w:tcPr>
          <w:p w14:paraId="359BA8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B81094D" w14:textId="77777777" w:rsidTr="004B2A77">
        <w:trPr>
          <w:trHeight w:val="180"/>
          <w:tblCellSpacing w:w="15" w:type="dxa"/>
        </w:trPr>
        <w:tc>
          <w:tcPr>
            <w:tcW w:w="0" w:type="auto"/>
            <w:shd w:val="clear" w:color="auto" w:fill="CFF0FC"/>
            <w:hideMark/>
          </w:tcPr>
          <w:p w14:paraId="5CF7AFD4"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Gain on divestiture of property</w:t>
            </w:r>
          </w:p>
        </w:tc>
        <w:tc>
          <w:tcPr>
            <w:tcW w:w="0" w:type="auto"/>
            <w:shd w:val="clear" w:color="auto" w:fill="CFF0FC"/>
            <w:vAlign w:val="bottom"/>
            <w:hideMark/>
          </w:tcPr>
          <w:p w14:paraId="25213A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6CD01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1B9F24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(80</w:t>
            </w:r>
          </w:p>
        </w:tc>
        <w:tc>
          <w:tcPr>
            <w:tcW w:w="0" w:type="auto"/>
            <w:shd w:val="clear" w:color="auto" w:fill="CFF0FC"/>
            <w:noWrap/>
            <w:vAlign w:val="bottom"/>
            <w:hideMark/>
          </w:tcPr>
          <w:p w14:paraId="558F543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69DDEE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17E15F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7D1EA0B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1B0783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A5E50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F3B95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BDBAA6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CFF0FC"/>
            <w:noWrap/>
            <w:vAlign w:val="bottom"/>
            <w:hideMark/>
          </w:tcPr>
          <w:p w14:paraId="0525F0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4B62F5A1" w14:textId="77777777" w:rsidTr="004B2A77">
        <w:trPr>
          <w:trHeight w:val="180"/>
          <w:tblCellSpacing w:w="15" w:type="dxa"/>
        </w:trPr>
        <w:tc>
          <w:tcPr>
            <w:tcW w:w="0" w:type="auto"/>
            <w:shd w:val="clear" w:color="auto" w:fill="FFFFFF"/>
            <w:hideMark/>
          </w:tcPr>
          <w:p w14:paraId="404E9974"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Deferred income taxes</w:t>
            </w:r>
          </w:p>
        </w:tc>
        <w:tc>
          <w:tcPr>
            <w:tcW w:w="0" w:type="auto"/>
            <w:shd w:val="clear" w:color="auto" w:fill="FFFFFF"/>
            <w:vAlign w:val="bottom"/>
            <w:hideMark/>
          </w:tcPr>
          <w:p w14:paraId="2261BF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B05DC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AECCE1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(40</w:t>
            </w:r>
          </w:p>
        </w:tc>
        <w:tc>
          <w:tcPr>
            <w:tcW w:w="0" w:type="auto"/>
            <w:shd w:val="clear" w:color="auto" w:fill="FFFFFF"/>
            <w:noWrap/>
            <w:vAlign w:val="bottom"/>
            <w:hideMark/>
          </w:tcPr>
          <w:p w14:paraId="79AB59D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DA369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11CA4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2F19D1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(20</w:t>
            </w:r>
          </w:p>
        </w:tc>
        <w:tc>
          <w:tcPr>
            <w:tcW w:w="0" w:type="auto"/>
            <w:shd w:val="clear" w:color="auto" w:fill="FFFFFF"/>
            <w:noWrap/>
            <w:vAlign w:val="bottom"/>
            <w:hideMark/>
          </w:tcPr>
          <w:p w14:paraId="0A24D4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1FBD4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526A0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5DEAA9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(24</w:t>
            </w:r>
          </w:p>
        </w:tc>
        <w:tc>
          <w:tcPr>
            <w:tcW w:w="0" w:type="auto"/>
            <w:shd w:val="clear" w:color="auto" w:fill="FFFFFF"/>
            <w:noWrap/>
            <w:vAlign w:val="bottom"/>
            <w:hideMark/>
          </w:tcPr>
          <w:p w14:paraId="2A4245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5CDBAD41" w14:textId="77777777" w:rsidTr="004B2A77">
        <w:trPr>
          <w:trHeight w:val="180"/>
          <w:tblCellSpacing w:w="15" w:type="dxa"/>
        </w:trPr>
        <w:tc>
          <w:tcPr>
            <w:tcW w:w="0" w:type="auto"/>
            <w:shd w:val="clear" w:color="auto" w:fill="CFF0FC"/>
            <w:hideMark/>
          </w:tcPr>
          <w:p w14:paraId="2E75F7E2"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Undistributed earnings from equity method investments, net of dividends</w:t>
            </w:r>
          </w:p>
        </w:tc>
        <w:tc>
          <w:tcPr>
            <w:tcW w:w="0" w:type="auto"/>
            <w:shd w:val="clear" w:color="auto" w:fill="CFF0FC"/>
            <w:vAlign w:val="bottom"/>
            <w:hideMark/>
          </w:tcPr>
          <w:p w14:paraId="7EB35D2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208DE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95A5AF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w:t>
            </w:r>
          </w:p>
        </w:tc>
        <w:tc>
          <w:tcPr>
            <w:tcW w:w="0" w:type="auto"/>
            <w:shd w:val="clear" w:color="auto" w:fill="CFF0FC"/>
            <w:noWrap/>
            <w:vAlign w:val="bottom"/>
            <w:hideMark/>
          </w:tcPr>
          <w:p w14:paraId="4A6177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1825B5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9C29C8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9FC7C3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w:t>
            </w:r>
          </w:p>
        </w:tc>
        <w:tc>
          <w:tcPr>
            <w:tcW w:w="0" w:type="auto"/>
            <w:shd w:val="clear" w:color="auto" w:fill="CFF0FC"/>
            <w:noWrap/>
            <w:vAlign w:val="bottom"/>
            <w:hideMark/>
          </w:tcPr>
          <w:p w14:paraId="2635AC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428CE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C9434D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CBB3BF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0</w:t>
            </w:r>
          </w:p>
        </w:tc>
        <w:tc>
          <w:tcPr>
            <w:tcW w:w="0" w:type="auto"/>
            <w:shd w:val="clear" w:color="auto" w:fill="CFF0FC"/>
            <w:noWrap/>
            <w:vAlign w:val="bottom"/>
            <w:hideMark/>
          </w:tcPr>
          <w:p w14:paraId="75F8979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AE9C728" w14:textId="77777777" w:rsidTr="004B2A77">
        <w:trPr>
          <w:trHeight w:val="180"/>
          <w:tblCellSpacing w:w="15" w:type="dxa"/>
        </w:trPr>
        <w:tc>
          <w:tcPr>
            <w:tcW w:w="0" w:type="auto"/>
            <w:shd w:val="clear" w:color="auto" w:fill="FFFFFF"/>
            <w:hideMark/>
          </w:tcPr>
          <w:p w14:paraId="72928222"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Other, net</w:t>
            </w:r>
          </w:p>
        </w:tc>
        <w:tc>
          <w:tcPr>
            <w:tcW w:w="0" w:type="auto"/>
            <w:shd w:val="clear" w:color="auto" w:fill="FFFFFF"/>
            <w:vAlign w:val="bottom"/>
            <w:hideMark/>
          </w:tcPr>
          <w:p w14:paraId="799745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B4A1A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4DFBD8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(13</w:t>
            </w:r>
          </w:p>
        </w:tc>
        <w:tc>
          <w:tcPr>
            <w:tcW w:w="0" w:type="auto"/>
            <w:shd w:val="clear" w:color="auto" w:fill="FFFFFF"/>
            <w:noWrap/>
            <w:vAlign w:val="bottom"/>
            <w:hideMark/>
          </w:tcPr>
          <w:p w14:paraId="367708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F7FF8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B7166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887F9F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8</w:t>
            </w:r>
          </w:p>
        </w:tc>
        <w:tc>
          <w:tcPr>
            <w:tcW w:w="0" w:type="auto"/>
            <w:shd w:val="clear" w:color="auto" w:fill="FFFFFF"/>
            <w:noWrap/>
            <w:vAlign w:val="bottom"/>
            <w:hideMark/>
          </w:tcPr>
          <w:p w14:paraId="638CF8E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234B7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B710C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AF4E5B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37</w:t>
            </w:r>
          </w:p>
        </w:tc>
        <w:tc>
          <w:tcPr>
            <w:tcW w:w="0" w:type="auto"/>
            <w:shd w:val="clear" w:color="auto" w:fill="FFFFFF"/>
            <w:noWrap/>
            <w:vAlign w:val="bottom"/>
            <w:hideMark/>
          </w:tcPr>
          <w:p w14:paraId="101E71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18E431D" w14:textId="77777777" w:rsidTr="004B2A77">
        <w:trPr>
          <w:trHeight w:val="180"/>
          <w:tblCellSpacing w:w="15" w:type="dxa"/>
        </w:trPr>
        <w:tc>
          <w:tcPr>
            <w:tcW w:w="0" w:type="auto"/>
            <w:shd w:val="clear" w:color="auto" w:fill="CFF0FC"/>
            <w:hideMark/>
          </w:tcPr>
          <w:p w14:paraId="758A3F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i/>
                <w:iCs/>
                <w:color w:val="000000"/>
                <w:kern w:val="0"/>
                <w:sz w:val="18"/>
                <w:szCs w:val="18"/>
              </w:rPr>
              <w:t>Net change in operating working capital:</w:t>
            </w:r>
          </w:p>
        </w:tc>
        <w:tc>
          <w:tcPr>
            <w:tcW w:w="0" w:type="auto"/>
            <w:shd w:val="clear" w:color="auto" w:fill="CFF0FC"/>
            <w:vAlign w:val="bottom"/>
            <w:hideMark/>
          </w:tcPr>
          <w:p w14:paraId="53B7746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3FFA665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3420C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ED9FC4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6BAF4FE2"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F987E1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82B50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10B034F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2ED381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A7DEADD" w14:textId="77777777" w:rsidTr="004B2A77">
        <w:trPr>
          <w:trHeight w:val="180"/>
          <w:tblCellSpacing w:w="15" w:type="dxa"/>
        </w:trPr>
        <w:tc>
          <w:tcPr>
            <w:tcW w:w="0" w:type="auto"/>
            <w:shd w:val="clear" w:color="auto" w:fill="FFFFFF"/>
            <w:hideMark/>
          </w:tcPr>
          <w:p w14:paraId="79B1B188"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Receivables and other assets, gross</w:t>
            </w:r>
          </w:p>
        </w:tc>
        <w:tc>
          <w:tcPr>
            <w:tcW w:w="0" w:type="auto"/>
            <w:shd w:val="clear" w:color="auto" w:fill="FFFFFF"/>
            <w:vAlign w:val="bottom"/>
            <w:hideMark/>
          </w:tcPr>
          <w:p w14:paraId="30F4B4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6B5DE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A2920E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(297</w:t>
            </w:r>
          </w:p>
        </w:tc>
        <w:tc>
          <w:tcPr>
            <w:tcW w:w="0" w:type="auto"/>
            <w:shd w:val="clear" w:color="auto" w:fill="FFFFFF"/>
            <w:noWrap/>
            <w:vAlign w:val="bottom"/>
            <w:hideMark/>
          </w:tcPr>
          <w:p w14:paraId="16E0BD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6E3E0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F23BF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9788E0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283</w:t>
            </w:r>
          </w:p>
        </w:tc>
        <w:tc>
          <w:tcPr>
            <w:tcW w:w="0" w:type="auto"/>
            <w:shd w:val="clear" w:color="auto" w:fill="FFFFFF"/>
            <w:noWrap/>
            <w:vAlign w:val="bottom"/>
            <w:hideMark/>
          </w:tcPr>
          <w:p w14:paraId="70ED0A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0C0F17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4FC13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58ED5C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(415</w:t>
            </w:r>
          </w:p>
        </w:tc>
        <w:tc>
          <w:tcPr>
            <w:tcW w:w="0" w:type="auto"/>
            <w:shd w:val="clear" w:color="auto" w:fill="FFFFFF"/>
            <w:noWrap/>
            <w:vAlign w:val="bottom"/>
            <w:hideMark/>
          </w:tcPr>
          <w:p w14:paraId="73AC77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E05CF5C" w14:textId="77777777" w:rsidTr="004B2A77">
        <w:trPr>
          <w:trHeight w:val="180"/>
          <w:tblCellSpacing w:w="15" w:type="dxa"/>
        </w:trPr>
        <w:tc>
          <w:tcPr>
            <w:tcW w:w="0" w:type="auto"/>
            <w:shd w:val="clear" w:color="auto" w:fill="CFF0FC"/>
            <w:hideMark/>
          </w:tcPr>
          <w:p w14:paraId="0BA7FB07"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Inventories, gross</w:t>
            </w:r>
          </w:p>
        </w:tc>
        <w:tc>
          <w:tcPr>
            <w:tcW w:w="0" w:type="auto"/>
            <w:shd w:val="clear" w:color="auto" w:fill="CFF0FC"/>
            <w:vAlign w:val="bottom"/>
            <w:hideMark/>
          </w:tcPr>
          <w:p w14:paraId="4655ED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698E86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BD1E0A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(243</w:t>
            </w:r>
          </w:p>
        </w:tc>
        <w:tc>
          <w:tcPr>
            <w:tcW w:w="0" w:type="auto"/>
            <w:shd w:val="clear" w:color="auto" w:fill="CFF0FC"/>
            <w:noWrap/>
            <w:vAlign w:val="bottom"/>
            <w:hideMark/>
          </w:tcPr>
          <w:p w14:paraId="5DA47B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0A1927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20D77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9A3AD1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(19</w:t>
            </w:r>
          </w:p>
        </w:tc>
        <w:tc>
          <w:tcPr>
            <w:tcW w:w="0" w:type="auto"/>
            <w:shd w:val="clear" w:color="auto" w:fill="CFF0FC"/>
            <w:noWrap/>
            <w:vAlign w:val="bottom"/>
            <w:hideMark/>
          </w:tcPr>
          <w:p w14:paraId="7734D8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415423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3CFE6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9C7061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(34</w:t>
            </w:r>
          </w:p>
        </w:tc>
        <w:tc>
          <w:tcPr>
            <w:tcW w:w="0" w:type="auto"/>
            <w:shd w:val="clear" w:color="auto" w:fill="CFF0FC"/>
            <w:noWrap/>
            <w:vAlign w:val="bottom"/>
            <w:hideMark/>
          </w:tcPr>
          <w:p w14:paraId="13415F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136A4B4C" w14:textId="77777777" w:rsidTr="004B2A77">
        <w:trPr>
          <w:trHeight w:val="180"/>
          <w:tblCellSpacing w:w="15" w:type="dxa"/>
        </w:trPr>
        <w:tc>
          <w:tcPr>
            <w:tcW w:w="0" w:type="auto"/>
            <w:shd w:val="clear" w:color="auto" w:fill="FFFFFF"/>
            <w:hideMark/>
          </w:tcPr>
          <w:p w14:paraId="4FF0CE9E"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Accounts payable and accrued expenses</w:t>
            </w:r>
          </w:p>
        </w:tc>
        <w:tc>
          <w:tcPr>
            <w:tcW w:w="0" w:type="auto"/>
            <w:shd w:val="clear" w:color="auto" w:fill="FFFFFF"/>
            <w:vAlign w:val="bottom"/>
            <w:hideMark/>
          </w:tcPr>
          <w:p w14:paraId="643367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30B0D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A16CE3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596</w:t>
            </w:r>
          </w:p>
        </w:tc>
        <w:tc>
          <w:tcPr>
            <w:tcW w:w="0" w:type="auto"/>
            <w:shd w:val="clear" w:color="auto" w:fill="FFFFFF"/>
            <w:noWrap/>
            <w:vAlign w:val="bottom"/>
            <w:hideMark/>
          </w:tcPr>
          <w:p w14:paraId="57F260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876DCA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2FBB4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D57F1A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(314</w:t>
            </w:r>
          </w:p>
        </w:tc>
        <w:tc>
          <w:tcPr>
            <w:tcW w:w="0" w:type="auto"/>
            <w:shd w:val="clear" w:color="auto" w:fill="FFFFFF"/>
            <w:noWrap/>
            <w:vAlign w:val="bottom"/>
            <w:hideMark/>
          </w:tcPr>
          <w:p w14:paraId="51DDCD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51D1A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88591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72F6DD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672</w:t>
            </w:r>
          </w:p>
        </w:tc>
        <w:tc>
          <w:tcPr>
            <w:tcW w:w="0" w:type="auto"/>
            <w:shd w:val="clear" w:color="auto" w:fill="FFFFFF"/>
            <w:noWrap/>
            <w:vAlign w:val="bottom"/>
            <w:hideMark/>
          </w:tcPr>
          <w:p w14:paraId="4195304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1EFE52F" w14:textId="77777777" w:rsidTr="004B2A77">
        <w:trPr>
          <w:trHeight w:val="180"/>
          <w:tblCellSpacing w:w="15" w:type="dxa"/>
        </w:trPr>
        <w:tc>
          <w:tcPr>
            <w:tcW w:w="0" w:type="auto"/>
            <w:shd w:val="clear" w:color="auto" w:fill="CFF0FC"/>
            <w:hideMark/>
          </w:tcPr>
          <w:p w14:paraId="6FD74FDD" w14:textId="77777777" w:rsidR="004B2A77" w:rsidRPr="004B2A77" w:rsidRDefault="004B2A77" w:rsidP="004B2A77">
            <w:pPr>
              <w:widowControl/>
              <w:ind w:left="200"/>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Income taxes</w:t>
            </w:r>
          </w:p>
        </w:tc>
        <w:tc>
          <w:tcPr>
            <w:tcW w:w="0" w:type="auto"/>
            <w:shd w:val="clear" w:color="auto" w:fill="CFF0FC"/>
            <w:vAlign w:val="bottom"/>
            <w:hideMark/>
          </w:tcPr>
          <w:p w14:paraId="321FC66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080B0D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B09F91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CFF0FC"/>
            <w:noWrap/>
            <w:vAlign w:val="bottom"/>
            <w:hideMark/>
          </w:tcPr>
          <w:p w14:paraId="38A506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E076E5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E20DAF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D7C397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(12</w:t>
            </w:r>
          </w:p>
        </w:tc>
        <w:tc>
          <w:tcPr>
            <w:tcW w:w="0" w:type="auto"/>
            <w:shd w:val="clear" w:color="auto" w:fill="CFF0FC"/>
            <w:noWrap/>
            <w:vAlign w:val="bottom"/>
            <w:hideMark/>
          </w:tcPr>
          <w:p w14:paraId="21B6B7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9A48EB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390339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BCD401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54</w:t>
            </w:r>
          </w:p>
        </w:tc>
        <w:tc>
          <w:tcPr>
            <w:tcW w:w="0" w:type="auto"/>
            <w:shd w:val="clear" w:color="auto" w:fill="CFF0FC"/>
            <w:noWrap/>
            <w:vAlign w:val="bottom"/>
            <w:hideMark/>
          </w:tcPr>
          <w:p w14:paraId="1C21A6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9F3C99B" w14:textId="77777777" w:rsidTr="004B2A77">
        <w:trPr>
          <w:trHeight w:val="180"/>
          <w:tblCellSpacing w:w="15" w:type="dxa"/>
        </w:trPr>
        <w:tc>
          <w:tcPr>
            <w:tcW w:w="0" w:type="auto"/>
            <w:shd w:val="clear" w:color="auto" w:fill="FFFFFF"/>
            <w:hideMark/>
          </w:tcPr>
          <w:p w14:paraId="7B380CB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Net cash provided by operating activities</w:t>
            </w:r>
          </w:p>
        </w:tc>
        <w:tc>
          <w:tcPr>
            <w:tcW w:w="0" w:type="auto"/>
            <w:shd w:val="clear" w:color="auto" w:fill="FFFFFF"/>
            <w:vAlign w:val="bottom"/>
            <w:hideMark/>
          </w:tcPr>
          <w:p w14:paraId="304BF39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CCCA31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19AD01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713</w:t>
            </w:r>
          </w:p>
        </w:tc>
        <w:tc>
          <w:tcPr>
            <w:tcW w:w="0" w:type="auto"/>
            <w:shd w:val="clear" w:color="auto" w:fill="FFFFFF"/>
            <w:noWrap/>
            <w:vAlign w:val="bottom"/>
            <w:hideMark/>
          </w:tcPr>
          <w:p w14:paraId="2B2E48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99C011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0E2AFC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37D398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754</w:t>
            </w:r>
          </w:p>
        </w:tc>
        <w:tc>
          <w:tcPr>
            <w:tcW w:w="0" w:type="auto"/>
            <w:shd w:val="clear" w:color="auto" w:fill="FFFFFF"/>
            <w:noWrap/>
            <w:vAlign w:val="bottom"/>
            <w:hideMark/>
          </w:tcPr>
          <w:p w14:paraId="261480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B9393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789F6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2BD06A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849</w:t>
            </w:r>
          </w:p>
        </w:tc>
        <w:tc>
          <w:tcPr>
            <w:tcW w:w="0" w:type="auto"/>
            <w:shd w:val="clear" w:color="auto" w:fill="FFFFFF"/>
            <w:noWrap/>
            <w:vAlign w:val="bottom"/>
            <w:hideMark/>
          </w:tcPr>
          <w:p w14:paraId="18B52F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FD4F3AE" w14:textId="77777777" w:rsidTr="004B2A77">
        <w:trPr>
          <w:trHeight w:val="180"/>
          <w:tblCellSpacing w:w="15" w:type="dxa"/>
        </w:trPr>
        <w:tc>
          <w:tcPr>
            <w:tcW w:w="0" w:type="auto"/>
            <w:shd w:val="clear" w:color="auto" w:fill="CFF0FC"/>
            <w:hideMark/>
          </w:tcPr>
          <w:p w14:paraId="188A288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Investing activities</w:t>
            </w:r>
          </w:p>
        </w:tc>
        <w:tc>
          <w:tcPr>
            <w:tcW w:w="0" w:type="auto"/>
            <w:shd w:val="clear" w:color="auto" w:fill="CFF0FC"/>
            <w:vAlign w:val="bottom"/>
            <w:hideMark/>
          </w:tcPr>
          <w:p w14:paraId="0740DD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5E90254B"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AF3A2E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FBD97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3764B90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E1A3C9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F9470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3CB6A9E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69FE9B1"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A72AD9C" w14:textId="77777777" w:rsidTr="004B2A77">
        <w:trPr>
          <w:trHeight w:val="180"/>
          <w:tblCellSpacing w:w="15" w:type="dxa"/>
        </w:trPr>
        <w:tc>
          <w:tcPr>
            <w:tcW w:w="0" w:type="auto"/>
            <w:shd w:val="clear" w:color="auto" w:fill="FFFFFF"/>
            <w:hideMark/>
          </w:tcPr>
          <w:p w14:paraId="279545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Expenditures for property, plant and equipment</w:t>
            </w:r>
          </w:p>
        </w:tc>
        <w:tc>
          <w:tcPr>
            <w:tcW w:w="0" w:type="auto"/>
            <w:shd w:val="clear" w:color="auto" w:fill="FFFFFF"/>
            <w:vAlign w:val="bottom"/>
            <w:hideMark/>
          </w:tcPr>
          <w:p w14:paraId="24A6C9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D9455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EB1620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(585</w:t>
            </w:r>
          </w:p>
        </w:tc>
        <w:tc>
          <w:tcPr>
            <w:tcW w:w="0" w:type="auto"/>
            <w:shd w:val="clear" w:color="auto" w:fill="FFFFFF"/>
            <w:noWrap/>
            <w:vAlign w:val="bottom"/>
            <w:hideMark/>
          </w:tcPr>
          <w:p w14:paraId="660992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183FBC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02195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364F95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(458</w:t>
            </w:r>
          </w:p>
        </w:tc>
        <w:tc>
          <w:tcPr>
            <w:tcW w:w="0" w:type="auto"/>
            <w:shd w:val="clear" w:color="auto" w:fill="FFFFFF"/>
            <w:noWrap/>
            <w:vAlign w:val="bottom"/>
            <w:hideMark/>
          </w:tcPr>
          <w:p w14:paraId="53BDC9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32E475F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18E87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3E1F2B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(344</w:t>
            </w:r>
          </w:p>
        </w:tc>
        <w:tc>
          <w:tcPr>
            <w:tcW w:w="0" w:type="auto"/>
            <w:shd w:val="clear" w:color="auto" w:fill="FFFFFF"/>
            <w:noWrap/>
            <w:vAlign w:val="bottom"/>
            <w:hideMark/>
          </w:tcPr>
          <w:p w14:paraId="1E2A5E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9CD6DCA" w14:textId="77777777" w:rsidTr="004B2A77">
        <w:trPr>
          <w:trHeight w:val="180"/>
          <w:tblCellSpacing w:w="15" w:type="dxa"/>
        </w:trPr>
        <w:tc>
          <w:tcPr>
            <w:tcW w:w="0" w:type="auto"/>
            <w:shd w:val="clear" w:color="auto" w:fill="CFF0FC"/>
            <w:hideMark/>
          </w:tcPr>
          <w:p w14:paraId="7C7B30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Proceeds from sale of property, plant and equipment</w:t>
            </w:r>
          </w:p>
        </w:tc>
        <w:tc>
          <w:tcPr>
            <w:tcW w:w="0" w:type="auto"/>
            <w:shd w:val="clear" w:color="auto" w:fill="CFF0FC"/>
            <w:vAlign w:val="bottom"/>
            <w:hideMark/>
          </w:tcPr>
          <w:p w14:paraId="1D0967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0CE0E7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B0E243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101</w:t>
            </w:r>
          </w:p>
        </w:tc>
        <w:tc>
          <w:tcPr>
            <w:tcW w:w="0" w:type="auto"/>
            <w:shd w:val="clear" w:color="auto" w:fill="CFF0FC"/>
            <w:noWrap/>
            <w:vAlign w:val="bottom"/>
            <w:hideMark/>
          </w:tcPr>
          <w:p w14:paraId="58910B8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F7526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5C5E1C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16FA42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w:t>
            </w:r>
          </w:p>
        </w:tc>
        <w:tc>
          <w:tcPr>
            <w:tcW w:w="0" w:type="auto"/>
            <w:shd w:val="clear" w:color="auto" w:fill="CFF0FC"/>
            <w:noWrap/>
            <w:vAlign w:val="bottom"/>
            <w:hideMark/>
          </w:tcPr>
          <w:p w14:paraId="52F9A6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E8725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31A53C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2B20900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w:t>
            </w:r>
          </w:p>
        </w:tc>
        <w:tc>
          <w:tcPr>
            <w:tcW w:w="0" w:type="auto"/>
            <w:shd w:val="clear" w:color="auto" w:fill="CFF0FC"/>
            <w:noWrap/>
            <w:vAlign w:val="bottom"/>
            <w:hideMark/>
          </w:tcPr>
          <w:p w14:paraId="1B41E3D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7AEEEB4" w14:textId="77777777" w:rsidTr="004B2A77">
        <w:trPr>
          <w:trHeight w:val="180"/>
          <w:tblCellSpacing w:w="15" w:type="dxa"/>
        </w:trPr>
        <w:tc>
          <w:tcPr>
            <w:tcW w:w="0" w:type="auto"/>
            <w:shd w:val="clear" w:color="auto" w:fill="FFFFFF"/>
            <w:hideMark/>
          </w:tcPr>
          <w:p w14:paraId="68F9C64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Net cash used in investing activities</w:t>
            </w:r>
          </w:p>
        </w:tc>
        <w:tc>
          <w:tcPr>
            <w:tcW w:w="0" w:type="auto"/>
            <w:shd w:val="clear" w:color="auto" w:fill="FFFFFF"/>
            <w:vAlign w:val="bottom"/>
            <w:hideMark/>
          </w:tcPr>
          <w:p w14:paraId="51399C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A250A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A0042D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(485</w:t>
            </w:r>
          </w:p>
        </w:tc>
        <w:tc>
          <w:tcPr>
            <w:tcW w:w="0" w:type="auto"/>
            <w:shd w:val="clear" w:color="auto" w:fill="FFFFFF"/>
            <w:noWrap/>
            <w:vAlign w:val="bottom"/>
            <w:hideMark/>
          </w:tcPr>
          <w:p w14:paraId="2710CD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4AAC80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6BE72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348DEA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(454</w:t>
            </w:r>
          </w:p>
        </w:tc>
        <w:tc>
          <w:tcPr>
            <w:tcW w:w="0" w:type="auto"/>
            <w:shd w:val="clear" w:color="auto" w:fill="FFFFFF"/>
            <w:noWrap/>
            <w:vAlign w:val="bottom"/>
            <w:hideMark/>
          </w:tcPr>
          <w:p w14:paraId="7D917A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510C49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F7B52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91995F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(340</w:t>
            </w:r>
          </w:p>
        </w:tc>
        <w:tc>
          <w:tcPr>
            <w:tcW w:w="0" w:type="auto"/>
            <w:shd w:val="clear" w:color="auto" w:fill="FFFFFF"/>
            <w:noWrap/>
            <w:vAlign w:val="bottom"/>
            <w:hideMark/>
          </w:tcPr>
          <w:p w14:paraId="059B739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r>
      <w:tr w:rsidR="004B2A77" w:rsidRPr="004B2A77" w14:paraId="4AA319CD" w14:textId="77777777" w:rsidTr="004B2A77">
        <w:trPr>
          <w:trHeight w:val="180"/>
          <w:tblCellSpacing w:w="15" w:type="dxa"/>
        </w:trPr>
        <w:tc>
          <w:tcPr>
            <w:tcW w:w="0" w:type="auto"/>
            <w:shd w:val="clear" w:color="auto" w:fill="CFF0FC"/>
            <w:hideMark/>
          </w:tcPr>
          <w:p w14:paraId="4D0850B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Financing activities</w:t>
            </w:r>
          </w:p>
        </w:tc>
        <w:tc>
          <w:tcPr>
            <w:tcW w:w="0" w:type="auto"/>
            <w:shd w:val="clear" w:color="auto" w:fill="CFF0FC"/>
            <w:vAlign w:val="bottom"/>
            <w:hideMark/>
          </w:tcPr>
          <w:p w14:paraId="530DA12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4CECF84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9FD1608"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D42F5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4CDB374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0E42E7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CD6F0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gridSpan w:val="2"/>
            <w:shd w:val="clear" w:color="auto" w:fill="CFF0FC"/>
            <w:vAlign w:val="bottom"/>
            <w:hideMark/>
          </w:tcPr>
          <w:p w14:paraId="7CD75E4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D49FE06"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2FD9A904" w14:textId="77777777" w:rsidTr="004B2A77">
        <w:trPr>
          <w:trHeight w:val="180"/>
          <w:tblCellSpacing w:w="15" w:type="dxa"/>
        </w:trPr>
        <w:tc>
          <w:tcPr>
            <w:tcW w:w="0" w:type="auto"/>
            <w:shd w:val="clear" w:color="auto" w:fill="FFFFFF"/>
            <w:hideMark/>
          </w:tcPr>
          <w:p w14:paraId="6E219D6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Repayment of short-term part of long-term debt</w:t>
            </w:r>
          </w:p>
        </w:tc>
        <w:tc>
          <w:tcPr>
            <w:tcW w:w="0" w:type="auto"/>
            <w:shd w:val="clear" w:color="auto" w:fill="FFFFFF"/>
            <w:vAlign w:val="bottom"/>
            <w:hideMark/>
          </w:tcPr>
          <w:p w14:paraId="1AA10AC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F28614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B28652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(302</w:t>
            </w:r>
          </w:p>
        </w:tc>
        <w:tc>
          <w:tcPr>
            <w:tcW w:w="0" w:type="auto"/>
            <w:shd w:val="clear" w:color="auto" w:fill="FFFFFF"/>
            <w:noWrap/>
            <w:vAlign w:val="bottom"/>
            <w:hideMark/>
          </w:tcPr>
          <w:p w14:paraId="17BCDE1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43A0BA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82BF96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A0BF2E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(275</w:t>
            </w:r>
          </w:p>
        </w:tc>
        <w:tc>
          <w:tcPr>
            <w:tcW w:w="0" w:type="auto"/>
            <w:shd w:val="clear" w:color="auto" w:fill="FFFFFF"/>
            <w:noWrap/>
            <w:vAlign w:val="bottom"/>
            <w:hideMark/>
          </w:tcPr>
          <w:p w14:paraId="577380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51E71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C01C1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A669CF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(235</w:t>
            </w:r>
          </w:p>
        </w:tc>
        <w:tc>
          <w:tcPr>
            <w:tcW w:w="0" w:type="auto"/>
            <w:shd w:val="clear" w:color="auto" w:fill="FFFFFF"/>
            <w:noWrap/>
            <w:vAlign w:val="bottom"/>
            <w:hideMark/>
          </w:tcPr>
          <w:p w14:paraId="7DA14B7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42726246" w14:textId="77777777" w:rsidTr="004B2A77">
        <w:trPr>
          <w:trHeight w:val="180"/>
          <w:tblCellSpacing w:w="15" w:type="dxa"/>
        </w:trPr>
        <w:tc>
          <w:tcPr>
            <w:tcW w:w="0" w:type="auto"/>
            <w:shd w:val="clear" w:color="auto" w:fill="CFF0FC"/>
            <w:hideMark/>
          </w:tcPr>
          <w:p w14:paraId="4C35D7B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lastRenderedPageBreak/>
              <w:t>Net increase (decrease) in other short-term debt</w:t>
            </w:r>
          </w:p>
        </w:tc>
        <w:tc>
          <w:tcPr>
            <w:tcW w:w="0" w:type="auto"/>
            <w:shd w:val="clear" w:color="auto" w:fill="CFF0FC"/>
            <w:vAlign w:val="bottom"/>
            <w:hideMark/>
          </w:tcPr>
          <w:p w14:paraId="48A087F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18C6F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3A38B7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167</w:t>
            </w:r>
          </w:p>
        </w:tc>
        <w:tc>
          <w:tcPr>
            <w:tcW w:w="0" w:type="auto"/>
            <w:shd w:val="clear" w:color="auto" w:fill="CFF0FC"/>
            <w:noWrap/>
            <w:vAlign w:val="bottom"/>
            <w:hideMark/>
          </w:tcPr>
          <w:p w14:paraId="042955F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0D42F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72316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81CA92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w:t>
            </w:r>
          </w:p>
        </w:tc>
        <w:tc>
          <w:tcPr>
            <w:tcW w:w="0" w:type="auto"/>
            <w:shd w:val="clear" w:color="auto" w:fill="CFF0FC"/>
            <w:noWrap/>
            <w:vAlign w:val="bottom"/>
            <w:hideMark/>
          </w:tcPr>
          <w:p w14:paraId="4E92E5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47015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AF56A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4056CB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w:t>
            </w:r>
          </w:p>
        </w:tc>
        <w:tc>
          <w:tcPr>
            <w:tcW w:w="0" w:type="auto"/>
            <w:shd w:val="clear" w:color="auto" w:fill="CFF0FC"/>
            <w:noWrap/>
            <w:vAlign w:val="bottom"/>
            <w:hideMark/>
          </w:tcPr>
          <w:p w14:paraId="5F28FC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3AE7CD36" w14:textId="77777777" w:rsidTr="004B2A77">
        <w:trPr>
          <w:trHeight w:val="180"/>
          <w:tblCellSpacing w:w="15" w:type="dxa"/>
        </w:trPr>
        <w:tc>
          <w:tcPr>
            <w:tcW w:w="0" w:type="auto"/>
            <w:shd w:val="clear" w:color="auto" w:fill="FFFFFF"/>
            <w:hideMark/>
          </w:tcPr>
          <w:p w14:paraId="3930E0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Proceeds from long-term debt</w:t>
            </w:r>
          </w:p>
        </w:tc>
        <w:tc>
          <w:tcPr>
            <w:tcW w:w="0" w:type="auto"/>
            <w:shd w:val="clear" w:color="auto" w:fill="FFFFFF"/>
            <w:vAlign w:val="bottom"/>
            <w:hideMark/>
          </w:tcPr>
          <w:p w14:paraId="232972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813833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F9D9D2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0CA21E7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2783B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997859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4ECCED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6BC7F7E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17E45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42B6E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1416E7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1,177</w:t>
            </w:r>
          </w:p>
        </w:tc>
        <w:tc>
          <w:tcPr>
            <w:tcW w:w="0" w:type="auto"/>
            <w:shd w:val="clear" w:color="auto" w:fill="FFFFFF"/>
            <w:noWrap/>
            <w:vAlign w:val="bottom"/>
            <w:hideMark/>
          </w:tcPr>
          <w:p w14:paraId="263784A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CC121B7" w14:textId="77777777" w:rsidTr="004B2A77">
        <w:trPr>
          <w:trHeight w:val="180"/>
          <w:tblCellSpacing w:w="15" w:type="dxa"/>
        </w:trPr>
        <w:tc>
          <w:tcPr>
            <w:tcW w:w="0" w:type="auto"/>
            <w:shd w:val="clear" w:color="auto" w:fill="CFF0FC"/>
            <w:hideMark/>
          </w:tcPr>
          <w:p w14:paraId="69B857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Repayment of long-term debt</w:t>
            </w:r>
          </w:p>
        </w:tc>
        <w:tc>
          <w:tcPr>
            <w:tcW w:w="0" w:type="auto"/>
            <w:shd w:val="clear" w:color="auto" w:fill="CFF0FC"/>
            <w:vAlign w:val="bottom"/>
            <w:hideMark/>
          </w:tcPr>
          <w:p w14:paraId="5FFBDD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C60099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B5DD42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(55</w:t>
            </w:r>
          </w:p>
        </w:tc>
        <w:tc>
          <w:tcPr>
            <w:tcW w:w="0" w:type="auto"/>
            <w:shd w:val="clear" w:color="auto" w:fill="CFF0FC"/>
            <w:noWrap/>
            <w:vAlign w:val="bottom"/>
            <w:hideMark/>
          </w:tcPr>
          <w:p w14:paraId="09A1C42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1DEDCA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467216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1CDC49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(20</w:t>
            </w:r>
          </w:p>
        </w:tc>
        <w:tc>
          <w:tcPr>
            <w:tcW w:w="0" w:type="auto"/>
            <w:shd w:val="clear" w:color="auto" w:fill="CFF0FC"/>
            <w:noWrap/>
            <w:vAlign w:val="bottom"/>
            <w:hideMark/>
          </w:tcPr>
          <w:p w14:paraId="6DFC89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0C361A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12A65B5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30AB53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(723</w:t>
            </w:r>
          </w:p>
        </w:tc>
        <w:tc>
          <w:tcPr>
            <w:tcW w:w="0" w:type="auto"/>
            <w:shd w:val="clear" w:color="auto" w:fill="CFF0FC"/>
            <w:noWrap/>
            <w:vAlign w:val="bottom"/>
            <w:hideMark/>
          </w:tcPr>
          <w:p w14:paraId="1CD75A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63BD3652" w14:textId="77777777" w:rsidTr="004B2A77">
        <w:trPr>
          <w:trHeight w:val="180"/>
          <w:tblCellSpacing w:w="15" w:type="dxa"/>
        </w:trPr>
        <w:tc>
          <w:tcPr>
            <w:tcW w:w="0" w:type="auto"/>
            <w:shd w:val="clear" w:color="auto" w:fill="FFFFFF"/>
            <w:hideMark/>
          </w:tcPr>
          <w:p w14:paraId="6837122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Dividends paid to non-controlling interest</w:t>
            </w:r>
          </w:p>
        </w:tc>
        <w:tc>
          <w:tcPr>
            <w:tcW w:w="0" w:type="auto"/>
            <w:shd w:val="clear" w:color="auto" w:fill="FFFFFF"/>
            <w:vAlign w:val="bottom"/>
            <w:hideMark/>
          </w:tcPr>
          <w:p w14:paraId="23C0C74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5AA99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CE2172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w:t>
            </w:r>
          </w:p>
        </w:tc>
        <w:tc>
          <w:tcPr>
            <w:tcW w:w="0" w:type="auto"/>
            <w:shd w:val="clear" w:color="auto" w:fill="FFFFFF"/>
            <w:noWrap/>
            <w:vAlign w:val="bottom"/>
            <w:hideMark/>
          </w:tcPr>
          <w:p w14:paraId="38A060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7BA60D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2C5BB5C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55A4D9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w:t>
            </w:r>
          </w:p>
        </w:tc>
        <w:tc>
          <w:tcPr>
            <w:tcW w:w="0" w:type="auto"/>
            <w:shd w:val="clear" w:color="auto" w:fill="FFFFFF"/>
            <w:noWrap/>
            <w:vAlign w:val="bottom"/>
            <w:hideMark/>
          </w:tcPr>
          <w:p w14:paraId="04607F9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050A97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24F8C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0D792F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w:t>
            </w:r>
          </w:p>
        </w:tc>
        <w:tc>
          <w:tcPr>
            <w:tcW w:w="0" w:type="auto"/>
            <w:shd w:val="clear" w:color="auto" w:fill="FFFFFF"/>
            <w:noWrap/>
            <w:vAlign w:val="bottom"/>
            <w:hideMark/>
          </w:tcPr>
          <w:p w14:paraId="292DF9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32CE1D27" w14:textId="77777777" w:rsidTr="004B2A77">
        <w:trPr>
          <w:trHeight w:val="180"/>
          <w:tblCellSpacing w:w="15" w:type="dxa"/>
        </w:trPr>
        <w:tc>
          <w:tcPr>
            <w:tcW w:w="0" w:type="auto"/>
            <w:shd w:val="clear" w:color="auto" w:fill="CFF0FC"/>
            <w:hideMark/>
          </w:tcPr>
          <w:p w14:paraId="6CD9D5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Dividends paid</w:t>
            </w:r>
          </w:p>
        </w:tc>
        <w:tc>
          <w:tcPr>
            <w:tcW w:w="0" w:type="auto"/>
            <w:shd w:val="clear" w:color="auto" w:fill="CFF0FC"/>
            <w:vAlign w:val="bottom"/>
            <w:hideMark/>
          </w:tcPr>
          <w:p w14:paraId="7BD16D8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2C63FD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2EE004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(224</w:t>
            </w:r>
          </w:p>
        </w:tc>
        <w:tc>
          <w:tcPr>
            <w:tcW w:w="0" w:type="auto"/>
            <w:shd w:val="clear" w:color="auto" w:fill="CFF0FC"/>
            <w:noWrap/>
            <w:vAlign w:val="bottom"/>
            <w:hideMark/>
          </w:tcPr>
          <w:p w14:paraId="4F8D99B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064F710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30AFE81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766BBC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(165</w:t>
            </w:r>
          </w:p>
        </w:tc>
        <w:tc>
          <w:tcPr>
            <w:tcW w:w="0" w:type="auto"/>
            <w:shd w:val="clear" w:color="auto" w:fill="CFF0FC"/>
            <w:noWrap/>
            <w:vAlign w:val="bottom"/>
            <w:hideMark/>
          </w:tcPr>
          <w:p w14:paraId="6B3F895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F843DE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F4767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4149A7C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(54</w:t>
            </w:r>
          </w:p>
        </w:tc>
        <w:tc>
          <w:tcPr>
            <w:tcW w:w="0" w:type="auto"/>
            <w:shd w:val="clear" w:color="auto" w:fill="CFF0FC"/>
            <w:noWrap/>
            <w:vAlign w:val="bottom"/>
            <w:hideMark/>
          </w:tcPr>
          <w:p w14:paraId="41B75F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r>
      <w:tr w:rsidR="004B2A77" w:rsidRPr="004B2A77" w14:paraId="1688B72F" w14:textId="77777777" w:rsidTr="004B2A77">
        <w:trPr>
          <w:trHeight w:val="180"/>
          <w:tblCellSpacing w:w="15" w:type="dxa"/>
        </w:trPr>
        <w:tc>
          <w:tcPr>
            <w:tcW w:w="0" w:type="auto"/>
            <w:shd w:val="clear" w:color="auto" w:fill="FFFFFF"/>
            <w:hideMark/>
          </w:tcPr>
          <w:p w14:paraId="2841212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Stock repurchases</w:t>
            </w:r>
          </w:p>
        </w:tc>
        <w:tc>
          <w:tcPr>
            <w:tcW w:w="0" w:type="auto"/>
            <w:shd w:val="clear" w:color="auto" w:fill="FFFFFF"/>
            <w:vAlign w:val="bottom"/>
            <w:hideMark/>
          </w:tcPr>
          <w:p w14:paraId="65A1DA0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0D35A72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E5ADCA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(115</w:t>
            </w:r>
          </w:p>
        </w:tc>
        <w:tc>
          <w:tcPr>
            <w:tcW w:w="0" w:type="auto"/>
            <w:shd w:val="clear" w:color="auto" w:fill="FFFFFF"/>
            <w:noWrap/>
            <w:vAlign w:val="bottom"/>
            <w:hideMark/>
          </w:tcPr>
          <w:p w14:paraId="5ED10B0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vAlign w:val="bottom"/>
            <w:hideMark/>
          </w:tcPr>
          <w:p w14:paraId="14A0E3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B3676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35F981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355AE0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7A63A4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5BADBB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2F7446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5308E0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C7E90BC" w14:textId="77777777" w:rsidTr="004B2A77">
        <w:trPr>
          <w:trHeight w:val="180"/>
          <w:tblCellSpacing w:w="15" w:type="dxa"/>
        </w:trPr>
        <w:tc>
          <w:tcPr>
            <w:tcW w:w="0" w:type="auto"/>
            <w:shd w:val="clear" w:color="auto" w:fill="CFF0FC"/>
            <w:hideMark/>
          </w:tcPr>
          <w:p w14:paraId="15E832B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Common stock options exercised</w:t>
            </w:r>
          </w:p>
        </w:tc>
        <w:tc>
          <w:tcPr>
            <w:tcW w:w="0" w:type="auto"/>
            <w:shd w:val="clear" w:color="auto" w:fill="CFF0FC"/>
            <w:vAlign w:val="bottom"/>
            <w:hideMark/>
          </w:tcPr>
          <w:p w14:paraId="07EF13A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9D231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0FC300E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0</w:t>
            </w:r>
          </w:p>
        </w:tc>
        <w:tc>
          <w:tcPr>
            <w:tcW w:w="0" w:type="auto"/>
            <w:shd w:val="clear" w:color="auto" w:fill="CFF0FC"/>
            <w:noWrap/>
            <w:vAlign w:val="bottom"/>
            <w:hideMark/>
          </w:tcPr>
          <w:p w14:paraId="470677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E1BDF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E6A52D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7FF9412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w:t>
            </w:r>
          </w:p>
        </w:tc>
        <w:tc>
          <w:tcPr>
            <w:tcW w:w="0" w:type="auto"/>
            <w:shd w:val="clear" w:color="auto" w:fill="CFF0FC"/>
            <w:noWrap/>
            <w:vAlign w:val="bottom"/>
            <w:hideMark/>
          </w:tcPr>
          <w:p w14:paraId="184616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3C779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269F8CE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51EDDB1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w:t>
            </w:r>
          </w:p>
        </w:tc>
        <w:tc>
          <w:tcPr>
            <w:tcW w:w="0" w:type="auto"/>
            <w:shd w:val="clear" w:color="auto" w:fill="CFF0FC"/>
            <w:noWrap/>
            <w:vAlign w:val="bottom"/>
            <w:hideMark/>
          </w:tcPr>
          <w:p w14:paraId="2CFA61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818BB35" w14:textId="77777777" w:rsidTr="004B2A77">
        <w:trPr>
          <w:trHeight w:val="180"/>
          <w:tblCellSpacing w:w="15" w:type="dxa"/>
        </w:trPr>
        <w:tc>
          <w:tcPr>
            <w:tcW w:w="0" w:type="auto"/>
            <w:shd w:val="clear" w:color="auto" w:fill="FFFFFF"/>
            <w:hideMark/>
          </w:tcPr>
          <w:p w14:paraId="3E833C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Net cash (used in) provided by financing activities</w:t>
            </w:r>
          </w:p>
        </w:tc>
        <w:tc>
          <w:tcPr>
            <w:tcW w:w="0" w:type="auto"/>
            <w:shd w:val="clear" w:color="auto" w:fill="FFFFFF"/>
            <w:vAlign w:val="bottom"/>
            <w:hideMark/>
          </w:tcPr>
          <w:p w14:paraId="4BB81A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0DCF8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683B6D2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(531</w:t>
            </w:r>
          </w:p>
        </w:tc>
        <w:tc>
          <w:tcPr>
            <w:tcW w:w="0" w:type="auto"/>
            <w:shd w:val="clear" w:color="auto" w:fill="FFFFFF"/>
            <w:noWrap/>
            <w:vAlign w:val="bottom"/>
            <w:hideMark/>
          </w:tcPr>
          <w:p w14:paraId="4AD6D58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2ECA282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C7456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63604B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(469</w:t>
            </w:r>
          </w:p>
        </w:tc>
        <w:tc>
          <w:tcPr>
            <w:tcW w:w="0" w:type="auto"/>
            <w:shd w:val="clear" w:color="auto" w:fill="FFFFFF"/>
            <w:noWrap/>
            <w:vAlign w:val="bottom"/>
            <w:hideMark/>
          </w:tcPr>
          <w:p w14:paraId="515F36B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4CC4108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18BC094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0BBCB2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160</w:t>
            </w:r>
          </w:p>
        </w:tc>
        <w:tc>
          <w:tcPr>
            <w:tcW w:w="0" w:type="auto"/>
            <w:shd w:val="clear" w:color="auto" w:fill="FFFFFF"/>
            <w:noWrap/>
            <w:vAlign w:val="bottom"/>
            <w:hideMark/>
          </w:tcPr>
          <w:p w14:paraId="3F6D1D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ABCF9BA" w14:textId="77777777" w:rsidTr="004B2A77">
        <w:trPr>
          <w:trHeight w:val="180"/>
          <w:tblCellSpacing w:w="15" w:type="dxa"/>
        </w:trPr>
        <w:tc>
          <w:tcPr>
            <w:tcW w:w="0" w:type="auto"/>
            <w:shd w:val="clear" w:color="auto" w:fill="CFF0FC"/>
            <w:hideMark/>
          </w:tcPr>
          <w:p w14:paraId="47D2D6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Effect of exchange rate changes on cash and cash equivalents</w:t>
            </w:r>
          </w:p>
        </w:tc>
        <w:tc>
          <w:tcPr>
            <w:tcW w:w="0" w:type="auto"/>
            <w:shd w:val="clear" w:color="auto" w:fill="CFF0FC"/>
            <w:vAlign w:val="bottom"/>
            <w:hideMark/>
          </w:tcPr>
          <w:p w14:paraId="7E7B6B5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5FD3264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2705AE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(73</w:t>
            </w:r>
          </w:p>
        </w:tc>
        <w:tc>
          <w:tcPr>
            <w:tcW w:w="0" w:type="auto"/>
            <w:shd w:val="clear" w:color="auto" w:fill="CFF0FC"/>
            <w:noWrap/>
            <w:vAlign w:val="bottom"/>
            <w:hideMark/>
          </w:tcPr>
          <w:p w14:paraId="6B5CBD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5FD0EAC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CCB2F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9DEBB1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(39</w:t>
            </w:r>
          </w:p>
        </w:tc>
        <w:tc>
          <w:tcPr>
            <w:tcW w:w="0" w:type="auto"/>
            <w:shd w:val="clear" w:color="auto" w:fill="CFF0FC"/>
            <w:noWrap/>
            <w:vAlign w:val="bottom"/>
            <w:hideMark/>
          </w:tcPr>
          <w:p w14:paraId="00BCACC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613D7A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0E9C036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23A727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64</w:t>
            </w:r>
          </w:p>
        </w:tc>
        <w:tc>
          <w:tcPr>
            <w:tcW w:w="0" w:type="auto"/>
            <w:shd w:val="clear" w:color="auto" w:fill="CFF0FC"/>
            <w:noWrap/>
            <w:vAlign w:val="bottom"/>
            <w:hideMark/>
          </w:tcPr>
          <w:p w14:paraId="6744F0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1FB66739" w14:textId="77777777" w:rsidTr="004B2A77">
        <w:trPr>
          <w:trHeight w:val="180"/>
          <w:tblCellSpacing w:w="15" w:type="dxa"/>
        </w:trPr>
        <w:tc>
          <w:tcPr>
            <w:tcW w:w="0" w:type="auto"/>
            <w:shd w:val="clear" w:color="auto" w:fill="FFFFFF"/>
            <w:hideMark/>
          </w:tcPr>
          <w:p w14:paraId="1EC549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(Decrease) increase in cash and cash equivalents</w:t>
            </w:r>
          </w:p>
        </w:tc>
        <w:tc>
          <w:tcPr>
            <w:tcW w:w="0" w:type="auto"/>
            <w:shd w:val="clear" w:color="auto" w:fill="FFFFFF"/>
            <w:vAlign w:val="bottom"/>
            <w:hideMark/>
          </w:tcPr>
          <w:p w14:paraId="119A356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3FF01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48D8A47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(375</w:t>
            </w:r>
          </w:p>
        </w:tc>
        <w:tc>
          <w:tcPr>
            <w:tcW w:w="0" w:type="auto"/>
            <w:shd w:val="clear" w:color="auto" w:fill="FFFFFF"/>
            <w:noWrap/>
            <w:vAlign w:val="bottom"/>
            <w:hideMark/>
          </w:tcPr>
          <w:p w14:paraId="3A2976E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63C2DB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457057F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01EAE26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(209</w:t>
            </w:r>
          </w:p>
        </w:tc>
        <w:tc>
          <w:tcPr>
            <w:tcW w:w="0" w:type="auto"/>
            <w:shd w:val="clear" w:color="auto" w:fill="FFFFFF"/>
            <w:noWrap/>
            <w:vAlign w:val="bottom"/>
            <w:hideMark/>
          </w:tcPr>
          <w:p w14:paraId="2AFCCD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3F73149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3CEAE7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1AB104B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734</w:t>
            </w:r>
          </w:p>
        </w:tc>
        <w:tc>
          <w:tcPr>
            <w:tcW w:w="0" w:type="auto"/>
            <w:shd w:val="clear" w:color="auto" w:fill="FFFFFF"/>
            <w:noWrap/>
            <w:vAlign w:val="bottom"/>
            <w:hideMark/>
          </w:tcPr>
          <w:p w14:paraId="140F081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021093D3" w14:textId="77777777" w:rsidTr="004B2A77">
        <w:trPr>
          <w:trHeight w:val="180"/>
          <w:tblCellSpacing w:w="15" w:type="dxa"/>
        </w:trPr>
        <w:tc>
          <w:tcPr>
            <w:tcW w:w="0" w:type="auto"/>
            <w:shd w:val="clear" w:color="auto" w:fill="CFF0FC"/>
            <w:hideMark/>
          </w:tcPr>
          <w:p w14:paraId="33A2BB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Cash and cash equivalents at beginning of year</w:t>
            </w:r>
          </w:p>
        </w:tc>
        <w:tc>
          <w:tcPr>
            <w:tcW w:w="0" w:type="auto"/>
            <w:shd w:val="clear" w:color="auto" w:fill="CFF0FC"/>
            <w:vAlign w:val="bottom"/>
            <w:hideMark/>
          </w:tcPr>
          <w:p w14:paraId="050A21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0BAAAA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431F3C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969</w:t>
            </w:r>
          </w:p>
        </w:tc>
        <w:tc>
          <w:tcPr>
            <w:tcW w:w="0" w:type="auto"/>
            <w:shd w:val="clear" w:color="auto" w:fill="CFF0FC"/>
            <w:noWrap/>
            <w:vAlign w:val="bottom"/>
            <w:hideMark/>
          </w:tcPr>
          <w:p w14:paraId="4B62FA9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F33EA5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5B0E42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1E2D143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1,178</w:t>
            </w:r>
          </w:p>
        </w:tc>
        <w:tc>
          <w:tcPr>
            <w:tcW w:w="0" w:type="auto"/>
            <w:shd w:val="clear" w:color="auto" w:fill="CFF0FC"/>
            <w:noWrap/>
            <w:vAlign w:val="bottom"/>
            <w:hideMark/>
          </w:tcPr>
          <w:p w14:paraId="426C70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5531EE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779885A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14B9AD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8"/>
                <w:szCs w:val="18"/>
              </w:rPr>
              <w:t>445</w:t>
            </w:r>
          </w:p>
        </w:tc>
        <w:tc>
          <w:tcPr>
            <w:tcW w:w="0" w:type="auto"/>
            <w:shd w:val="clear" w:color="auto" w:fill="CFF0FC"/>
            <w:noWrap/>
            <w:vAlign w:val="bottom"/>
            <w:hideMark/>
          </w:tcPr>
          <w:p w14:paraId="3C7F7DF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3A6719F1" w14:textId="77777777" w:rsidTr="004B2A77">
        <w:trPr>
          <w:trHeight w:val="180"/>
          <w:tblCellSpacing w:w="15" w:type="dxa"/>
        </w:trPr>
        <w:tc>
          <w:tcPr>
            <w:tcW w:w="0" w:type="auto"/>
            <w:shd w:val="clear" w:color="auto" w:fill="FFFFFF"/>
            <w:hideMark/>
          </w:tcPr>
          <w:p w14:paraId="5103BB6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Cash and cash equivalents at end of year</w:t>
            </w:r>
          </w:p>
        </w:tc>
        <w:tc>
          <w:tcPr>
            <w:tcW w:w="0" w:type="auto"/>
            <w:shd w:val="clear" w:color="auto" w:fill="FFFFFF"/>
            <w:vAlign w:val="bottom"/>
            <w:hideMark/>
          </w:tcPr>
          <w:p w14:paraId="173834C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24DC4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5C787FA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594</w:t>
            </w:r>
          </w:p>
        </w:tc>
        <w:tc>
          <w:tcPr>
            <w:tcW w:w="0" w:type="auto"/>
            <w:shd w:val="clear" w:color="auto" w:fill="FFFFFF"/>
            <w:noWrap/>
            <w:vAlign w:val="bottom"/>
            <w:hideMark/>
          </w:tcPr>
          <w:p w14:paraId="15C4F3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3FB09A0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7510B7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1D580C1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969</w:t>
            </w:r>
          </w:p>
        </w:tc>
        <w:tc>
          <w:tcPr>
            <w:tcW w:w="0" w:type="auto"/>
            <w:shd w:val="clear" w:color="auto" w:fill="FFFFFF"/>
            <w:noWrap/>
            <w:vAlign w:val="bottom"/>
            <w:hideMark/>
          </w:tcPr>
          <w:p w14:paraId="55D467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509787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noWrap/>
            <w:vAlign w:val="bottom"/>
            <w:hideMark/>
          </w:tcPr>
          <w:p w14:paraId="602EF86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w:t>
            </w:r>
          </w:p>
        </w:tc>
        <w:tc>
          <w:tcPr>
            <w:tcW w:w="0" w:type="auto"/>
            <w:shd w:val="clear" w:color="auto" w:fill="FFFFFF"/>
            <w:vAlign w:val="bottom"/>
            <w:hideMark/>
          </w:tcPr>
          <w:p w14:paraId="04FB85C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8"/>
                <w:szCs w:val="18"/>
              </w:rPr>
              <w:t>1,178</w:t>
            </w:r>
          </w:p>
        </w:tc>
        <w:tc>
          <w:tcPr>
            <w:tcW w:w="0" w:type="auto"/>
            <w:shd w:val="clear" w:color="auto" w:fill="FFFFFF"/>
            <w:noWrap/>
            <w:vAlign w:val="bottom"/>
            <w:hideMark/>
          </w:tcPr>
          <w:p w14:paraId="40488D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205B0FF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608123C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Notes to the Consolidated Financial Statements.</w:t>
      </w:r>
    </w:p>
    <w:p w14:paraId="5546F624"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59</w:t>
      </w:r>
    </w:p>
    <w:p w14:paraId="1E5DA34A"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E2C5923">
          <v:rect id="_x0000_i1086" style="width:0;height:1.5pt" o:hralign="center" o:hrstd="t" o:hrnoshade="t" o:hr="t" fillcolor="black" stroked="f"/>
        </w:pict>
      </w:r>
    </w:p>
    <w:p w14:paraId="094E0A0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1E4691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Consolidated Statements of Total Equity</w:t>
      </w:r>
    </w:p>
    <w:p w14:paraId="02A0856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128"/>
        <w:gridCol w:w="98"/>
        <w:gridCol w:w="221"/>
        <w:gridCol w:w="1104"/>
        <w:gridCol w:w="219"/>
        <w:gridCol w:w="97"/>
        <w:gridCol w:w="223"/>
        <w:gridCol w:w="719"/>
        <w:gridCol w:w="219"/>
        <w:gridCol w:w="97"/>
        <w:gridCol w:w="222"/>
        <w:gridCol w:w="983"/>
        <w:gridCol w:w="219"/>
        <w:gridCol w:w="97"/>
        <w:gridCol w:w="221"/>
        <w:gridCol w:w="981"/>
        <w:gridCol w:w="219"/>
        <w:gridCol w:w="97"/>
        <w:gridCol w:w="224"/>
        <w:gridCol w:w="1473"/>
        <w:gridCol w:w="219"/>
        <w:gridCol w:w="97"/>
        <w:gridCol w:w="221"/>
        <w:gridCol w:w="1103"/>
        <w:gridCol w:w="219"/>
        <w:gridCol w:w="97"/>
        <w:gridCol w:w="224"/>
        <w:gridCol w:w="1364"/>
        <w:gridCol w:w="219"/>
        <w:gridCol w:w="97"/>
        <w:gridCol w:w="224"/>
        <w:gridCol w:w="919"/>
        <w:gridCol w:w="219"/>
        <w:gridCol w:w="97"/>
        <w:gridCol w:w="220"/>
        <w:gridCol w:w="978"/>
        <w:gridCol w:w="236"/>
      </w:tblGrid>
      <w:tr w:rsidR="004B2A77" w:rsidRPr="004B2A77" w14:paraId="56E29967" w14:textId="77777777" w:rsidTr="004B2A77">
        <w:trPr>
          <w:tblCellSpacing w:w="15" w:type="dxa"/>
        </w:trPr>
        <w:tc>
          <w:tcPr>
            <w:tcW w:w="6297" w:type="dxa"/>
            <w:vAlign w:val="center"/>
            <w:hideMark/>
          </w:tcPr>
          <w:p w14:paraId="632B79EB"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6" w:type="dxa"/>
            <w:vAlign w:val="center"/>
            <w:hideMark/>
          </w:tcPr>
          <w:p w14:paraId="15F1059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A712F5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103" w:type="dxa"/>
            <w:vAlign w:val="center"/>
            <w:hideMark/>
          </w:tcPr>
          <w:p w14:paraId="4331747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B4D057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34D78E1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4C728C0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702" w:type="dxa"/>
            <w:vAlign w:val="center"/>
            <w:hideMark/>
          </w:tcPr>
          <w:p w14:paraId="6172BE8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0A0561D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0B886D6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0BD99D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73" w:type="dxa"/>
            <w:vAlign w:val="center"/>
            <w:hideMark/>
          </w:tcPr>
          <w:p w14:paraId="366F86E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6F968D8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7DBF5BE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3136EA8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73" w:type="dxa"/>
            <w:vAlign w:val="center"/>
            <w:hideMark/>
          </w:tcPr>
          <w:p w14:paraId="22CFAC3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140D65F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610C5A0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31E61D4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77" w:type="dxa"/>
            <w:vAlign w:val="center"/>
            <w:hideMark/>
          </w:tcPr>
          <w:p w14:paraId="63FDEDC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1F96F17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7CBA085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07DFE97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100" w:type="dxa"/>
            <w:vAlign w:val="center"/>
            <w:hideMark/>
          </w:tcPr>
          <w:p w14:paraId="340B987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3BE44C0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40461AC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C7E743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62" w:type="dxa"/>
            <w:vAlign w:val="center"/>
            <w:hideMark/>
          </w:tcPr>
          <w:p w14:paraId="7A3D9B6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288093F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67B85B6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2696F9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06" w:type="dxa"/>
            <w:vAlign w:val="center"/>
            <w:hideMark/>
          </w:tcPr>
          <w:p w14:paraId="08E1F1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F04AB7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 w:type="dxa"/>
            <w:vAlign w:val="center"/>
            <w:hideMark/>
          </w:tcPr>
          <w:p w14:paraId="5131F39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045A535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73" w:type="dxa"/>
            <w:vAlign w:val="center"/>
            <w:hideMark/>
          </w:tcPr>
          <w:p w14:paraId="183B79D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6" w:type="dxa"/>
            <w:vAlign w:val="center"/>
            <w:hideMark/>
          </w:tcPr>
          <w:p w14:paraId="3CBDC2A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E2C6E11" w14:textId="77777777" w:rsidTr="004B2A77">
        <w:trPr>
          <w:trHeight w:val="120"/>
          <w:tblCellSpacing w:w="15" w:type="dxa"/>
        </w:trPr>
        <w:tc>
          <w:tcPr>
            <w:tcW w:w="0" w:type="auto"/>
            <w:shd w:val="clear" w:color="auto" w:fill="FFFFFF"/>
            <w:vAlign w:val="bottom"/>
            <w:hideMark/>
          </w:tcPr>
          <w:p w14:paraId="4E23D87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035059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D24EF1E"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CF60347"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4E8892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7E31050"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CF590DF"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3C3A39C"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3368876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C1EDA93"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6B40BAC"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430B042"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AE6A798"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DB8675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660FE20"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Accumulated</w:t>
            </w:r>
          </w:p>
        </w:tc>
        <w:tc>
          <w:tcPr>
            <w:tcW w:w="0" w:type="auto"/>
            <w:shd w:val="clear" w:color="auto" w:fill="FFFFFF"/>
            <w:vAlign w:val="bottom"/>
            <w:hideMark/>
          </w:tcPr>
          <w:p w14:paraId="2201C7B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957E397"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BC2FA7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20F5C3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25120E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D688BAD"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EC32E1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0CBCB59"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544E88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F98682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4E10226"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271C656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76B65C8"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5A00CAEE" w14:textId="77777777" w:rsidTr="004B2A77">
        <w:trPr>
          <w:trHeight w:val="120"/>
          <w:tblCellSpacing w:w="15" w:type="dxa"/>
        </w:trPr>
        <w:tc>
          <w:tcPr>
            <w:tcW w:w="0" w:type="auto"/>
            <w:shd w:val="clear" w:color="auto" w:fill="FFFFFF"/>
            <w:vAlign w:val="bottom"/>
            <w:hideMark/>
          </w:tcPr>
          <w:p w14:paraId="498755C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7F341D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A326B16"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B4326D8"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A363669"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CD2436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971419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8ED9F3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F01A94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Additional</w:t>
            </w:r>
          </w:p>
        </w:tc>
        <w:tc>
          <w:tcPr>
            <w:tcW w:w="0" w:type="auto"/>
            <w:shd w:val="clear" w:color="auto" w:fill="FFFFFF"/>
            <w:vAlign w:val="bottom"/>
            <w:hideMark/>
          </w:tcPr>
          <w:p w14:paraId="7DC8717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DB4FC1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3385B9E"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41FA4FF"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D09BA5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93F083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other com-</w:t>
            </w:r>
          </w:p>
        </w:tc>
        <w:tc>
          <w:tcPr>
            <w:tcW w:w="0" w:type="auto"/>
            <w:shd w:val="clear" w:color="auto" w:fill="FFFFFF"/>
            <w:vAlign w:val="bottom"/>
            <w:hideMark/>
          </w:tcPr>
          <w:p w14:paraId="622B8ABC"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B763D3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216540C"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DA322A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6746543"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A5D8F09"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Total parent</w:t>
            </w:r>
          </w:p>
        </w:tc>
        <w:tc>
          <w:tcPr>
            <w:tcW w:w="0" w:type="auto"/>
            <w:shd w:val="clear" w:color="auto" w:fill="FFFFFF"/>
            <w:vAlign w:val="bottom"/>
            <w:hideMark/>
          </w:tcPr>
          <w:p w14:paraId="524521FD"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135B8F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50564DF"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Non-</w:t>
            </w:r>
          </w:p>
        </w:tc>
        <w:tc>
          <w:tcPr>
            <w:tcW w:w="0" w:type="auto"/>
            <w:shd w:val="clear" w:color="auto" w:fill="FFFFFF"/>
            <w:vAlign w:val="bottom"/>
            <w:hideMark/>
          </w:tcPr>
          <w:p w14:paraId="7AFB9EFE"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20F6A4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46C6D13"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EA1387D"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11772620" w14:textId="77777777" w:rsidTr="004B2A77">
        <w:trPr>
          <w:trHeight w:val="120"/>
          <w:tblCellSpacing w:w="15" w:type="dxa"/>
        </w:trPr>
        <w:tc>
          <w:tcPr>
            <w:tcW w:w="0" w:type="auto"/>
            <w:shd w:val="clear" w:color="auto" w:fill="FFFFFF"/>
            <w:vAlign w:val="bottom"/>
            <w:hideMark/>
          </w:tcPr>
          <w:p w14:paraId="6B75FD2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(DOLLARS AND SHARES</w:t>
            </w:r>
          </w:p>
        </w:tc>
        <w:tc>
          <w:tcPr>
            <w:tcW w:w="0" w:type="auto"/>
            <w:shd w:val="clear" w:color="auto" w:fill="FFFFFF"/>
            <w:vAlign w:val="bottom"/>
            <w:hideMark/>
          </w:tcPr>
          <w:p w14:paraId="287DA23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6C4610E"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Number of</w:t>
            </w:r>
          </w:p>
        </w:tc>
        <w:tc>
          <w:tcPr>
            <w:tcW w:w="0" w:type="auto"/>
            <w:shd w:val="clear" w:color="auto" w:fill="FFFFFF"/>
            <w:vAlign w:val="bottom"/>
            <w:hideMark/>
          </w:tcPr>
          <w:p w14:paraId="66CC50D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745502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9207CB3"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Common</w:t>
            </w:r>
          </w:p>
        </w:tc>
        <w:tc>
          <w:tcPr>
            <w:tcW w:w="0" w:type="auto"/>
            <w:shd w:val="clear" w:color="auto" w:fill="FFFFFF"/>
            <w:vAlign w:val="bottom"/>
            <w:hideMark/>
          </w:tcPr>
          <w:p w14:paraId="7E5CB00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4D9BD9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04ACA1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paid in</w:t>
            </w:r>
          </w:p>
        </w:tc>
        <w:tc>
          <w:tcPr>
            <w:tcW w:w="0" w:type="auto"/>
            <w:shd w:val="clear" w:color="auto" w:fill="FFFFFF"/>
            <w:vAlign w:val="bottom"/>
            <w:hideMark/>
          </w:tcPr>
          <w:p w14:paraId="0037500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505488C"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6BD0B50"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Retained</w:t>
            </w:r>
          </w:p>
        </w:tc>
        <w:tc>
          <w:tcPr>
            <w:tcW w:w="0" w:type="auto"/>
            <w:shd w:val="clear" w:color="auto" w:fill="FFFFFF"/>
            <w:vAlign w:val="bottom"/>
            <w:hideMark/>
          </w:tcPr>
          <w:p w14:paraId="6D67C5DD"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11EAC4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0C385A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prehensive</w:t>
            </w:r>
          </w:p>
        </w:tc>
        <w:tc>
          <w:tcPr>
            <w:tcW w:w="0" w:type="auto"/>
            <w:shd w:val="clear" w:color="auto" w:fill="FFFFFF"/>
            <w:vAlign w:val="bottom"/>
            <w:hideMark/>
          </w:tcPr>
          <w:p w14:paraId="77EAD5B7"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715D85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C18B1F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Treasury</w:t>
            </w:r>
          </w:p>
        </w:tc>
        <w:tc>
          <w:tcPr>
            <w:tcW w:w="0" w:type="auto"/>
            <w:shd w:val="clear" w:color="auto" w:fill="FFFFFF"/>
            <w:vAlign w:val="bottom"/>
            <w:hideMark/>
          </w:tcPr>
          <w:p w14:paraId="0A6FDAA0"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022DEB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4C66A2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shareholders’</w:t>
            </w:r>
          </w:p>
        </w:tc>
        <w:tc>
          <w:tcPr>
            <w:tcW w:w="0" w:type="auto"/>
            <w:shd w:val="clear" w:color="auto" w:fill="FFFFFF"/>
            <w:vAlign w:val="bottom"/>
            <w:hideMark/>
          </w:tcPr>
          <w:p w14:paraId="5AE3D81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1E6358F"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27A1A02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controlling</w:t>
            </w:r>
          </w:p>
        </w:tc>
        <w:tc>
          <w:tcPr>
            <w:tcW w:w="0" w:type="auto"/>
            <w:shd w:val="clear" w:color="auto" w:fill="FFFFFF"/>
            <w:vAlign w:val="bottom"/>
            <w:hideMark/>
          </w:tcPr>
          <w:p w14:paraId="7E8A56C7"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C30033C"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8F8E0D9"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Total</w:t>
            </w:r>
          </w:p>
        </w:tc>
        <w:tc>
          <w:tcPr>
            <w:tcW w:w="0" w:type="auto"/>
            <w:shd w:val="clear" w:color="auto" w:fill="FFFFFF"/>
            <w:vAlign w:val="bottom"/>
            <w:hideMark/>
          </w:tcPr>
          <w:p w14:paraId="7ED6CCAE"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5334A480" w14:textId="77777777" w:rsidTr="004B2A77">
        <w:trPr>
          <w:trHeight w:val="120"/>
          <w:tblCellSpacing w:w="15" w:type="dxa"/>
        </w:trPr>
        <w:tc>
          <w:tcPr>
            <w:tcW w:w="0" w:type="auto"/>
            <w:shd w:val="clear" w:color="auto" w:fill="FFFFFF"/>
            <w:vAlign w:val="bottom"/>
            <w:hideMark/>
          </w:tcPr>
          <w:p w14:paraId="22FE574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u w:val="single"/>
              </w:rPr>
              <w:t>IN MILLIONS)</w:t>
            </w:r>
          </w:p>
        </w:tc>
        <w:tc>
          <w:tcPr>
            <w:tcW w:w="0" w:type="auto"/>
            <w:shd w:val="clear" w:color="auto" w:fill="FFFFFF"/>
            <w:vAlign w:val="bottom"/>
            <w:hideMark/>
          </w:tcPr>
          <w:p w14:paraId="12679E88"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2C39896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shares</w:t>
            </w:r>
          </w:p>
        </w:tc>
        <w:tc>
          <w:tcPr>
            <w:tcW w:w="0" w:type="auto"/>
            <w:shd w:val="clear" w:color="auto" w:fill="FFFFFF"/>
            <w:vAlign w:val="bottom"/>
            <w:hideMark/>
          </w:tcPr>
          <w:p w14:paraId="3659A8AF"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8A9211C"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7B67F959"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stock</w:t>
            </w:r>
          </w:p>
        </w:tc>
        <w:tc>
          <w:tcPr>
            <w:tcW w:w="0" w:type="auto"/>
            <w:shd w:val="clear" w:color="auto" w:fill="FFFFFF"/>
            <w:vAlign w:val="bottom"/>
            <w:hideMark/>
          </w:tcPr>
          <w:p w14:paraId="5ED5C4C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9EB6428"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666E2626"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capital</w:t>
            </w:r>
          </w:p>
        </w:tc>
        <w:tc>
          <w:tcPr>
            <w:tcW w:w="0" w:type="auto"/>
            <w:shd w:val="clear" w:color="auto" w:fill="FFFFFF"/>
            <w:vAlign w:val="bottom"/>
            <w:hideMark/>
          </w:tcPr>
          <w:p w14:paraId="2ABA74E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E24318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D8D50A0"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earnings</w:t>
            </w:r>
          </w:p>
        </w:tc>
        <w:tc>
          <w:tcPr>
            <w:tcW w:w="0" w:type="auto"/>
            <w:shd w:val="clear" w:color="auto" w:fill="FFFFFF"/>
            <w:vAlign w:val="bottom"/>
            <w:hideMark/>
          </w:tcPr>
          <w:p w14:paraId="115AEDA2"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85B1BB8"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0A4340B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(loss) income</w:t>
            </w:r>
            <w:r w:rsidRPr="004B2A77">
              <w:rPr>
                <w:rFonts w:ascii="Arial" w:eastAsia="微软雅黑" w:hAnsi="Arial" w:cs="Arial"/>
                <w:b/>
                <w:bCs/>
                <w:color w:val="000000"/>
                <w:kern w:val="0"/>
                <w:sz w:val="9"/>
                <w:szCs w:val="9"/>
              </w:rPr>
              <w:t>1)</w:t>
            </w:r>
          </w:p>
        </w:tc>
        <w:tc>
          <w:tcPr>
            <w:tcW w:w="0" w:type="auto"/>
            <w:shd w:val="clear" w:color="auto" w:fill="FFFFFF"/>
            <w:vAlign w:val="bottom"/>
            <w:hideMark/>
          </w:tcPr>
          <w:p w14:paraId="51161195"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6AD52F3"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2541B9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stock</w:t>
            </w:r>
          </w:p>
        </w:tc>
        <w:tc>
          <w:tcPr>
            <w:tcW w:w="0" w:type="auto"/>
            <w:shd w:val="clear" w:color="auto" w:fill="FFFFFF"/>
            <w:vAlign w:val="bottom"/>
            <w:hideMark/>
          </w:tcPr>
          <w:p w14:paraId="7FB3CF4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0243CC0"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793B56C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equity</w:t>
            </w:r>
          </w:p>
        </w:tc>
        <w:tc>
          <w:tcPr>
            <w:tcW w:w="0" w:type="auto"/>
            <w:shd w:val="clear" w:color="auto" w:fill="FFFFFF"/>
            <w:vAlign w:val="bottom"/>
            <w:hideMark/>
          </w:tcPr>
          <w:p w14:paraId="747C357A"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C1C83D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4CFA354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interest</w:t>
            </w:r>
          </w:p>
        </w:tc>
        <w:tc>
          <w:tcPr>
            <w:tcW w:w="0" w:type="auto"/>
            <w:shd w:val="clear" w:color="auto" w:fill="FFFFFF"/>
            <w:vAlign w:val="bottom"/>
            <w:hideMark/>
          </w:tcPr>
          <w:p w14:paraId="35D9E54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33D35B4"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E41DF41"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equity</w:t>
            </w:r>
          </w:p>
        </w:tc>
        <w:tc>
          <w:tcPr>
            <w:tcW w:w="0" w:type="auto"/>
            <w:shd w:val="clear" w:color="auto" w:fill="FFFFFF"/>
            <w:vAlign w:val="bottom"/>
            <w:hideMark/>
          </w:tcPr>
          <w:p w14:paraId="201EA88B" w14:textId="77777777" w:rsidR="004B2A77" w:rsidRPr="004B2A77" w:rsidRDefault="004B2A77" w:rsidP="004B2A77">
            <w:pPr>
              <w:widowControl/>
              <w:jc w:val="center"/>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152D47A8" w14:textId="77777777" w:rsidTr="004B2A77">
        <w:trPr>
          <w:trHeight w:val="120"/>
          <w:tblCellSpacing w:w="15" w:type="dxa"/>
        </w:trPr>
        <w:tc>
          <w:tcPr>
            <w:tcW w:w="0" w:type="auto"/>
            <w:shd w:val="clear" w:color="auto" w:fill="FFFFFF"/>
            <w:vAlign w:val="bottom"/>
            <w:hideMark/>
          </w:tcPr>
          <w:p w14:paraId="2597B1B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Balance at December 31, 2019</w:t>
            </w:r>
          </w:p>
        </w:tc>
        <w:tc>
          <w:tcPr>
            <w:tcW w:w="0" w:type="auto"/>
            <w:shd w:val="clear" w:color="auto" w:fill="FFFFFF"/>
            <w:vAlign w:val="bottom"/>
            <w:hideMark/>
          </w:tcPr>
          <w:p w14:paraId="4788C26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64976B0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1FF18B1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103</w:t>
            </w:r>
          </w:p>
        </w:tc>
        <w:tc>
          <w:tcPr>
            <w:tcW w:w="0" w:type="auto"/>
            <w:shd w:val="clear" w:color="auto" w:fill="FFFFFF"/>
            <w:noWrap/>
            <w:vAlign w:val="bottom"/>
            <w:hideMark/>
          </w:tcPr>
          <w:p w14:paraId="1071B6E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58211E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19F4E8C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63925CC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103</w:t>
            </w:r>
          </w:p>
        </w:tc>
        <w:tc>
          <w:tcPr>
            <w:tcW w:w="0" w:type="auto"/>
            <w:shd w:val="clear" w:color="auto" w:fill="FFFFFF"/>
            <w:noWrap/>
            <w:vAlign w:val="bottom"/>
            <w:hideMark/>
          </w:tcPr>
          <w:p w14:paraId="00FE134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E35CA6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60A3B6A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03A3F29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1,329</w:t>
            </w:r>
          </w:p>
        </w:tc>
        <w:tc>
          <w:tcPr>
            <w:tcW w:w="0" w:type="auto"/>
            <w:shd w:val="clear" w:color="auto" w:fill="FFFFFF"/>
            <w:noWrap/>
            <w:vAlign w:val="bottom"/>
            <w:hideMark/>
          </w:tcPr>
          <w:p w14:paraId="439E3DA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8B035B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0B09859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0757097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2,284</w:t>
            </w:r>
          </w:p>
        </w:tc>
        <w:tc>
          <w:tcPr>
            <w:tcW w:w="0" w:type="auto"/>
            <w:shd w:val="clear" w:color="auto" w:fill="FFFFFF"/>
            <w:noWrap/>
            <w:vAlign w:val="bottom"/>
            <w:hideMark/>
          </w:tcPr>
          <w:p w14:paraId="3111D2C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3CFBB8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235A6D2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5F1A711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(449</w:t>
            </w:r>
          </w:p>
        </w:tc>
        <w:tc>
          <w:tcPr>
            <w:tcW w:w="0" w:type="auto"/>
            <w:shd w:val="clear" w:color="auto" w:fill="FFFFFF"/>
            <w:noWrap/>
            <w:vAlign w:val="bottom"/>
            <w:hideMark/>
          </w:tcPr>
          <w:p w14:paraId="14709BB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FFFFFF"/>
            <w:vAlign w:val="bottom"/>
            <w:hideMark/>
          </w:tcPr>
          <w:p w14:paraId="3F120BE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325F69A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1164B8C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(1,158</w:t>
            </w:r>
          </w:p>
        </w:tc>
        <w:tc>
          <w:tcPr>
            <w:tcW w:w="0" w:type="auto"/>
            <w:shd w:val="clear" w:color="auto" w:fill="FFFFFF"/>
            <w:noWrap/>
            <w:vAlign w:val="bottom"/>
            <w:hideMark/>
          </w:tcPr>
          <w:p w14:paraId="6011A25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FFFFFF"/>
            <w:vAlign w:val="bottom"/>
            <w:hideMark/>
          </w:tcPr>
          <w:p w14:paraId="1F8D49E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0A59178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16E7A1F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2,109</w:t>
            </w:r>
          </w:p>
        </w:tc>
        <w:tc>
          <w:tcPr>
            <w:tcW w:w="0" w:type="auto"/>
            <w:shd w:val="clear" w:color="auto" w:fill="FFFFFF"/>
            <w:noWrap/>
            <w:vAlign w:val="bottom"/>
            <w:hideMark/>
          </w:tcPr>
          <w:p w14:paraId="4F3DE62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4B393C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48390DD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4FD3BA3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13</w:t>
            </w:r>
          </w:p>
        </w:tc>
        <w:tc>
          <w:tcPr>
            <w:tcW w:w="0" w:type="auto"/>
            <w:shd w:val="clear" w:color="auto" w:fill="FFFFFF"/>
            <w:noWrap/>
            <w:vAlign w:val="bottom"/>
            <w:hideMark/>
          </w:tcPr>
          <w:p w14:paraId="089B4E5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918ECD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5C43E04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32FF152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2,122</w:t>
            </w:r>
          </w:p>
        </w:tc>
        <w:tc>
          <w:tcPr>
            <w:tcW w:w="0" w:type="auto"/>
            <w:shd w:val="clear" w:color="auto" w:fill="FFFFFF"/>
            <w:noWrap/>
            <w:vAlign w:val="bottom"/>
            <w:hideMark/>
          </w:tcPr>
          <w:p w14:paraId="7EDA3B9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1FAF9805" w14:textId="77777777" w:rsidTr="004B2A77">
        <w:trPr>
          <w:trHeight w:val="120"/>
          <w:tblCellSpacing w:w="15" w:type="dxa"/>
        </w:trPr>
        <w:tc>
          <w:tcPr>
            <w:tcW w:w="0" w:type="auto"/>
            <w:shd w:val="clear" w:color="auto" w:fill="CFF0FC"/>
            <w:hideMark/>
          </w:tcPr>
          <w:p w14:paraId="0522C13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Comprehensive Income:</w:t>
            </w:r>
          </w:p>
        </w:tc>
        <w:tc>
          <w:tcPr>
            <w:tcW w:w="0" w:type="auto"/>
            <w:shd w:val="clear" w:color="auto" w:fill="CFF0FC"/>
            <w:vAlign w:val="bottom"/>
            <w:hideMark/>
          </w:tcPr>
          <w:p w14:paraId="215C066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26E243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670FFF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8179AD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2C9BFF3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79B14B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37740C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0FCA2B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6FAA4C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88FB0B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B7B618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75A4ED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E8F683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E9F002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4D55B5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81CFE0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B4A370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92DAAE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8027C4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267266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A384EF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D3A8A5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9D9E3F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70AD1E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523184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E665C5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7F150A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373C159A" w14:textId="77777777" w:rsidTr="004B2A77">
        <w:trPr>
          <w:trHeight w:val="120"/>
          <w:tblCellSpacing w:w="15" w:type="dxa"/>
        </w:trPr>
        <w:tc>
          <w:tcPr>
            <w:tcW w:w="0" w:type="auto"/>
            <w:shd w:val="clear" w:color="auto" w:fill="FFFFFF"/>
            <w:hideMark/>
          </w:tcPr>
          <w:p w14:paraId="2E67B5A2"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Net income</w:t>
            </w:r>
          </w:p>
        </w:tc>
        <w:tc>
          <w:tcPr>
            <w:tcW w:w="0" w:type="auto"/>
            <w:shd w:val="clear" w:color="auto" w:fill="FFFFFF"/>
            <w:vAlign w:val="bottom"/>
            <w:hideMark/>
          </w:tcPr>
          <w:p w14:paraId="5BAFDC1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049A7EA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5FA680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2766CD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43AAE8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A4647E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540970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9EE869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EAD23C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34308A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7DAFA35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61A350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187</w:t>
            </w:r>
          </w:p>
        </w:tc>
        <w:tc>
          <w:tcPr>
            <w:tcW w:w="0" w:type="auto"/>
            <w:shd w:val="clear" w:color="auto" w:fill="FFFFFF"/>
            <w:noWrap/>
            <w:vAlign w:val="bottom"/>
            <w:hideMark/>
          </w:tcPr>
          <w:p w14:paraId="4671CB5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692115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CAEDB9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B2B0C2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D7E9F1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DA93A0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023D2C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9599A3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7D7D46B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A0E6E3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187</w:t>
            </w:r>
          </w:p>
        </w:tc>
        <w:tc>
          <w:tcPr>
            <w:tcW w:w="0" w:type="auto"/>
            <w:shd w:val="clear" w:color="auto" w:fill="FFFFFF"/>
            <w:noWrap/>
            <w:vAlign w:val="bottom"/>
            <w:hideMark/>
          </w:tcPr>
          <w:p w14:paraId="26A5F89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83E617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1C2DFD4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B5B627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FFFFFF"/>
            <w:noWrap/>
            <w:vAlign w:val="bottom"/>
            <w:hideMark/>
          </w:tcPr>
          <w:p w14:paraId="6BDD53D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4E6F69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4B8EC66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F5E95E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188</w:t>
            </w:r>
          </w:p>
        </w:tc>
        <w:tc>
          <w:tcPr>
            <w:tcW w:w="0" w:type="auto"/>
            <w:shd w:val="clear" w:color="auto" w:fill="FFFFFF"/>
            <w:noWrap/>
            <w:vAlign w:val="bottom"/>
            <w:hideMark/>
          </w:tcPr>
          <w:p w14:paraId="2AA92D5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3642D18E" w14:textId="77777777" w:rsidTr="004B2A77">
        <w:trPr>
          <w:trHeight w:val="120"/>
          <w:tblCellSpacing w:w="15" w:type="dxa"/>
        </w:trPr>
        <w:tc>
          <w:tcPr>
            <w:tcW w:w="0" w:type="auto"/>
            <w:shd w:val="clear" w:color="auto" w:fill="CFF0FC"/>
            <w:hideMark/>
          </w:tcPr>
          <w:p w14:paraId="17158FFC"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Foreign currency translation</w:t>
            </w:r>
          </w:p>
        </w:tc>
        <w:tc>
          <w:tcPr>
            <w:tcW w:w="0" w:type="auto"/>
            <w:shd w:val="clear" w:color="auto" w:fill="CFF0FC"/>
            <w:vAlign w:val="bottom"/>
            <w:hideMark/>
          </w:tcPr>
          <w:p w14:paraId="314184A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989ABF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19610C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50E35B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2D2EEFA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CAD2C3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A86238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270ED5E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F2FE3A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B3DE32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040F6E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74D201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4D4C4D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7190EFB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049C18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96</w:t>
            </w:r>
          </w:p>
        </w:tc>
        <w:tc>
          <w:tcPr>
            <w:tcW w:w="0" w:type="auto"/>
            <w:shd w:val="clear" w:color="auto" w:fill="CFF0FC"/>
            <w:noWrap/>
            <w:vAlign w:val="bottom"/>
            <w:hideMark/>
          </w:tcPr>
          <w:p w14:paraId="08926E2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49794C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7634216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8F2A81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0283AD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426585C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BC9BD9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96</w:t>
            </w:r>
          </w:p>
        </w:tc>
        <w:tc>
          <w:tcPr>
            <w:tcW w:w="0" w:type="auto"/>
            <w:shd w:val="clear" w:color="auto" w:fill="CFF0FC"/>
            <w:noWrap/>
            <w:vAlign w:val="bottom"/>
            <w:hideMark/>
          </w:tcPr>
          <w:p w14:paraId="157B40B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46DA34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6D1E115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58B3C8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CFF0FC"/>
            <w:noWrap/>
            <w:vAlign w:val="bottom"/>
            <w:hideMark/>
          </w:tcPr>
          <w:p w14:paraId="399EA4E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628BD7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33F90A4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40CC27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97</w:t>
            </w:r>
          </w:p>
        </w:tc>
        <w:tc>
          <w:tcPr>
            <w:tcW w:w="0" w:type="auto"/>
            <w:shd w:val="clear" w:color="auto" w:fill="CFF0FC"/>
            <w:noWrap/>
            <w:vAlign w:val="bottom"/>
            <w:hideMark/>
          </w:tcPr>
          <w:p w14:paraId="288CA28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1CF0639E" w14:textId="77777777" w:rsidTr="004B2A77">
        <w:trPr>
          <w:trHeight w:val="120"/>
          <w:tblCellSpacing w:w="15" w:type="dxa"/>
        </w:trPr>
        <w:tc>
          <w:tcPr>
            <w:tcW w:w="0" w:type="auto"/>
            <w:shd w:val="clear" w:color="auto" w:fill="FFFFFF"/>
            <w:hideMark/>
          </w:tcPr>
          <w:p w14:paraId="3C6E123F"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Pension liability</w:t>
            </w:r>
          </w:p>
        </w:tc>
        <w:tc>
          <w:tcPr>
            <w:tcW w:w="0" w:type="auto"/>
            <w:shd w:val="clear" w:color="auto" w:fill="FFFFFF"/>
            <w:vAlign w:val="bottom"/>
            <w:hideMark/>
          </w:tcPr>
          <w:p w14:paraId="65BED6A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53E71E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7A3A61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C26D88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094CB02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E0E48C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50A726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CD496A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2A4D42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86B67D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B7C234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462827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234964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2676FE3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E03293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6</w:t>
            </w:r>
          </w:p>
        </w:tc>
        <w:tc>
          <w:tcPr>
            <w:tcW w:w="0" w:type="auto"/>
            <w:shd w:val="clear" w:color="auto" w:fill="FFFFFF"/>
            <w:noWrap/>
            <w:vAlign w:val="bottom"/>
            <w:hideMark/>
          </w:tcPr>
          <w:p w14:paraId="1A512DC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754E18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E5C325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204D01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DB0901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0994E55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302E7D9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6</w:t>
            </w:r>
          </w:p>
        </w:tc>
        <w:tc>
          <w:tcPr>
            <w:tcW w:w="0" w:type="auto"/>
            <w:shd w:val="clear" w:color="auto" w:fill="FFFFFF"/>
            <w:noWrap/>
            <w:vAlign w:val="bottom"/>
            <w:hideMark/>
          </w:tcPr>
          <w:p w14:paraId="0295CF6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8431E7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1F509A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08072F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AC7F82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0488ACE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0A5D78C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6</w:t>
            </w:r>
          </w:p>
        </w:tc>
        <w:tc>
          <w:tcPr>
            <w:tcW w:w="0" w:type="auto"/>
            <w:shd w:val="clear" w:color="auto" w:fill="FFFFFF"/>
            <w:noWrap/>
            <w:vAlign w:val="bottom"/>
            <w:hideMark/>
          </w:tcPr>
          <w:p w14:paraId="3EF01F5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0403E340" w14:textId="77777777" w:rsidTr="004B2A77">
        <w:trPr>
          <w:trHeight w:val="120"/>
          <w:tblCellSpacing w:w="15" w:type="dxa"/>
        </w:trPr>
        <w:tc>
          <w:tcPr>
            <w:tcW w:w="0" w:type="auto"/>
            <w:shd w:val="clear" w:color="auto" w:fill="CFF0FC"/>
            <w:hideMark/>
          </w:tcPr>
          <w:p w14:paraId="4D2A71A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i/>
                <w:iCs/>
                <w:color w:val="000000"/>
                <w:kern w:val="0"/>
                <w:sz w:val="13"/>
                <w:szCs w:val="13"/>
              </w:rPr>
              <w:t>Total Comprehensive Income</w:t>
            </w:r>
          </w:p>
        </w:tc>
        <w:tc>
          <w:tcPr>
            <w:tcW w:w="0" w:type="auto"/>
            <w:shd w:val="clear" w:color="auto" w:fill="CFF0FC"/>
            <w:vAlign w:val="bottom"/>
            <w:hideMark/>
          </w:tcPr>
          <w:p w14:paraId="7056D18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DB2362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8D3B8C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D65736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808211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AEA228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33B979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0327F8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C54110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01DF3F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1825FE7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49FCEA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1C6F5E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8D53F4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7EA2D7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DDF360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7277CE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0F0BBF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E68803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6A0CD8A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9E0BB3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289</w:t>
            </w:r>
          </w:p>
        </w:tc>
        <w:tc>
          <w:tcPr>
            <w:tcW w:w="0" w:type="auto"/>
            <w:shd w:val="clear" w:color="auto" w:fill="CFF0FC"/>
            <w:noWrap/>
            <w:vAlign w:val="bottom"/>
            <w:hideMark/>
          </w:tcPr>
          <w:p w14:paraId="0D79FA9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B8EC6F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4F73212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ECCD7C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2</w:t>
            </w:r>
          </w:p>
        </w:tc>
        <w:tc>
          <w:tcPr>
            <w:tcW w:w="0" w:type="auto"/>
            <w:shd w:val="clear" w:color="auto" w:fill="CFF0FC"/>
            <w:noWrap/>
            <w:vAlign w:val="bottom"/>
            <w:hideMark/>
          </w:tcPr>
          <w:p w14:paraId="637F912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FEFD85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1F4C29C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47EC51E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291</w:t>
            </w:r>
          </w:p>
        </w:tc>
        <w:tc>
          <w:tcPr>
            <w:tcW w:w="0" w:type="auto"/>
            <w:shd w:val="clear" w:color="auto" w:fill="CFF0FC"/>
            <w:noWrap/>
            <w:vAlign w:val="bottom"/>
            <w:hideMark/>
          </w:tcPr>
          <w:p w14:paraId="500FAA4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456F33CC" w14:textId="77777777" w:rsidTr="004B2A77">
        <w:trPr>
          <w:trHeight w:val="120"/>
          <w:tblCellSpacing w:w="15" w:type="dxa"/>
        </w:trPr>
        <w:tc>
          <w:tcPr>
            <w:tcW w:w="0" w:type="auto"/>
            <w:shd w:val="clear" w:color="auto" w:fill="FFFFFF"/>
            <w:hideMark/>
          </w:tcPr>
          <w:p w14:paraId="2431BAF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Stock-based compensation</w:t>
            </w:r>
          </w:p>
        </w:tc>
        <w:tc>
          <w:tcPr>
            <w:tcW w:w="0" w:type="auto"/>
            <w:shd w:val="clear" w:color="auto" w:fill="FFFFFF"/>
            <w:vAlign w:val="bottom"/>
            <w:hideMark/>
          </w:tcPr>
          <w:p w14:paraId="22DF19E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3F0BFC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5F921F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199965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C29609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A6C858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04AAC9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BCBC09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2A879C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454E38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67A9347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14DA5B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FFFFFF"/>
            <w:noWrap/>
            <w:vAlign w:val="bottom"/>
            <w:hideMark/>
          </w:tcPr>
          <w:p w14:paraId="7ADA84E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C29EA6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F11A8A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3804D4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C21C6F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26DA6BE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469B6D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10</w:t>
            </w:r>
          </w:p>
        </w:tc>
        <w:tc>
          <w:tcPr>
            <w:tcW w:w="0" w:type="auto"/>
            <w:shd w:val="clear" w:color="auto" w:fill="FFFFFF"/>
            <w:noWrap/>
            <w:vAlign w:val="bottom"/>
            <w:hideMark/>
          </w:tcPr>
          <w:p w14:paraId="0698F62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527328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3BC9ECB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C89E3A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11</w:t>
            </w:r>
          </w:p>
        </w:tc>
        <w:tc>
          <w:tcPr>
            <w:tcW w:w="0" w:type="auto"/>
            <w:shd w:val="clear" w:color="auto" w:fill="FFFFFF"/>
            <w:noWrap/>
            <w:vAlign w:val="bottom"/>
            <w:hideMark/>
          </w:tcPr>
          <w:p w14:paraId="60EF044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C83579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5C3AF6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F2D6FD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D2962E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27C3134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1C8485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11</w:t>
            </w:r>
          </w:p>
        </w:tc>
        <w:tc>
          <w:tcPr>
            <w:tcW w:w="0" w:type="auto"/>
            <w:shd w:val="clear" w:color="auto" w:fill="FFFFFF"/>
            <w:noWrap/>
            <w:vAlign w:val="bottom"/>
            <w:hideMark/>
          </w:tcPr>
          <w:p w14:paraId="7B8C038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1863D193" w14:textId="77777777" w:rsidTr="004B2A77">
        <w:trPr>
          <w:trHeight w:val="120"/>
          <w:tblCellSpacing w:w="15" w:type="dxa"/>
        </w:trPr>
        <w:tc>
          <w:tcPr>
            <w:tcW w:w="0" w:type="auto"/>
            <w:shd w:val="clear" w:color="auto" w:fill="CFF0FC"/>
            <w:hideMark/>
          </w:tcPr>
          <w:p w14:paraId="5622F20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Dividends paid to non-controlling</w:t>
            </w:r>
            <w:r w:rsidRPr="004B2A77">
              <w:rPr>
                <w:rFonts w:ascii="Arial" w:eastAsia="微软雅黑" w:hAnsi="Arial" w:cs="Arial"/>
                <w:color w:val="000000"/>
                <w:kern w:val="0"/>
                <w:sz w:val="13"/>
                <w:szCs w:val="13"/>
              </w:rPr>
              <w:br/>
              <w:t>   interest on subsidiary shares</w:t>
            </w:r>
          </w:p>
        </w:tc>
        <w:tc>
          <w:tcPr>
            <w:tcW w:w="0" w:type="auto"/>
            <w:shd w:val="clear" w:color="auto" w:fill="CFF0FC"/>
            <w:vAlign w:val="bottom"/>
            <w:hideMark/>
          </w:tcPr>
          <w:p w14:paraId="15ACA78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1BA2BDF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D5F0FE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2F253A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3580311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1E8302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38AFD4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5622D1A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0D2A7A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C756D6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3FF3F9A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DBDCD6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57D5EF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75B17B0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4C8BB9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3D07A3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3FEDC0A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F04F91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CD4140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0F1177B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C2A3DD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B920CF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D08F0C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B098B8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CFF0FC"/>
            <w:noWrap/>
            <w:vAlign w:val="bottom"/>
            <w:hideMark/>
          </w:tcPr>
          <w:p w14:paraId="7839E12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5F806B3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C9DFE2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42C5B4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CFF0FC"/>
            <w:noWrap/>
            <w:vAlign w:val="bottom"/>
            <w:hideMark/>
          </w:tcPr>
          <w:p w14:paraId="24B6EB0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3A12CE1E" w14:textId="77777777" w:rsidTr="004B2A77">
        <w:trPr>
          <w:trHeight w:val="120"/>
          <w:tblCellSpacing w:w="15" w:type="dxa"/>
        </w:trPr>
        <w:tc>
          <w:tcPr>
            <w:tcW w:w="0" w:type="auto"/>
            <w:shd w:val="clear" w:color="auto" w:fill="FFFFFF"/>
            <w:hideMark/>
          </w:tcPr>
          <w:p w14:paraId="486BC04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Balance at December 31, 2020</w:t>
            </w:r>
          </w:p>
        </w:tc>
        <w:tc>
          <w:tcPr>
            <w:tcW w:w="0" w:type="auto"/>
            <w:shd w:val="clear" w:color="auto" w:fill="FFFFFF"/>
            <w:vAlign w:val="bottom"/>
            <w:hideMark/>
          </w:tcPr>
          <w:p w14:paraId="68BD4A3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40D651E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79106D1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103</w:t>
            </w:r>
          </w:p>
        </w:tc>
        <w:tc>
          <w:tcPr>
            <w:tcW w:w="0" w:type="auto"/>
            <w:shd w:val="clear" w:color="auto" w:fill="FFFFFF"/>
            <w:noWrap/>
            <w:vAlign w:val="bottom"/>
            <w:hideMark/>
          </w:tcPr>
          <w:p w14:paraId="063626B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676CFE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7711CF7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015000B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103</w:t>
            </w:r>
          </w:p>
        </w:tc>
        <w:tc>
          <w:tcPr>
            <w:tcW w:w="0" w:type="auto"/>
            <w:shd w:val="clear" w:color="auto" w:fill="FFFFFF"/>
            <w:noWrap/>
            <w:vAlign w:val="bottom"/>
            <w:hideMark/>
          </w:tcPr>
          <w:p w14:paraId="7537234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F51FFC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67CDC97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5CB683B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1,329</w:t>
            </w:r>
          </w:p>
        </w:tc>
        <w:tc>
          <w:tcPr>
            <w:tcW w:w="0" w:type="auto"/>
            <w:shd w:val="clear" w:color="auto" w:fill="FFFFFF"/>
            <w:noWrap/>
            <w:vAlign w:val="bottom"/>
            <w:hideMark/>
          </w:tcPr>
          <w:p w14:paraId="60E8DBA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03E6D8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55FCBD2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5BF1EE6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2,471</w:t>
            </w:r>
          </w:p>
        </w:tc>
        <w:tc>
          <w:tcPr>
            <w:tcW w:w="0" w:type="auto"/>
            <w:shd w:val="clear" w:color="auto" w:fill="FFFFFF"/>
            <w:noWrap/>
            <w:vAlign w:val="bottom"/>
            <w:hideMark/>
          </w:tcPr>
          <w:p w14:paraId="6B534F0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60B1A6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22FFD17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4B14383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(347</w:t>
            </w:r>
          </w:p>
        </w:tc>
        <w:tc>
          <w:tcPr>
            <w:tcW w:w="0" w:type="auto"/>
            <w:shd w:val="clear" w:color="auto" w:fill="FFFFFF"/>
            <w:noWrap/>
            <w:vAlign w:val="bottom"/>
            <w:hideMark/>
          </w:tcPr>
          <w:p w14:paraId="61BDA2B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FFFFFF"/>
            <w:vAlign w:val="bottom"/>
            <w:hideMark/>
          </w:tcPr>
          <w:p w14:paraId="4317652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73903E8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7FBB346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(1,147</w:t>
            </w:r>
          </w:p>
        </w:tc>
        <w:tc>
          <w:tcPr>
            <w:tcW w:w="0" w:type="auto"/>
            <w:shd w:val="clear" w:color="auto" w:fill="FFFFFF"/>
            <w:noWrap/>
            <w:vAlign w:val="bottom"/>
            <w:hideMark/>
          </w:tcPr>
          <w:p w14:paraId="4BD552C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FFFFFF"/>
            <w:vAlign w:val="bottom"/>
            <w:hideMark/>
          </w:tcPr>
          <w:p w14:paraId="51D507D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749A866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6722888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2,409</w:t>
            </w:r>
          </w:p>
        </w:tc>
        <w:tc>
          <w:tcPr>
            <w:tcW w:w="0" w:type="auto"/>
            <w:shd w:val="clear" w:color="auto" w:fill="FFFFFF"/>
            <w:noWrap/>
            <w:vAlign w:val="bottom"/>
            <w:hideMark/>
          </w:tcPr>
          <w:p w14:paraId="32DBEFD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A8DEF2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721CFE1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5D4C9E6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14</w:t>
            </w:r>
          </w:p>
        </w:tc>
        <w:tc>
          <w:tcPr>
            <w:tcW w:w="0" w:type="auto"/>
            <w:shd w:val="clear" w:color="auto" w:fill="FFFFFF"/>
            <w:noWrap/>
            <w:vAlign w:val="bottom"/>
            <w:hideMark/>
          </w:tcPr>
          <w:p w14:paraId="5F65E4E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30B6C0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483D0B6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FFFFFF"/>
            <w:vAlign w:val="bottom"/>
            <w:hideMark/>
          </w:tcPr>
          <w:p w14:paraId="68EB891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2,423</w:t>
            </w:r>
          </w:p>
        </w:tc>
        <w:tc>
          <w:tcPr>
            <w:tcW w:w="0" w:type="auto"/>
            <w:shd w:val="clear" w:color="auto" w:fill="FFFFFF"/>
            <w:noWrap/>
            <w:vAlign w:val="bottom"/>
            <w:hideMark/>
          </w:tcPr>
          <w:p w14:paraId="2EF64DC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3F171257" w14:textId="77777777" w:rsidTr="004B2A77">
        <w:trPr>
          <w:trHeight w:val="120"/>
          <w:tblCellSpacing w:w="15" w:type="dxa"/>
        </w:trPr>
        <w:tc>
          <w:tcPr>
            <w:tcW w:w="0" w:type="auto"/>
            <w:shd w:val="clear" w:color="auto" w:fill="CFF0FC"/>
            <w:hideMark/>
          </w:tcPr>
          <w:p w14:paraId="7E7A344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Comprehensive Income:</w:t>
            </w:r>
          </w:p>
        </w:tc>
        <w:tc>
          <w:tcPr>
            <w:tcW w:w="0" w:type="auto"/>
            <w:shd w:val="clear" w:color="auto" w:fill="CFF0FC"/>
            <w:vAlign w:val="bottom"/>
            <w:hideMark/>
          </w:tcPr>
          <w:p w14:paraId="313490C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8A2642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8E9FC4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380C34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DD15D0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3EBB42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46A523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DE10E5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DEF7A2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72D97C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B25CD3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43EC23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6ACE4B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1CFE1B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F12955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6F7704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D9C7AC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71E728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61D00F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1BA954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DFD188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1A2260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4994BC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7FD19D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3D4187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ABAF67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18D919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4AF9A272" w14:textId="77777777" w:rsidTr="004B2A77">
        <w:trPr>
          <w:trHeight w:val="120"/>
          <w:tblCellSpacing w:w="15" w:type="dxa"/>
        </w:trPr>
        <w:tc>
          <w:tcPr>
            <w:tcW w:w="0" w:type="auto"/>
            <w:shd w:val="clear" w:color="auto" w:fill="FFFFFF"/>
            <w:hideMark/>
          </w:tcPr>
          <w:p w14:paraId="73276E31"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Net income</w:t>
            </w:r>
          </w:p>
        </w:tc>
        <w:tc>
          <w:tcPr>
            <w:tcW w:w="0" w:type="auto"/>
            <w:shd w:val="clear" w:color="auto" w:fill="FFFFFF"/>
            <w:vAlign w:val="bottom"/>
            <w:hideMark/>
          </w:tcPr>
          <w:p w14:paraId="4ABB3EC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0C64C84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16490D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A15F07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6B69C9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6A2D9E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08F16F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C71C33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35C31D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2F0B29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4700082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745639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435</w:t>
            </w:r>
          </w:p>
        </w:tc>
        <w:tc>
          <w:tcPr>
            <w:tcW w:w="0" w:type="auto"/>
            <w:shd w:val="clear" w:color="auto" w:fill="FFFFFF"/>
            <w:noWrap/>
            <w:vAlign w:val="bottom"/>
            <w:hideMark/>
          </w:tcPr>
          <w:p w14:paraId="6C0B2E4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3FBA5D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8155A8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63DF25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185ACA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03E128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858DEC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466E15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49E096A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8009E1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435</w:t>
            </w:r>
          </w:p>
        </w:tc>
        <w:tc>
          <w:tcPr>
            <w:tcW w:w="0" w:type="auto"/>
            <w:shd w:val="clear" w:color="auto" w:fill="FFFFFF"/>
            <w:noWrap/>
            <w:vAlign w:val="bottom"/>
            <w:hideMark/>
          </w:tcPr>
          <w:p w14:paraId="5ABEE51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867E81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7540A04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B52051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w:t>
            </w:r>
          </w:p>
        </w:tc>
        <w:tc>
          <w:tcPr>
            <w:tcW w:w="0" w:type="auto"/>
            <w:shd w:val="clear" w:color="auto" w:fill="FFFFFF"/>
            <w:noWrap/>
            <w:vAlign w:val="bottom"/>
            <w:hideMark/>
          </w:tcPr>
          <w:p w14:paraId="249ACEE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201261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611E87C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B4BFE8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437</w:t>
            </w:r>
          </w:p>
        </w:tc>
        <w:tc>
          <w:tcPr>
            <w:tcW w:w="0" w:type="auto"/>
            <w:shd w:val="clear" w:color="auto" w:fill="FFFFFF"/>
            <w:noWrap/>
            <w:vAlign w:val="bottom"/>
            <w:hideMark/>
          </w:tcPr>
          <w:p w14:paraId="5D70C9C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738EF055" w14:textId="77777777" w:rsidTr="004B2A77">
        <w:trPr>
          <w:trHeight w:val="120"/>
          <w:tblCellSpacing w:w="15" w:type="dxa"/>
        </w:trPr>
        <w:tc>
          <w:tcPr>
            <w:tcW w:w="0" w:type="auto"/>
            <w:shd w:val="clear" w:color="auto" w:fill="CFF0FC"/>
            <w:hideMark/>
          </w:tcPr>
          <w:p w14:paraId="65D9D05F"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Foreign currency translation</w:t>
            </w:r>
          </w:p>
        </w:tc>
        <w:tc>
          <w:tcPr>
            <w:tcW w:w="0" w:type="auto"/>
            <w:shd w:val="clear" w:color="auto" w:fill="CFF0FC"/>
            <w:vAlign w:val="bottom"/>
            <w:hideMark/>
          </w:tcPr>
          <w:p w14:paraId="701BA7F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7008D98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E8DB52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D6AAFE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0EAB62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75B382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1863AA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25844C7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F76557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9BA513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BCB46C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0684F2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CB0C6A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04C300A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7FD527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(87</w:t>
            </w:r>
          </w:p>
        </w:tc>
        <w:tc>
          <w:tcPr>
            <w:tcW w:w="0" w:type="auto"/>
            <w:shd w:val="clear" w:color="auto" w:fill="CFF0FC"/>
            <w:noWrap/>
            <w:vAlign w:val="bottom"/>
            <w:hideMark/>
          </w:tcPr>
          <w:p w14:paraId="5C51C83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4879F0A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0911B28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6FB7F1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946CA0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2BC23FD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6191E4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(87</w:t>
            </w:r>
          </w:p>
        </w:tc>
        <w:tc>
          <w:tcPr>
            <w:tcW w:w="0" w:type="auto"/>
            <w:shd w:val="clear" w:color="auto" w:fill="CFF0FC"/>
            <w:noWrap/>
            <w:vAlign w:val="bottom"/>
            <w:hideMark/>
          </w:tcPr>
          <w:p w14:paraId="1CAAB86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5C71D70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165338E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1BADE7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0</w:t>
            </w:r>
          </w:p>
        </w:tc>
        <w:tc>
          <w:tcPr>
            <w:tcW w:w="0" w:type="auto"/>
            <w:shd w:val="clear" w:color="auto" w:fill="CFF0FC"/>
            <w:noWrap/>
            <w:vAlign w:val="bottom"/>
            <w:hideMark/>
          </w:tcPr>
          <w:p w14:paraId="48F47DC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68AF8C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7C76422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FD3DE6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(86</w:t>
            </w:r>
          </w:p>
        </w:tc>
        <w:tc>
          <w:tcPr>
            <w:tcW w:w="0" w:type="auto"/>
            <w:shd w:val="clear" w:color="auto" w:fill="CFF0FC"/>
            <w:noWrap/>
            <w:vAlign w:val="bottom"/>
            <w:hideMark/>
          </w:tcPr>
          <w:p w14:paraId="5E07FD5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0BE4FA65" w14:textId="77777777" w:rsidTr="004B2A77">
        <w:trPr>
          <w:trHeight w:val="120"/>
          <w:tblCellSpacing w:w="15" w:type="dxa"/>
        </w:trPr>
        <w:tc>
          <w:tcPr>
            <w:tcW w:w="0" w:type="auto"/>
            <w:shd w:val="clear" w:color="auto" w:fill="FFFFFF"/>
            <w:hideMark/>
          </w:tcPr>
          <w:p w14:paraId="4DA6E523"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Pension liability</w:t>
            </w:r>
          </w:p>
        </w:tc>
        <w:tc>
          <w:tcPr>
            <w:tcW w:w="0" w:type="auto"/>
            <w:shd w:val="clear" w:color="auto" w:fill="FFFFFF"/>
            <w:vAlign w:val="bottom"/>
            <w:hideMark/>
          </w:tcPr>
          <w:p w14:paraId="16B15E1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2D733AD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8A4796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8D272E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C9000B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B78F1D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9E2417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7F51CF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165CB5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936694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77183C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8D8A7C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AAA6D1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6728E54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6F186C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26</w:t>
            </w:r>
          </w:p>
        </w:tc>
        <w:tc>
          <w:tcPr>
            <w:tcW w:w="0" w:type="auto"/>
            <w:shd w:val="clear" w:color="auto" w:fill="FFFFFF"/>
            <w:noWrap/>
            <w:vAlign w:val="bottom"/>
            <w:hideMark/>
          </w:tcPr>
          <w:p w14:paraId="1ACD396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E209AA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3D90DB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8F12A8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6F89A1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6A3B33A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7C3A41D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26</w:t>
            </w:r>
          </w:p>
        </w:tc>
        <w:tc>
          <w:tcPr>
            <w:tcW w:w="0" w:type="auto"/>
            <w:shd w:val="clear" w:color="auto" w:fill="FFFFFF"/>
            <w:noWrap/>
            <w:vAlign w:val="bottom"/>
            <w:hideMark/>
          </w:tcPr>
          <w:p w14:paraId="61FCFF0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1D1215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0EF8C00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7EA9F1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EE5D5B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5245060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3D05231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26</w:t>
            </w:r>
          </w:p>
        </w:tc>
        <w:tc>
          <w:tcPr>
            <w:tcW w:w="0" w:type="auto"/>
            <w:shd w:val="clear" w:color="auto" w:fill="FFFFFF"/>
            <w:noWrap/>
            <w:vAlign w:val="bottom"/>
            <w:hideMark/>
          </w:tcPr>
          <w:p w14:paraId="091F2BE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2E3E7E09" w14:textId="77777777" w:rsidTr="004B2A77">
        <w:trPr>
          <w:trHeight w:val="120"/>
          <w:tblCellSpacing w:w="15" w:type="dxa"/>
        </w:trPr>
        <w:tc>
          <w:tcPr>
            <w:tcW w:w="0" w:type="auto"/>
            <w:shd w:val="clear" w:color="auto" w:fill="CFF0FC"/>
            <w:hideMark/>
          </w:tcPr>
          <w:p w14:paraId="6A66994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i/>
                <w:iCs/>
                <w:color w:val="000000"/>
                <w:kern w:val="0"/>
                <w:sz w:val="13"/>
                <w:szCs w:val="13"/>
              </w:rPr>
              <w:lastRenderedPageBreak/>
              <w:t>Total Comprehensive Income</w:t>
            </w:r>
          </w:p>
        </w:tc>
        <w:tc>
          <w:tcPr>
            <w:tcW w:w="0" w:type="auto"/>
            <w:shd w:val="clear" w:color="auto" w:fill="CFF0FC"/>
            <w:vAlign w:val="bottom"/>
            <w:hideMark/>
          </w:tcPr>
          <w:p w14:paraId="7D12450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0EF056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CAEC43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7AB3C1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0F2E0A3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44AA61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ED380F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307B39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981675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46588D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1640321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7CF8CB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055AD2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1DFBFB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FCB1C4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E07FA1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3118C8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349313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9F310A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1CD3D86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6219E3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375</w:t>
            </w:r>
          </w:p>
        </w:tc>
        <w:tc>
          <w:tcPr>
            <w:tcW w:w="0" w:type="auto"/>
            <w:shd w:val="clear" w:color="auto" w:fill="CFF0FC"/>
            <w:noWrap/>
            <w:vAlign w:val="bottom"/>
            <w:hideMark/>
          </w:tcPr>
          <w:p w14:paraId="52BE8F2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3876ED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2DB4F2F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11DAEAE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2</w:t>
            </w:r>
          </w:p>
        </w:tc>
        <w:tc>
          <w:tcPr>
            <w:tcW w:w="0" w:type="auto"/>
            <w:shd w:val="clear" w:color="auto" w:fill="CFF0FC"/>
            <w:noWrap/>
            <w:vAlign w:val="bottom"/>
            <w:hideMark/>
          </w:tcPr>
          <w:p w14:paraId="167206E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F7F3F6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3FB045C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6872E58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377</w:t>
            </w:r>
          </w:p>
        </w:tc>
        <w:tc>
          <w:tcPr>
            <w:tcW w:w="0" w:type="auto"/>
            <w:shd w:val="clear" w:color="auto" w:fill="CFF0FC"/>
            <w:noWrap/>
            <w:vAlign w:val="bottom"/>
            <w:hideMark/>
          </w:tcPr>
          <w:p w14:paraId="1ADD136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65C7E37C" w14:textId="77777777" w:rsidTr="004B2A77">
        <w:trPr>
          <w:trHeight w:val="120"/>
          <w:tblCellSpacing w:w="15" w:type="dxa"/>
        </w:trPr>
        <w:tc>
          <w:tcPr>
            <w:tcW w:w="0" w:type="auto"/>
            <w:shd w:val="clear" w:color="auto" w:fill="FFFFFF"/>
            <w:hideMark/>
          </w:tcPr>
          <w:p w14:paraId="2E75DF6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Stock-based compensation</w:t>
            </w:r>
          </w:p>
        </w:tc>
        <w:tc>
          <w:tcPr>
            <w:tcW w:w="0" w:type="auto"/>
            <w:shd w:val="clear" w:color="auto" w:fill="FFFFFF"/>
            <w:vAlign w:val="bottom"/>
            <w:hideMark/>
          </w:tcPr>
          <w:p w14:paraId="7B08853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0EAEF5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FED83C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5E422B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C1552C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916477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6C11EB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09C31A1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CCC70C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A0FFB6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022D831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70A611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43CA75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35ECDDF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B0B53D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C9D6C6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1E537AF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3A1124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15</w:t>
            </w:r>
          </w:p>
        </w:tc>
        <w:tc>
          <w:tcPr>
            <w:tcW w:w="0" w:type="auto"/>
            <w:shd w:val="clear" w:color="auto" w:fill="FFFFFF"/>
            <w:noWrap/>
            <w:vAlign w:val="bottom"/>
            <w:hideMark/>
          </w:tcPr>
          <w:p w14:paraId="5546D84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9E3F54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5944BA2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CA6F19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15</w:t>
            </w:r>
          </w:p>
        </w:tc>
        <w:tc>
          <w:tcPr>
            <w:tcW w:w="0" w:type="auto"/>
            <w:shd w:val="clear" w:color="auto" w:fill="FFFFFF"/>
            <w:noWrap/>
            <w:vAlign w:val="bottom"/>
            <w:hideMark/>
          </w:tcPr>
          <w:p w14:paraId="6B9006B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F5FD11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9E6059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871A40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AAEC4D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1DC312B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FB2252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15</w:t>
            </w:r>
          </w:p>
        </w:tc>
        <w:tc>
          <w:tcPr>
            <w:tcW w:w="0" w:type="auto"/>
            <w:shd w:val="clear" w:color="auto" w:fill="FFFFFF"/>
            <w:noWrap/>
            <w:vAlign w:val="bottom"/>
            <w:hideMark/>
          </w:tcPr>
          <w:p w14:paraId="5047991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2CB0EB29" w14:textId="77777777" w:rsidTr="004B2A77">
        <w:trPr>
          <w:trHeight w:val="120"/>
          <w:tblCellSpacing w:w="15" w:type="dxa"/>
        </w:trPr>
        <w:tc>
          <w:tcPr>
            <w:tcW w:w="0" w:type="auto"/>
            <w:shd w:val="clear" w:color="auto" w:fill="CFF0FC"/>
            <w:hideMark/>
          </w:tcPr>
          <w:p w14:paraId="406F02B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Cash dividends declared</w:t>
            </w:r>
          </w:p>
        </w:tc>
        <w:tc>
          <w:tcPr>
            <w:tcW w:w="0" w:type="auto"/>
            <w:shd w:val="clear" w:color="auto" w:fill="CFF0FC"/>
            <w:vAlign w:val="bottom"/>
            <w:hideMark/>
          </w:tcPr>
          <w:p w14:paraId="7DC8B55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17E1E30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FCEAF3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725F6D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167AEEE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52C874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84ED42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232DFE2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67C5FD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C76432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3FFB0CE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D2ADCA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(165</w:t>
            </w:r>
          </w:p>
        </w:tc>
        <w:tc>
          <w:tcPr>
            <w:tcW w:w="0" w:type="auto"/>
            <w:shd w:val="clear" w:color="auto" w:fill="CFF0FC"/>
            <w:noWrap/>
            <w:vAlign w:val="bottom"/>
            <w:hideMark/>
          </w:tcPr>
          <w:p w14:paraId="10609BC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6544432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06D2368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9825AF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8E9917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237EA89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D15CC2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846735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21C4F6F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C43AB2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(165</w:t>
            </w:r>
          </w:p>
        </w:tc>
        <w:tc>
          <w:tcPr>
            <w:tcW w:w="0" w:type="auto"/>
            <w:shd w:val="clear" w:color="auto" w:fill="CFF0FC"/>
            <w:noWrap/>
            <w:vAlign w:val="bottom"/>
            <w:hideMark/>
          </w:tcPr>
          <w:p w14:paraId="6B09412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5D1503B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0A3BF38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8FA1B1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DED4EA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43EEBFE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944979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(165</w:t>
            </w:r>
          </w:p>
        </w:tc>
        <w:tc>
          <w:tcPr>
            <w:tcW w:w="0" w:type="auto"/>
            <w:shd w:val="clear" w:color="auto" w:fill="CFF0FC"/>
            <w:noWrap/>
            <w:vAlign w:val="bottom"/>
            <w:hideMark/>
          </w:tcPr>
          <w:p w14:paraId="17798A0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03C78B8B" w14:textId="77777777" w:rsidTr="004B2A77">
        <w:trPr>
          <w:trHeight w:val="120"/>
          <w:tblCellSpacing w:w="15" w:type="dxa"/>
        </w:trPr>
        <w:tc>
          <w:tcPr>
            <w:tcW w:w="0" w:type="auto"/>
            <w:shd w:val="clear" w:color="auto" w:fill="FFFFFF"/>
            <w:hideMark/>
          </w:tcPr>
          <w:p w14:paraId="1A3A5BB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Dividends paid to non-controlling</w:t>
            </w:r>
            <w:r w:rsidRPr="004B2A77">
              <w:rPr>
                <w:rFonts w:ascii="Arial" w:eastAsia="微软雅黑" w:hAnsi="Arial" w:cs="Arial"/>
                <w:color w:val="000000"/>
                <w:kern w:val="0"/>
                <w:sz w:val="13"/>
                <w:szCs w:val="13"/>
              </w:rPr>
              <w:br/>
              <w:t>   interest on subsidiary shares</w:t>
            </w:r>
          </w:p>
        </w:tc>
        <w:tc>
          <w:tcPr>
            <w:tcW w:w="0" w:type="auto"/>
            <w:shd w:val="clear" w:color="auto" w:fill="FFFFFF"/>
            <w:vAlign w:val="bottom"/>
            <w:hideMark/>
          </w:tcPr>
          <w:p w14:paraId="4BDD2A7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7EB2C66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B737AC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83AC24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13C9D7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D71155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64BF51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7B06F27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4916B8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9D78DE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0D6CECE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6C8528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E12AFE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DF306D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F5B0CF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30C96B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450020B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0F4B62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6FD82B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368C59F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163DDA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F3C0F3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2E21656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523B52B7"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FFFFFF"/>
            <w:noWrap/>
            <w:vAlign w:val="bottom"/>
            <w:hideMark/>
          </w:tcPr>
          <w:p w14:paraId="48E128D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FFFFFF"/>
            <w:vAlign w:val="bottom"/>
            <w:hideMark/>
          </w:tcPr>
          <w:p w14:paraId="00E7E12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5AB6298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19630F8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FFFFFF"/>
            <w:noWrap/>
            <w:vAlign w:val="bottom"/>
            <w:hideMark/>
          </w:tcPr>
          <w:p w14:paraId="0856C4C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389DCBE2" w14:textId="77777777" w:rsidTr="004B2A77">
        <w:trPr>
          <w:trHeight w:val="120"/>
          <w:tblCellSpacing w:w="15" w:type="dxa"/>
        </w:trPr>
        <w:tc>
          <w:tcPr>
            <w:tcW w:w="0" w:type="auto"/>
            <w:shd w:val="clear" w:color="auto" w:fill="CFF0FC"/>
            <w:hideMark/>
          </w:tcPr>
          <w:p w14:paraId="1940FC0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Balance at December 31, 2021</w:t>
            </w:r>
          </w:p>
        </w:tc>
        <w:tc>
          <w:tcPr>
            <w:tcW w:w="0" w:type="auto"/>
            <w:shd w:val="clear" w:color="auto" w:fill="CFF0FC"/>
            <w:vAlign w:val="bottom"/>
            <w:hideMark/>
          </w:tcPr>
          <w:p w14:paraId="6D11A30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8A7775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2B9A28F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103</w:t>
            </w:r>
          </w:p>
        </w:tc>
        <w:tc>
          <w:tcPr>
            <w:tcW w:w="0" w:type="auto"/>
            <w:shd w:val="clear" w:color="auto" w:fill="CFF0FC"/>
            <w:noWrap/>
            <w:vAlign w:val="bottom"/>
            <w:hideMark/>
          </w:tcPr>
          <w:p w14:paraId="54213AF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9E0871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5AAC03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129CCF6E"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103</w:t>
            </w:r>
          </w:p>
        </w:tc>
        <w:tc>
          <w:tcPr>
            <w:tcW w:w="0" w:type="auto"/>
            <w:shd w:val="clear" w:color="auto" w:fill="CFF0FC"/>
            <w:noWrap/>
            <w:vAlign w:val="bottom"/>
            <w:hideMark/>
          </w:tcPr>
          <w:p w14:paraId="24CE737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F2FB70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048C6BF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1A17C5D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1,329</w:t>
            </w:r>
          </w:p>
        </w:tc>
        <w:tc>
          <w:tcPr>
            <w:tcW w:w="0" w:type="auto"/>
            <w:shd w:val="clear" w:color="auto" w:fill="CFF0FC"/>
            <w:noWrap/>
            <w:vAlign w:val="bottom"/>
            <w:hideMark/>
          </w:tcPr>
          <w:p w14:paraId="1D0CB4E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B84AA7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7B8C083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4625262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2,742</w:t>
            </w:r>
          </w:p>
        </w:tc>
        <w:tc>
          <w:tcPr>
            <w:tcW w:w="0" w:type="auto"/>
            <w:shd w:val="clear" w:color="auto" w:fill="CFF0FC"/>
            <w:noWrap/>
            <w:vAlign w:val="bottom"/>
            <w:hideMark/>
          </w:tcPr>
          <w:p w14:paraId="1A34F10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C10152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1008511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2A1A88D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(408</w:t>
            </w:r>
          </w:p>
        </w:tc>
        <w:tc>
          <w:tcPr>
            <w:tcW w:w="0" w:type="auto"/>
            <w:shd w:val="clear" w:color="auto" w:fill="CFF0FC"/>
            <w:noWrap/>
            <w:vAlign w:val="bottom"/>
            <w:hideMark/>
          </w:tcPr>
          <w:p w14:paraId="5700522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CFF0FC"/>
            <w:vAlign w:val="bottom"/>
            <w:hideMark/>
          </w:tcPr>
          <w:p w14:paraId="425CAF4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78BC51F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6BA051A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(1,133</w:t>
            </w:r>
          </w:p>
        </w:tc>
        <w:tc>
          <w:tcPr>
            <w:tcW w:w="0" w:type="auto"/>
            <w:shd w:val="clear" w:color="auto" w:fill="CFF0FC"/>
            <w:noWrap/>
            <w:vAlign w:val="bottom"/>
            <w:hideMark/>
          </w:tcPr>
          <w:p w14:paraId="0069826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CFF0FC"/>
            <w:vAlign w:val="bottom"/>
            <w:hideMark/>
          </w:tcPr>
          <w:p w14:paraId="6ABCAAA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62EC489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1DAAF69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2,633</w:t>
            </w:r>
          </w:p>
        </w:tc>
        <w:tc>
          <w:tcPr>
            <w:tcW w:w="0" w:type="auto"/>
            <w:shd w:val="clear" w:color="auto" w:fill="CFF0FC"/>
            <w:noWrap/>
            <w:vAlign w:val="bottom"/>
            <w:hideMark/>
          </w:tcPr>
          <w:p w14:paraId="42C20DB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994F4A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27B90D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696FD1C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15</w:t>
            </w:r>
          </w:p>
        </w:tc>
        <w:tc>
          <w:tcPr>
            <w:tcW w:w="0" w:type="auto"/>
            <w:shd w:val="clear" w:color="auto" w:fill="CFF0FC"/>
            <w:noWrap/>
            <w:vAlign w:val="bottom"/>
            <w:hideMark/>
          </w:tcPr>
          <w:p w14:paraId="01CFCB6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BBB484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7ACF6F3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02EA1854"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2,648</w:t>
            </w:r>
          </w:p>
        </w:tc>
        <w:tc>
          <w:tcPr>
            <w:tcW w:w="0" w:type="auto"/>
            <w:shd w:val="clear" w:color="auto" w:fill="CFF0FC"/>
            <w:noWrap/>
            <w:vAlign w:val="bottom"/>
            <w:hideMark/>
          </w:tcPr>
          <w:p w14:paraId="69B3FA7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5BFAA41B" w14:textId="77777777" w:rsidTr="004B2A77">
        <w:trPr>
          <w:trHeight w:val="120"/>
          <w:tblCellSpacing w:w="15" w:type="dxa"/>
        </w:trPr>
        <w:tc>
          <w:tcPr>
            <w:tcW w:w="0" w:type="auto"/>
            <w:shd w:val="clear" w:color="auto" w:fill="FFFFFF"/>
            <w:hideMark/>
          </w:tcPr>
          <w:p w14:paraId="18A35D3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Comprehensive Income:</w:t>
            </w:r>
          </w:p>
        </w:tc>
        <w:tc>
          <w:tcPr>
            <w:tcW w:w="0" w:type="auto"/>
            <w:shd w:val="clear" w:color="auto" w:fill="FFFFFF"/>
            <w:vAlign w:val="bottom"/>
            <w:hideMark/>
          </w:tcPr>
          <w:p w14:paraId="4E3CD99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0F73FC9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FAE60C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FC2D0E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3FD4693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2D500C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08C9D8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3D85055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32A894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1E1959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634235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93D5D0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227003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D40A8B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495EAD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65F434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FA5AAD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1984AC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A79AF7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94DA67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2F850E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B44FC7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009765A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B23CFD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7E98E4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604F67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76F180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50616420" w14:textId="77777777" w:rsidTr="004B2A77">
        <w:trPr>
          <w:trHeight w:val="120"/>
          <w:tblCellSpacing w:w="15" w:type="dxa"/>
        </w:trPr>
        <w:tc>
          <w:tcPr>
            <w:tcW w:w="0" w:type="auto"/>
            <w:shd w:val="clear" w:color="auto" w:fill="CFF0FC"/>
            <w:hideMark/>
          </w:tcPr>
          <w:p w14:paraId="3976838A"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Net income</w:t>
            </w:r>
          </w:p>
        </w:tc>
        <w:tc>
          <w:tcPr>
            <w:tcW w:w="0" w:type="auto"/>
            <w:shd w:val="clear" w:color="auto" w:fill="CFF0FC"/>
            <w:vAlign w:val="bottom"/>
            <w:hideMark/>
          </w:tcPr>
          <w:p w14:paraId="12A115E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8D237C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3B2A69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7AE75E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AEEFB5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D2CDDD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D478BE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7CCDD32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F29B97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EBDA6E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4CB8080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B193CA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423</w:t>
            </w:r>
          </w:p>
        </w:tc>
        <w:tc>
          <w:tcPr>
            <w:tcW w:w="0" w:type="auto"/>
            <w:shd w:val="clear" w:color="auto" w:fill="CFF0FC"/>
            <w:noWrap/>
            <w:vAlign w:val="bottom"/>
            <w:hideMark/>
          </w:tcPr>
          <w:p w14:paraId="223998E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6ABD0E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878FDF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4B499D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F7FB40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129B32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7CBA84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B02967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3D53065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526C01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423</w:t>
            </w:r>
          </w:p>
        </w:tc>
        <w:tc>
          <w:tcPr>
            <w:tcW w:w="0" w:type="auto"/>
            <w:shd w:val="clear" w:color="auto" w:fill="CFF0FC"/>
            <w:noWrap/>
            <w:vAlign w:val="bottom"/>
            <w:hideMark/>
          </w:tcPr>
          <w:p w14:paraId="2AA3608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8BB341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20CB66A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62CC80A"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w:t>
            </w:r>
          </w:p>
        </w:tc>
        <w:tc>
          <w:tcPr>
            <w:tcW w:w="0" w:type="auto"/>
            <w:shd w:val="clear" w:color="auto" w:fill="CFF0FC"/>
            <w:noWrap/>
            <w:vAlign w:val="bottom"/>
            <w:hideMark/>
          </w:tcPr>
          <w:p w14:paraId="6F02FF2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10334A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5307375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6E2F48C"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425</w:t>
            </w:r>
          </w:p>
        </w:tc>
        <w:tc>
          <w:tcPr>
            <w:tcW w:w="0" w:type="auto"/>
            <w:shd w:val="clear" w:color="auto" w:fill="CFF0FC"/>
            <w:noWrap/>
            <w:vAlign w:val="bottom"/>
            <w:hideMark/>
          </w:tcPr>
          <w:p w14:paraId="5BCC86E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2317F2B0" w14:textId="77777777" w:rsidTr="004B2A77">
        <w:trPr>
          <w:trHeight w:val="120"/>
          <w:tblCellSpacing w:w="15" w:type="dxa"/>
        </w:trPr>
        <w:tc>
          <w:tcPr>
            <w:tcW w:w="0" w:type="auto"/>
            <w:shd w:val="clear" w:color="auto" w:fill="FFFFFF"/>
            <w:hideMark/>
          </w:tcPr>
          <w:p w14:paraId="434B0FA5"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Foreign currency translation</w:t>
            </w:r>
          </w:p>
        </w:tc>
        <w:tc>
          <w:tcPr>
            <w:tcW w:w="0" w:type="auto"/>
            <w:shd w:val="clear" w:color="auto" w:fill="FFFFFF"/>
            <w:vAlign w:val="bottom"/>
            <w:hideMark/>
          </w:tcPr>
          <w:p w14:paraId="31A3F5A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A12B5F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ADACEF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741DF1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3517A87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7A742B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6B80E2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2E03983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AF2D8E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1782A3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9F7D24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34AA8E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23ED88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00064DE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CE73EA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(134</w:t>
            </w:r>
          </w:p>
        </w:tc>
        <w:tc>
          <w:tcPr>
            <w:tcW w:w="0" w:type="auto"/>
            <w:shd w:val="clear" w:color="auto" w:fill="FFFFFF"/>
            <w:noWrap/>
            <w:vAlign w:val="bottom"/>
            <w:hideMark/>
          </w:tcPr>
          <w:p w14:paraId="1E5A8AA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FFFFFF"/>
            <w:vAlign w:val="bottom"/>
            <w:hideMark/>
          </w:tcPr>
          <w:p w14:paraId="1286A40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24E482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032C3D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68F76A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58C8C2C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8E6519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(134</w:t>
            </w:r>
          </w:p>
        </w:tc>
        <w:tc>
          <w:tcPr>
            <w:tcW w:w="0" w:type="auto"/>
            <w:shd w:val="clear" w:color="auto" w:fill="FFFFFF"/>
            <w:noWrap/>
            <w:vAlign w:val="bottom"/>
            <w:hideMark/>
          </w:tcPr>
          <w:p w14:paraId="26D6131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FFFFFF"/>
            <w:vAlign w:val="bottom"/>
            <w:hideMark/>
          </w:tcPr>
          <w:p w14:paraId="7DA7E48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2CF7C4B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842BC6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w:t>
            </w:r>
          </w:p>
        </w:tc>
        <w:tc>
          <w:tcPr>
            <w:tcW w:w="0" w:type="auto"/>
            <w:shd w:val="clear" w:color="auto" w:fill="FFFFFF"/>
            <w:noWrap/>
            <w:vAlign w:val="bottom"/>
            <w:hideMark/>
          </w:tcPr>
          <w:p w14:paraId="7342BB6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FFFFFF"/>
            <w:vAlign w:val="bottom"/>
            <w:hideMark/>
          </w:tcPr>
          <w:p w14:paraId="621BF4D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658C021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73A0CF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(136</w:t>
            </w:r>
          </w:p>
        </w:tc>
        <w:tc>
          <w:tcPr>
            <w:tcW w:w="0" w:type="auto"/>
            <w:shd w:val="clear" w:color="auto" w:fill="FFFFFF"/>
            <w:noWrap/>
            <w:vAlign w:val="bottom"/>
            <w:hideMark/>
          </w:tcPr>
          <w:p w14:paraId="1910584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0F0FFB31" w14:textId="77777777" w:rsidTr="004B2A77">
        <w:trPr>
          <w:trHeight w:val="120"/>
          <w:tblCellSpacing w:w="15" w:type="dxa"/>
        </w:trPr>
        <w:tc>
          <w:tcPr>
            <w:tcW w:w="0" w:type="auto"/>
            <w:shd w:val="clear" w:color="auto" w:fill="CFF0FC"/>
            <w:hideMark/>
          </w:tcPr>
          <w:p w14:paraId="68C621AD" w14:textId="77777777" w:rsidR="004B2A77" w:rsidRPr="004B2A77" w:rsidRDefault="004B2A77" w:rsidP="004B2A77">
            <w:pPr>
              <w:widowControl/>
              <w:ind w:left="200"/>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Pension liability</w:t>
            </w:r>
          </w:p>
        </w:tc>
        <w:tc>
          <w:tcPr>
            <w:tcW w:w="0" w:type="auto"/>
            <w:shd w:val="clear" w:color="auto" w:fill="CFF0FC"/>
            <w:vAlign w:val="bottom"/>
            <w:hideMark/>
          </w:tcPr>
          <w:p w14:paraId="1406DE9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695FA2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2ABA0D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D4506D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4C23E6D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85C325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4049BE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FDD0A3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DDE978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F68204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78AB6F3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3D6F4B0"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875DE1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6CD56C7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2AE40A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20</w:t>
            </w:r>
          </w:p>
        </w:tc>
        <w:tc>
          <w:tcPr>
            <w:tcW w:w="0" w:type="auto"/>
            <w:shd w:val="clear" w:color="auto" w:fill="CFF0FC"/>
            <w:noWrap/>
            <w:vAlign w:val="bottom"/>
            <w:hideMark/>
          </w:tcPr>
          <w:p w14:paraId="01F4496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3AFAC8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579DFC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F89C88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3DDCB1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0EC4FD1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362EE72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20</w:t>
            </w:r>
          </w:p>
        </w:tc>
        <w:tc>
          <w:tcPr>
            <w:tcW w:w="0" w:type="auto"/>
            <w:shd w:val="clear" w:color="auto" w:fill="CFF0FC"/>
            <w:noWrap/>
            <w:vAlign w:val="bottom"/>
            <w:hideMark/>
          </w:tcPr>
          <w:p w14:paraId="40667DB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6F09D7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CFF0FC"/>
            <w:vAlign w:val="bottom"/>
            <w:hideMark/>
          </w:tcPr>
          <w:p w14:paraId="47D5672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0E2E7E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BE6A31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A0B88F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7923CE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20</w:t>
            </w:r>
          </w:p>
        </w:tc>
        <w:tc>
          <w:tcPr>
            <w:tcW w:w="0" w:type="auto"/>
            <w:shd w:val="clear" w:color="auto" w:fill="CFF0FC"/>
            <w:noWrap/>
            <w:vAlign w:val="bottom"/>
            <w:hideMark/>
          </w:tcPr>
          <w:p w14:paraId="103652B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18B1A346" w14:textId="77777777" w:rsidTr="004B2A77">
        <w:trPr>
          <w:trHeight w:val="120"/>
          <w:tblCellSpacing w:w="15" w:type="dxa"/>
        </w:trPr>
        <w:tc>
          <w:tcPr>
            <w:tcW w:w="0" w:type="auto"/>
            <w:shd w:val="clear" w:color="auto" w:fill="FFFFFF"/>
            <w:hideMark/>
          </w:tcPr>
          <w:p w14:paraId="73244FE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i/>
                <w:iCs/>
                <w:color w:val="000000"/>
                <w:kern w:val="0"/>
                <w:sz w:val="13"/>
                <w:szCs w:val="13"/>
              </w:rPr>
              <w:t>Total Comprehensive Income</w:t>
            </w:r>
          </w:p>
        </w:tc>
        <w:tc>
          <w:tcPr>
            <w:tcW w:w="0" w:type="auto"/>
            <w:shd w:val="clear" w:color="auto" w:fill="FFFFFF"/>
            <w:vAlign w:val="bottom"/>
            <w:hideMark/>
          </w:tcPr>
          <w:p w14:paraId="531B421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7C3441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918417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293FF3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2B1E4F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DAA0D0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FC3C1C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43EECF0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B884B2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6B8FA2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316281B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B171C9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0B01E1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6F7F981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CFAC9F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C226B9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F861A1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6A3612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4D2367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3F800FE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2EEFE6D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309</w:t>
            </w:r>
          </w:p>
        </w:tc>
        <w:tc>
          <w:tcPr>
            <w:tcW w:w="0" w:type="auto"/>
            <w:shd w:val="clear" w:color="auto" w:fill="FFFFFF"/>
            <w:noWrap/>
            <w:vAlign w:val="bottom"/>
            <w:hideMark/>
          </w:tcPr>
          <w:p w14:paraId="4476B31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8C1916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54F34B7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14A41A6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0</w:t>
            </w:r>
          </w:p>
        </w:tc>
        <w:tc>
          <w:tcPr>
            <w:tcW w:w="0" w:type="auto"/>
            <w:shd w:val="clear" w:color="auto" w:fill="FFFFFF"/>
            <w:noWrap/>
            <w:vAlign w:val="bottom"/>
            <w:hideMark/>
          </w:tcPr>
          <w:p w14:paraId="7694F3D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B5C9CC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3AF79EB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4890A83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i/>
                <w:iCs/>
                <w:color w:val="000000"/>
                <w:kern w:val="0"/>
                <w:sz w:val="13"/>
                <w:szCs w:val="13"/>
              </w:rPr>
              <w:t>309</w:t>
            </w:r>
          </w:p>
        </w:tc>
        <w:tc>
          <w:tcPr>
            <w:tcW w:w="0" w:type="auto"/>
            <w:shd w:val="clear" w:color="auto" w:fill="FFFFFF"/>
            <w:noWrap/>
            <w:vAlign w:val="bottom"/>
            <w:hideMark/>
          </w:tcPr>
          <w:p w14:paraId="70917E9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4D5F28DD" w14:textId="77777777" w:rsidTr="004B2A77">
        <w:trPr>
          <w:trHeight w:val="120"/>
          <w:tblCellSpacing w:w="15" w:type="dxa"/>
        </w:trPr>
        <w:tc>
          <w:tcPr>
            <w:tcW w:w="0" w:type="auto"/>
            <w:shd w:val="clear" w:color="auto" w:fill="CFF0FC"/>
            <w:hideMark/>
          </w:tcPr>
          <w:p w14:paraId="71D16E3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Retired and repurchased shares</w:t>
            </w:r>
          </w:p>
        </w:tc>
        <w:tc>
          <w:tcPr>
            <w:tcW w:w="0" w:type="auto"/>
            <w:shd w:val="clear" w:color="auto" w:fill="CFF0FC"/>
            <w:vAlign w:val="bottom"/>
            <w:hideMark/>
          </w:tcPr>
          <w:p w14:paraId="0A7D761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0A28290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1B993E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(11</w:t>
            </w:r>
          </w:p>
        </w:tc>
        <w:tc>
          <w:tcPr>
            <w:tcW w:w="0" w:type="auto"/>
            <w:shd w:val="clear" w:color="auto" w:fill="CFF0FC"/>
            <w:noWrap/>
            <w:vAlign w:val="bottom"/>
            <w:hideMark/>
          </w:tcPr>
          <w:p w14:paraId="076BF9E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545E1B5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394B699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D1F8EC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(11</w:t>
            </w:r>
          </w:p>
        </w:tc>
        <w:tc>
          <w:tcPr>
            <w:tcW w:w="0" w:type="auto"/>
            <w:shd w:val="clear" w:color="auto" w:fill="CFF0FC"/>
            <w:noWrap/>
            <w:vAlign w:val="bottom"/>
            <w:hideMark/>
          </w:tcPr>
          <w:p w14:paraId="5EB5C4A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7E4642B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687B211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6B1D78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(216</w:t>
            </w:r>
          </w:p>
        </w:tc>
        <w:tc>
          <w:tcPr>
            <w:tcW w:w="0" w:type="auto"/>
            <w:shd w:val="clear" w:color="auto" w:fill="CFF0FC"/>
            <w:noWrap/>
            <w:vAlign w:val="bottom"/>
            <w:hideMark/>
          </w:tcPr>
          <w:p w14:paraId="7FA75F1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52F8D76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2F6BFAE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C857F7B"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(631</w:t>
            </w:r>
          </w:p>
        </w:tc>
        <w:tc>
          <w:tcPr>
            <w:tcW w:w="0" w:type="auto"/>
            <w:shd w:val="clear" w:color="auto" w:fill="CFF0FC"/>
            <w:noWrap/>
            <w:vAlign w:val="bottom"/>
            <w:hideMark/>
          </w:tcPr>
          <w:p w14:paraId="08786C6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0EE443C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609DDC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38DC7A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131198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23AD0AF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0896A2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744</w:t>
            </w:r>
          </w:p>
        </w:tc>
        <w:tc>
          <w:tcPr>
            <w:tcW w:w="0" w:type="auto"/>
            <w:shd w:val="clear" w:color="auto" w:fill="CFF0FC"/>
            <w:noWrap/>
            <w:vAlign w:val="bottom"/>
            <w:hideMark/>
          </w:tcPr>
          <w:p w14:paraId="72BB747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C70394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1851FAE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C12A2B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(115</w:t>
            </w:r>
          </w:p>
        </w:tc>
        <w:tc>
          <w:tcPr>
            <w:tcW w:w="0" w:type="auto"/>
            <w:shd w:val="clear" w:color="auto" w:fill="CFF0FC"/>
            <w:noWrap/>
            <w:vAlign w:val="bottom"/>
            <w:hideMark/>
          </w:tcPr>
          <w:p w14:paraId="11FA296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4513B1E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1F9CE86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618D5A9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6D9272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53BFC3E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ECB72B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(115</w:t>
            </w:r>
          </w:p>
        </w:tc>
        <w:tc>
          <w:tcPr>
            <w:tcW w:w="0" w:type="auto"/>
            <w:shd w:val="clear" w:color="auto" w:fill="CFF0FC"/>
            <w:noWrap/>
            <w:vAlign w:val="bottom"/>
            <w:hideMark/>
          </w:tcPr>
          <w:p w14:paraId="5DFCFC1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56705264" w14:textId="77777777" w:rsidTr="004B2A77">
        <w:trPr>
          <w:trHeight w:val="120"/>
          <w:tblCellSpacing w:w="15" w:type="dxa"/>
        </w:trPr>
        <w:tc>
          <w:tcPr>
            <w:tcW w:w="0" w:type="auto"/>
            <w:shd w:val="clear" w:color="auto" w:fill="FFFFFF"/>
            <w:hideMark/>
          </w:tcPr>
          <w:p w14:paraId="56AF767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Stock-based compensation</w:t>
            </w:r>
          </w:p>
        </w:tc>
        <w:tc>
          <w:tcPr>
            <w:tcW w:w="0" w:type="auto"/>
            <w:shd w:val="clear" w:color="auto" w:fill="FFFFFF"/>
            <w:vAlign w:val="bottom"/>
            <w:hideMark/>
          </w:tcPr>
          <w:p w14:paraId="24604DF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1D9C6A1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49F521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F1C423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3A255BB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63BB77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BF96CF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2AD58CA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D80DB1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3631DE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7C7F51D3"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B73183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974ECE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25B0CAC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A60405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2990E96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3755E25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4D7FA1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10</w:t>
            </w:r>
          </w:p>
        </w:tc>
        <w:tc>
          <w:tcPr>
            <w:tcW w:w="0" w:type="auto"/>
            <w:shd w:val="clear" w:color="auto" w:fill="FFFFFF"/>
            <w:noWrap/>
            <w:vAlign w:val="bottom"/>
            <w:hideMark/>
          </w:tcPr>
          <w:p w14:paraId="1CA32FA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B691DD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4AABD0E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C7AD091"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10</w:t>
            </w:r>
          </w:p>
        </w:tc>
        <w:tc>
          <w:tcPr>
            <w:tcW w:w="0" w:type="auto"/>
            <w:shd w:val="clear" w:color="auto" w:fill="FFFFFF"/>
            <w:noWrap/>
            <w:vAlign w:val="bottom"/>
            <w:hideMark/>
          </w:tcPr>
          <w:p w14:paraId="4EA0148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E41692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FFFFFF"/>
            <w:vAlign w:val="bottom"/>
            <w:hideMark/>
          </w:tcPr>
          <w:p w14:paraId="5E6C91CD"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62256F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E7008D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noWrap/>
            <w:vAlign w:val="bottom"/>
            <w:hideMark/>
          </w:tcPr>
          <w:p w14:paraId="5B11082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771F85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10</w:t>
            </w:r>
          </w:p>
        </w:tc>
        <w:tc>
          <w:tcPr>
            <w:tcW w:w="0" w:type="auto"/>
            <w:shd w:val="clear" w:color="auto" w:fill="FFFFFF"/>
            <w:noWrap/>
            <w:vAlign w:val="bottom"/>
            <w:hideMark/>
          </w:tcPr>
          <w:p w14:paraId="2A4FE77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r w:rsidR="004B2A77" w:rsidRPr="004B2A77" w14:paraId="03F1EA77" w14:textId="77777777" w:rsidTr="004B2A77">
        <w:trPr>
          <w:trHeight w:val="120"/>
          <w:tblCellSpacing w:w="15" w:type="dxa"/>
        </w:trPr>
        <w:tc>
          <w:tcPr>
            <w:tcW w:w="0" w:type="auto"/>
            <w:shd w:val="clear" w:color="auto" w:fill="CFF0FC"/>
            <w:hideMark/>
          </w:tcPr>
          <w:p w14:paraId="2E15B81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Cash dividends declared</w:t>
            </w:r>
          </w:p>
        </w:tc>
        <w:tc>
          <w:tcPr>
            <w:tcW w:w="0" w:type="auto"/>
            <w:shd w:val="clear" w:color="auto" w:fill="CFF0FC"/>
            <w:vAlign w:val="bottom"/>
            <w:hideMark/>
          </w:tcPr>
          <w:p w14:paraId="12435A0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CE200C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543E51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58B9BD8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8A82FF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7450DB8"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F2C106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87E20F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9C3DD5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A0EB66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21798EC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F6722A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(224</w:t>
            </w:r>
          </w:p>
        </w:tc>
        <w:tc>
          <w:tcPr>
            <w:tcW w:w="0" w:type="auto"/>
            <w:shd w:val="clear" w:color="auto" w:fill="CFF0FC"/>
            <w:noWrap/>
            <w:vAlign w:val="bottom"/>
            <w:hideMark/>
          </w:tcPr>
          <w:p w14:paraId="42A99A5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7F92D97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3FAE811A"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49BA37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1DB61C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5842DCB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819647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1311FB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749ACFE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226A6A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(224</w:t>
            </w:r>
          </w:p>
        </w:tc>
        <w:tc>
          <w:tcPr>
            <w:tcW w:w="0" w:type="auto"/>
            <w:shd w:val="clear" w:color="auto" w:fill="CFF0FC"/>
            <w:noWrap/>
            <w:vAlign w:val="bottom"/>
            <w:hideMark/>
          </w:tcPr>
          <w:p w14:paraId="4FD38D4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CFF0FC"/>
            <w:vAlign w:val="bottom"/>
            <w:hideMark/>
          </w:tcPr>
          <w:p w14:paraId="01DF194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shd w:val="clear" w:color="auto" w:fill="CFF0FC"/>
            <w:vAlign w:val="bottom"/>
            <w:hideMark/>
          </w:tcPr>
          <w:p w14:paraId="66D9C61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4B91E9A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37BE89F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noWrap/>
            <w:vAlign w:val="bottom"/>
            <w:hideMark/>
          </w:tcPr>
          <w:p w14:paraId="23BF5C5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F4725E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(224</w:t>
            </w:r>
          </w:p>
        </w:tc>
        <w:tc>
          <w:tcPr>
            <w:tcW w:w="0" w:type="auto"/>
            <w:shd w:val="clear" w:color="auto" w:fill="CFF0FC"/>
            <w:noWrap/>
            <w:vAlign w:val="bottom"/>
            <w:hideMark/>
          </w:tcPr>
          <w:p w14:paraId="678567F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1B984890" w14:textId="77777777" w:rsidTr="004B2A77">
        <w:trPr>
          <w:trHeight w:val="120"/>
          <w:tblCellSpacing w:w="15" w:type="dxa"/>
        </w:trPr>
        <w:tc>
          <w:tcPr>
            <w:tcW w:w="0" w:type="auto"/>
            <w:shd w:val="clear" w:color="auto" w:fill="FFFFFF"/>
            <w:hideMark/>
          </w:tcPr>
          <w:p w14:paraId="72BC7D2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Dividends paid to non-controlling</w:t>
            </w:r>
            <w:r w:rsidRPr="004B2A77">
              <w:rPr>
                <w:rFonts w:ascii="Arial" w:eastAsia="微软雅黑" w:hAnsi="Arial" w:cs="Arial"/>
                <w:color w:val="000000"/>
                <w:kern w:val="0"/>
                <w:sz w:val="13"/>
                <w:szCs w:val="13"/>
              </w:rPr>
              <w:br/>
              <w:t>   interest on subsidiary shares</w:t>
            </w:r>
          </w:p>
        </w:tc>
        <w:tc>
          <w:tcPr>
            <w:tcW w:w="0" w:type="auto"/>
            <w:shd w:val="clear" w:color="auto" w:fill="FFFFFF"/>
            <w:vAlign w:val="bottom"/>
            <w:hideMark/>
          </w:tcPr>
          <w:p w14:paraId="4419CAD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2C8737DB"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A76844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FBE839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1ACA4CB6"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5DED9F5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006691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10F9FF02"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1B8A1EE"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329036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774ECF9"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3BB3E2C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7F0FC05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1A5381FC"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0AE5E11"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0C5B6A8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2A1260EF"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1E1D8AE4"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6E660D0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gridSpan w:val="2"/>
            <w:tcBorders>
              <w:bottom w:val="single" w:sz="4" w:space="0" w:color="000000"/>
            </w:tcBorders>
            <w:shd w:val="clear" w:color="auto" w:fill="FFFFFF"/>
            <w:vAlign w:val="bottom"/>
            <w:hideMark/>
          </w:tcPr>
          <w:p w14:paraId="5C0F2C05"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D18B187" w14:textId="77777777" w:rsidR="004B2A77" w:rsidRPr="004B2A77" w:rsidRDefault="004B2A77" w:rsidP="004B2A77">
            <w:pPr>
              <w:widowControl/>
              <w:jc w:val="righ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FFFFFF"/>
            <w:vAlign w:val="bottom"/>
            <w:hideMark/>
          </w:tcPr>
          <w:p w14:paraId="475F6F9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3348F51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10EFF350"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w:t>
            </w:r>
          </w:p>
        </w:tc>
        <w:tc>
          <w:tcPr>
            <w:tcW w:w="0" w:type="auto"/>
            <w:shd w:val="clear" w:color="auto" w:fill="FFFFFF"/>
            <w:noWrap/>
            <w:vAlign w:val="bottom"/>
            <w:hideMark/>
          </w:tcPr>
          <w:p w14:paraId="60560A1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c>
          <w:tcPr>
            <w:tcW w:w="0" w:type="auto"/>
            <w:shd w:val="clear" w:color="auto" w:fill="FFFFFF"/>
            <w:vAlign w:val="bottom"/>
            <w:hideMark/>
          </w:tcPr>
          <w:p w14:paraId="5FCF1AB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noWrap/>
            <w:vAlign w:val="bottom"/>
            <w:hideMark/>
          </w:tcPr>
          <w:p w14:paraId="27415F1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FFFFFF"/>
            <w:vAlign w:val="bottom"/>
            <w:hideMark/>
          </w:tcPr>
          <w:p w14:paraId="11EA939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color w:val="000000"/>
                <w:kern w:val="0"/>
                <w:sz w:val="13"/>
                <w:szCs w:val="13"/>
              </w:rPr>
              <w:t>(2</w:t>
            </w:r>
          </w:p>
        </w:tc>
        <w:tc>
          <w:tcPr>
            <w:tcW w:w="0" w:type="auto"/>
            <w:shd w:val="clear" w:color="auto" w:fill="FFFFFF"/>
            <w:noWrap/>
            <w:vAlign w:val="bottom"/>
            <w:hideMark/>
          </w:tcPr>
          <w:p w14:paraId="6F2C8FDF"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color w:val="000000"/>
                <w:kern w:val="0"/>
                <w:sz w:val="13"/>
                <w:szCs w:val="13"/>
              </w:rPr>
              <w:t>)</w:t>
            </w:r>
          </w:p>
        </w:tc>
      </w:tr>
      <w:tr w:rsidR="004B2A77" w:rsidRPr="004B2A77" w14:paraId="3ED544CC" w14:textId="77777777" w:rsidTr="004B2A77">
        <w:trPr>
          <w:trHeight w:val="120"/>
          <w:tblCellSpacing w:w="15" w:type="dxa"/>
        </w:trPr>
        <w:tc>
          <w:tcPr>
            <w:tcW w:w="0" w:type="auto"/>
            <w:shd w:val="clear" w:color="auto" w:fill="CFF0FC"/>
            <w:hideMark/>
          </w:tcPr>
          <w:p w14:paraId="3C247B2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Balance at December 31, 2022</w:t>
            </w:r>
          </w:p>
        </w:tc>
        <w:tc>
          <w:tcPr>
            <w:tcW w:w="0" w:type="auto"/>
            <w:shd w:val="clear" w:color="auto" w:fill="CFF0FC"/>
            <w:vAlign w:val="bottom"/>
            <w:hideMark/>
          </w:tcPr>
          <w:p w14:paraId="5E96566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487D53D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vAlign w:val="bottom"/>
            <w:hideMark/>
          </w:tcPr>
          <w:p w14:paraId="0B06D95F"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91</w:t>
            </w:r>
          </w:p>
        </w:tc>
        <w:tc>
          <w:tcPr>
            <w:tcW w:w="0" w:type="auto"/>
            <w:shd w:val="clear" w:color="auto" w:fill="CFF0FC"/>
            <w:noWrap/>
            <w:vAlign w:val="bottom"/>
            <w:hideMark/>
          </w:tcPr>
          <w:p w14:paraId="20CDB8B4"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F3384C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467A2A7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57BB5B49"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91</w:t>
            </w:r>
          </w:p>
        </w:tc>
        <w:tc>
          <w:tcPr>
            <w:tcW w:w="0" w:type="auto"/>
            <w:shd w:val="clear" w:color="auto" w:fill="CFF0FC"/>
            <w:noWrap/>
            <w:vAlign w:val="bottom"/>
            <w:hideMark/>
          </w:tcPr>
          <w:p w14:paraId="49A9F3BC"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17F8429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2A1EBBA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7810A1C5"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1,113</w:t>
            </w:r>
          </w:p>
        </w:tc>
        <w:tc>
          <w:tcPr>
            <w:tcW w:w="0" w:type="auto"/>
            <w:shd w:val="clear" w:color="auto" w:fill="CFF0FC"/>
            <w:noWrap/>
            <w:vAlign w:val="bottom"/>
            <w:hideMark/>
          </w:tcPr>
          <w:p w14:paraId="311AE8B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705DBE51"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75B1878"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5CC694ED"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2,310</w:t>
            </w:r>
          </w:p>
        </w:tc>
        <w:tc>
          <w:tcPr>
            <w:tcW w:w="0" w:type="auto"/>
            <w:shd w:val="clear" w:color="auto" w:fill="CFF0FC"/>
            <w:noWrap/>
            <w:vAlign w:val="bottom"/>
            <w:hideMark/>
          </w:tcPr>
          <w:p w14:paraId="494C2010"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0876E91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54D90B0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25899038"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(522</w:t>
            </w:r>
          </w:p>
        </w:tc>
        <w:tc>
          <w:tcPr>
            <w:tcW w:w="0" w:type="auto"/>
            <w:shd w:val="clear" w:color="auto" w:fill="CFF0FC"/>
            <w:noWrap/>
            <w:vAlign w:val="bottom"/>
            <w:hideMark/>
          </w:tcPr>
          <w:p w14:paraId="296E8B6A"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CFF0FC"/>
            <w:vAlign w:val="bottom"/>
            <w:hideMark/>
          </w:tcPr>
          <w:p w14:paraId="10E7178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0C7E94D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6F202303"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(379</w:t>
            </w:r>
          </w:p>
        </w:tc>
        <w:tc>
          <w:tcPr>
            <w:tcW w:w="0" w:type="auto"/>
            <w:shd w:val="clear" w:color="auto" w:fill="CFF0FC"/>
            <w:noWrap/>
            <w:vAlign w:val="bottom"/>
            <w:hideMark/>
          </w:tcPr>
          <w:p w14:paraId="3EEC2B6B"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shd w:val="clear" w:color="auto" w:fill="CFF0FC"/>
            <w:vAlign w:val="bottom"/>
            <w:hideMark/>
          </w:tcPr>
          <w:p w14:paraId="054A6F22"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139614DD"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7FAB2DE2"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2,613</w:t>
            </w:r>
          </w:p>
        </w:tc>
        <w:tc>
          <w:tcPr>
            <w:tcW w:w="0" w:type="auto"/>
            <w:shd w:val="clear" w:color="auto" w:fill="CFF0FC"/>
            <w:noWrap/>
            <w:vAlign w:val="bottom"/>
            <w:hideMark/>
          </w:tcPr>
          <w:p w14:paraId="650C41DE"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247CAC6"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373AE1B3"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68F16CB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13</w:t>
            </w:r>
          </w:p>
        </w:tc>
        <w:tc>
          <w:tcPr>
            <w:tcW w:w="0" w:type="auto"/>
            <w:shd w:val="clear" w:color="auto" w:fill="CFF0FC"/>
            <w:noWrap/>
            <w:vAlign w:val="bottom"/>
            <w:hideMark/>
          </w:tcPr>
          <w:p w14:paraId="10E4766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shd w:val="clear" w:color="auto" w:fill="CFF0FC"/>
            <w:vAlign w:val="bottom"/>
            <w:hideMark/>
          </w:tcPr>
          <w:p w14:paraId="279F4A07"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c>
          <w:tcPr>
            <w:tcW w:w="0" w:type="auto"/>
            <w:tcBorders>
              <w:bottom w:val="single" w:sz="4" w:space="0" w:color="000000"/>
            </w:tcBorders>
            <w:shd w:val="clear" w:color="auto" w:fill="CFF0FC"/>
            <w:noWrap/>
            <w:vAlign w:val="bottom"/>
            <w:hideMark/>
          </w:tcPr>
          <w:p w14:paraId="24E7A4A5"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b/>
                <w:bCs/>
                <w:color w:val="000000"/>
                <w:kern w:val="0"/>
                <w:sz w:val="13"/>
                <w:szCs w:val="13"/>
              </w:rPr>
              <w:t>$</w:t>
            </w:r>
          </w:p>
        </w:tc>
        <w:tc>
          <w:tcPr>
            <w:tcW w:w="0" w:type="auto"/>
            <w:tcBorders>
              <w:bottom w:val="single" w:sz="4" w:space="0" w:color="000000"/>
            </w:tcBorders>
            <w:shd w:val="clear" w:color="auto" w:fill="CFF0FC"/>
            <w:vAlign w:val="bottom"/>
            <w:hideMark/>
          </w:tcPr>
          <w:p w14:paraId="65A406F6" w14:textId="77777777" w:rsidR="004B2A77" w:rsidRPr="004B2A77" w:rsidRDefault="004B2A77" w:rsidP="004B2A77">
            <w:pPr>
              <w:widowControl/>
              <w:jc w:val="right"/>
              <w:rPr>
                <w:rFonts w:ascii="Times New Roman" w:eastAsia="微软雅黑" w:hAnsi="Times New Roman" w:cs="Times New Roman"/>
                <w:kern w:val="0"/>
                <w:sz w:val="20"/>
                <w:szCs w:val="20"/>
              </w:rPr>
            </w:pPr>
            <w:r w:rsidRPr="004B2A77">
              <w:rPr>
                <w:rFonts w:ascii="Arial" w:eastAsia="微软雅黑" w:hAnsi="Arial" w:cs="Arial"/>
                <w:b/>
                <w:bCs/>
                <w:color w:val="000000"/>
                <w:kern w:val="0"/>
                <w:sz w:val="13"/>
                <w:szCs w:val="13"/>
              </w:rPr>
              <w:t>2,626</w:t>
            </w:r>
          </w:p>
        </w:tc>
        <w:tc>
          <w:tcPr>
            <w:tcW w:w="0" w:type="auto"/>
            <w:shd w:val="clear" w:color="auto" w:fill="CFF0FC"/>
            <w:noWrap/>
            <w:vAlign w:val="bottom"/>
            <w:hideMark/>
          </w:tcPr>
          <w:p w14:paraId="60ABEDF9" w14:textId="77777777" w:rsidR="004B2A77" w:rsidRPr="004B2A77" w:rsidRDefault="004B2A77" w:rsidP="004B2A77">
            <w:pPr>
              <w:widowControl/>
              <w:jc w:val="left"/>
              <w:rPr>
                <w:rFonts w:ascii="Times New Roman" w:eastAsia="微软雅黑" w:hAnsi="Times New Roman" w:cs="Times New Roman"/>
                <w:kern w:val="0"/>
                <w:sz w:val="13"/>
                <w:szCs w:val="13"/>
              </w:rPr>
            </w:pPr>
            <w:r w:rsidRPr="004B2A77">
              <w:rPr>
                <w:rFonts w:ascii="Arial" w:eastAsia="微软雅黑" w:hAnsi="Arial" w:cs="Arial"/>
                <w:kern w:val="0"/>
                <w:sz w:val="13"/>
                <w:szCs w:val="13"/>
              </w:rPr>
              <w:t> </w:t>
            </w:r>
          </w:p>
        </w:tc>
      </w:tr>
    </w:tbl>
    <w:p w14:paraId="16BD09B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6D29C55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xml:space="preserve">1) See Note 14 for further details – includes tax effects where applicable. </w:t>
      </w:r>
    </w:p>
    <w:p w14:paraId="7685302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0"/>
          <w:szCs w:val="20"/>
        </w:rPr>
        <w:t> </w:t>
      </w:r>
    </w:p>
    <w:p w14:paraId="6E94A71F" w14:textId="77777777" w:rsidR="004B2A77" w:rsidRPr="004B2A77" w:rsidRDefault="004B2A77" w:rsidP="004B2A77">
      <w:pPr>
        <w:widowControl/>
        <w:spacing w:before="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See Notes to the Consolidated Financial Statements.</w:t>
      </w:r>
    </w:p>
    <w:p w14:paraId="57DC4C91"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60</w:t>
      </w:r>
    </w:p>
    <w:p w14:paraId="39723DB4"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6646A7B">
          <v:rect id="_x0000_i1087" style="width:0;height:1.5pt" o:hralign="center" o:hrstd="t" o:hrnoshade="t" o:hr="t" fillcolor="black" stroked="f"/>
        </w:pict>
      </w:r>
    </w:p>
    <w:p w14:paraId="6EB5F2D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532E54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Notes to the Consolidated Financial Statements</w:t>
      </w:r>
    </w:p>
    <w:p w14:paraId="1C9271F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w:t>
      </w:r>
    </w:p>
    <w:p w14:paraId="3929F74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6"/>
          <w:szCs w:val="16"/>
        </w:rPr>
        <w:t>(DOLLARS IN MILLIONS, EXCEPT PER SHARE DATA)</w:t>
      </w:r>
    </w:p>
    <w:p w14:paraId="1A0038A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 </w:t>
      </w:r>
    </w:p>
    <w:p w14:paraId="1589708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4AE9E1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 Basis of Presentation</w:t>
      </w:r>
    </w:p>
    <w:p w14:paraId="49F2E6C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068BB8F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NATURE OF OPERATIONS</w:t>
      </w:r>
    </w:p>
    <w:p w14:paraId="39435AF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Through its operating subsidiaries, the Company is a leading developer, manufacturer and supplier of passive safety systems to the automotive industry with a broad range of product offerings.</w:t>
      </w:r>
    </w:p>
    <w:p w14:paraId="6806301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Passive safety systems are primarily meant to improve safety for occupants in a vehicle. Passive safety systems include modules and components for frontal-impact airbag protection systems, side-impact airbag protection systems, seatbelts, steering wheels and inflator technologies. </w:t>
      </w:r>
    </w:p>
    <w:p w14:paraId="506ED0B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xml:space="preserve">The Company also develops and manufactures mobility safety solutions such as pedestrian protection, battery cut-off switches, connected safety services, and safety solutions for riders of powered two wheelers. </w:t>
      </w:r>
    </w:p>
    <w:p w14:paraId="4649124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7C502BC6"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PRINCIPLES OF CONSOLIDATION</w:t>
      </w:r>
    </w:p>
    <w:p w14:paraId="2AAC4B4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consolidated financial statements have been prepared in accordance with United States (U.S.) Generally Accepted Accounting Principles (GAAP) and include Autoliv, Inc. and all companies over which Autoliv, Inc. directly or indirectly exercises control, which as a general rule means that the Company owns more than 50% of the voting rights.</w:t>
      </w:r>
    </w:p>
    <w:p w14:paraId="2ED0E8D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Consolidation is also required when the Company has both the power to direct the activities of a variable interest entity (VIE) and the obligation to absorb losses or the right to receive benefits from the VIE that could be significant to the VIE.</w:t>
      </w:r>
    </w:p>
    <w:p w14:paraId="1F81583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All intercompany accounts and transactions within the Company have been eliminated from the consolidated financial statements.</w:t>
      </w:r>
    </w:p>
    <w:p w14:paraId="40224D9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Investments in affiliated companies in which the Company exercises significant influence over the operations and financial policies, but does not control, are reported using the equity method of accounting. Generally, the Company owns between 20-50% of such investments.</w:t>
      </w:r>
    </w:p>
    <w:p w14:paraId="7F065265"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SEGMENT REPORTING</w:t>
      </w:r>
    </w:p>
    <w:p w14:paraId="3093D8A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accordance with ASC 280, </w:t>
      </w:r>
      <w:r w:rsidRPr="004B2A77">
        <w:rPr>
          <w:rFonts w:ascii="Arial" w:eastAsia="宋体" w:hAnsi="Arial" w:cs="Arial"/>
          <w:i/>
          <w:iCs/>
          <w:color w:val="000000"/>
          <w:kern w:val="0"/>
          <w:sz w:val="18"/>
          <w:szCs w:val="18"/>
        </w:rPr>
        <w:t>Segment Reporting</w:t>
      </w:r>
      <w:r w:rsidRPr="004B2A77">
        <w:rPr>
          <w:rFonts w:ascii="Arial" w:eastAsia="宋体" w:hAnsi="Arial" w:cs="Arial"/>
          <w:color w:val="000000"/>
          <w:kern w:val="0"/>
          <w:sz w:val="18"/>
          <w:szCs w:val="18"/>
        </w:rPr>
        <w:t>, the operating segments are determined based on the information provided to the Chief Operating Decision Maker (CODM) on a regular basis and used for the purpose of assessing performance and allocating resources within the Company. The CEO is deemed to be the CODM of Autoliv since he is the person who makes all major decisions on how to allocate the resources and assess the performance of the Company for both strategic and operational initiatives.</w:t>
      </w:r>
    </w:p>
    <w:p w14:paraId="32EBC1D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ASC 280 indicates that a component is an operating segment if it meets the following criteria:</w:t>
      </w:r>
    </w:p>
    <w:p w14:paraId="1978CF12" w14:textId="77777777" w:rsidR="004B2A77" w:rsidRPr="004B2A77" w:rsidRDefault="004B2A77" w:rsidP="004B2A77">
      <w:pPr>
        <w:widowControl/>
        <w:rPr>
          <w:rFonts w:ascii="Arial" w:eastAsia="宋体" w:hAnsi="Arial" w:cs="Arial"/>
          <w:color w:val="000000"/>
          <w:kern w:val="0"/>
          <w:sz w:val="18"/>
          <w:szCs w:val="18"/>
        </w:rPr>
      </w:pPr>
      <w:r w:rsidRPr="004B2A77">
        <w:rPr>
          <w:rFonts w:ascii="Times New Roman" w:eastAsia="宋体" w:hAnsi="Times New Roman" w:cs="Times New Roman"/>
          <w:color w:val="000000"/>
          <w:kern w:val="0"/>
          <w:sz w:val="18"/>
          <w:szCs w:val="18"/>
        </w:rPr>
        <w:t>•</w:t>
      </w:r>
    </w:p>
    <w:p w14:paraId="4AAC9737" w14:textId="77777777" w:rsidR="004B2A77" w:rsidRPr="004B2A77" w:rsidRDefault="004B2A77" w:rsidP="004B2A77">
      <w:pPr>
        <w:widowControl/>
        <w:rPr>
          <w:rFonts w:ascii="Arial" w:eastAsia="宋体" w:hAnsi="Arial" w:cs="Arial"/>
          <w:color w:val="000000"/>
          <w:kern w:val="0"/>
          <w:sz w:val="18"/>
          <w:szCs w:val="18"/>
        </w:rPr>
      </w:pPr>
      <w:r w:rsidRPr="004B2A77">
        <w:rPr>
          <w:rFonts w:ascii="Arial" w:eastAsia="宋体" w:hAnsi="Arial" w:cs="Arial"/>
          <w:color w:val="000000"/>
          <w:kern w:val="0"/>
          <w:sz w:val="18"/>
          <w:szCs w:val="18"/>
        </w:rPr>
        <w:t>It engages in business activities from which it may earn revenues and incur expenses.</w:t>
      </w:r>
    </w:p>
    <w:p w14:paraId="5A32033A" w14:textId="77777777" w:rsidR="004B2A77" w:rsidRPr="004B2A77" w:rsidRDefault="004B2A77" w:rsidP="004B2A77">
      <w:pPr>
        <w:widowControl/>
        <w:rPr>
          <w:rFonts w:ascii="Arial" w:eastAsia="宋体" w:hAnsi="Arial" w:cs="Arial"/>
          <w:color w:val="000000"/>
          <w:kern w:val="0"/>
          <w:sz w:val="18"/>
          <w:szCs w:val="18"/>
        </w:rPr>
      </w:pPr>
      <w:r w:rsidRPr="004B2A77">
        <w:rPr>
          <w:rFonts w:ascii="Times New Roman" w:eastAsia="宋体" w:hAnsi="Times New Roman" w:cs="Times New Roman"/>
          <w:color w:val="000000"/>
          <w:kern w:val="0"/>
          <w:sz w:val="18"/>
          <w:szCs w:val="18"/>
        </w:rPr>
        <w:t>•</w:t>
      </w:r>
    </w:p>
    <w:p w14:paraId="4BB2B7A3" w14:textId="77777777" w:rsidR="004B2A77" w:rsidRPr="004B2A77" w:rsidRDefault="004B2A77" w:rsidP="004B2A77">
      <w:pPr>
        <w:widowControl/>
        <w:rPr>
          <w:rFonts w:ascii="Arial" w:eastAsia="宋体" w:hAnsi="Arial" w:cs="Arial"/>
          <w:color w:val="000000"/>
          <w:kern w:val="0"/>
          <w:sz w:val="18"/>
          <w:szCs w:val="18"/>
        </w:rPr>
      </w:pPr>
      <w:r w:rsidRPr="004B2A77">
        <w:rPr>
          <w:rFonts w:ascii="Arial" w:eastAsia="宋体" w:hAnsi="Arial" w:cs="Arial"/>
          <w:color w:val="000000"/>
          <w:kern w:val="0"/>
          <w:sz w:val="18"/>
          <w:szCs w:val="18"/>
        </w:rPr>
        <w:t>Its operating results are regularly reviewed by the CODM to make decisions about resources to be allocated to the segment and assess its performance.</w:t>
      </w:r>
    </w:p>
    <w:p w14:paraId="223BD3D0" w14:textId="77777777" w:rsidR="004B2A77" w:rsidRPr="004B2A77" w:rsidRDefault="004B2A77" w:rsidP="004B2A77">
      <w:pPr>
        <w:widowControl/>
        <w:rPr>
          <w:rFonts w:ascii="Arial" w:eastAsia="宋体" w:hAnsi="Arial" w:cs="Arial"/>
          <w:color w:val="000000"/>
          <w:kern w:val="0"/>
          <w:sz w:val="18"/>
          <w:szCs w:val="18"/>
        </w:rPr>
      </w:pPr>
      <w:r w:rsidRPr="004B2A77">
        <w:rPr>
          <w:rFonts w:ascii="Times New Roman" w:eastAsia="宋体" w:hAnsi="Times New Roman" w:cs="Times New Roman"/>
          <w:color w:val="000000"/>
          <w:kern w:val="0"/>
          <w:sz w:val="18"/>
          <w:szCs w:val="18"/>
        </w:rPr>
        <w:t>•</w:t>
      </w:r>
    </w:p>
    <w:p w14:paraId="6C39A61B" w14:textId="77777777" w:rsidR="004B2A77" w:rsidRPr="004B2A77" w:rsidRDefault="004B2A77" w:rsidP="004B2A77">
      <w:pPr>
        <w:widowControl/>
        <w:rPr>
          <w:rFonts w:ascii="Arial" w:eastAsia="宋体" w:hAnsi="Arial" w:cs="Arial"/>
          <w:color w:val="000000"/>
          <w:kern w:val="0"/>
          <w:sz w:val="18"/>
          <w:szCs w:val="18"/>
        </w:rPr>
      </w:pPr>
      <w:r w:rsidRPr="004B2A77">
        <w:rPr>
          <w:rFonts w:ascii="Arial" w:eastAsia="宋体" w:hAnsi="Arial" w:cs="Arial"/>
          <w:color w:val="000000"/>
          <w:kern w:val="0"/>
          <w:sz w:val="18"/>
          <w:szCs w:val="18"/>
        </w:rPr>
        <w:t xml:space="preserve">Its discrete financial information is available. </w:t>
      </w:r>
    </w:p>
    <w:p w14:paraId="7AA647F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as a whole has met the definition of an operating segment as it engages in business activities from which it may earn revenues and incur expenses, the consolidated operating results are regularly reviewed by the CEO/CODM to allocate resources and assess performance, and discrete financial information is available. Additionally, as Autoliv supplies customers on a global basis it also manages the business on a global basis. Therefore, based on the above analysis, the Company has concluded that the Company is the single operating and reportable segment under ASC 280, </w:t>
      </w:r>
      <w:r w:rsidRPr="004B2A77">
        <w:rPr>
          <w:rFonts w:ascii="Arial" w:eastAsia="宋体" w:hAnsi="Arial" w:cs="Arial"/>
          <w:i/>
          <w:iCs/>
          <w:color w:val="000000"/>
          <w:kern w:val="0"/>
          <w:sz w:val="18"/>
          <w:szCs w:val="18"/>
        </w:rPr>
        <w:t>Segment Reporting</w:t>
      </w:r>
      <w:r w:rsidRPr="004B2A77">
        <w:rPr>
          <w:rFonts w:ascii="Arial" w:eastAsia="宋体" w:hAnsi="Arial" w:cs="Arial"/>
          <w:color w:val="000000"/>
          <w:kern w:val="0"/>
          <w:sz w:val="18"/>
          <w:szCs w:val="18"/>
        </w:rPr>
        <w:t>. For more information on the Company's segment, see Note 20.</w:t>
      </w:r>
    </w:p>
    <w:p w14:paraId="5823361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9DE8065"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RECLASSIFICATIONS AND ROUNDINGS</w:t>
      </w:r>
    </w:p>
    <w:p w14:paraId="47F0887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Certain prior-year amounts have been reclassified to conform to current year presentation.</w:t>
      </w:r>
    </w:p>
    <w:p w14:paraId="71AF4A8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Certain amounts in the consolidated financial statements and associated notes may not reconcile due to rounding. All percentages have been calculated using unrounded amounts. </w:t>
      </w:r>
    </w:p>
    <w:p w14:paraId="6CCA8045"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61</w:t>
      </w:r>
    </w:p>
    <w:p w14:paraId="2FA7BA7F"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555D790">
          <v:rect id="_x0000_i1088" style="width:0;height:1.5pt" o:hralign="center" o:hrstd="t" o:hrnoshade="t" o:hr="t" fillcolor="black" stroked="f"/>
        </w:pict>
      </w:r>
    </w:p>
    <w:p w14:paraId="50AA757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6698CE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2. Summary of Significant Accounting Policies</w:t>
      </w:r>
    </w:p>
    <w:p w14:paraId="0A4F73F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EQUITY METHOD INVESTMENT</w:t>
      </w:r>
    </w:p>
    <w:p w14:paraId="2521138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Investments accounted for under the equity method, means that a proportional share of the equity method investment’s net income increases the investment, and a proportional share of losses and payment of dividends decreases it. In the Consolidated Statements of Income, the proportional share of the net income (loss) is reported as Income from equity method investment.</w:t>
      </w:r>
    </w:p>
    <w:p w14:paraId="00F7672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USE OF ESTIMATES</w:t>
      </w:r>
    </w:p>
    <w:p w14:paraId="2E3E259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preparation of consolidated financial statements in conformity with U.S. GAAP requires management to make estimates and assumptions that affect the reported amounts of assets and liabilities, disclosures of contingent assets and liabilities at the date of the consolidated financial statements, and the reported amounts of net sales and expenses during the reporting period. The accounting estimates that require management’s most significant judgments include the estimation of variable consideration for the Company's contracts with customers, valuation of stock-based compensation payments, assessment of recoverability of goodwill and intangible assets, estimation of pension benefit obligations based on actuarial assumptions, estimation of accruals for warranty and recalls, restructuring charges, uncertain tax positions, valuation allowances and legal proceedings. Actual results could differ from those estimates.</w:t>
      </w:r>
    </w:p>
    <w:p w14:paraId="21347EC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REVENUE RECOGNITION</w:t>
      </w:r>
    </w:p>
    <w:p w14:paraId="75EF64E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accordance with ASC 606, </w:t>
      </w:r>
      <w:r w:rsidRPr="004B2A77">
        <w:rPr>
          <w:rFonts w:ascii="Arial" w:eastAsia="宋体" w:hAnsi="Arial" w:cs="Arial"/>
          <w:i/>
          <w:iCs/>
          <w:color w:val="000000"/>
          <w:kern w:val="0"/>
          <w:sz w:val="18"/>
          <w:szCs w:val="18"/>
        </w:rPr>
        <w:t>Revenue from Contracts with Customers</w:t>
      </w:r>
      <w:r w:rsidRPr="004B2A77">
        <w:rPr>
          <w:rFonts w:ascii="Arial" w:eastAsia="宋体" w:hAnsi="Arial" w:cs="Arial"/>
          <w:color w:val="000000"/>
          <w:kern w:val="0"/>
          <w:sz w:val="18"/>
          <w:szCs w:val="18"/>
        </w:rPr>
        <w:t>, revenue is measured based on consideration specified in a contract with a customer, adjusted for any variable consideration (i.e. price concessions) and estimated at contract inception. The estimated amount of variable consideration that will be received by the Company is based on historical experience and trends, management´s understanding of the status of negotiations with customers and anticipated future pricing strategies. The Company recognizes revenue when it satisfies a performance obligation by transferring control over a product to a customer.</w:t>
      </w:r>
    </w:p>
    <w:p w14:paraId="7BFDD4C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addition, from time to time, the Company may make payments to or receive additional consideration from customers in connection with ongoing and future business. These payments to or cash receipts from customers are generally recognized to revenue at the time of the commitment unless the payments to customers can be clearly linked to the future business. If the payments to customers are capitalized, the amounts are amortized to revenue as the related goods are transferred.</w:t>
      </w:r>
    </w:p>
    <w:p w14:paraId="53D7DD9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Taxes assessed by a governmental authority that are both imposed on and concurrent with a specific revenue-producing transaction and collected by the Company from a customer, are excluded from revenue.</w:t>
      </w:r>
    </w:p>
    <w:p w14:paraId="1B5C858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Shipping and handling costs associated with outbound freight before control of a product has transferred to a customer are accounted for as a fulfillment cost and are included in cost of sales.</w:t>
      </w:r>
    </w:p>
    <w:p w14:paraId="477A80A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Nature of goods and services</w:t>
      </w:r>
    </w:p>
    <w:p w14:paraId="41A74C6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generates revenue from the sale of parts, which includes airbag and seatbelt products and components, to original equipment manufacturers (“OEMs”).</w:t>
      </w:r>
    </w:p>
    <w:p w14:paraId="4A2A15C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accounts for individual products separately if they are distinct (i.e., if a product is separately identifiable from other items and if a customer can benefit from it on its own or with other resources that are readily available to the customer). The consideration for each of the products, including any price concessions, is based on their stand-alone selling prices. The stand-alone selling prices are determined based on the cost-plus margin approach.</w:t>
      </w:r>
    </w:p>
    <w:p w14:paraId="4B926CC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recognizes revenue for parts primarily at a point in time. For parts with revenue recognized at a point in time, the Company recognizes revenue upon shipment to the customers and transfer of title and risk of loss under standard commercial terms (typically FOB shipping point). </w:t>
      </w:r>
    </w:p>
    <w:p w14:paraId="4B62EC7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are certain contracts where the criteria to recognize revenue over time have been met (e.g., there is no alternative use to the Company and the Company has an enforceable right to payment). In such cases, at period end, the Company recognizes revenue and a related asset and associated cost of goods sold and reduction in inventory. However, the financial impact of these contracts is immaterial considering the very short production cycles and limited inventory days on hand. The contract balances with customers, included in other current assets, amounted to $20 million as of December 31, 2022 and 2021.</w:t>
      </w:r>
    </w:p>
    <w:p w14:paraId="2D15C46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amount of revenue recognized is based on the purchase order price and adjusted for variable consideration (i.e. price concessions). Customers typically pay for the parts based on customary business practices.</w:t>
      </w:r>
    </w:p>
    <w:p w14:paraId="371D82D5"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GOVERNMENT ASSISTANCE</w:t>
      </w:r>
    </w:p>
    <w:p w14:paraId="0230FB2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operations are impacted by various government incentives, grants, programs, rebates, and other arrangements. Government assistance received is recorded in our consolidated financial statements in accordance with their purpose, either as a reduction of expense or an offset to the related capital asset. The benefit is recorded when all performance obligations attached to the assistance have been met or are expected to be met and there is reasonable assurance of their receipt. Government assistance received by the Company is immaterial in all periods presented since the adoption of ASU 2021-10.</w:t>
      </w:r>
    </w:p>
    <w:p w14:paraId="2C20A00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AA6F1BF"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62</w:t>
      </w:r>
    </w:p>
    <w:p w14:paraId="719523BF" w14:textId="77777777" w:rsidR="004B2A77" w:rsidRPr="004B2A77" w:rsidRDefault="004B2A77" w:rsidP="004B2A77">
      <w:pPr>
        <w:widowControl/>
        <w:jc w:val="left"/>
        <w:rPr>
          <w:rFonts w:ascii="Arial" w:eastAsia="宋体" w:hAnsi="Arial" w:cs="Arial"/>
          <w:color w:val="000000"/>
          <w:kern w:val="0"/>
          <w:sz w:val="22"/>
        </w:rPr>
      </w:pPr>
      <w:r w:rsidRPr="004B2A77">
        <w:rPr>
          <w:rFonts w:ascii="Arial" w:eastAsia="宋体" w:hAnsi="Arial" w:cs="Arial"/>
          <w:color w:val="000000"/>
          <w:kern w:val="0"/>
          <w:sz w:val="22"/>
        </w:rPr>
        <w:pict w14:anchorId="393B71D9">
          <v:rect id="_x0000_i1089" style="width:0;height:1.5pt" o:hralign="center" o:hrstd="t" o:hr="t" fillcolor="#a0a0a0" stroked="f"/>
        </w:pict>
      </w:r>
    </w:p>
    <w:p w14:paraId="01893DD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9171B4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RESEARCH, DEVELOPMENT AND ENGINEERING, NET (R,D&amp;E)</w:t>
      </w:r>
    </w:p>
    <w:p w14:paraId="567E646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Research and development and most engineering expenses are expensed as incurred. These expenses are reported net of expense reimbursements from contracts to perform engineering design and product development fulfillment activities related to the production of parts. For the years 2022, 2021 and 2020 total reimbursements from customers were $204 million, $205 million and $181 million, respectively.</w:t>
      </w:r>
    </w:p>
    <w:p w14:paraId="49DDF70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Certain engineering expenses related to long-term supply arrangements are capitalized when defined criteria, such as the existence of a contractual guarantee for reimbursement, are met. The aggregate amount of such assets is not significant in any period presented.</w:t>
      </w:r>
    </w:p>
    <w:p w14:paraId="635AAD9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Tooling is generally agreed upon as a separate contract or a separate component of an engineering contract, as a pre-production project. Capitalization of tooling costs is made only when the specific criteria for capitalization of customer funded tooling is met or the criteria for capitalization as Property, Plant &amp; Equipment (P,P&amp;E) for tools owned by the Company are fulfilled. Depreciation on the Company’s own tooling is recognized in the Consolidated Statements of Income as Cost of sales.</w:t>
      </w:r>
    </w:p>
    <w:p w14:paraId="28C2893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STOCK-BASED COMPENSATION</w:t>
      </w:r>
    </w:p>
    <w:p w14:paraId="4A1608F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compensation costs for all of the Company’s stock-based compensation awards are determined based on the fair value method as defined in ASC 718, </w:t>
      </w:r>
      <w:r w:rsidRPr="004B2A77">
        <w:rPr>
          <w:rFonts w:ascii="Arial" w:eastAsia="宋体" w:hAnsi="Arial" w:cs="Arial"/>
          <w:i/>
          <w:iCs/>
          <w:color w:val="000000"/>
          <w:kern w:val="0"/>
          <w:sz w:val="18"/>
          <w:szCs w:val="18"/>
        </w:rPr>
        <w:t>Compensation - Stock Compensation</w:t>
      </w:r>
      <w:r w:rsidRPr="004B2A77">
        <w:rPr>
          <w:rFonts w:ascii="Arial" w:eastAsia="宋体" w:hAnsi="Arial" w:cs="Arial"/>
          <w:color w:val="000000"/>
          <w:kern w:val="0"/>
          <w:sz w:val="18"/>
          <w:szCs w:val="18"/>
        </w:rPr>
        <w:t>. The Company records the compensation expense for awards under the Stock Incentive Plan, including Restricted Stock Units (RSUs), Performance Shares (PSUs) and stock options (SOs), over the respective vesting period. For further details, see Note 16.</w:t>
      </w:r>
    </w:p>
    <w:p w14:paraId="4A64039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INCOME TAXES</w:t>
      </w:r>
    </w:p>
    <w:p w14:paraId="79E99ED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Current tax liabilities and assets are recognized for the estimated taxes payable or refundable on the tax returns for the current year. In certain circumstances, payments or refunds may extend beyond twelve months, in such cases amounts would be classified as non-current taxes payable or receivable. Deferred tax liabilities or assets are recognized for the estimated future tax effects attributable to temporary differences and carryforwards that result from events that have been recognized in either the financial statements or the tax returns, but not both. The measurement of current and deferred tax liabilities and assets is based on provisions of enacted tax laws. Deferred tax assets are reduced by the amount of any tax benefits that are not expected to be realized. A valuation allowance is recognized if, based on the weight of all available evidence, it is more likely than not that some portion, or all, of the deferred tax asset will not be realized. Evaluation of the realizability of deferred tax assets is subject to significant judgment requiring careful consideration of all facts and circumstances. The Company classifies deferred tax assets and liabilities as non-current in the Consolidated Balance Sheet. Tax assets and liabilities are not offset unless attributable to the same tax jurisdiction and netting is possible according to law and, as it relates to payables and receivables, expected to take place in the same period.</w:t>
      </w:r>
    </w:p>
    <w:p w14:paraId="127FEE7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Tax benefits associated with tax positions taken in the Company’s income tax returns are initially recognized when it is more likely than not that those tax positions will be sustained upon examination by the relevant taxing authorities. The Company’s evaluation of its tax benefits is based on the probability of the tax position being upheld if challenged by the taxing authorities (including through negotiation, appeals, settlement and litigation). Whenever a tax position does not meet the initial recognition criteria, the tax benefit is subsequently recognized if there is a substantive change in the facts and circumstances that cause a change in judgment concerning the sustainability of the tax position upon examination by the </w:t>
      </w:r>
      <w:r w:rsidRPr="004B2A77">
        <w:rPr>
          <w:rFonts w:ascii="Arial" w:eastAsia="宋体" w:hAnsi="Arial" w:cs="Arial"/>
          <w:color w:val="000000"/>
          <w:kern w:val="0"/>
          <w:sz w:val="18"/>
          <w:szCs w:val="18"/>
        </w:rPr>
        <w:lastRenderedPageBreak/>
        <w:t>relevant taxing authorities. In cases where tax benefits meet the initial recognition criterion, the Company continues, in subsequent periods, to assess its ability to sustain those positions. A previously recognized tax benefit is derecognized when it is no longer more likely than not that the tax position would be sustained upon examination. Liabilities for unrecognized tax benefits are classified as non-current unless the payment of the liability is expected to be made within the next 12 months.</w:t>
      </w:r>
    </w:p>
    <w:p w14:paraId="50ECC411"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63</w:t>
      </w:r>
    </w:p>
    <w:p w14:paraId="262AA2C9" w14:textId="77777777" w:rsidR="004B2A77" w:rsidRPr="004B2A77" w:rsidRDefault="004B2A77" w:rsidP="004B2A77">
      <w:pPr>
        <w:widowControl/>
        <w:jc w:val="left"/>
        <w:rPr>
          <w:rFonts w:ascii="Arial" w:eastAsia="宋体" w:hAnsi="Arial" w:cs="Arial"/>
          <w:color w:val="000000"/>
          <w:kern w:val="0"/>
          <w:sz w:val="22"/>
        </w:rPr>
      </w:pPr>
      <w:r w:rsidRPr="004B2A77">
        <w:rPr>
          <w:rFonts w:ascii="Arial" w:eastAsia="宋体" w:hAnsi="Arial" w:cs="Arial"/>
          <w:color w:val="000000"/>
          <w:kern w:val="0"/>
          <w:sz w:val="22"/>
        </w:rPr>
        <w:pict w14:anchorId="388B7710">
          <v:rect id="_x0000_i1090" style="width:0;height:1.5pt" o:hralign="center" o:hrstd="t" o:hr="t" fillcolor="#a0a0a0" stroked="f"/>
        </w:pict>
      </w:r>
    </w:p>
    <w:p w14:paraId="4CB3ADF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426D33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EARNINGS PER SHARE</w:t>
      </w:r>
    </w:p>
    <w:p w14:paraId="0082056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calculates basic earnings per share (EPS) by dividing net income attributable to controlling interest by the weighted-average number of shares of common stock outstanding for the period (net of treasury shares). The Company’s unvested RSUs and PSUs, of which some include the right to receive non-forfeitable dividend equivalents, are considered participating securities. The diluted EPS reflects the potential dilution that could occur if common stock was issued for awards under the Stock Incentive Plan and is calculated using the more dilutive method of either the two-class method or the treasury stock method. The treasury stock method assumes that the Company uses the proceeds from the exercise of stock option awards to repurchase ordinary shares at the average market price during the period. For unvested restricted stock, assumed proceeds under the treasury stock method will include unamortized compensation cost and windfall tax benefits or shortfalls. Post spin-off assumed proceeds under the treasury stock method related to RSUs will only include unamortized compensation cost related to Autoliv employees holding Autoliv RSUs. Calculations of EPS under the two-class method exclude from the numerator any dividends paid or owed on participating securities and any undistributed earnings considered to be attributable to participating securities. The related participating securities are similarly excluded from the denominator. For further details, see Notes 16 and 21.</w:t>
      </w:r>
    </w:p>
    <w:p w14:paraId="1716162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CASH EQUIVALENTS</w:t>
      </w:r>
    </w:p>
    <w:p w14:paraId="455C0E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considers all highly liquid investment instruments purchased with a maturity of three months or less to be cash equivalents.</w:t>
      </w:r>
    </w:p>
    <w:p w14:paraId="77AF3035"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RECEIVABLES AND ALLOWANCE FOR EXPECTED CREDIT LOSSES</w:t>
      </w:r>
    </w:p>
    <w:p w14:paraId="16D94FD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addition to individually assess overdue customer balances for expected credit losses, the Company also calculates an allowance that reflects the expected credit losses on receivables considering both historical experience as well as forward looking assumptions. The method calculates the expected credit loss for a group of customers by using the customer groups’ average short-term default rates based on officially published credit ratings and the Company’s historical experience. These default rates are considered the Company’s best estimate of the customer’s ability to pay. The Company regularly reassess the customer groups and the applied customer group’s default rates by using its best judgement when considering changes in customer’s credit ratings, customer’s historical payments and loss experience, current market and economic conditions and the Company’s expectations of future market and economic conditions.</w:t>
      </w:r>
    </w:p>
    <w:p w14:paraId="29D9159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There can be no assurance that the amount ultimately realized for receivables will not be materially different than that assumed in the calculation of the allowance for expected credit losses.</w:t>
      </w:r>
    </w:p>
    <w:p w14:paraId="081D3E6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DERIVATIVE INSTRUMENTS AND HEDGING ACTIVITIES</w:t>
      </w:r>
    </w:p>
    <w:p w14:paraId="64F0EB3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All derivatives are recognized at fair value.</w:t>
      </w:r>
    </w:p>
    <w:p w14:paraId="097D3E8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Hedge accounting is not applied either because non-hedge accounting treatment creates the same accounting result or the hedge does not meet the hedge accounting requirements, although entered into applying the same rationale concerning mitigating market risk that occurs from changes in interest and foreign exchange rates.</w:t>
      </w:r>
    </w:p>
    <w:p w14:paraId="24D3AF4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further details on the Company’s financial instruments, see Note 4.</w:t>
      </w:r>
    </w:p>
    <w:p w14:paraId="67F9385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INVENTORIES</w:t>
      </w:r>
    </w:p>
    <w:p w14:paraId="5EF48A1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cost of inventories is computed according to the first-in first-out method (FIFO). Cost includes the cost of materials, direct labor and the applicable share of manufacturing overhead. Inventories are evaluated based on individual or, in some cases, groups of inventory items. Reserves are established to reduce the value of inventories to the lower of cost or net realizable value. Net realizable value is the estimated selling prices in the ordinary course of business, less reasonably predictable costs of completion, disposal and transportation. Excess inventories are quantities of items that exceed anticipated sales or usage for a reasonable period. The Company calculates provisions for excess inventories based on the number of months of inventories on hand compared to anticipated sales or usage. Management uses its judgment to forecast sales or usage and to determine what constitutes a reasonable period. There can be no assurance that the amount ultimately realized for inventories will not be materially different than that assumed in the calculation of the reserves.</w:t>
      </w:r>
    </w:p>
    <w:p w14:paraId="6661D48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PROPERTY, PLANT AND EQUIPMENT</w:t>
      </w:r>
    </w:p>
    <w:p w14:paraId="5222AF1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Property, Plant and Equipment is recorded at historical cost. Construction in progress generally involves short-term projects for which capitalized interest is not significant. The Company provides for depreciation of property, plant and equipment computed under the straight-line method over the assets’ estimated useful lives, or in the case of leasehold improvements over the shorter of the useful life or the lease term. Amortization on finance leases is recognized with depreciation expense in the Consolidated Statements of Income over the shorter of the assets’ expected life or the lease contract term. Repairs and maintenance are expensed as incurred.</w:t>
      </w:r>
    </w:p>
    <w:p w14:paraId="17A39E6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64</w:t>
      </w:r>
    </w:p>
    <w:p w14:paraId="7AFFE2B3" w14:textId="77777777" w:rsidR="004B2A77" w:rsidRPr="004B2A77" w:rsidRDefault="004B2A77" w:rsidP="004B2A77">
      <w:pPr>
        <w:widowControl/>
        <w:jc w:val="left"/>
        <w:rPr>
          <w:rFonts w:ascii="Arial" w:eastAsia="宋体" w:hAnsi="Arial" w:cs="Arial"/>
          <w:color w:val="000000"/>
          <w:kern w:val="0"/>
          <w:sz w:val="22"/>
        </w:rPr>
      </w:pPr>
      <w:r w:rsidRPr="004B2A77">
        <w:rPr>
          <w:rFonts w:ascii="Arial" w:eastAsia="宋体" w:hAnsi="Arial" w:cs="Arial"/>
          <w:color w:val="000000"/>
          <w:kern w:val="0"/>
          <w:sz w:val="22"/>
        </w:rPr>
        <w:pict w14:anchorId="5963637F">
          <v:rect id="_x0000_i1091" style="width:0;height:1.5pt" o:hralign="center" o:hrstd="t" o:hr="t" fillcolor="#a0a0a0" stroked="f"/>
        </w:pict>
      </w:r>
    </w:p>
    <w:p w14:paraId="45A8E9B5"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C1AA82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LEASES</w:t>
      </w:r>
    </w:p>
    <w:p w14:paraId="25B2EE5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accordance with ASC 842, </w:t>
      </w:r>
      <w:r w:rsidRPr="004B2A77">
        <w:rPr>
          <w:rFonts w:ascii="Arial" w:eastAsia="宋体" w:hAnsi="Arial" w:cs="Arial"/>
          <w:i/>
          <w:iCs/>
          <w:color w:val="000000"/>
          <w:kern w:val="0"/>
          <w:sz w:val="18"/>
          <w:szCs w:val="18"/>
        </w:rPr>
        <w:t>Leases</w:t>
      </w:r>
      <w:r w:rsidRPr="004B2A77">
        <w:rPr>
          <w:rFonts w:ascii="Arial" w:eastAsia="宋体" w:hAnsi="Arial" w:cs="Arial"/>
          <w:color w:val="000000"/>
          <w:kern w:val="0"/>
          <w:sz w:val="18"/>
          <w:szCs w:val="18"/>
        </w:rPr>
        <w:t xml:space="preserve">, the Company recognizes contracts that is, or contains, a lease when the contract conveys the right to control the use of a physically identified asset for a period of time in exchange for consideration in the balance sheet as a right-of-use asset and lease liability. The Company recognizes a right-of-use asset and a lease liability at lease commencement. The lease liability for both </w:t>
      </w:r>
      <w:r w:rsidRPr="004B2A77">
        <w:rPr>
          <w:rFonts w:ascii="Arial" w:eastAsia="宋体" w:hAnsi="Arial" w:cs="Arial"/>
          <w:color w:val="000000"/>
          <w:kern w:val="0"/>
          <w:sz w:val="18"/>
          <w:szCs w:val="18"/>
        </w:rPr>
        <w:lastRenderedPageBreak/>
        <w:t>finance and operating leases is measured at the present value of the remaining lease payments, discounted at the Company's incremental borrowing rate (if the implicit interest rate in the lease contract is not readily determinable). The right-of-use asset (ROU) for finance and operating leases is initially measured at the sum of the initial lease liability plus initial direct costs plus prepaid lease payments minus lease incentives received. Lease payments include undiscounted fixed payments plus optional payments that are reasonably certain to be owed. Lease payments do not include variable lease payments other than those that depend on an index or rate. Variable lease payments that depend on an index or a rate are included in the calculation of lease payments and in the measurement of the lease liability.</w:t>
      </w:r>
    </w:p>
    <w:p w14:paraId="5C6E3C5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If the rate implicit in the lease is not readily determinable, the Company uses its incremental borrowing rate as the discount rate. The Company uses its best judgement when determining the incremental borrowing rate, which is the rate of interest that the Company would have to pay to borrow on a collateralized basis over a similar term to the lease payments in a similar currency.</w:t>
      </w:r>
    </w:p>
    <w:p w14:paraId="0C0EEE4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elected the practical expedient of not separating lease components from non-lease components for all its classes of underlying assets. The Company has also elected to recognize the lease payments for short-term leases in its consolidated statement of income on a straight-line basis over the lease term and recognize the variable lease payments in the period in which the obligation for those payments is incurred.</w:t>
      </w:r>
    </w:p>
    <w:p w14:paraId="33D773C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Finance lease right-of-use assets are presented together with other property, plant and equipment assets and finance lease liabilities are presented together with other current and non-current liabilities in the Consolidated Balance Sheets. Finance leases were not material as of December 31, 2022.</w:t>
      </w:r>
    </w:p>
    <w:p w14:paraId="6B827C2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further details on the Company’s leases, see Note 3.</w:t>
      </w:r>
    </w:p>
    <w:p w14:paraId="07E1C79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LONG-LIVED ASSET IMPAIRMENT</w:t>
      </w:r>
    </w:p>
    <w:p w14:paraId="7BB313E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evaluates the carrying value and useful lives of long-lived assets, other than goodwill and intangible assets, when indications of impairment are evident or it is likely that the useful lives have decreased, in which case the Company depreciates the assets over the remaining useful lives. Impairment testing is primarily done by using the cash flow method based on undiscounted future cash flows. Estimated undiscounted cash flows for a long-lived asset being evaluated for recoverability are compared with the respective carrying amount of that asset. If the estimated undiscounted cash flows exceed the carrying amount of the assets, the carrying amounts of the long-lived asset are considered recoverable and an impairment cannot be recorded. However, if the carrying amount of a group of assets exceeds the undiscounted cash flows, an entity must then measure the long-lived assets’ fair value to determine whether an impairment loss should be recognized, generally using a discounted cash flow model.</w:t>
      </w:r>
      <w:r w:rsidRPr="004B2A77">
        <w:rPr>
          <w:rFonts w:ascii="Arial" w:eastAsia="宋体" w:hAnsi="Arial" w:cs="Arial"/>
          <w:color w:val="000000"/>
          <w:kern w:val="0"/>
          <w:sz w:val="20"/>
          <w:szCs w:val="20"/>
        </w:rPr>
        <w:t xml:space="preserve"> </w:t>
      </w:r>
      <w:r w:rsidRPr="004B2A77">
        <w:rPr>
          <w:rFonts w:ascii="Arial" w:eastAsia="宋体" w:hAnsi="Arial" w:cs="Arial"/>
          <w:color w:val="000000"/>
          <w:kern w:val="0"/>
          <w:sz w:val="18"/>
          <w:szCs w:val="18"/>
        </w:rPr>
        <w:t>Generally, the lowest level of cash flows for impairment assessment is customer platform level.</w:t>
      </w:r>
    </w:p>
    <w:p w14:paraId="2010085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GOODWILL AND INTANGIBLE ASSETS</w:t>
      </w:r>
    </w:p>
    <w:p w14:paraId="221C05A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Goodwill represents the excess of the fair value of consideration transferred over the fair value of net assets of businesses acquired. Goodwill is not amortized but subject to at least an annual review for impairment. Other intangible assets, principally related to acquired technology, are amortized over their useful lives which range from 3 to 25 years.</w:t>
      </w:r>
    </w:p>
    <w:p w14:paraId="2810FB8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performs its annual impairment testing in the fourth quarter of each year. Impairment testing is required more often than annually if an event or circumstance indicates that an impairment, or decline </w:t>
      </w:r>
      <w:r w:rsidRPr="004B2A77">
        <w:rPr>
          <w:rFonts w:ascii="Arial" w:eastAsia="宋体" w:hAnsi="Arial" w:cs="Arial"/>
          <w:color w:val="000000"/>
          <w:kern w:val="0"/>
          <w:sz w:val="18"/>
          <w:szCs w:val="18"/>
        </w:rPr>
        <w:lastRenderedPageBreak/>
        <w:t>in value, may have occurred. The Company uses either a qualitative assessment or a quantitative calculation for its impairment testing. The qualitative assessment permits the Company to assess whether it is more than likely than not (i.e. a likelihood of greater than 50%) that goodwill or an indefinite-lived intangible asset is impaired. If the Company concludes based on the qualitative assessment that it is not more likely than not that the fair value of goodwill or an indefinite-lived intangible asset is less than its carrying amount, it would not have to quantitatively determine the asset’s fair value. The Company also consider external factors that could affect the significant inputs used to determine fair value.</w:t>
      </w:r>
    </w:p>
    <w:p w14:paraId="2E8D740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2022, the Company performed a quantitative impairment test by calculating the fair value of its goodwill. The estimated fair market value of goodwill is determined by the discounted cash flow method. The Company discounts projected operating cash flows using its weighted average cost of capital. Estimating the fair value requires the Company to make judgments about appropriate discount rates, growth rates, relevant comparable company earnings multiples and the amount and timing of expected future cash flows. If the estimated fair value of a reporting unit exceeds its carrying value, goodwill is considered not to be impaired. If the carrying value of a reporting unit exceeds its estimated fair value, an impairment loss is recognized for the excess of carrying amount over the fair value of the respective reporting unit. To supplement this analysis, the Company compares the market value of its equity, calculated by reference to the quoted market prices of its shares, with the book value of its equity. </w:t>
      </w:r>
    </w:p>
    <w:p w14:paraId="03A92D8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were no impairments of goodwill from 2020 through 2022.</w:t>
      </w:r>
    </w:p>
    <w:p w14:paraId="0C4446A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65</w:t>
      </w:r>
    </w:p>
    <w:p w14:paraId="32560C8B" w14:textId="77777777" w:rsidR="004B2A77" w:rsidRPr="004B2A77" w:rsidRDefault="004B2A77" w:rsidP="004B2A77">
      <w:pPr>
        <w:widowControl/>
        <w:jc w:val="left"/>
        <w:rPr>
          <w:rFonts w:ascii="Arial" w:eastAsia="宋体" w:hAnsi="Arial" w:cs="Arial"/>
          <w:color w:val="000000"/>
          <w:kern w:val="0"/>
          <w:sz w:val="22"/>
        </w:rPr>
      </w:pPr>
      <w:r w:rsidRPr="004B2A77">
        <w:rPr>
          <w:rFonts w:ascii="Arial" w:eastAsia="宋体" w:hAnsi="Arial" w:cs="Arial"/>
          <w:color w:val="000000"/>
          <w:kern w:val="0"/>
          <w:sz w:val="22"/>
        </w:rPr>
        <w:pict w14:anchorId="54ECF24D">
          <v:rect id="_x0000_i1092" style="width:0;height:1.5pt" o:hralign="center" o:hrstd="t" o:hr="t" fillcolor="#a0a0a0" stroked="f"/>
        </w:pict>
      </w:r>
    </w:p>
    <w:p w14:paraId="2A2BEE9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26DC6C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WARRANTIES AND RECALLS</w:t>
      </w:r>
    </w:p>
    <w:p w14:paraId="786F1CD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records liabilities for product recalls when probable claims are identified and when it is possible to reasonably estimate costs. Recall costs are costs incurred when the customer decides to formally recall a product due to a known or suspected safety concern. Product recall costs are estimated based on the expected cost of replacing the product and the customer´s cost of carrying out the recall, which is affected by the number of vehicles subject to recall and the cost of labor and materials to remove and replace the defective product. Insurance receivables, related to recall issues covered by the insurance, are included within other current and non-current assets in the Consolidated Balance Sheets. Provisions for warranty claims are estimated based on prior experience, likely changes in performance of newer products and the mix and volume of products sold. The provisions are recorded on an accrual basis.</w:t>
      </w:r>
    </w:p>
    <w:p w14:paraId="59B2B45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RESTRUCTURING PROVISIONS</w:t>
      </w:r>
    </w:p>
    <w:p w14:paraId="37BCF25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defines restructuring expense to include costs directly associated with rightsizing, exit or disposal activities. Estimates of restructuring charges are based on information available at the time such charges are recorded. In general, management anticipates that restructuring activities will be completed within a timeframe such that significant changes to the exit plan are not likely. Due to inherent uncertainty involved in estimating restructuring expenses, actual amounts paid for such activities may differ from amounts initially estimated.</w:t>
      </w:r>
    </w:p>
    <w:p w14:paraId="66A9450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PENSION OBLIGATIONS</w:t>
      </w:r>
    </w:p>
    <w:p w14:paraId="06C8EB9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Company provides for both defined contribution plans and defined benefit plans. A defined contribution plan generally specifies the periodic amount that the employer must contribute to the plan and how that amount will be allocated to the eligible employees who perform services during the same period. A defined benefit pension plan is one that contains pension benefit formulas, which generally determine the amount of pension benefits that each employee will receive for services performed during a specified period of employment.</w:t>
      </w:r>
    </w:p>
    <w:p w14:paraId="6502CA7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amount recognized as a defined benefit liability is the net total of projected benefit obligation (PBO) minus the fair value of plan assets (if any) (see Note 18). </w:t>
      </w:r>
    </w:p>
    <w:p w14:paraId="371ECD9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CONTINGENT LIABILITIES</w:t>
      </w:r>
    </w:p>
    <w:p w14:paraId="33C1EBD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or other matters (see Note 12). The Company diligently defends itself in such matters and, in addition, carries insurance coverage to the extent reasonably available against insurable risks. The Company records liabilities for claims, lawsuits and proceedings when they are probable and it is possible to reasonably estimate the cost of such liabilities. Legal costs expected to be incurred in connection with a loss contingency are expensed as such costs are incurred.</w:t>
      </w:r>
    </w:p>
    <w:p w14:paraId="3180F2E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believes, based on currently available information, that the resolution of outstanding matters, other than any antitrust related matters described in Note 17 after taking into account recorded liabilities and available insurance coverage, should not have a material effect on the Company’s financial position or results of operations. However, due to the inherent uncertainty associated with such matters, there can be no assurance that the final outcomes of these matters will not be materially different than currently estimated.</w:t>
      </w:r>
    </w:p>
    <w:p w14:paraId="3AF3DF1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TRANSLATION OF NON-U.S. SUBSIDIARIES</w:t>
      </w:r>
    </w:p>
    <w:p w14:paraId="38C328C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balance sheets of subsidiaries with functional currency other than U.S. dollars are translated into U.S. dollars using year-end exchange rates. The Statements of Income of these subsidiaries is translated into U.S. dollars using monthly average exchange rates. Translation differences are reflected in equity as a component of OCI.</w:t>
      </w:r>
    </w:p>
    <w:p w14:paraId="32008B4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RECEIVABLES AND LIABILITIES IN NON-FUNCTIONAL CURRENCIES</w:t>
      </w:r>
    </w:p>
    <w:p w14:paraId="59EBD79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Receivables and liabilities not denominated in functional currencies are converted at year-end exchange rates. Net transaction losses, reflected in the Consolidated Statements of Income, amounted to $(25) million in 2022, $(29) million in 2021 and $(24) million in 2020, and are recorded in operating income if they relate to operational receivables and liabilities or are recorded in other non-operating items, net if they relate to financial receivables and liabilities.</w:t>
      </w:r>
    </w:p>
    <w:p w14:paraId="47BBA46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49F2C16"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66</w:t>
      </w:r>
    </w:p>
    <w:p w14:paraId="696AF698" w14:textId="77777777" w:rsidR="004B2A77" w:rsidRPr="004B2A77" w:rsidRDefault="004B2A77" w:rsidP="004B2A77">
      <w:pPr>
        <w:widowControl/>
        <w:jc w:val="left"/>
        <w:rPr>
          <w:rFonts w:ascii="Arial" w:eastAsia="宋体" w:hAnsi="Arial" w:cs="Arial"/>
          <w:color w:val="000000"/>
          <w:kern w:val="0"/>
          <w:sz w:val="22"/>
        </w:rPr>
      </w:pPr>
      <w:r w:rsidRPr="004B2A77">
        <w:rPr>
          <w:rFonts w:ascii="Arial" w:eastAsia="宋体" w:hAnsi="Arial" w:cs="Arial"/>
          <w:color w:val="000000"/>
          <w:kern w:val="0"/>
          <w:sz w:val="22"/>
        </w:rPr>
        <w:pict w14:anchorId="211854C8">
          <v:rect id="_x0000_i1093" style="width:0;height:1.5pt" o:hralign="center" o:hrstd="t" o:hr="t" fillcolor="#a0a0a0" stroked="f"/>
        </w:pict>
      </w:r>
    </w:p>
    <w:p w14:paraId="478324A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D22B33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lastRenderedPageBreak/>
        <w:t>NEW ACCOUNTING STANDARDS</w:t>
      </w:r>
    </w:p>
    <w:p w14:paraId="074187C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Changes to U.S. GAAP are established by the Financial Accounting Standards Board (“FASB”) in the form of accounting standards updates (“ASUs”) to the FASB’s Accounting Standards Codification (ASC). The Company considers the applicability and impact of all ASUs. ASUs not listed below were assessed and determined to be either not applicable or are expected to have an immaterial impact on the Company’s consolidated financial statements.</w:t>
      </w:r>
    </w:p>
    <w:p w14:paraId="780234A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Adoption of New Accounting Standards</w:t>
      </w:r>
    </w:p>
    <w:p w14:paraId="07ABE62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November 2021, the FASB issued ASU 2021-10, Government Assistance (Topic 832), Disclosures by Business Entities about Government Assistance, which increases the transparency of government assistance, including the disclosure of (1) the types of assistance, (2) an entity’s accounting for the assistance, and (3) the effect of the assistance on an entity’s financial statements. ASU 2021-10 is effective for business entities for annual periods beginning after December 15, 2021, and early adoption is permitted. The amendments in this update should be applied either (1) prospectively to all transactions within the scope of the amendments that are reflected in financial statements at the date of initial application and new transactions that are entered into after the date of initial application or (2) retrospectively to those transactions. The Company adopted this standard prospectively on January 1, 2022, and the adoption of this standard did not have a material impact on our Consolidated Financial Statements or related disclosures. For further information, see this Note 2 above.</w:t>
      </w:r>
    </w:p>
    <w:p w14:paraId="68AA4CF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Accounting Standards Issued But Not Yet Adopted</w:t>
      </w:r>
    </w:p>
    <w:p w14:paraId="6858CE1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September 2022, the FASB issued ASU 2022-04, Liabilities-Supplier Finance Programs (Subtopic 405-50), Disclosure of Supplier Finance Program Obligations, which requires that a buyer in a supplier finance program disclose sufficient information about the program to allow a user of financial statements to understand the program’s nature, activity during the period, changes from period to period, and potential magnitude. To achieve that objective, the buyer should disclose qualitative and quantitative information about its supplier finance programs. The amendments in this update do not affect the recognition, measurement, or financial statement presentation of obligations covered by supplier finance programs. The amendments in this update are effective for fiscal years beginning after December 15, 2022, including interim periods within those fiscal years, except for the amendment on rollforward information, which is effective for fiscal years beginning after December 15, 2023, with early adoption permitted. During the fiscal year of adoption, the information on the key terms of the programs and the balance sheet presentation of the program obligations, which are annual disclosure requirements, should be disclosed in each interim period. The amendments in this update should be applied retrospectively to each period in which a balance sheet is presented, except for the amendment on rollforward information, which should be applied prospectively. The Company is currently assessing the impact that ASU 2022-04 will have on its consolidated financial statements and will adopt the amendments in this update upon the effective dates.</w:t>
      </w:r>
    </w:p>
    <w:p w14:paraId="31E83BED"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354FC39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67</w:t>
      </w:r>
    </w:p>
    <w:p w14:paraId="500E9506"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D794A35">
          <v:rect id="_x0000_i1094" style="width:0;height:1.5pt" o:hralign="center" o:hrstd="t" o:hrnoshade="t" o:hr="t" fillcolor="black" stroked="f"/>
        </w:pict>
      </w:r>
    </w:p>
    <w:p w14:paraId="5A77F0FA"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66492F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lastRenderedPageBreak/>
        <w:t>3. Leases</w:t>
      </w:r>
    </w:p>
    <w:p w14:paraId="1B66058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operating leases for offices, manufacturing and research buildings, machinery, cars, data processing and other equipment. The Company’s leases have remaining lease terms of 1-45 years, some of which include options to extend the leases for up to 25 years, and some of which include options to terminate the leases within one year.</w:t>
      </w:r>
    </w:p>
    <w:p w14:paraId="33EE43E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of December 31, 2022, the Company has no additional material operating leases that have not yet commenced.</w:t>
      </w:r>
    </w:p>
    <w:p w14:paraId="56AF386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following tables provide information about the Company’s operating leases. The Company has not identified any material finance leases as of December 31, 2022; therefore, the finance lease cost components have not been disclosed in the tables below.</w:t>
      </w:r>
    </w:p>
    <w:p w14:paraId="1B129DB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2369" w:type="dxa"/>
        <w:tblCellSpacing w:w="15" w:type="dxa"/>
        <w:tblCellMar>
          <w:top w:w="15" w:type="dxa"/>
          <w:left w:w="15" w:type="dxa"/>
          <w:bottom w:w="15" w:type="dxa"/>
          <w:right w:w="15" w:type="dxa"/>
        </w:tblCellMar>
        <w:tblLook w:val="04A0" w:firstRow="1" w:lastRow="0" w:firstColumn="1" w:lastColumn="0" w:noHBand="0" w:noVBand="1"/>
      </w:tblPr>
      <w:tblGrid>
        <w:gridCol w:w="8433"/>
        <w:gridCol w:w="123"/>
        <w:gridCol w:w="161"/>
        <w:gridCol w:w="1530"/>
        <w:gridCol w:w="150"/>
        <w:gridCol w:w="111"/>
        <w:gridCol w:w="161"/>
        <w:gridCol w:w="1534"/>
        <w:gridCol w:w="166"/>
      </w:tblGrid>
      <w:tr w:rsidR="004B2A77" w:rsidRPr="004B2A77" w14:paraId="1825B7A3" w14:textId="77777777" w:rsidTr="004B2A77">
        <w:trPr>
          <w:tblCellSpacing w:w="15" w:type="dxa"/>
        </w:trPr>
        <w:tc>
          <w:tcPr>
            <w:tcW w:w="8467" w:type="dxa"/>
            <w:vAlign w:val="center"/>
            <w:hideMark/>
          </w:tcPr>
          <w:p w14:paraId="3438F2A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93" w:type="dxa"/>
            <w:vAlign w:val="center"/>
            <w:hideMark/>
          </w:tcPr>
          <w:p w14:paraId="07C10E7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 w:type="dxa"/>
            <w:vAlign w:val="center"/>
            <w:hideMark/>
          </w:tcPr>
          <w:p w14:paraId="1453B38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13" w:type="dxa"/>
            <w:vAlign w:val="center"/>
            <w:hideMark/>
          </w:tcPr>
          <w:p w14:paraId="6A1A4D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 w:type="dxa"/>
            <w:vAlign w:val="center"/>
            <w:hideMark/>
          </w:tcPr>
          <w:p w14:paraId="0E17633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 w:type="dxa"/>
            <w:vAlign w:val="center"/>
            <w:hideMark/>
          </w:tcPr>
          <w:p w14:paraId="324550A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 w:type="dxa"/>
            <w:vAlign w:val="center"/>
            <w:hideMark/>
          </w:tcPr>
          <w:p w14:paraId="2833E83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517" w:type="dxa"/>
            <w:vAlign w:val="center"/>
            <w:hideMark/>
          </w:tcPr>
          <w:p w14:paraId="6A5F6B4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1" w:type="dxa"/>
            <w:vAlign w:val="center"/>
            <w:hideMark/>
          </w:tcPr>
          <w:p w14:paraId="69A2731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C1EFD3B" w14:textId="77777777" w:rsidTr="004B2A77">
        <w:trPr>
          <w:trHeight w:val="180"/>
          <w:tblCellSpacing w:w="15" w:type="dxa"/>
        </w:trPr>
        <w:tc>
          <w:tcPr>
            <w:tcW w:w="0" w:type="auto"/>
            <w:shd w:val="clear" w:color="auto" w:fill="FFFFFF"/>
            <w:vAlign w:val="bottom"/>
            <w:hideMark/>
          </w:tcPr>
          <w:p w14:paraId="7A0294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Lease cost</w:t>
            </w:r>
          </w:p>
        </w:tc>
        <w:tc>
          <w:tcPr>
            <w:tcW w:w="0" w:type="auto"/>
            <w:shd w:val="clear" w:color="auto" w:fill="FFFFFF"/>
            <w:vAlign w:val="bottom"/>
            <w:hideMark/>
          </w:tcPr>
          <w:p w14:paraId="501612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79D9D3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4A1EB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2D37C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46625B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65669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5D10B9F" w14:textId="77777777" w:rsidTr="004B2A77">
        <w:trPr>
          <w:trHeight w:val="160"/>
          <w:tblCellSpacing w:w="15" w:type="dxa"/>
        </w:trPr>
        <w:tc>
          <w:tcPr>
            <w:tcW w:w="0" w:type="auto"/>
            <w:shd w:val="clear" w:color="auto" w:fill="FFFFFF"/>
            <w:hideMark/>
          </w:tcPr>
          <w:p w14:paraId="4BE5C60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hideMark/>
          </w:tcPr>
          <w:p w14:paraId="48EAF5A6"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gridSpan w:val="6"/>
            <w:tcBorders>
              <w:bottom w:val="single" w:sz="4" w:space="0" w:color="000000"/>
            </w:tcBorders>
            <w:shd w:val="clear" w:color="auto" w:fill="FFFFFF"/>
            <w:vAlign w:val="bottom"/>
            <w:hideMark/>
          </w:tcPr>
          <w:p w14:paraId="78DECBD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Year ended December 31</w:t>
            </w:r>
          </w:p>
        </w:tc>
        <w:tc>
          <w:tcPr>
            <w:tcW w:w="0" w:type="auto"/>
            <w:shd w:val="clear" w:color="auto" w:fill="FFFFFF"/>
            <w:vAlign w:val="bottom"/>
            <w:hideMark/>
          </w:tcPr>
          <w:p w14:paraId="163F4F4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2C6E374" w14:textId="77777777" w:rsidTr="004B2A77">
        <w:trPr>
          <w:trHeight w:val="160"/>
          <w:tblCellSpacing w:w="15" w:type="dxa"/>
        </w:trPr>
        <w:tc>
          <w:tcPr>
            <w:tcW w:w="0" w:type="auto"/>
            <w:shd w:val="clear" w:color="auto" w:fill="FFFFFF"/>
            <w:vAlign w:val="bottom"/>
            <w:hideMark/>
          </w:tcPr>
          <w:p w14:paraId="0FB7886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EF9001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184FA9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658E98A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A83D73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EE3A73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1E9344E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037EE07C" w14:textId="77777777" w:rsidTr="004B2A77">
        <w:trPr>
          <w:trHeight w:val="180"/>
          <w:tblCellSpacing w:w="15" w:type="dxa"/>
        </w:trPr>
        <w:tc>
          <w:tcPr>
            <w:tcW w:w="0" w:type="auto"/>
            <w:shd w:val="clear" w:color="auto" w:fill="CFF0FC"/>
            <w:vAlign w:val="bottom"/>
            <w:hideMark/>
          </w:tcPr>
          <w:p w14:paraId="73109F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Operating lease cost</w:t>
            </w:r>
          </w:p>
        </w:tc>
        <w:tc>
          <w:tcPr>
            <w:tcW w:w="0" w:type="auto"/>
            <w:shd w:val="clear" w:color="auto" w:fill="CFF0FC"/>
            <w:vAlign w:val="bottom"/>
            <w:hideMark/>
          </w:tcPr>
          <w:p w14:paraId="5FD4F9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87C52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47E3F0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50</w:t>
            </w:r>
          </w:p>
        </w:tc>
        <w:tc>
          <w:tcPr>
            <w:tcW w:w="0" w:type="auto"/>
            <w:shd w:val="clear" w:color="auto" w:fill="CFF0FC"/>
            <w:noWrap/>
            <w:vAlign w:val="bottom"/>
            <w:hideMark/>
          </w:tcPr>
          <w:p w14:paraId="1A43BA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36599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BB0CB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87CBE8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44</w:t>
            </w:r>
          </w:p>
        </w:tc>
        <w:tc>
          <w:tcPr>
            <w:tcW w:w="0" w:type="auto"/>
            <w:shd w:val="clear" w:color="auto" w:fill="CFF0FC"/>
            <w:noWrap/>
            <w:vAlign w:val="bottom"/>
            <w:hideMark/>
          </w:tcPr>
          <w:p w14:paraId="54A61B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B990931" w14:textId="77777777" w:rsidTr="004B2A77">
        <w:trPr>
          <w:trHeight w:val="180"/>
          <w:tblCellSpacing w:w="15" w:type="dxa"/>
        </w:trPr>
        <w:tc>
          <w:tcPr>
            <w:tcW w:w="0" w:type="auto"/>
            <w:shd w:val="clear" w:color="auto" w:fill="FFFFFF"/>
            <w:vAlign w:val="bottom"/>
            <w:hideMark/>
          </w:tcPr>
          <w:p w14:paraId="3576A5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Short-term lease cost</w:t>
            </w:r>
          </w:p>
        </w:tc>
        <w:tc>
          <w:tcPr>
            <w:tcW w:w="0" w:type="auto"/>
            <w:shd w:val="clear" w:color="auto" w:fill="FFFFFF"/>
            <w:vAlign w:val="bottom"/>
            <w:hideMark/>
          </w:tcPr>
          <w:p w14:paraId="23AD74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04998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7B6D4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w:t>
            </w:r>
          </w:p>
        </w:tc>
        <w:tc>
          <w:tcPr>
            <w:tcW w:w="0" w:type="auto"/>
            <w:shd w:val="clear" w:color="auto" w:fill="FFFFFF"/>
            <w:noWrap/>
            <w:vAlign w:val="bottom"/>
            <w:hideMark/>
          </w:tcPr>
          <w:p w14:paraId="441CC9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F78E12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B6356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CFBA1C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FFFFFF"/>
            <w:noWrap/>
            <w:vAlign w:val="bottom"/>
            <w:hideMark/>
          </w:tcPr>
          <w:p w14:paraId="4C7A51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4A0B298" w14:textId="77777777" w:rsidTr="004B2A77">
        <w:trPr>
          <w:trHeight w:val="180"/>
          <w:tblCellSpacing w:w="15" w:type="dxa"/>
        </w:trPr>
        <w:tc>
          <w:tcPr>
            <w:tcW w:w="0" w:type="auto"/>
            <w:shd w:val="clear" w:color="auto" w:fill="CFF0FC"/>
            <w:vAlign w:val="bottom"/>
            <w:hideMark/>
          </w:tcPr>
          <w:p w14:paraId="09024F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Variable lease cost</w:t>
            </w:r>
          </w:p>
        </w:tc>
        <w:tc>
          <w:tcPr>
            <w:tcW w:w="0" w:type="auto"/>
            <w:shd w:val="clear" w:color="auto" w:fill="CFF0FC"/>
            <w:vAlign w:val="bottom"/>
            <w:hideMark/>
          </w:tcPr>
          <w:p w14:paraId="38B1C6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722DC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F7A22F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7B9BFF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B7CD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85A0D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1C9EA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1A492F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5559B8D" w14:textId="77777777" w:rsidTr="004B2A77">
        <w:trPr>
          <w:trHeight w:val="180"/>
          <w:tblCellSpacing w:w="15" w:type="dxa"/>
        </w:trPr>
        <w:tc>
          <w:tcPr>
            <w:tcW w:w="0" w:type="auto"/>
            <w:shd w:val="clear" w:color="auto" w:fill="FFFFFF"/>
            <w:vAlign w:val="bottom"/>
            <w:hideMark/>
          </w:tcPr>
          <w:p w14:paraId="23F022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Sublease income</w:t>
            </w:r>
          </w:p>
        </w:tc>
        <w:tc>
          <w:tcPr>
            <w:tcW w:w="0" w:type="auto"/>
            <w:shd w:val="clear" w:color="auto" w:fill="FFFFFF"/>
            <w:vAlign w:val="bottom"/>
            <w:hideMark/>
          </w:tcPr>
          <w:p w14:paraId="4E7795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CACD9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E177E3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1651B1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570660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AA219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27C451B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3180CD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5835E2A8" w14:textId="77777777" w:rsidTr="004B2A77">
        <w:trPr>
          <w:trHeight w:val="180"/>
          <w:tblCellSpacing w:w="15" w:type="dxa"/>
        </w:trPr>
        <w:tc>
          <w:tcPr>
            <w:tcW w:w="0" w:type="auto"/>
            <w:shd w:val="clear" w:color="auto" w:fill="CFF0FC"/>
            <w:vAlign w:val="bottom"/>
            <w:hideMark/>
          </w:tcPr>
          <w:p w14:paraId="303D38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lease cost</w:t>
            </w:r>
          </w:p>
        </w:tc>
        <w:tc>
          <w:tcPr>
            <w:tcW w:w="0" w:type="auto"/>
            <w:shd w:val="clear" w:color="auto" w:fill="CFF0FC"/>
            <w:vAlign w:val="bottom"/>
            <w:hideMark/>
          </w:tcPr>
          <w:p w14:paraId="37B157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97B22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3F72EA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62</w:t>
            </w:r>
          </w:p>
        </w:tc>
        <w:tc>
          <w:tcPr>
            <w:tcW w:w="0" w:type="auto"/>
            <w:shd w:val="clear" w:color="auto" w:fill="CFF0FC"/>
            <w:noWrap/>
            <w:vAlign w:val="bottom"/>
            <w:hideMark/>
          </w:tcPr>
          <w:p w14:paraId="6CC630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4A60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26F1F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C1D814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57</w:t>
            </w:r>
          </w:p>
        </w:tc>
        <w:tc>
          <w:tcPr>
            <w:tcW w:w="0" w:type="auto"/>
            <w:shd w:val="clear" w:color="auto" w:fill="CFF0FC"/>
            <w:noWrap/>
            <w:vAlign w:val="bottom"/>
            <w:hideMark/>
          </w:tcPr>
          <w:p w14:paraId="72F5BB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2645362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2369" w:type="dxa"/>
        <w:tblCellSpacing w:w="15" w:type="dxa"/>
        <w:tblCellMar>
          <w:top w:w="15" w:type="dxa"/>
          <w:left w:w="15" w:type="dxa"/>
          <w:bottom w:w="15" w:type="dxa"/>
          <w:right w:w="15" w:type="dxa"/>
        </w:tblCellMar>
        <w:tblLook w:val="04A0" w:firstRow="1" w:lastRow="0" w:firstColumn="1" w:lastColumn="0" w:noHBand="0" w:noVBand="1"/>
      </w:tblPr>
      <w:tblGrid>
        <w:gridCol w:w="7785"/>
        <w:gridCol w:w="139"/>
        <w:gridCol w:w="161"/>
        <w:gridCol w:w="1801"/>
        <w:gridCol w:w="221"/>
        <w:gridCol w:w="138"/>
        <w:gridCol w:w="161"/>
        <w:gridCol w:w="1727"/>
        <w:gridCol w:w="236"/>
      </w:tblGrid>
      <w:tr w:rsidR="004B2A77" w:rsidRPr="004B2A77" w14:paraId="24D1DFC9" w14:textId="77777777" w:rsidTr="004B2A77">
        <w:trPr>
          <w:tblCellSpacing w:w="15" w:type="dxa"/>
        </w:trPr>
        <w:tc>
          <w:tcPr>
            <w:tcW w:w="7883" w:type="dxa"/>
            <w:vAlign w:val="center"/>
            <w:hideMark/>
          </w:tcPr>
          <w:p w14:paraId="483B37F4"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09" w:type="dxa"/>
            <w:vAlign w:val="center"/>
            <w:hideMark/>
          </w:tcPr>
          <w:p w14:paraId="22DE77E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 w:type="dxa"/>
            <w:vAlign w:val="center"/>
            <w:hideMark/>
          </w:tcPr>
          <w:p w14:paraId="4BAB118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96" w:type="dxa"/>
            <w:vAlign w:val="center"/>
            <w:hideMark/>
          </w:tcPr>
          <w:p w14:paraId="7CCCCA8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 w:type="dxa"/>
            <w:vAlign w:val="center"/>
            <w:hideMark/>
          </w:tcPr>
          <w:p w14:paraId="578360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09" w:type="dxa"/>
            <w:vAlign w:val="center"/>
            <w:hideMark/>
          </w:tcPr>
          <w:p w14:paraId="66289A0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0" w:type="dxa"/>
            <w:vAlign w:val="center"/>
            <w:hideMark/>
          </w:tcPr>
          <w:p w14:paraId="3EAA469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20" w:type="dxa"/>
            <w:vAlign w:val="center"/>
            <w:hideMark/>
          </w:tcPr>
          <w:p w14:paraId="25635B0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1" w:type="dxa"/>
            <w:vAlign w:val="center"/>
            <w:hideMark/>
          </w:tcPr>
          <w:p w14:paraId="6FA840FB"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3E9EE23" w14:textId="77777777" w:rsidTr="004B2A77">
        <w:trPr>
          <w:trHeight w:val="180"/>
          <w:tblCellSpacing w:w="15" w:type="dxa"/>
        </w:trPr>
        <w:tc>
          <w:tcPr>
            <w:tcW w:w="0" w:type="auto"/>
            <w:shd w:val="clear" w:color="auto" w:fill="FFFFFF"/>
            <w:vAlign w:val="bottom"/>
            <w:hideMark/>
          </w:tcPr>
          <w:p w14:paraId="2282EC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Other information</w:t>
            </w:r>
          </w:p>
        </w:tc>
        <w:tc>
          <w:tcPr>
            <w:tcW w:w="0" w:type="auto"/>
            <w:shd w:val="clear" w:color="auto" w:fill="FFFFFF"/>
            <w:vAlign w:val="bottom"/>
            <w:hideMark/>
          </w:tcPr>
          <w:p w14:paraId="13BA92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77A556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D041D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1EDD2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5B9F5E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C0341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16A1CE2" w14:textId="77777777" w:rsidTr="004B2A77">
        <w:trPr>
          <w:trHeight w:val="160"/>
          <w:tblCellSpacing w:w="15" w:type="dxa"/>
        </w:trPr>
        <w:tc>
          <w:tcPr>
            <w:tcW w:w="0" w:type="auto"/>
            <w:shd w:val="clear" w:color="auto" w:fill="FFFFFF"/>
            <w:hideMark/>
          </w:tcPr>
          <w:p w14:paraId="7061AB0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hideMark/>
          </w:tcPr>
          <w:p w14:paraId="6DEAFE30"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gridSpan w:val="6"/>
            <w:tcBorders>
              <w:bottom w:val="single" w:sz="4" w:space="0" w:color="000000"/>
            </w:tcBorders>
            <w:shd w:val="clear" w:color="auto" w:fill="FFFFFF"/>
            <w:vAlign w:val="bottom"/>
            <w:hideMark/>
          </w:tcPr>
          <w:p w14:paraId="6B265EC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Year ended or as of</w:t>
            </w:r>
            <w:r w:rsidRPr="004B2A77">
              <w:rPr>
                <w:rFonts w:ascii="Arial" w:eastAsia="宋体" w:hAnsi="Arial" w:cs="Arial"/>
                <w:b/>
                <w:bCs/>
                <w:color w:val="000000"/>
                <w:kern w:val="0"/>
                <w:sz w:val="16"/>
                <w:szCs w:val="16"/>
              </w:rPr>
              <w:br/>
              <w:t>December 31,</w:t>
            </w:r>
          </w:p>
        </w:tc>
        <w:tc>
          <w:tcPr>
            <w:tcW w:w="0" w:type="auto"/>
            <w:shd w:val="clear" w:color="auto" w:fill="FFFFFF"/>
            <w:vAlign w:val="bottom"/>
            <w:hideMark/>
          </w:tcPr>
          <w:p w14:paraId="3A0E4B4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34ABDA15" w14:textId="77777777" w:rsidTr="004B2A77">
        <w:trPr>
          <w:trHeight w:val="160"/>
          <w:tblCellSpacing w:w="15" w:type="dxa"/>
        </w:trPr>
        <w:tc>
          <w:tcPr>
            <w:tcW w:w="0" w:type="auto"/>
            <w:shd w:val="clear" w:color="auto" w:fill="FFFFFF"/>
            <w:vAlign w:val="bottom"/>
            <w:hideMark/>
          </w:tcPr>
          <w:p w14:paraId="6EE2F83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45A632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A9B8A8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6C1EBE2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270C45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B291B0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22FF3BF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B7695F1" w14:textId="77777777" w:rsidTr="004B2A77">
        <w:trPr>
          <w:trHeight w:val="180"/>
          <w:tblCellSpacing w:w="15" w:type="dxa"/>
        </w:trPr>
        <w:tc>
          <w:tcPr>
            <w:tcW w:w="0" w:type="auto"/>
            <w:shd w:val="clear" w:color="auto" w:fill="CFF0FC"/>
            <w:vAlign w:val="bottom"/>
            <w:hideMark/>
          </w:tcPr>
          <w:p w14:paraId="3FDA14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Cash paid for amounts included in the measurement of operating lease liabilities</w:t>
            </w:r>
          </w:p>
        </w:tc>
        <w:tc>
          <w:tcPr>
            <w:tcW w:w="0" w:type="auto"/>
            <w:shd w:val="clear" w:color="auto" w:fill="CFF0FC"/>
            <w:vAlign w:val="bottom"/>
            <w:hideMark/>
          </w:tcPr>
          <w:p w14:paraId="2C4A6C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E3414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F08141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42</w:t>
            </w:r>
          </w:p>
        </w:tc>
        <w:tc>
          <w:tcPr>
            <w:tcW w:w="0" w:type="auto"/>
            <w:shd w:val="clear" w:color="auto" w:fill="CFF0FC"/>
            <w:noWrap/>
            <w:vAlign w:val="bottom"/>
            <w:hideMark/>
          </w:tcPr>
          <w:p w14:paraId="23F6B72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ADC36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D2920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DD554F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46</w:t>
            </w:r>
          </w:p>
        </w:tc>
        <w:tc>
          <w:tcPr>
            <w:tcW w:w="0" w:type="auto"/>
            <w:shd w:val="clear" w:color="auto" w:fill="CFF0FC"/>
            <w:noWrap/>
            <w:vAlign w:val="bottom"/>
            <w:hideMark/>
          </w:tcPr>
          <w:p w14:paraId="6C28920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5C6649A" w14:textId="77777777" w:rsidTr="004B2A77">
        <w:trPr>
          <w:trHeight w:val="180"/>
          <w:tblCellSpacing w:w="15" w:type="dxa"/>
        </w:trPr>
        <w:tc>
          <w:tcPr>
            <w:tcW w:w="0" w:type="auto"/>
            <w:shd w:val="clear" w:color="auto" w:fill="FFFFFF"/>
            <w:vAlign w:val="bottom"/>
            <w:hideMark/>
          </w:tcPr>
          <w:p w14:paraId="3F632D5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Right-of-use assets obtained in exchange for new operating lease liabilities</w:t>
            </w:r>
          </w:p>
        </w:tc>
        <w:tc>
          <w:tcPr>
            <w:tcW w:w="0" w:type="auto"/>
            <w:shd w:val="clear" w:color="auto" w:fill="FFFFFF"/>
            <w:vAlign w:val="bottom"/>
            <w:hideMark/>
          </w:tcPr>
          <w:p w14:paraId="5AD061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74738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254F83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74</w:t>
            </w:r>
          </w:p>
        </w:tc>
        <w:tc>
          <w:tcPr>
            <w:tcW w:w="0" w:type="auto"/>
            <w:shd w:val="clear" w:color="auto" w:fill="FFFFFF"/>
            <w:noWrap/>
            <w:vAlign w:val="bottom"/>
            <w:hideMark/>
          </w:tcPr>
          <w:p w14:paraId="20C353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074FE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35E18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BD1EC3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41</w:t>
            </w:r>
          </w:p>
        </w:tc>
        <w:tc>
          <w:tcPr>
            <w:tcW w:w="0" w:type="auto"/>
            <w:shd w:val="clear" w:color="auto" w:fill="FFFFFF"/>
            <w:noWrap/>
            <w:vAlign w:val="bottom"/>
            <w:hideMark/>
          </w:tcPr>
          <w:p w14:paraId="6F608B2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67B2B20" w14:textId="77777777" w:rsidTr="004B2A77">
        <w:trPr>
          <w:trHeight w:val="180"/>
          <w:tblCellSpacing w:w="15" w:type="dxa"/>
        </w:trPr>
        <w:tc>
          <w:tcPr>
            <w:tcW w:w="0" w:type="auto"/>
            <w:shd w:val="clear" w:color="auto" w:fill="CFF0FC"/>
            <w:vAlign w:val="bottom"/>
            <w:hideMark/>
          </w:tcPr>
          <w:p w14:paraId="070E4C4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Weighted-average remaining lease term - operating leases</w:t>
            </w:r>
          </w:p>
        </w:tc>
        <w:tc>
          <w:tcPr>
            <w:tcW w:w="0" w:type="auto"/>
            <w:shd w:val="clear" w:color="auto" w:fill="CFF0FC"/>
            <w:vAlign w:val="bottom"/>
            <w:hideMark/>
          </w:tcPr>
          <w:p w14:paraId="4A90FB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3710816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9.7 years</w:t>
            </w:r>
          </w:p>
        </w:tc>
        <w:tc>
          <w:tcPr>
            <w:tcW w:w="0" w:type="auto"/>
            <w:shd w:val="clear" w:color="auto" w:fill="CFF0FC"/>
            <w:vAlign w:val="bottom"/>
            <w:hideMark/>
          </w:tcPr>
          <w:p w14:paraId="0F4068E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505AA7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35690EF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6.7 years</w:t>
            </w:r>
          </w:p>
        </w:tc>
        <w:tc>
          <w:tcPr>
            <w:tcW w:w="0" w:type="auto"/>
            <w:shd w:val="clear" w:color="auto" w:fill="CFF0FC"/>
            <w:vAlign w:val="bottom"/>
            <w:hideMark/>
          </w:tcPr>
          <w:p w14:paraId="1A70DA8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EFEBBB3" w14:textId="77777777" w:rsidTr="004B2A77">
        <w:trPr>
          <w:trHeight w:val="180"/>
          <w:tblCellSpacing w:w="15" w:type="dxa"/>
        </w:trPr>
        <w:tc>
          <w:tcPr>
            <w:tcW w:w="0" w:type="auto"/>
            <w:shd w:val="clear" w:color="auto" w:fill="FFFFFF"/>
            <w:vAlign w:val="bottom"/>
            <w:hideMark/>
          </w:tcPr>
          <w:p w14:paraId="6E3267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Weighted-average discount rate - operating leases</w:t>
            </w:r>
          </w:p>
        </w:tc>
        <w:tc>
          <w:tcPr>
            <w:tcW w:w="0" w:type="auto"/>
            <w:shd w:val="clear" w:color="auto" w:fill="FFFFFF"/>
            <w:vAlign w:val="bottom"/>
            <w:hideMark/>
          </w:tcPr>
          <w:p w14:paraId="1EBA9E7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85D9E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A86729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w:t>
            </w:r>
          </w:p>
        </w:tc>
        <w:tc>
          <w:tcPr>
            <w:tcW w:w="0" w:type="auto"/>
            <w:shd w:val="clear" w:color="auto" w:fill="FFFFFF"/>
            <w:noWrap/>
            <w:vAlign w:val="bottom"/>
            <w:hideMark/>
          </w:tcPr>
          <w:p w14:paraId="52E687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0F3F2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9B29E3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46C47B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w:t>
            </w:r>
          </w:p>
        </w:tc>
        <w:tc>
          <w:tcPr>
            <w:tcW w:w="0" w:type="auto"/>
            <w:shd w:val="clear" w:color="auto" w:fill="FFFFFF"/>
            <w:noWrap/>
            <w:vAlign w:val="bottom"/>
            <w:hideMark/>
          </w:tcPr>
          <w:p w14:paraId="390850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bl>
    <w:p w14:paraId="5D738E4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2369" w:type="dxa"/>
        <w:tblCellSpacing w:w="15" w:type="dxa"/>
        <w:tblCellMar>
          <w:top w:w="15" w:type="dxa"/>
          <w:left w:w="15" w:type="dxa"/>
          <w:bottom w:w="15" w:type="dxa"/>
          <w:right w:w="15" w:type="dxa"/>
        </w:tblCellMar>
        <w:tblLook w:val="04A0" w:firstRow="1" w:lastRow="0" w:firstColumn="1" w:lastColumn="0" w:noHBand="0" w:noVBand="1"/>
      </w:tblPr>
      <w:tblGrid>
        <w:gridCol w:w="9733"/>
        <w:gridCol w:w="228"/>
        <w:gridCol w:w="161"/>
        <w:gridCol w:w="2080"/>
        <w:gridCol w:w="167"/>
      </w:tblGrid>
      <w:tr w:rsidR="004B2A77" w:rsidRPr="004B2A77" w14:paraId="176BC50C" w14:textId="77777777" w:rsidTr="004B2A77">
        <w:trPr>
          <w:tblCellSpacing w:w="15" w:type="dxa"/>
        </w:trPr>
        <w:tc>
          <w:tcPr>
            <w:tcW w:w="9721" w:type="dxa"/>
            <w:vAlign w:val="center"/>
            <w:hideMark/>
          </w:tcPr>
          <w:p w14:paraId="35271CBB"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98" w:type="dxa"/>
            <w:vAlign w:val="center"/>
            <w:hideMark/>
          </w:tcPr>
          <w:p w14:paraId="3885F5F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2" w:type="dxa"/>
            <w:vAlign w:val="center"/>
            <w:hideMark/>
          </w:tcPr>
          <w:p w14:paraId="063A023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56" w:type="dxa"/>
            <w:vAlign w:val="center"/>
            <w:hideMark/>
          </w:tcPr>
          <w:p w14:paraId="7A749B2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2" w:type="dxa"/>
            <w:vAlign w:val="center"/>
            <w:hideMark/>
          </w:tcPr>
          <w:p w14:paraId="6670FB76"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01E78EB" w14:textId="77777777" w:rsidTr="004B2A77">
        <w:trPr>
          <w:trHeight w:val="180"/>
          <w:tblCellSpacing w:w="15" w:type="dxa"/>
        </w:trPr>
        <w:tc>
          <w:tcPr>
            <w:tcW w:w="0" w:type="auto"/>
            <w:shd w:val="clear" w:color="auto" w:fill="FFFFFF"/>
            <w:vAlign w:val="bottom"/>
            <w:hideMark/>
          </w:tcPr>
          <w:p w14:paraId="1C7315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Maturities of operating lease liabilities (undiscounted cash flows) are as follows:</w:t>
            </w:r>
          </w:p>
        </w:tc>
        <w:tc>
          <w:tcPr>
            <w:tcW w:w="0" w:type="auto"/>
            <w:shd w:val="clear" w:color="auto" w:fill="FFFFFF"/>
            <w:vAlign w:val="bottom"/>
            <w:hideMark/>
          </w:tcPr>
          <w:p w14:paraId="06090B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240BFE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B24DC2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F5E562A" w14:textId="77777777" w:rsidTr="004B2A77">
        <w:trPr>
          <w:trHeight w:val="160"/>
          <w:tblCellSpacing w:w="15" w:type="dxa"/>
        </w:trPr>
        <w:tc>
          <w:tcPr>
            <w:tcW w:w="0" w:type="auto"/>
            <w:shd w:val="clear" w:color="auto" w:fill="FFFFFF"/>
            <w:vAlign w:val="bottom"/>
            <w:hideMark/>
          </w:tcPr>
          <w:p w14:paraId="3C11A46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0BDD5692"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gridSpan w:val="2"/>
            <w:shd w:val="clear" w:color="auto" w:fill="FFFFFF"/>
            <w:vAlign w:val="bottom"/>
            <w:hideMark/>
          </w:tcPr>
          <w:p w14:paraId="454ECD45"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shd w:val="clear" w:color="auto" w:fill="FFFFFF"/>
            <w:vAlign w:val="bottom"/>
            <w:hideMark/>
          </w:tcPr>
          <w:p w14:paraId="7B25ACAD"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r>
      <w:tr w:rsidR="004B2A77" w:rsidRPr="004B2A77" w14:paraId="46020D30" w14:textId="77777777" w:rsidTr="004B2A77">
        <w:trPr>
          <w:trHeight w:val="160"/>
          <w:tblCellSpacing w:w="15" w:type="dxa"/>
        </w:trPr>
        <w:tc>
          <w:tcPr>
            <w:tcW w:w="0" w:type="auto"/>
            <w:shd w:val="clear" w:color="auto" w:fill="FFFFFF"/>
            <w:vAlign w:val="bottom"/>
            <w:hideMark/>
          </w:tcPr>
          <w:p w14:paraId="111C8A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EE944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tcBorders>
              <w:bottom w:val="single" w:sz="4" w:space="0" w:color="000000"/>
            </w:tcBorders>
            <w:shd w:val="clear" w:color="auto" w:fill="FFFFFF"/>
            <w:vAlign w:val="bottom"/>
            <w:hideMark/>
          </w:tcPr>
          <w:p w14:paraId="25F8C78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Maturities</w:t>
            </w:r>
          </w:p>
        </w:tc>
        <w:tc>
          <w:tcPr>
            <w:tcW w:w="0" w:type="auto"/>
            <w:shd w:val="clear" w:color="auto" w:fill="FFFFFF"/>
            <w:vAlign w:val="bottom"/>
            <w:hideMark/>
          </w:tcPr>
          <w:p w14:paraId="540B066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4D5942C2" w14:textId="77777777" w:rsidTr="004B2A77">
        <w:trPr>
          <w:trHeight w:val="180"/>
          <w:tblCellSpacing w:w="15" w:type="dxa"/>
        </w:trPr>
        <w:tc>
          <w:tcPr>
            <w:tcW w:w="0" w:type="auto"/>
            <w:shd w:val="clear" w:color="auto" w:fill="CFF0FC"/>
            <w:vAlign w:val="bottom"/>
            <w:hideMark/>
          </w:tcPr>
          <w:p w14:paraId="57C0CD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2023</w:t>
            </w:r>
          </w:p>
        </w:tc>
        <w:tc>
          <w:tcPr>
            <w:tcW w:w="0" w:type="auto"/>
            <w:shd w:val="clear" w:color="auto" w:fill="CFF0FC"/>
            <w:vAlign w:val="bottom"/>
            <w:hideMark/>
          </w:tcPr>
          <w:p w14:paraId="1AA698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44505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6F5A2F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41</w:t>
            </w:r>
          </w:p>
        </w:tc>
        <w:tc>
          <w:tcPr>
            <w:tcW w:w="0" w:type="auto"/>
            <w:shd w:val="clear" w:color="auto" w:fill="CFF0FC"/>
            <w:noWrap/>
            <w:vAlign w:val="bottom"/>
            <w:hideMark/>
          </w:tcPr>
          <w:p w14:paraId="7878CC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A2FD571" w14:textId="77777777" w:rsidTr="004B2A77">
        <w:trPr>
          <w:trHeight w:val="180"/>
          <w:tblCellSpacing w:w="15" w:type="dxa"/>
        </w:trPr>
        <w:tc>
          <w:tcPr>
            <w:tcW w:w="0" w:type="auto"/>
            <w:shd w:val="clear" w:color="auto" w:fill="FFFFFF"/>
            <w:vAlign w:val="bottom"/>
            <w:hideMark/>
          </w:tcPr>
          <w:p w14:paraId="7462F71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2024</w:t>
            </w:r>
          </w:p>
        </w:tc>
        <w:tc>
          <w:tcPr>
            <w:tcW w:w="0" w:type="auto"/>
            <w:shd w:val="clear" w:color="auto" w:fill="FFFFFF"/>
            <w:vAlign w:val="bottom"/>
            <w:hideMark/>
          </w:tcPr>
          <w:p w14:paraId="13AE66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490D7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399F05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w:t>
            </w:r>
          </w:p>
        </w:tc>
        <w:tc>
          <w:tcPr>
            <w:tcW w:w="0" w:type="auto"/>
            <w:shd w:val="clear" w:color="auto" w:fill="FFFFFF"/>
            <w:noWrap/>
            <w:vAlign w:val="bottom"/>
            <w:hideMark/>
          </w:tcPr>
          <w:p w14:paraId="23A634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E61D013" w14:textId="77777777" w:rsidTr="004B2A77">
        <w:trPr>
          <w:trHeight w:val="180"/>
          <w:tblCellSpacing w:w="15" w:type="dxa"/>
        </w:trPr>
        <w:tc>
          <w:tcPr>
            <w:tcW w:w="0" w:type="auto"/>
            <w:shd w:val="clear" w:color="auto" w:fill="CFF0FC"/>
            <w:vAlign w:val="bottom"/>
            <w:hideMark/>
          </w:tcPr>
          <w:p w14:paraId="581C27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2025</w:t>
            </w:r>
          </w:p>
        </w:tc>
        <w:tc>
          <w:tcPr>
            <w:tcW w:w="0" w:type="auto"/>
            <w:shd w:val="clear" w:color="auto" w:fill="CFF0FC"/>
            <w:vAlign w:val="bottom"/>
            <w:hideMark/>
          </w:tcPr>
          <w:p w14:paraId="4B23E5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B2D88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CD626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w:t>
            </w:r>
          </w:p>
        </w:tc>
        <w:tc>
          <w:tcPr>
            <w:tcW w:w="0" w:type="auto"/>
            <w:shd w:val="clear" w:color="auto" w:fill="CFF0FC"/>
            <w:noWrap/>
            <w:vAlign w:val="bottom"/>
            <w:hideMark/>
          </w:tcPr>
          <w:p w14:paraId="1E9252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3813A84" w14:textId="77777777" w:rsidTr="004B2A77">
        <w:trPr>
          <w:trHeight w:val="180"/>
          <w:tblCellSpacing w:w="15" w:type="dxa"/>
        </w:trPr>
        <w:tc>
          <w:tcPr>
            <w:tcW w:w="0" w:type="auto"/>
            <w:shd w:val="clear" w:color="auto" w:fill="FFFFFF"/>
            <w:vAlign w:val="bottom"/>
            <w:hideMark/>
          </w:tcPr>
          <w:p w14:paraId="39785A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2026</w:t>
            </w:r>
          </w:p>
        </w:tc>
        <w:tc>
          <w:tcPr>
            <w:tcW w:w="0" w:type="auto"/>
            <w:shd w:val="clear" w:color="auto" w:fill="FFFFFF"/>
            <w:vAlign w:val="bottom"/>
            <w:hideMark/>
          </w:tcPr>
          <w:p w14:paraId="59375B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BC3A3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B5703A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16</w:t>
            </w:r>
          </w:p>
        </w:tc>
        <w:tc>
          <w:tcPr>
            <w:tcW w:w="0" w:type="auto"/>
            <w:shd w:val="clear" w:color="auto" w:fill="FFFFFF"/>
            <w:noWrap/>
            <w:vAlign w:val="bottom"/>
            <w:hideMark/>
          </w:tcPr>
          <w:p w14:paraId="343515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52E8EB5" w14:textId="77777777" w:rsidTr="004B2A77">
        <w:trPr>
          <w:trHeight w:val="180"/>
          <w:tblCellSpacing w:w="15" w:type="dxa"/>
        </w:trPr>
        <w:tc>
          <w:tcPr>
            <w:tcW w:w="0" w:type="auto"/>
            <w:shd w:val="clear" w:color="auto" w:fill="CFF0FC"/>
            <w:vAlign w:val="bottom"/>
            <w:hideMark/>
          </w:tcPr>
          <w:p w14:paraId="3FAEE0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2027</w:t>
            </w:r>
          </w:p>
        </w:tc>
        <w:tc>
          <w:tcPr>
            <w:tcW w:w="0" w:type="auto"/>
            <w:shd w:val="clear" w:color="auto" w:fill="CFF0FC"/>
            <w:vAlign w:val="bottom"/>
            <w:hideMark/>
          </w:tcPr>
          <w:p w14:paraId="32F3D6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F802E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386A06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w:t>
            </w:r>
          </w:p>
        </w:tc>
        <w:tc>
          <w:tcPr>
            <w:tcW w:w="0" w:type="auto"/>
            <w:shd w:val="clear" w:color="auto" w:fill="CFF0FC"/>
            <w:noWrap/>
            <w:vAlign w:val="bottom"/>
            <w:hideMark/>
          </w:tcPr>
          <w:p w14:paraId="5EC5613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C72A8A6" w14:textId="77777777" w:rsidTr="004B2A77">
        <w:trPr>
          <w:trHeight w:val="180"/>
          <w:tblCellSpacing w:w="15" w:type="dxa"/>
        </w:trPr>
        <w:tc>
          <w:tcPr>
            <w:tcW w:w="0" w:type="auto"/>
            <w:shd w:val="clear" w:color="auto" w:fill="FFFFFF"/>
            <w:vAlign w:val="bottom"/>
            <w:hideMark/>
          </w:tcPr>
          <w:p w14:paraId="7625A3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lastRenderedPageBreak/>
              <w:t>Thereafter</w:t>
            </w:r>
          </w:p>
        </w:tc>
        <w:tc>
          <w:tcPr>
            <w:tcW w:w="0" w:type="auto"/>
            <w:shd w:val="clear" w:color="auto" w:fill="FFFFFF"/>
            <w:vAlign w:val="bottom"/>
            <w:hideMark/>
          </w:tcPr>
          <w:p w14:paraId="1D0D88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B479B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52B906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67</w:t>
            </w:r>
          </w:p>
        </w:tc>
        <w:tc>
          <w:tcPr>
            <w:tcW w:w="0" w:type="auto"/>
            <w:shd w:val="clear" w:color="auto" w:fill="FFFFFF"/>
            <w:noWrap/>
            <w:vAlign w:val="bottom"/>
            <w:hideMark/>
          </w:tcPr>
          <w:p w14:paraId="234F18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8C4BDEE" w14:textId="77777777" w:rsidTr="004B2A77">
        <w:trPr>
          <w:trHeight w:val="180"/>
          <w:tblCellSpacing w:w="15" w:type="dxa"/>
        </w:trPr>
        <w:tc>
          <w:tcPr>
            <w:tcW w:w="0" w:type="auto"/>
            <w:shd w:val="clear" w:color="auto" w:fill="CFF0FC"/>
            <w:vAlign w:val="bottom"/>
            <w:hideMark/>
          </w:tcPr>
          <w:p w14:paraId="45BCAF3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operating lease payments</w:t>
            </w:r>
          </w:p>
        </w:tc>
        <w:tc>
          <w:tcPr>
            <w:tcW w:w="0" w:type="auto"/>
            <w:shd w:val="clear" w:color="auto" w:fill="CFF0FC"/>
            <w:vAlign w:val="bottom"/>
            <w:hideMark/>
          </w:tcPr>
          <w:p w14:paraId="729997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962A6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89DAB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186</w:t>
            </w:r>
          </w:p>
        </w:tc>
        <w:tc>
          <w:tcPr>
            <w:tcW w:w="0" w:type="auto"/>
            <w:shd w:val="clear" w:color="auto" w:fill="CFF0FC"/>
            <w:noWrap/>
            <w:vAlign w:val="bottom"/>
            <w:hideMark/>
          </w:tcPr>
          <w:p w14:paraId="43B6D98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ECD944D" w14:textId="77777777" w:rsidTr="004B2A77">
        <w:trPr>
          <w:trHeight w:val="180"/>
          <w:tblCellSpacing w:w="15" w:type="dxa"/>
        </w:trPr>
        <w:tc>
          <w:tcPr>
            <w:tcW w:w="0" w:type="auto"/>
            <w:shd w:val="clear" w:color="auto" w:fill="FFFFFF"/>
            <w:vAlign w:val="bottom"/>
            <w:hideMark/>
          </w:tcPr>
          <w:p w14:paraId="0EB726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Less imputed interest</w:t>
            </w:r>
          </w:p>
        </w:tc>
        <w:tc>
          <w:tcPr>
            <w:tcW w:w="0" w:type="auto"/>
            <w:shd w:val="clear" w:color="auto" w:fill="FFFFFF"/>
            <w:vAlign w:val="bottom"/>
            <w:hideMark/>
          </w:tcPr>
          <w:p w14:paraId="23579F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39DFAD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EAD047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w:t>
            </w:r>
          </w:p>
        </w:tc>
        <w:tc>
          <w:tcPr>
            <w:tcW w:w="0" w:type="auto"/>
            <w:shd w:val="clear" w:color="auto" w:fill="FFFFFF"/>
            <w:noWrap/>
            <w:vAlign w:val="bottom"/>
            <w:hideMark/>
          </w:tcPr>
          <w:p w14:paraId="1E9114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35623135" w14:textId="77777777" w:rsidTr="004B2A77">
        <w:trPr>
          <w:trHeight w:val="180"/>
          <w:tblCellSpacing w:w="15" w:type="dxa"/>
        </w:trPr>
        <w:tc>
          <w:tcPr>
            <w:tcW w:w="0" w:type="auto"/>
            <w:shd w:val="clear" w:color="auto" w:fill="CFF0FC"/>
            <w:vAlign w:val="bottom"/>
            <w:hideMark/>
          </w:tcPr>
          <w:p w14:paraId="6FBF21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operating lease liabilities</w:t>
            </w:r>
          </w:p>
        </w:tc>
        <w:tc>
          <w:tcPr>
            <w:tcW w:w="0" w:type="auto"/>
            <w:shd w:val="clear" w:color="auto" w:fill="CFF0FC"/>
            <w:vAlign w:val="bottom"/>
            <w:hideMark/>
          </w:tcPr>
          <w:p w14:paraId="126A33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F4AF8F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A3DB08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159</w:t>
            </w:r>
          </w:p>
        </w:tc>
        <w:tc>
          <w:tcPr>
            <w:tcW w:w="0" w:type="auto"/>
            <w:shd w:val="clear" w:color="auto" w:fill="CFF0FC"/>
            <w:noWrap/>
            <w:vAlign w:val="bottom"/>
            <w:hideMark/>
          </w:tcPr>
          <w:p w14:paraId="3BAB4AD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13068CB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7D50B60B"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1C64D057"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68</w:t>
      </w:r>
    </w:p>
    <w:p w14:paraId="62995552"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120AD04">
          <v:rect id="_x0000_i1095" style="width:0;height:1.5pt" o:hralign="center" o:hrstd="t" o:hrnoshade="t" o:hr="t" fillcolor="black" stroked="f"/>
        </w:pict>
      </w:r>
    </w:p>
    <w:p w14:paraId="2F6B221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C071356" w14:textId="77777777" w:rsidR="004B2A77" w:rsidRPr="004B2A77" w:rsidRDefault="004B2A77" w:rsidP="004B2A77">
      <w:pPr>
        <w:widowControl/>
        <w:spacing w:before="16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22"/>
        </w:rPr>
        <w:t>4. Fair Value Measurements</w:t>
      </w:r>
    </w:p>
    <w:p w14:paraId="767D9B50"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8"/>
          <w:szCs w:val="8"/>
        </w:rPr>
        <w:t> </w:t>
      </w:r>
    </w:p>
    <w:p w14:paraId="4BBC3A6E"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t>ASSETS AND LIABILITIES MEASURED AT FAIR VALUE ON A RECURRING BASIS</w:t>
      </w:r>
    </w:p>
    <w:p w14:paraId="0F1A7D3C"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The carrying value of cash and cash equivalents, accounts receivable, accounts payable, other current liabilities and short-term debt approximate their fair value because of the short-term maturity of these instruments. </w:t>
      </w:r>
    </w:p>
    <w:p w14:paraId="06431029"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Company uses derivative financial instruments, “derivatives”, as part of its debt management to mitigate the market risk that occurs from its exposure to changes in interest and foreign exchange rates. The Company does not enter into derivatives for trading or other speculative purposes. The Company’s use of derivatives is in accordance with the strategies contained in the Company’s overall financial policy. All derivatives are recognized in the consolidated financial statements at fair value. Certain derivatives are from time to time designated either as fair value hedges or cash flow hedges in line with the hedge accounting criteria. For certain other derivatives hedge accounting is not applied either because non-hedge accounting treatment creates the same accounting result or the hedge does not meet the hedge accounting requirements, although entered into applying the same rationale concerning mitigating market risk that occurs from changes in interest and foreign exchange rates.</w:t>
      </w:r>
    </w:p>
    <w:p w14:paraId="55CFB28F"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degree of judgment utilized in measuring the fair value of the instruments generally correlates to the level of pricing observability. Pricing observability is impacted by several factors, including the type of asset or liability, whether the asset or liability has an established market and the characteristics specific to the transaction. Instruments with readily active quoted prices or for which fair value can be measured from actively quoted prices generally will have a higher degree of pricing observability and a lesser degree of judgment utilized in measuring fair value. Conversely, assets rarely traded or not quoted will generally have less, or no, pricing observability and a higher degree of judgment utilized in measuring fair value.</w:t>
      </w:r>
    </w:p>
    <w:p w14:paraId="1C020499"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Under U.S. GAAP, there is a disclosure framework hierarchy associated with the level of pricing observability utilized in measuring assets and liabilities at fair value. The three broad levels defined by the hierarchy are as follows:</w:t>
      </w:r>
    </w:p>
    <w:p w14:paraId="14772399"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t xml:space="preserve">Level 1 </w:t>
      </w:r>
      <w:r w:rsidRPr="004B2A77">
        <w:rPr>
          <w:rFonts w:ascii="Arial" w:eastAsia="微软雅黑" w:hAnsi="Arial" w:cs="Arial"/>
          <w:color w:val="000000"/>
          <w:kern w:val="0"/>
          <w:sz w:val="18"/>
          <w:szCs w:val="18"/>
        </w:rPr>
        <w:t>- Quoted prices are available in active markets for identical assets or liabilities as of the reported date.</w:t>
      </w:r>
    </w:p>
    <w:p w14:paraId="399D5908"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t xml:space="preserve">Level 2 </w:t>
      </w:r>
      <w:r w:rsidRPr="004B2A77">
        <w:rPr>
          <w:rFonts w:ascii="Arial" w:eastAsia="微软雅黑" w:hAnsi="Arial" w:cs="Arial"/>
          <w:color w:val="000000"/>
          <w:kern w:val="0"/>
          <w:sz w:val="18"/>
          <w:szCs w:val="18"/>
        </w:rPr>
        <w:t>- Pricing inputs are other than quoted prices in active markets, which are either directly or indirectly observable as of the reported date. The nature of these assets and liabilities include items for which quoted prices are available but traded less frequently, and items that are fair valued using other financial instruments, the parameters of which can be directly observed.</w:t>
      </w:r>
    </w:p>
    <w:p w14:paraId="646D6770"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lastRenderedPageBreak/>
        <w:t xml:space="preserve">Level 3 </w:t>
      </w:r>
      <w:r w:rsidRPr="004B2A77">
        <w:rPr>
          <w:rFonts w:ascii="Arial" w:eastAsia="微软雅黑" w:hAnsi="Arial" w:cs="Arial"/>
          <w:color w:val="000000"/>
          <w:kern w:val="0"/>
          <w:sz w:val="18"/>
          <w:szCs w:val="18"/>
        </w:rPr>
        <w:t>- Assets and liabilities that have little to no pricing observability as of the reported date. These items do not have two-way markets and are measured using management’s best estimate of fair value, where the inputs into the determination of fair value require significant management judgment or estimation.</w:t>
      </w:r>
    </w:p>
    <w:p w14:paraId="5426243B"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The Company’s derivatives are all classified as Level 2 of the fair value hierarchy. </w:t>
      </w:r>
    </w:p>
    <w:p w14:paraId="5648BE87"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tables below present information about the Company’s financial assets and liabilities measured at fair value on a recurring basis for the continuing operations as of December 31, 2022 and December 31, 2021. The carrying value is the same as the fair value as these instruments are recognized in the consolidated financial statements at fair value. Although the Company is party to close-out netting agreements (ISDA agreements) with all derivative counterparties, the fair values in the tables below and in the Consolidated Balance Sheets at December 31, 2022 and December 31, 2021 have been presented on a gross basis. According to the close-out netting agreements, transaction amounts payable to a counterparty on the same date and in the same currency can be netted. The amounts subject to netting agreements that the Company choose not to offset are presented below.</w:t>
      </w:r>
    </w:p>
    <w:p w14:paraId="3FC22BBE" w14:textId="77777777" w:rsidR="004B2A77" w:rsidRPr="004B2A77" w:rsidRDefault="004B2A77" w:rsidP="004B2A77">
      <w:pPr>
        <w:widowControl/>
        <w:spacing w:before="32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t>DERIVATIVES DESIGNATED AS HEDGING INSTRUMENTS</w:t>
      </w:r>
    </w:p>
    <w:p w14:paraId="1714E4AE"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There were no derivatives designated as hedging instruments as of December 31, 2022 and December 31, 2021 related to the continuing operations.</w:t>
      </w:r>
    </w:p>
    <w:p w14:paraId="179593B9"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p w14:paraId="6050CFA3" w14:textId="77777777" w:rsidR="004B2A77" w:rsidRPr="004B2A77" w:rsidRDefault="004B2A77" w:rsidP="004B2A77">
      <w:pPr>
        <w:widowControl/>
        <w:spacing w:before="240"/>
        <w:jc w:val="center"/>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69</w:t>
      </w:r>
    </w:p>
    <w:p w14:paraId="173A793C" w14:textId="77777777" w:rsidR="004B2A77" w:rsidRPr="004B2A77" w:rsidRDefault="004B2A77" w:rsidP="004B2A77">
      <w:pPr>
        <w:widowControl/>
        <w:jc w:val="left"/>
        <w:rPr>
          <w:rFonts w:ascii="微软雅黑" w:eastAsia="微软雅黑" w:hAnsi="微软雅黑" w:cs="宋体"/>
          <w:color w:val="000000"/>
          <w:kern w:val="0"/>
          <w:sz w:val="27"/>
          <w:szCs w:val="27"/>
        </w:rPr>
      </w:pPr>
      <w:r w:rsidRPr="004B2A77">
        <w:rPr>
          <w:rFonts w:ascii="微软雅黑" w:eastAsia="微软雅黑" w:hAnsi="微软雅黑" w:cs="宋体" w:hint="eastAsia"/>
          <w:color w:val="000000"/>
          <w:kern w:val="0"/>
          <w:sz w:val="27"/>
          <w:szCs w:val="27"/>
        </w:rPr>
        <w:pict w14:anchorId="0D9A6386">
          <v:rect id="_x0000_i1096" style="width:0;height:1.5pt" o:hralign="center" o:hrstd="t" o:hr="t" fillcolor="#a0a0a0" stroked="f"/>
        </w:pict>
      </w:r>
    </w:p>
    <w:p w14:paraId="39499E2E" w14:textId="77777777" w:rsidR="004B2A77" w:rsidRPr="004B2A77" w:rsidRDefault="004B2A77" w:rsidP="004B2A77">
      <w:pPr>
        <w:widowControl/>
        <w:jc w:val="left"/>
        <w:rPr>
          <w:rFonts w:ascii="Times New Roman" w:eastAsia="微软雅黑" w:hAnsi="Times New Roman" w:cs="Times New Roman" w:hint="eastAsia"/>
          <w:color w:val="000000"/>
          <w:kern w:val="0"/>
          <w:sz w:val="20"/>
          <w:szCs w:val="20"/>
        </w:rPr>
      </w:pPr>
      <w:r w:rsidRPr="004B2A77">
        <w:rPr>
          <w:rFonts w:ascii="Arial" w:eastAsia="微软雅黑" w:hAnsi="Arial" w:cs="Arial"/>
          <w:color w:val="000000"/>
          <w:kern w:val="0"/>
          <w:sz w:val="2"/>
          <w:szCs w:val="2"/>
        </w:rPr>
        <w:t> </w:t>
      </w:r>
    </w:p>
    <w:p w14:paraId="58462B11" w14:textId="77777777" w:rsidR="004B2A77" w:rsidRPr="004B2A77" w:rsidRDefault="004B2A77" w:rsidP="004B2A77">
      <w:pPr>
        <w:widowControl/>
        <w:spacing w:before="32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t>DERIVATIVES NOT DESIGNATED AS HEDGING INSTRUMENTS</w:t>
      </w:r>
    </w:p>
    <w:p w14:paraId="16EF1BA5"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Derivatives not designated as hedging instruments, relate to economic hedges and are marked to market with all amounts recognized in the Consolidated Statements of Income. The derivatives not designated as hedging instruments outstanding at December 31, 2022 and December 31, 2021 were foreign exchange swaps. </w:t>
      </w:r>
    </w:p>
    <w:p w14:paraId="6E045511"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For 2022, the Company recognized a gain of $2 million in other non-operating items, net for derivative instruments not designated as hedging instruments. For 2021, the Company recognized a loss of $33 million. For 2020, the Company recognized a gain of $19 million. The realized part of the losses referred to above are reported under financing activities in the statement of cash flows</w:t>
      </w:r>
      <w:r w:rsidRPr="004B2A77">
        <w:rPr>
          <w:rFonts w:ascii="Times New Roman" w:eastAsia="微软雅黑" w:hAnsi="Times New Roman" w:cs="Times New Roman"/>
          <w:color w:val="000000"/>
          <w:kern w:val="0"/>
          <w:sz w:val="20"/>
          <w:szCs w:val="20"/>
        </w:rPr>
        <w:t xml:space="preserve">. </w:t>
      </w:r>
      <w:r w:rsidRPr="004B2A77">
        <w:rPr>
          <w:rFonts w:ascii="Arial" w:eastAsia="微软雅黑" w:hAnsi="Arial" w:cs="Arial"/>
          <w:color w:val="000000"/>
          <w:kern w:val="0"/>
          <w:sz w:val="18"/>
          <w:szCs w:val="18"/>
        </w:rPr>
        <w:t>For 2022, 2021 and 2020, the gains and losses recognized as interest expense were immaterial.</w:t>
      </w:r>
    </w:p>
    <w:p w14:paraId="37405BFF"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8"/>
          <w:szCs w:val="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5270"/>
        <w:gridCol w:w="162"/>
        <w:gridCol w:w="226"/>
        <w:gridCol w:w="1327"/>
        <w:gridCol w:w="226"/>
        <w:gridCol w:w="293"/>
        <w:gridCol w:w="227"/>
        <w:gridCol w:w="1884"/>
        <w:gridCol w:w="227"/>
        <w:gridCol w:w="293"/>
        <w:gridCol w:w="227"/>
        <w:gridCol w:w="2130"/>
        <w:gridCol w:w="227"/>
        <w:gridCol w:w="293"/>
        <w:gridCol w:w="227"/>
        <w:gridCol w:w="1328"/>
        <w:gridCol w:w="227"/>
        <w:gridCol w:w="293"/>
        <w:gridCol w:w="227"/>
        <w:gridCol w:w="1884"/>
        <w:gridCol w:w="227"/>
        <w:gridCol w:w="293"/>
        <w:gridCol w:w="227"/>
        <w:gridCol w:w="2130"/>
        <w:gridCol w:w="227"/>
        <w:gridCol w:w="312"/>
      </w:tblGrid>
      <w:tr w:rsidR="004B2A77" w:rsidRPr="004B2A77" w14:paraId="1B339BA1" w14:textId="77777777" w:rsidTr="004B2A77">
        <w:trPr>
          <w:tblCellSpacing w:w="15" w:type="dxa"/>
        </w:trPr>
        <w:tc>
          <w:tcPr>
            <w:tcW w:w="5234" w:type="dxa"/>
            <w:vAlign w:val="center"/>
            <w:hideMark/>
          </w:tcPr>
          <w:p w14:paraId="3B1611FD"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133" w:type="dxa"/>
            <w:vAlign w:val="center"/>
            <w:hideMark/>
          </w:tcPr>
          <w:p w14:paraId="58BCF44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63F3E15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00" w:type="dxa"/>
            <w:vAlign w:val="center"/>
            <w:hideMark/>
          </w:tcPr>
          <w:p w14:paraId="1E18C47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3736A8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3" w:type="dxa"/>
            <w:vAlign w:val="center"/>
            <w:hideMark/>
          </w:tcPr>
          <w:p w14:paraId="46F9A5C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725A1F5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57" w:type="dxa"/>
            <w:vAlign w:val="center"/>
            <w:hideMark/>
          </w:tcPr>
          <w:p w14:paraId="0671D24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579BEC8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3" w:type="dxa"/>
            <w:vAlign w:val="center"/>
            <w:hideMark/>
          </w:tcPr>
          <w:p w14:paraId="13CE5DA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6EEC6C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03" w:type="dxa"/>
            <w:vAlign w:val="center"/>
            <w:hideMark/>
          </w:tcPr>
          <w:p w14:paraId="7F15A0D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7BC98D0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3" w:type="dxa"/>
            <w:vAlign w:val="center"/>
            <w:hideMark/>
          </w:tcPr>
          <w:p w14:paraId="7E338B9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1A80436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00" w:type="dxa"/>
            <w:vAlign w:val="center"/>
            <w:hideMark/>
          </w:tcPr>
          <w:p w14:paraId="45A5BA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01EBE26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3" w:type="dxa"/>
            <w:vAlign w:val="center"/>
            <w:hideMark/>
          </w:tcPr>
          <w:p w14:paraId="515A122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0776BEC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57" w:type="dxa"/>
            <w:vAlign w:val="center"/>
            <w:hideMark/>
          </w:tcPr>
          <w:p w14:paraId="7182B98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3F136D7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3" w:type="dxa"/>
            <w:vAlign w:val="center"/>
            <w:hideMark/>
          </w:tcPr>
          <w:p w14:paraId="675A715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13BA5ED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03" w:type="dxa"/>
            <w:vAlign w:val="center"/>
            <w:hideMark/>
          </w:tcPr>
          <w:p w14:paraId="6FD5F25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7" w:type="dxa"/>
            <w:vAlign w:val="center"/>
            <w:hideMark/>
          </w:tcPr>
          <w:p w14:paraId="7DBFCED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7" w:type="dxa"/>
            <w:vAlign w:val="center"/>
            <w:hideMark/>
          </w:tcPr>
          <w:p w14:paraId="426E4400"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781A4EC" w14:textId="77777777" w:rsidTr="004B2A77">
        <w:trPr>
          <w:trHeight w:val="140"/>
          <w:tblCellSpacing w:w="15" w:type="dxa"/>
        </w:trPr>
        <w:tc>
          <w:tcPr>
            <w:tcW w:w="0" w:type="auto"/>
            <w:shd w:val="clear" w:color="auto" w:fill="FFFFFF"/>
            <w:vAlign w:val="bottom"/>
            <w:hideMark/>
          </w:tcPr>
          <w:p w14:paraId="25E62AF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A0BC191"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10"/>
            <w:tcBorders>
              <w:bottom w:val="single" w:sz="4" w:space="0" w:color="000000"/>
            </w:tcBorders>
            <w:shd w:val="clear" w:color="auto" w:fill="FFFFFF"/>
            <w:vAlign w:val="bottom"/>
            <w:hideMark/>
          </w:tcPr>
          <w:p w14:paraId="000D9E1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DECEMBER 31, 2022</w:t>
            </w:r>
          </w:p>
        </w:tc>
        <w:tc>
          <w:tcPr>
            <w:tcW w:w="0" w:type="auto"/>
            <w:shd w:val="clear" w:color="auto" w:fill="FFFFFF"/>
            <w:vAlign w:val="bottom"/>
            <w:hideMark/>
          </w:tcPr>
          <w:p w14:paraId="2577681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0E23FD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10"/>
            <w:tcBorders>
              <w:bottom w:val="single" w:sz="4" w:space="0" w:color="000000"/>
            </w:tcBorders>
            <w:shd w:val="clear" w:color="auto" w:fill="FFFFFF"/>
            <w:vAlign w:val="bottom"/>
            <w:hideMark/>
          </w:tcPr>
          <w:p w14:paraId="32B7BC4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DECEMBER 31, 2021</w:t>
            </w:r>
          </w:p>
        </w:tc>
        <w:tc>
          <w:tcPr>
            <w:tcW w:w="0" w:type="auto"/>
            <w:shd w:val="clear" w:color="auto" w:fill="FFFFFF"/>
            <w:vAlign w:val="bottom"/>
            <w:hideMark/>
          </w:tcPr>
          <w:p w14:paraId="4DBF9B6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4ABAB369"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r>
      <w:tr w:rsidR="004B2A77" w:rsidRPr="004B2A77" w14:paraId="3B72FB7F" w14:textId="77777777" w:rsidTr="004B2A77">
        <w:trPr>
          <w:trHeight w:val="140"/>
          <w:tblCellSpacing w:w="15" w:type="dxa"/>
        </w:trPr>
        <w:tc>
          <w:tcPr>
            <w:tcW w:w="0" w:type="auto"/>
            <w:shd w:val="clear" w:color="auto" w:fill="FFFFFF"/>
            <w:vAlign w:val="bottom"/>
            <w:hideMark/>
          </w:tcPr>
          <w:p w14:paraId="43A0F38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0AAB326"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7FA7620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5368098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59430E7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6"/>
            <w:tcBorders>
              <w:bottom w:val="single" w:sz="4" w:space="0" w:color="000000"/>
            </w:tcBorders>
            <w:shd w:val="clear" w:color="auto" w:fill="FFFFFF"/>
            <w:vAlign w:val="bottom"/>
            <w:hideMark/>
          </w:tcPr>
          <w:p w14:paraId="7C8E8D18"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Fair Value Measurements</w:t>
            </w:r>
          </w:p>
        </w:tc>
        <w:tc>
          <w:tcPr>
            <w:tcW w:w="0" w:type="auto"/>
            <w:shd w:val="clear" w:color="auto" w:fill="FFFFFF"/>
            <w:vAlign w:val="bottom"/>
            <w:hideMark/>
          </w:tcPr>
          <w:p w14:paraId="03C7D5D2"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46295C2"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7517FD5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345F69A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4B64B3D6"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6"/>
            <w:tcBorders>
              <w:bottom w:val="single" w:sz="4" w:space="0" w:color="000000"/>
            </w:tcBorders>
            <w:shd w:val="clear" w:color="auto" w:fill="FFFFFF"/>
            <w:vAlign w:val="bottom"/>
            <w:hideMark/>
          </w:tcPr>
          <w:p w14:paraId="7153EAD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Fair Value Measurements</w:t>
            </w:r>
          </w:p>
        </w:tc>
        <w:tc>
          <w:tcPr>
            <w:tcW w:w="0" w:type="auto"/>
            <w:shd w:val="clear" w:color="auto" w:fill="FFFFFF"/>
            <w:vAlign w:val="bottom"/>
            <w:hideMark/>
          </w:tcPr>
          <w:p w14:paraId="3B65FD1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52AC6A3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r>
      <w:tr w:rsidR="004B2A77" w:rsidRPr="004B2A77" w14:paraId="17C1F496" w14:textId="77777777" w:rsidTr="004B2A77">
        <w:trPr>
          <w:trHeight w:val="140"/>
          <w:tblCellSpacing w:w="15" w:type="dxa"/>
        </w:trPr>
        <w:tc>
          <w:tcPr>
            <w:tcW w:w="0" w:type="auto"/>
            <w:shd w:val="clear" w:color="auto" w:fill="FFFFFF"/>
            <w:vAlign w:val="bottom"/>
            <w:hideMark/>
          </w:tcPr>
          <w:p w14:paraId="4527103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6A659C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36CF5042"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4A46BE7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705571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42EBA763" w14:textId="77777777" w:rsidR="004B2A77" w:rsidRPr="004B2A77" w:rsidRDefault="004B2A77" w:rsidP="004B2A77">
            <w:pPr>
              <w:widowControl/>
              <w:jc w:val="center"/>
              <w:rPr>
                <w:rFonts w:ascii="Times New Roman" w:eastAsia="宋体" w:hAnsi="Times New Roman" w:cs="Times New Roman"/>
                <w:kern w:val="0"/>
                <w:sz w:val="20"/>
                <w:szCs w:val="20"/>
              </w:rPr>
            </w:pPr>
            <w:r w:rsidRPr="004B2A77">
              <w:rPr>
                <w:rFonts w:ascii="Arial" w:eastAsia="宋体" w:hAnsi="Arial" w:cs="Arial"/>
                <w:b/>
                <w:bCs/>
                <w:color w:val="000000"/>
                <w:kern w:val="0"/>
                <w:sz w:val="14"/>
                <w:szCs w:val="14"/>
              </w:rPr>
              <w:t>Derivative asset</w:t>
            </w:r>
          </w:p>
        </w:tc>
        <w:tc>
          <w:tcPr>
            <w:tcW w:w="0" w:type="auto"/>
            <w:shd w:val="clear" w:color="auto" w:fill="FFFFFF"/>
            <w:vAlign w:val="bottom"/>
            <w:hideMark/>
          </w:tcPr>
          <w:p w14:paraId="65814F1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CC4F6A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1B3867AD" w14:textId="77777777" w:rsidR="004B2A77" w:rsidRPr="004B2A77" w:rsidRDefault="004B2A77" w:rsidP="004B2A77">
            <w:pPr>
              <w:widowControl/>
              <w:jc w:val="center"/>
              <w:rPr>
                <w:rFonts w:ascii="Times New Roman" w:eastAsia="宋体" w:hAnsi="Times New Roman" w:cs="Times New Roman"/>
                <w:kern w:val="0"/>
                <w:sz w:val="20"/>
                <w:szCs w:val="20"/>
              </w:rPr>
            </w:pPr>
            <w:r w:rsidRPr="004B2A77">
              <w:rPr>
                <w:rFonts w:ascii="Arial" w:eastAsia="宋体" w:hAnsi="Arial" w:cs="Arial"/>
                <w:b/>
                <w:bCs/>
                <w:color w:val="000000"/>
                <w:kern w:val="0"/>
                <w:sz w:val="14"/>
                <w:szCs w:val="14"/>
              </w:rPr>
              <w:t>Derivative liability</w:t>
            </w:r>
          </w:p>
        </w:tc>
        <w:tc>
          <w:tcPr>
            <w:tcW w:w="0" w:type="auto"/>
            <w:shd w:val="clear" w:color="auto" w:fill="FFFFFF"/>
            <w:vAlign w:val="bottom"/>
            <w:hideMark/>
          </w:tcPr>
          <w:p w14:paraId="5DEE11F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1351551"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3C7F885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39D2E4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4004D24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1404A785" w14:textId="77777777" w:rsidR="004B2A77" w:rsidRPr="004B2A77" w:rsidRDefault="004B2A77" w:rsidP="004B2A77">
            <w:pPr>
              <w:widowControl/>
              <w:jc w:val="center"/>
              <w:rPr>
                <w:rFonts w:ascii="Times New Roman" w:eastAsia="宋体" w:hAnsi="Times New Roman" w:cs="Times New Roman"/>
                <w:kern w:val="0"/>
                <w:sz w:val="20"/>
                <w:szCs w:val="20"/>
              </w:rPr>
            </w:pPr>
            <w:r w:rsidRPr="004B2A77">
              <w:rPr>
                <w:rFonts w:ascii="Arial" w:eastAsia="宋体" w:hAnsi="Arial" w:cs="Arial"/>
                <w:b/>
                <w:bCs/>
                <w:color w:val="000000"/>
                <w:kern w:val="0"/>
                <w:sz w:val="14"/>
                <w:szCs w:val="14"/>
              </w:rPr>
              <w:t>Derivative asset</w:t>
            </w:r>
          </w:p>
        </w:tc>
        <w:tc>
          <w:tcPr>
            <w:tcW w:w="0" w:type="auto"/>
            <w:shd w:val="clear" w:color="auto" w:fill="FFFFFF"/>
            <w:vAlign w:val="bottom"/>
            <w:hideMark/>
          </w:tcPr>
          <w:p w14:paraId="119B611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0E8D66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4F74CFA1" w14:textId="77777777" w:rsidR="004B2A77" w:rsidRPr="004B2A77" w:rsidRDefault="004B2A77" w:rsidP="004B2A77">
            <w:pPr>
              <w:widowControl/>
              <w:jc w:val="center"/>
              <w:rPr>
                <w:rFonts w:ascii="Times New Roman" w:eastAsia="宋体" w:hAnsi="Times New Roman" w:cs="Times New Roman"/>
                <w:kern w:val="0"/>
                <w:sz w:val="20"/>
                <w:szCs w:val="20"/>
              </w:rPr>
            </w:pPr>
            <w:r w:rsidRPr="004B2A77">
              <w:rPr>
                <w:rFonts w:ascii="Arial" w:eastAsia="宋体" w:hAnsi="Arial" w:cs="Arial"/>
                <w:b/>
                <w:bCs/>
                <w:color w:val="000000"/>
                <w:kern w:val="0"/>
                <w:sz w:val="14"/>
                <w:szCs w:val="14"/>
              </w:rPr>
              <w:t>Derivative liability</w:t>
            </w:r>
          </w:p>
        </w:tc>
        <w:tc>
          <w:tcPr>
            <w:tcW w:w="0" w:type="auto"/>
            <w:shd w:val="clear" w:color="auto" w:fill="FFFFFF"/>
            <w:vAlign w:val="bottom"/>
            <w:hideMark/>
          </w:tcPr>
          <w:p w14:paraId="4F4E3A8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727AA6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r>
      <w:tr w:rsidR="004B2A77" w:rsidRPr="004B2A77" w14:paraId="47E07EDB" w14:textId="77777777" w:rsidTr="004B2A77">
        <w:trPr>
          <w:trHeight w:val="140"/>
          <w:tblCellSpacing w:w="15" w:type="dxa"/>
        </w:trPr>
        <w:tc>
          <w:tcPr>
            <w:tcW w:w="0" w:type="auto"/>
            <w:shd w:val="clear" w:color="auto" w:fill="FFFFFF"/>
            <w:vAlign w:val="bottom"/>
            <w:hideMark/>
          </w:tcPr>
          <w:p w14:paraId="06D0E1E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6782D39"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1B6B9B4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Nominal</w:t>
            </w:r>
          </w:p>
        </w:tc>
        <w:tc>
          <w:tcPr>
            <w:tcW w:w="0" w:type="auto"/>
            <w:shd w:val="clear" w:color="auto" w:fill="FFFFFF"/>
            <w:vAlign w:val="bottom"/>
            <w:hideMark/>
          </w:tcPr>
          <w:p w14:paraId="0A31D0A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341DB3C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728622A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(Other current</w:t>
            </w:r>
          </w:p>
        </w:tc>
        <w:tc>
          <w:tcPr>
            <w:tcW w:w="0" w:type="auto"/>
            <w:shd w:val="clear" w:color="auto" w:fill="FFFFFF"/>
            <w:vAlign w:val="bottom"/>
            <w:hideMark/>
          </w:tcPr>
          <w:p w14:paraId="1EECEA5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1E7CF86"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3511041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(Other current</w:t>
            </w:r>
          </w:p>
        </w:tc>
        <w:tc>
          <w:tcPr>
            <w:tcW w:w="0" w:type="auto"/>
            <w:shd w:val="clear" w:color="auto" w:fill="FFFFFF"/>
            <w:vAlign w:val="bottom"/>
            <w:hideMark/>
          </w:tcPr>
          <w:p w14:paraId="68D60FD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729974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119D23D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Nominal</w:t>
            </w:r>
          </w:p>
        </w:tc>
        <w:tc>
          <w:tcPr>
            <w:tcW w:w="0" w:type="auto"/>
            <w:shd w:val="clear" w:color="auto" w:fill="FFFFFF"/>
            <w:vAlign w:val="bottom"/>
            <w:hideMark/>
          </w:tcPr>
          <w:p w14:paraId="54738BD9"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6FC8E0E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08687B99"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(Other current</w:t>
            </w:r>
          </w:p>
        </w:tc>
        <w:tc>
          <w:tcPr>
            <w:tcW w:w="0" w:type="auto"/>
            <w:shd w:val="clear" w:color="auto" w:fill="FFFFFF"/>
            <w:vAlign w:val="bottom"/>
            <w:hideMark/>
          </w:tcPr>
          <w:p w14:paraId="2B5A5E4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44E0488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6B4C12E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(Other current</w:t>
            </w:r>
          </w:p>
        </w:tc>
        <w:tc>
          <w:tcPr>
            <w:tcW w:w="0" w:type="auto"/>
            <w:shd w:val="clear" w:color="auto" w:fill="FFFFFF"/>
            <w:vAlign w:val="bottom"/>
            <w:hideMark/>
          </w:tcPr>
          <w:p w14:paraId="607D0A6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38058C3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r>
      <w:tr w:rsidR="004B2A77" w:rsidRPr="004B2A77" w14:paraId="4ACB4B1D" w14:textId="77777777" w:rsidTr="004B2A77">
        <w:trPr>
          <w:trHeight w:val="140"/>
          <w:tblCellSpacing w:w="15" w:type="dxa"/>
        </w:trPr>
        <w:tc>
          <w:tcPr>
            <w:tcW w:w="0" w:type="auto"/>
            <w:shd w:val="clear" w:color="auto" w:fill="FFFFFF"/>
            <w:vAlign w:val="bottom"/>
            <w:hideMark/>
          </w:tcPr>
          <w:p w14:paraId="0A6F7AD8" w14:textId="77777777" w:rsidR="004B2A77" w:rsidRPr="004B2A77" w:rsidRDefault="004B2A77" w:rsidP="004B2A77">
            <w:pPr>
              <w:widowControl/>
              <w:jc w:val="left"/>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u w:val="single"/>
              </w:rPr>
              <w:t>(Dollars in millions)</w:t>
            </w:r>
          </w:p>
        </w:tc>
        <w:tc>
          <w:tcPr>
            <w:tcW w:w="0" w:type="auto"/>
            <w:shd w:val="clear" w:color="auto" w:fill="FFFFFF"/>
            <w:vAlign w:val="bottom"/>
            <w:hideMark/>
          </w:tcPr>
          <w:p w14:paraId="71C8576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2DCF022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volume</w:t>
            </w:r>
          </w:p>
        </w:tc>
        <w:tc>
          <w:tcPr>
            <w:tcW w:w="0" w:type="auto"/>
            <w:shd w:val="clear" w:color="auto" w:fill="FFFFFF"/>
            <w:vAlign w:val="bottom"/>
            <w:hideMark/>
          </w:tcPr>
          <w:p w14:paraId="79939C36"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EDCCD56"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67BE30A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assets)</w:t>
            </w:r>
          </w:p>
        </w:tc>
        <w:tc>
          <w:tcPr>
            <w:tcW w:w="0" w:type="auto"/>
            <w:shd w:val="clear" w:color="auto" w:fill="FFFFFF"/>
            <w:vAlign w:val="bottom"/>
            <w:hideMark/>
          </w:tcPr>
          <w:p w14:paraId="065E9E9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6F7BC3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18FD236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liabilities)</w:t>
            </w:r>
          </w:p>
        </w:tc>
        <w:tc>
          <w:tcPr>
            <w:tcW w:w="0" w:type="auto"/>
            <w:shd w:val="clear" w:color="auto" w:fill="FFFFFF"/>
            <w:vAlign w:val="bottom"/>
            <w:hideMark/>
          </w:tcPr>
          <w:p w14:paraId="42445646"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52AEA12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106A552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volume</w:t>
            </w:r>
          </w:p>
        </w:tc>
        <w:tc>
          <w:tcPr>
            <w:tcW w:w="0" w:type="auto"/>
            <w:shd w:val="clear" w:color="auto" w:fill="FFFFFF"/>
            <w:vAlign w:val="bottom"/>
            <w:hideMark/>
          </w:tcPr>
          <w:p w14:paraId="5A5275A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878DE3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3FF0B2B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assets)</w:t>
            </w:r>
          </w:p>
        </w:tc>
        <w:tc>
          <w:tcPr>
            <w:tcW w:w="0" w:type="auto"/>
            <w:shd w:val="clear" w:color="auto" w:fill="FFFFFF"/>
            <w:vAlign w:val="bottom"/>
            <w:hideMark/>
          </w:tcPr>
          <w:p w14:paraId="1004600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2E4048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508F1DD7"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liabilities)</w:t>
            </w:r>
          </w:p>
        </w:tc>
        <w:tc>
          <w:tcPr>
            <w:tcW w:w="0" w:type="auto"/>
            <w:shd w:val="clear" w:color="auto" w:fill="FFFFFF"/>
            <w:vAlign w:val="bottom"/>
            <w:hideMark/>
          </w:tcPr>
          <w:p w14:paraId="1D7896A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36392EF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r>
      <w:tr w:rsidR="004B2A77" w:rsidRPr="004B2A77" w14:paraId="61475355" w14:textId="77777777" w:rsidTr="004B2A77">
        <w:trPr>
          <w:trHeight w:val="160"/>
          <w:tblCellSpacing w:w="15" w:type="dxa"/>
        </w:trPr>
        <w:tc>
          <w:tcPr>
            <w:tcW w:w="0" w:type="auto"/>
            <w:shd w:val="clear" w:color="auto" w:fill="CFF0FC"/>
            <w:vAlign w:val="bottom"/>
            <w:hideMark/>
          </w:tcPr>
          <w:p w14:paraId="740D76C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DERIVATIVES NOT DESIGNATED</w:t>
            </w:r>
            <w:r w:rsidRPr="004B2A77">
              <w:rPr>
                <w:rFonts w:ascii="Arial" w:eastAsia="宋体" w:hAnsi="Arial" w:cs="Arial"/>
                <w:b/>
                <w:bCs/>
                <w:color w:val="000000"/>
                <w:kern w:val="0"/>
                <w:sz w:val="16"/>
                <w:szCs w:val="16"/>
              </w:rPr>
              <w:br/>
              <w:t>   AS HEDGING INSTRUMENTS</w:t>
            </w:r>
          </w:p>
        </w:tc>
        <w:tc>
          <w:tcPr>
            <w:tcW w:w="0" w:type="auto"/>
            <w:shd w:val="clear" w:color="auto" w:fill="CFF0FC"/>
            <w:vAlign w:val="bottom"/>
            <w:hideMark/>
          </w:tcPr>
          <w:p w14:paraId="4392383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shd w:val="clear" w:color="auto" w:fill="CFF0FC"/>
            <w:vAlign w:val="bottom"/>
            <w:hideMark/>
          </w:tcPr>
          <w:p w14:paraId="5B84398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7A9FC0D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5DB4E46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shd w:val="clear" w:color="auto" w:fill="CFF0FC"/>
            <w:vAlign w:val="bottom"/>
            <w:hideMark/>
          </w:tcPr>
          <w:p w14:paraId="7FABDC9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7F3BB45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3082AC7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shd w:val="clear" w:color="auto" w:fill="CFF0FC"/>
            <w:vAlign w:val="bottom"/>
            <w:hideMark/>
          </w:tcPr>
          <w:p w14:paraId="201E83D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4DB443D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179C6C0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shd w:val="clear" w:color="auto" w:fill="CFF0FC"/>
            <w:vAlign w:val="bottom"/>
            <w:hideMark/>
          </w:tcPr>
          <w:p w14:paraId="66E9DE6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3504F6C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1A7CB57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shd w:val="clear" w:color="auto" w:fill="CFF0FC"/>
            <w:vAlign w:val="bottom"/>
            <w:hideMark/>
          </w:tcPr>
          <w:p w14:paraId="3D4B844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151D978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2B4A7DF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shd w:val="clear" w:color="auto" w:fill="CFF0FC"/>
            <w:vAlign w:val="bottom"/>
            <w:hideMark/>
          </w:tcPr>
          <w:p w14:paraId="63D0475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484E058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743646C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2E00998B" w14:textId="77777777" w:rsidTr="004B2A77">
        <w:trPr>
          <w:trHeight w:val="160"/>
          <w:tblCellSpacing w:w="15" w:type="dxa"/>
        </w:trPr>
        <w:tc>
          <w:tcPr>
            <w:tcW w:w="0" w:type="auto"/>
            <w:shd w:val="clear" w:color="auto" w:fill="FFFFFF"/>
            <w:hideMark/>
          </w:tcPr>
          <w:p w14:paraId="0854BF8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lastRenderedPageBreak/>
              <w:t>Foreign exchange swaps, less</w:t>
            </w:r>
            <w:r w:rsidRPr="004B2A77">
              <w:rPr>
                <w:rFonts w:ascii="Arial" w:eastAsia="宋体" w:hAnsi="Arial" w:cs="Arial"/>
                <w:color w:val="000000"/>
                <w:kern w:val="0"/>
                <w:sz w:val="16"/>
                <w:szCs w:val="16"/>
              </w:rPr>
              <w:br/>
              <w:t>   than 6 months</w:t>
            </w:r>
          </w:p>
        </w:tc>
        <w:tc>
          <w:tcPr>
            <w:tcW w:w="0" w:type="auto"/>
            <w:shd w:val="clear" w:color="auto" w:fill="FFFFFF"/>
            <w:vAlign w:val="bottom"/>
            <w:hideMark/>
          </w:tcPr>
          <w:p w14:paraId="36440A6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tcBorders>
              <w:bottom w:val="single" w:sz="4" w:space="0" w:color="000000"/>
            </w:tcBorders>
            <w:shd w:val="clear" w:color="auto" w:fill="FFFFFF"/>
            <w:noWrap/>
            <w:vAlign w:val="bottom"/>
            <w:hideMark/>
          </w:tcPr>
          <w:p w14:paraId="6B5047B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w:t>
            </w:r>
          </w:p>
        </w:tc>
        <w:tc>
          <w:tcPr>
            <w:tcW w:w="0" w:type="auto"/>
            <w:tcBorders>
              <w:bottom w:val="single" w:sz="4" w:space="0" w:color="000000"/>
            </w:tcBorders>
            <w:shd w:val="clear" w:color="auto" w:fill="FFFFFF"/>
            <w:vAlign w:val="bottom"/>
            <w:hideMark/>
          </w:tcPr>
          <w:p w14:paraId="01DC351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6"/>
                <w:szCs w:val="16"/>
              </w:rPr>
              <w:t>2,616</w:t>
            </w:r>
          </w:p>
        </w:tc>
        <w:tc>
          <w:tcPr>
            <w:tcW w:w="0" w:type="auto"/>
            <w:shd w:val="clear" w:color="auto" w:fill="FFFFFF"/>
            <w:noWrap/>
            <w:vAlign w:val="bottom"/>
            <w:hideMark/>
          </w:tcPr>
          <w:p w14:paraId="77EC6AC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3C8FE1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1"/>
                <w:szCs w:val="11"/>
              </w:rPr>
              <w:t>1)</w:t>
            </w:r>
          </w:p>
        </w:tc>
        <w:tc>
          <w:tcPr>
            <w:tcW w:w="0" w:type="auto"/>
            <w:tcBorders>
              <w:bottom w:val="single" w:sz="4" w:space="0" w:color="000000"/>
            </w:tcBorders>
            <w:shd w:val="clear" w:color="auto" w:fill="FFFFFF"/>
            <w:noWrap/>
            <w:vAlign w:val="bottom"/>
            <w:hideMark/>
          </w:tcPr>
          <w:p w14:paraId="10C92A0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w:t>
            </w:r>
          </w:p>
        </w:tc>
        <w:tc>
          <w:tcPr>
            <w:tcW w:w="0" w:type="auto"/>
            <w:tcBorders>
              <w:bottom w:val="single" w:sz="4" w:space="0" w:color="000000"/>
            </w:tcBorders>
            <w:shd w:val="clear" w:color="auto" w:fill="FFFFFF"/>
            <w:vAlign w:val="bottom"/>
            <w:hideMark/>
          </w:tcPr>
          <w:p w14:paraId="105D13D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6"/>
                <w:szCs w:val="16"/>
              </w:rPr>
              <w:t>22</w:t>
            </w:r>
          </w:p>
        </w:tc>
        <w:tc>
          <w:tcPr>
            <w:tcW w:w="0" w:type="auto"/>
            <w:shd w:val="clear" w:color="auto" w:fill="FFFFFF"/>
            <w:noWrap/>
            <w:vAlign w:val="bottom"/>
            <w:hideMark/>
          </w:tcPr>
          <w:p w14:paraId="5DCE469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D77E162"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1"/>
                <w:szCs w:val="11"/>
              </w:rPr>
              <w:t>2)</w:t>
            </w:r>
          </w:p>
        </w:tc>
        <w:tc>
          <w:tcPr>
            <w:tcW w:w="0" w:type="auto"/>
            <w:tcBorders>
              <w:bottom w:val="single" w:sz="4" w:space="0" w:color="000000"/>
            </w:tcBorders>
            <w:shd w:val="clear" w:color="auto" w:fill="FFFFFF"/>
            <w:noWrap/>
            <w:vAlign w:val="bottom"/>
            <w:hideMark/>
          </w:tcPr>
          <w:p w14:paraId="0B0E391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w:t>
            </w:r>
          </w:p>
        </w:tc>
        <w:tc>
          <w:tcPr>
            <w:tcW w:w="0" w:type="auto"/>
            <w:tcBorders>
              <w:bottom w:val="single" w:sz="4" w:space="0" w:color="000000"/>
            </w:tcBorders>
            <w:shd w:val="clear" w:color="auto" w:fill="FFFFFF"/>
            <w:vAlign w:val="bottom"/>
            <w:hideMark/>
          </w:tcPr>
          <w:p w14:paraId="3BB185B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6"/>
                <w:szCs w:val="16"/>
              </w:rPr>
              <w:t>15</w:t>
            </w:r>
          </w:p>
        </w:tc>
        <w:tc>
          <w:tcPr>
            <w:tcW w:w="0" w:type="auto"/>
            <w:shd w:val="clear" w:color="auto" w:fill="FFFFFF"/>
            <w:noWrap/>
            <w:vAlign w:val="bottom"/>
            <w:hideMark/>
          </w:tcPr>
          <w:p w14:paraId="2464A80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4901FB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1"/>
                <w:szCs w:val="11"/>
              </w:rPr>
              <w:t>3)</w:t>
            </w:r>
          </w:p>
        </w:tc>
        <w:tc>
          <w:tcPr>
            <w:tcW w:w="0" w:type="auto"/>
            <w:tcBorders>
              <w:bottom w:val="single" w:sz="4" w:space="0" w:color="000000"/>
            </w:tcBorders>
            <w:shd w:val="clear" w:color="auto" w:fill="FFFFFF"/>
            <w:noWrap/>
            <w:vAlign w:val="bottom"/>
            <w:hideMark/>
          </w:tcPr>
          <w:p w14:paraId="681D884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w:t>
            </w:r>
          </w:p>
        </w:tc>
        <w:tc>
          <w:tcPr>
            <w:tcW w:w="0" w:type="auto"/>
            <w:tcBorders>
              <w:bottom w:val="single" w:sz="4" w:space="0" w:color="000000"/>
            </w:tcBorders>
            <w:shd w:val="clear" w:color="auto" w:fill="FFFFFF"/>
            <w:vAlign w:val="bottom"/>
            <w:hideMark/>
          </w:tcPr>
          <w:p w14:paraId="5001A24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6"/>
                <w:szCs w:val="16"/>
              </w:rPr>
              <w:t>1,348</w:t>
            </w:r>
          </w:p>
        </w:tc>
        <w:tc>
          <w:tcPr>
            <w:tcW w:w="0" w:type="auto"/>
            <w:shd w:val="clear" w:color="auto" w:fill="FFFFFF"/>
            <w:noWrap/>
            <w:vAlign w:val="bottom"/>
            <w:hideMark/>
          </w:tcPr>
          <w:p w14:paraId="69BB1DC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A72975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1"/>
                <w:szCs w:val="11"/>
              </w:rPr>
              <w:t>4)</w:t>
            </w:r>
          </w:p>
        </w:tc>
        <w:tc>
          <w:tcPr>
            <w:tcW w:w="0" w:type="auto"/>
            <w:tcBorders>
              <w:bottom w:val="single" w:sz="4" w:space="0" w:color="000000"/>
            </w:tcBorders>
            <w:shd w:val="clear" w:color="auto" w:fill="FFFFFF"/>
            <w:noWrap/>
            <w:vAlign w:val="bottom"/>
            <w:hideMark/>
          </w:tcPr>
          <w:p w14:paraId="2925A17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w:t>
            </w:r>
          </w:p>
        </w:tc>
        <w:tc>
          <w:tcPr>
            <w:tcW w:w="0" w:type="auto"/>
            <w:tcBorders>
              <w:bottom w:val="single" w:sz="4" w:space="0" w:color="000000"/>
            </w:tcBorders>
            <w:shd w:val="clear" w:color="auto" w:fill="FFFFFF"/>
            <w:vAlign w:val="bottom"/>
            <w:hideMark/>
          </w:tcPr>
          <w:p w14:paraId="23B0A53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6"/>
                <w:szCs w:val="16"/>
              </w:rPr>
              <w:t>5</w:t>
            </w:r>
          </w:p>
        </w:tc>
        <w:tc>
          <w:tcPr>
            <w:tcW w:w="0" w:type="auto"/>
            <w:shd w:val="clear" w:color="auto" w:fill="FFFFFF"/>
            <w:noWrap/>
            <w:vAlign w:val="bottom"/>
            <w:hideMark/>
          </w:tcPr>
          <w:p w14:paraId="4ABF8F1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1E14A3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1"/>
                <w:szCs w:val="11"/>
              </w:rPr>
              <w:t>5)</w:t>
            </w:r>
          </w:p>
        </w:tc>
        <w:tc>
          <w:tcPr>
            <w:tcW w:w="0" w:type="auto"/>
            <w:tcBorders>
              <w:bottom w:val="single" w:sz="4" w:space="0" w:color="000000"/>
            </w:tcBorders>
            <w:shd w:val="clear" w:color="auto" w:fill="FFFFFF"/>
            <w:noWrap/>
            <w:vAlign w:val="bottom"/>
            <w:hideMark/>
          </w:tcPr>
          <w:p w14:paraId="2AE8BFD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w:t>
            </w:r>
          </w:p>
        </w:tc>
        <w:tc>
          <w:tcPr>
            <w:tcW w:w="0" w:type="auto"/>
            <w:tcBorders>
              <w:bottom w:val="single" w:sz="4" w:space="0" w:color="000000"/>
            </w:tcBorders>
            <w:shd w:val="clear" w:color="auto" w:fill="FFFFFF"/>
            <w:vAlign w:val="bottom"/>
            <w:hideMark/>
          </w:tcPr>
          <w:p w14:paraId="3E13E30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6"/>
                <w:szCs w:val="16"/>
              </w:rPr>
              <w:t>16</w:t>
            </w:r>
          </w:p>
        </w:tc>
        <w:tc>
          <w:tcPr>
            <w:tcW w:w="0" w:type="auto"/>
            <w:shd w:val="clear" w:color="auto" w:fill="FFFFFF"/>
            <w:noWrap/>
            <w:vAlign w:val="bottom"/>
            <w:hideMark/>
          </w:tcPr>
          <w:p w14:paraId="1BFA956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741AFC2"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1"/>
                <w:szCs w:val="11"/>
              </w:rPr>
              <w:t>6)</w:t>
            </w:r>
          </w:p>
        </w:tc>
      </w:tr>
      <w:tr w:rsidR="004B2A77" w:rsidRPr="004B2A77" w14:paraId="6F009E25" w14:textId="77777777" w:rsidTr="004B2A77">
        <w:trPr>
          <w:trHeight w:val="160"/>
          <w:tblCellSpacing w:w="15" w:type="dxa"/>
        </w:trPr>
        <w:tc>
          <w:tcPr>
            <w:tcW w:w="0" w:type="auto"/>
            <w:shd w:val="clear" w:color="auto" w:fill="CFF0FC"/>
            <w:hideMark/>
          </w:tcPr>
          <w:p w14:paraId="680F2AE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TOTAL DERIVATIVES NOT</w:t>
            </w:r>
            <w:r w:rsidRPr="004B2A77">
              <w:rPr>
                <w:rFonts w:ascii="Arial" w:eastAsia="宋体" w:hAnsi="Arial" w:cs="Arial"/>
                <w:b/>
                <w:bCs/>
                <w:color w:val="000000"/>
                <w:kern w:val="0"/>
                <w:sz w:val="16"/>
                <w:szCs w:val="16"/>
              </w:rPr>
              <w:br/>
              <w:t>   DESIGNATED AS HEDGING</w:t>
            </w:r>
            <w:r w:rsidRPr="004B2A77">
              <w:rPr>
                <w:rFonts w:ascii="Arial" w:eastAsia="宋体" w:hAnsi="Arial" w:cs="Arial"/>
                <w:b/>
                <w:bCs/>
                <w:color w:val="000000"/>
                <w:kern w:val="0"/>
                <w:sz w:val="16"/>
                <w:szCs w:val="16"/>
              </w:rPr>
              <w:br/>
              <w:t>   INSTRUMENTS</w:t>
            </w:r>
          </w:p>
        </w:tc>
        <w:tc>
          <w:tcPr>
            <w:tcW w:w="0" w:type="auto"/>
            <w:shd w:val="clear" w:color="auto" w:fill="CFF0FC"/>
            <w:vAlign w:val="bottom"/>
            <w:hideMark/>
          </w:tcPr>
          <w:p w14:paraId="28EDF61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noWrap/>
            <w:vAlign w:val="bottom"/>
            <w:hideMark/>
          </w:tcPr>
          <w:p w14:paraId="4C06110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t>
            </w:r>
          </w:p>
        </w:tc>
        <w:tc>
          <w:tcPr>
            <w:tcW w:w="0" w:type="auto"/>
            <w:shd w:val="clear" w:color="auto" w:fill="CFF0FC"/>
            <w:vAlign w:val="bottom"/>
            <w:hideMark/>
          </w:tcPr>
          <w:p w14:paraId="1FC89A2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6"/>
                <w:szCs w:val="16"/>
              </w:rPr>
              <w:t>2,616</w:t>
            </w:r>
          </w:p>
        </w:tc>
        <w:tc>
          <w:tcPr>
            <w:tcW w:w="0" w:type="auto"/>
            <w:shd w:val="clear" w:color="auto" w:fill="CFF0FC"/>
            <w:noWrap/>
            <w:vAlign w:val="bottom"/>
            <w:hideMark/>
          </w:tcPr>
          <w:p w14:paraId="6DCF9F9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512B401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noWrap/>
            <w:vAlign w:val="bottom"/>
            <w:hideMark/>
          </w:tcPr>
          <w:p w14:paraId="0347C94C"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t>
            </w:r>
          </w:p>
        </w:tc>
        <w:tc>
          <w:tcPr>
            <w:tcW w:w="0" w:type="auto"/>
            <w:shd w:val="clear" w:color="auto" w:fill="CFF0FC"/>
            <w:vAlign w:val="bottom"/>
            <w:hideMark/>
          </w:tcPr>
          <w:p w14:paraId="7402088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6"/>
                <w:szCs w:val="16"/>
              </w:rPr>
              <w:t>22</w:t>
            </w:r>
          </w:p>
        </w:tc>
        <w:tc>
          <w:tcPr>
            <w:tcW w:w="0" w:type="auto"/>
            <w:shd w:val="clear" w:color="auto" w:fill="CFF0FC"/>
            <w:noWrap/>
            <w:vAlign w:val="bottom"/>
            <w:hideMark/>
          </w:tcPr>
          <w:p w14:paraId="0D0E0B6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6ED8F9A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noWrap/>
            <w:vAlign w:val="bottom"/>
            <w:hideMark/>
          </w:tcPr>
          <w:p w14:paraId="14EFAB6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t>
            </w:r>
          </w:p>
        </w:tc>
        <w:tc>
          <w:tcPr>
            <w:tcW w:w="0" w:type="auto"/>
            <w:shd w:val="clear" w:color="auto" w:fill="CFF0FC"/>
            <w:vAlign w:val="bottom"/>
            <w:hideMark/>
          </w:tcPr>
          <w:p w14:paraId="498F7FE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6"/>
                <w:szCs w:val="16"/>
              </w:rPr>
              <w:t>15</w:t>
            </w:r>
          </w:p>
        </w:tc>
        <w:tc>
          <w:tcPr>
            <w:tcW w:w="0" w:type="auto"/>
            <w:shd w:val="clear" w:color="auto" w:fill="CFF0FC"/>
            <w:noWrap/>
            <w:vAlign w:val="bottom"/>
            <w:hideMark/>
          </w:tcPr>
          <w:p w14:paraId="212BD4C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298ED82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noWrap/>
            <w:vAlign w:val="bottom"/>
            <w:hideMark/>
          </w:tcPr>
          <w:p w14:paraId="6806D4F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t>
            </w:r>
          </w:p>
        </w:tc>
        <w:tc>
          <w:tcPr>
            <w:tcW w:w="0" w:type="auto"/>
            <w:shd w:val="clear" w:color="auto" w:fill="CFF0FC"/>
            <w:vAlign w:val="bottom"/>
            <w:hideMark/>
          </w:tcPr>
          <w:p w14:paraId="6924D32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6"/>
                <w:szCs w:val="16"/>
              </w:rPr>
              <w:t>1,348</w:t>
            </w:r>
          </w:p>
        </w:tc>
        <w:tc>
          <w:tcPr>
            <w:tcW w:w="0" w:type="auto"/>
            <w:shd w:val="clear" w:color="auto" w:fill="CFF0FC"/>
            <w:noWrap/>
            <w:vAlign w:val="bottom"/>
            <w:hideMark/>
          </w:tcPr>
          <w:p w14:paraId="44C6888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0F71078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noWrap/>
            <w:vAlign w:val="bottom"/>
            <w:hideMark/>
          </w:tcPr>
          <w:p w14:paraId="7E398C8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t>
            </w:r>
          </w:p>
        </w:tc>
        <w:tc>
          <w:tcPr>
            <w:tcW w:w="0" w:type="auto"/>
            <w:shd w:val="clear" w:color="auto" w:fill="CFF0FC"/>
            <w:vAlign w:val="bottom"/>
            <w:hideMark/>
          </w:tcPr>
          <w:p w14:paraId="00D0AE0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6"/>
                <w:szCs w:val="16"/>
              </w:rPr>
              <w:t>5</w:t>
            </w:r>
          </w:p>
        </w:tc>
        <w:tc>
          <w:tcPr>
            <w:tcW w:w="0" w:type="auto"/>
            <w:shd w:val="clear" w:color="auto" w:fill="CFF0FC"/>
            <w:noWrap/>
            <w:vAlign w:val="bottom"/>
            <w:hideMark/>
          </w:tcPr>
          <w:p w14:paraId="60B1D33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210071B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noWrap/>
            <w:vAlign w:val="bottom"/>
            <w:hideMark/>
          </w:tcPr>
          <w:p w14:paraId="2917808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t>
            </w:r>
          </w:p>
        </w:tc>
        <w:tc>
          <w:tcPr>
            <w:tcW w:w="0" w:type="auto"/>
            <w:shd w:val="clear" w:color="auto" w:fill="CFF0FC"/>
            <w:vAlign w:val="bottom"/>
            <w:hideMark/>
          </w:tcPr>
          <w:p w14:paraId="05A9947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6"/>
                <w:szCs w:val="16"/>
              </w:rPr>
              <w:t>16</w:t>
            </w:r>
          </w:p>
        </w:tc>
        <w:tc>
          <w:tcPr>
            <w:tcW w:w="0" w:type="auto"/>
            <w:shd w:val="clear" w:color="auto" w:fill="CFF0FC"/>
            <w:noWrap/>
            <w:vAlign w:val="bottom"/>
            <w:hideMark/>
          </w:tcPr>
          <w:p w14:paraId="55B1EE5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CFF0FC"/>
            <w:vAlign w:val="bottom"/>
            <w:hideMark/>
          </w:tcPr>
          <w:p w14:paraId="2610D67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bl>
    <w:p w14:paraId="05BFE882"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
          <w:szCs w:val="2"/>
        </w:rPr>
        <w:t> </w:t>
      </w:r>
    </w:p>
    <w:p w14:paraId="2E476878"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 xml:space="preserve">1) Net nominal amount after deducting for offsetting swaps under ISDA agreements is $2,616 million. </w:t>
      </w:r>
    </w:p>
    <w:p w14:paraId="047F81A3"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 xml:space="preserve">2) Net amount after deducting for offsetting swaps under ISDA agreements is $22 million. </w:t>
      </w:r>
    </w:p>
    <w:p w14:paraId="2A9D0CFA"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 xml:space="preserve">3) Net amount after deducting for offsetting swaps under ISDA agreements is $15 million. </w:t>
      </w:r>
    </w:p>
    <w:p w14:paraId="6607A697"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 xml:space="preserve">4) Net nominal amount after deducting for offsetting swaps under ISDA agreements is $1,326 million. </w:t>
      </w:r>
    </w:p>
    <w:p w14:paraId="4E8ECB8B"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 xml:space="preserve">5) Net amount after deducting for offsetting swaps under ISDA agreements is $5 million. </w:t>
      </w:r>
    </w:p>
    <w:p w14:paraId="5723616C"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6) Net amount after deducting for offsetting swaps under ISDA agreements is $16 million.</w:t>
      </w:r>
    </w:p>
    <w:p w14:paraId="035D427B" w14:textId="77777777" w:rsidR="004B2A77" w:rsidRPr="004B2A77" w:rsidRDefault="004B2A77" w:rsidP="004B2A77">
      <w:pPr>
        <w:widowControl/>
        <w:spacing w:before="34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t>FAIR VALUE OF DEBT</w:t>
      </w:r>
    </w:p>
    <w:p w14:paraId="2BCC1EC9"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fair value of long-term debt is determined either from quoted market prices as provided by participants in the secondary market or for long-term debt without quoted market prices, estimated using a discounted cash flow method based on the Company’s current borrowing rates for similar types of financing. The fair value and carrying value of debt is summarized in the table below. The Company has determined that each of these fair value measurements of debt reside within Level 2 of the fair value hierarchy.</w:t>
      </w:r>
    </w:p>
    <w:p w14:paraId="50C5BE0A"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fair value and carrying value of debt for the continuing operations are summarized in the table below (dollars in millions).</w:t>
      </w:r>
    </w:p>
    <w:p w14:paraId="4D18683D"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5969"/>
        <w:gridCol w:w="316"/>
        <w:gridCol w:w="210"/>
        <w:gridCol w:w="2391"/>
        <w:gridCol w:w="210"/>
        <w:gridCol w:w="317"/>
        <w:gridCol w:w="210"/>
        <w:gridCol w:w="2420"/>
        <w:gridCol w:w="210"/>
        <w:gridCol w:w="317"/>
        <w:gridCol w:w="210"/>
        <w:gridCol w:w="2391"/>
        <w:gridCol w:w="210"/>
        <w:gridCol w:w="317"/>
        <w:gridCol w:w="210"/>
        <w:gridCol w:w="2420"/>
        <w:gridCol w:w="225"/>
      </w:tblGrid>
      <w:tr w:rsidR="004B2A77" w:rsidRPr="004B2A77" w14:paraId="3290CD46" w14:textId="77777777" w:rsidTr="004B2A77">
        <w:trPr>
          <w:tblCellSpacing w:w="15" w:type="dxa"/>
        </w:trPr>
        <w:tc>
          <w:tcPr>
            <w:tcW w:w="5937" w:type="dxa"/>
            <w:vAlign w:val="center"/>
            <w:hideMark/>
          </w:tcPr>
          <w:p w14:paraId="3C63C780"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87" w:type="dxa"/>
            <w:vAlign w:val="center"/>
            <w:hideMark/>
          </w:tcPr>
          <w:p w14:paraId="5AE93D1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40D948B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65" w:type="dxa"/>
            <w:vAlign w:val="center"/>
            <w:hideMark/>
          </w:tcPr>
          <w:p w14:paraId="6AC65DA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5703C81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87" w:type="dxa"/>
            <w:vAlign w:val="center"/>
            <w:hideMark/>
          </w:tcPr>
          <w:p w14:paraId="471F7D3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1E13413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95" w:type="dxa"/>
            <w:vAlign w:val="center"/>
            <w:hideMark/>
          </w:tcPr>
          <w:p w14:paraId="63B957C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58688E9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87" w:type="dxa"/>
            <w:vAlign w:val="center"/>
            <w:hideMark/>
          </w:tcPr>
          <w:p w14:paraId="3E32D38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3EEAB7D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65" w:type="dxa"/>
            <w:vAlign w:val="center"/>
            <w:hideMark/>
          </w:tcPr>
          <w:p w14:paraId="4D9C8BD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09ADF99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87" w:type="dxa"/>
            <w:vAlign w:val="center"/>
            <w:hideMark/>
          </w:tcPr>
          <w:p w14:paraId="724E10E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37EBDE2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95" w:type="dxa"/>
            <w:vAlign w:val="center"/>
            <w:hideMark/>
          </w:tcPr>
          <w:p w14:paraId="6EB5CBB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4F56087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26D5408" w14:textId="77777777" w:rsidTr="004B2A77">
        <w:trPr>
          <w:trHeight w:val="160"/>
          <w:tblCellSpacing w:w="15" w:type="dxa"/>
        </w:trPr>
        <w:tc>
          <w:tcPr>
            <w:tcW w:w="0" w:type="auto"/>
            <w:shd w:val="clear" w:color="auto" w:fill="FFFFFF"/>
            <w:vAlign w:val="bottom"/>
            <w:hideMark/>
          </w:tcPr>
          <w:p w14:paraId="781FC7C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640E75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32F8467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 2022</w:t>
            </w:r>
          </w:p>
        </w:tc>
        <w:tc>
          <w:tcPr>
            <w:tcW w:w="0" w:type="auto"/>
            <w:shd w:val="clear" w:color="auto" w:fill="FFFFFF"/>
            <w:vAlign w:val="bottom"/>
            <w:hideMark/>
          </w:tcPr>
          <w:p w14:paraId="79B4ADF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383531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0017A28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 2021</w:t>
            </w:r>
          </w:p>
        </w:tc>
        <w:tc>
          <w:tcPr>
            <w:tcW w:w="0" w:type="auto"/>
            <w:shd w:val="clear" w:color="auto" w:fill="FFFFFF"/>
            <w:vAlign w:val="bottom"/>
            <w:hideMark/>
          </w:tcPr>
          <w:p w14:paraId="25C3C51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2B81B7AD" w14:textId="77777777" w:rsidTr="004B2A77">
        <w:trPr>
          <w:trHeight w:val="160"/>
          <w:tblCellSpacing w:w="15" w:type="dxa"/>
        </w:trPr>
        <w:tc>
          <w:tcPr>
            <w:tcW w:w="0" w:type="auto"/>
            <w:shd w:val="clear" w:color="auto" w:fill="FFFFFF"/>
            <w:vAlign w:val="bottom"/>
            <w:hideMark/>
          </w:tcPr>
          <w:p w14:paraId="173D995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131523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C2AC74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CARRYING</w:t>
            </w:r>
            <w:r w:rsidRPr="004B2A77">
              <w:rPr>
                <w:rFonts w:ascii="Arial" w:eastAsia="宋体" w:hAnsi="Arial" w:cs="Arial"/>
                <w:b/>
                <w:bCs/>
                <w:color w:val="000000"/>
                <w:kern w:val="0"/>
                <w:sz w:val="16"/>
                <w:szCs w:val="16"/>
              </w:rPr>
              <w:br/>
              <w:t>VALUE</w:t>
            </w:r>
            <w:r w:rsidRPr="004B2A77">
              <w:rPr>
                <w:rFonts w:ascii="Arial" w:eastAsia="宋体" w:hAnsi="Arial" w:cs="Arial"/>
                <w:b/>
                <w:bCs/>
                <w:color w:val="000000"/>
                <w:kern w:val="0"/>
                <w:sz w:val="11"/>
                <w:szCs w:val="11"/>
              </w:rPr>
              <w:t>1)</w:t>
            </w:r>
          </w:p>
        </w:tc>
        <w:tc>
          <w:tcPr>
            <w:tcW w:w="0" w:type="auto"/>
            <w:shd w:val="clear" w:color="auto" w:fill="FFFFFF"/>
            <w:vAlign w:val="bottom"/>
            <w:hideMark/>
          </w:tcPr>
          <w:p w14:paraId="202B4EA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875131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E69481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FAIR</w:t>
            </w:r>
            <w:r w:rsidRPr="004B2A77">
              <w:rPr>
                <w:rFonts w:ascii="Arial" w:eastAsia="宋体" w:hAnsi="Arial" w:cs="Arial"/>
                <w:b/>
                <w:bCs/>
                <w:color w:val="000000"/>
                <w:kern w:val="0"/>
                <w:sz w:val="16"/>
                <w:szCs w:val="16"/>
              </w:rPr>
              <w:br/>
              <w:t>VALUE</w:t>
            </w:r>
          </w:p>
        </w:tc>
        <w:tc>
          <w:tcPr>
            <w:tcW w:w="0" w:type="auto"/>
            <w:shd w:val="clear" w:color="auto" w:fill="FFFFFF"/>
            <w:vAlign w:val="bottom"/>
            <w:hideMark/>
          </w:tcPr>
          <w:p w14:paraId="27FEACA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032AC3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3062F4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CARRYING</w:t>
            </w:r>
            <w:r w:rsidRPr="004B2A77">
              <w:rPr>
                <w:rFonts w:ascii="Arial" w:eastAsia="宋体" w:hAnsi="Arial" w:cs="Arial"/>
                <w:b/>
                <w:bCs/>
                <w:color w:val="000000"/>
                <w:kern w:val="0"/>
                <w:sz w:val="16"/>
                <w:szCs w:val="16"/>
              </w:rPr>
              <w:br/>
              <w:t>VALUE</w:t>
            </w:r>
            <w:r w:rsidRPr="004B2A77">
              <w:rPr>
                <w:rFonts w:ascii="Arial" w:eastAsia="宋体" w:hAnsi="Arial" w:cs="Arial"/>
                <w:b/>
                <w:bCs/>
                <w:color w:val="000000"/>
                <w:kern w:val="0"/>
                <w:sz w:val="11"/>
                <w:szCs w:val="11"/>
              </w:rPr>
              <w:t>1)</w:t>
            </w:r>
          </w:p>
        </w:tc>
        <w:tc>
          <w:tcPr>
            <w:tcW w:w="0" w:type="auto"/>
            <w:shd w:val="clear" w:color="auto" w:fill="FFFFFF"/>
            <w:vAlign w:val="bottom"/>
            <w:hideMark/>
          </w:tcPr>
          <w:p w14:paraId="7F5144C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BC7B19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6F6175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FAIR</w:t>
            </w:r>
            <w:r w:rsidRPr="004B2A77">
              <w:rPr>
                <w:rFonts w:ascii="Arial" w:eastAsia="宋体" w:hAnsi="Arial" w:cs="Arial"/>
                <w:b/>
                <w:bCs/>
                <w:color w:val="000000"/>
                <w:kern w:val="0"/>
                <w:sz w:val="16"/>
                <w:szCs w:val="16"/>
              </w:rPr>
              <w:br/>
              <w:t>VALUE</w:t>
            </w:r>
          </w:p>
        </w:tc>
        <w:tc>
          <w:tcPr>
            <w:tcW w:w="0" w:type="auto"/>
            <w:shd w:val="clear" w:color="auto" w:fill="FFFFFF"/>
            <w:vAlign w:val="bottom"/>
            <w:hideMark/>
          </w:tcPr>
          <w:p w14:paraId="09EB860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1D528BD" w14:textId="77777777" w:rsidTr="004B2A77">
        <w:trPr>
          <w:trHeight w:val="160"/>
          <w:tblCellSpacing w:w="15" w:type="dxa"/>
        </w:trPr>
        <w:tc>
          <w:tcPr>
            <w:tcW w:w="0" w:type="auto"/>
            <w:shd w:val="clear" w:color="auto" w:fill="CFF0FC"/>
            <w:hideMark/>
          </w:tcPr>
          <w:p w14:paraId="2A70285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LONG-TERM DEBT</w:t>
            </w:r>
          </w:p>
        </w:tc>
        <w:tc>
          <w:tcPr>
            <w:tcW w:w="0" w:type="auto"/>
            <w:shd w:val="clear" w:color="auto" w:fill="CFF0FC"/>
            <w:vAlign w:val="bottom"/>
            <w:hideMark/>
          </w:tcPr>
          <w:p w14:paraId="2BC93A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61CF4104"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6FE1F80"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E0B64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621AE90"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532BE3A"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6B890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1992C72"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C4AEEEC"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1BCC7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224F84A1"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F9FD5AD"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9DE8724" w14:textId="77777777" w:rsidTr="004B2A77">
        <w:trPr>
          <w:trHeight w:val="180"/>
          <w:tblCellSpacing w:w="15" w:type="dxa"/>
        </w:trPr>
        <w:tc>
          <w:tcPr>
            <w:tcW w:w="0" w:type="auto"/>
            <w:shd w:val="clear" w:color="auto" w:fill="FFFFFF"/>
            <w:hideMark/>
          </w:tcPr>
          <w:p w14:paraId="39889A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Bonds</w:t>
            </w:r>
          </w:p>
        </w:tc>
        <w:tc>
          <w:tcPr>
            <w:tcW w:w="0" w:type="auto"/>
            <w:shd w:val="clear" w:color="auto" w:fill="FFFFFF"/>
            <w:vAlign w:val="bottom"/>
            <w:hideMark/>
          </w:tcPr>
          <w:p w14:paraId="48A770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A94E4E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D1D4C8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767</w:t>
            </w:r>
          </w:p>
        </w:tc>
        <w:tc>
          <w:tcPr>
            <w:tcW w:w="0" w:type="auto"/>
            <w:shd w:val="clear" w:color="auto" w:fill="FFFFFF"/>
            <w:noWrap/>
            <w:vAlign w:val="bottom"/>
            <w:hideMark/>
          </w:tcPr>
          <w:p w14:paraId="080E9B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3756A9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A8733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FD9CB4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735</w:t>
            </w:r>
          </w:p>
        </w:tc>
        <w:tc>
          <w:tcPr>
            <w:tcW w:w="0" w:type="auto"/>
            <w:shd w:val="clear" w:color="auto" w:fill="FFFFFF"/>
            <w:noWrap/>
            <w:vAlign w:val="bottom"/>
            <w:hideMark/>
          </w:tcPr>
          <w:p w14:paraId="115864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70B80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F3E92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E7CB6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1,330</w:t>
            </w:r>
          </w:p>
        </w:tc>
        <w:tc>
          <w:tcPr>
            <w:tcW w:w="0" w:type="auto"/>
            <w:shd w:val="clear" w:color="auto" w:fill="FFFFFF"/>
            <w:noWrap/>
            <w:vAlign w:val="bottom"/>
            <w:hideMark/>
          </w:tcPr>
          <w:p w14:paraId="116007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FF507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CBFA5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5F47790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1,400</w:t>
            </w:r>
          </w:p>
        </w:tc>
        <w:tc>
          <w:tcPr>
            <w:tcW w:w="0" w:type="auto"/>
            <w:shd w:val="clear" w:color="auto" w:fill="FFFFFF"/>
            <w:noWrap/>
            <w:vAlign w:val="bottom"/>
            <w:hideMark/>
          </w:tcPr>
          <w:p w14:paraId="53FA716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6358183" w14:textId="77777777" w:rsidTr="004B2A77">
        <w:trPr>
          <w:trHeight w:val="180"/>
          <w:tblCellSpacing w:w="15" w:type="dxa"/>
        </w:trPr>
        <w:tc>
          <w:tcPr>
            <w:tcW w:w="0" w:type="auto"/>
            <w:shd w:val="clear" w:color="auto" w:fill="CFF0FC"/>
            <w:hideMark/>
          </w:tcPr>
          <w:p w14:paraId="78F345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Loans</w:t>
            </w:r>
          </w:p>
        </w:tc>
        <w:tc>
          <w:tcPr>
            <w:tcW w:w="0" w:type="auto"/>
            <w:shd w:val="clear" w:color="auto" w:fill="CFF0FC"/>
            <w:vAlign w:val="bottom"/>
            <w:hideMark/>
          </w:tcPr>
          <w:p w14:paraId="27BB15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F4044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F8138C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287</w:t>
            </w:r>
          </w:p>
        </w:tc>
        <w:tc>
          <w:tcPr>
            <w:tcW w:w="0" w:type="auto"/>
            <w:shd w:val="clear" w:color="auto" w:fill="CFF0FC"/>
            <w:noWrap/>
            <w:vAlign w:val="bottom"/>
            <w:hideMark/>
          </w:tcPr>
          <w:p w14:paraId="4B6B8E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83AE9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0722B5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99B2B0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292</w:t>
            </w:r>
          </w:p>
        </w:tc>
        <w:tc>
          <w:tcPr>
            <w:tcW w:w="0" w:type="auto"/>
            <w:shd w:val="clear" w:color="auto" w:fill="CFF0FC"/>
            <w:noWrap/>
            <w:vAlign w:val="bottom"/>
            <w:hideMark/>
          </w:tcPr>
          <w:p w14:paraId="30CD7D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66239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135DF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AC68D6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332</w:t>
            </w:r>
          </w:p>
        </w:tc>
        <w:tc>
          <w:tcPr>
            <w:tcW w:w="0" w:type="auto"/>
            <w:shd w:val="clear" w:color="auto" w:fill="CFF0FC"/>
            <w:noWrap/>
            <w:vAlign w:val="bottom"/>
            <w:hideMark/>
          </w:tcPr>
          <w:p w14:paraId="0E2AD4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C383A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433CF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2AFB1E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347</w:t>
            </w:r>
          </w:p>
        </w:tc>
        <w:tc>
          <w:tcPr>
            <w:tcW w:w="0" w:type="auto"/>
            <w:shd w:val="clear" w:color="auto" w:fill="CFF0FC"/>
            <w:noWrap/>
            <w:vAlign w:val="bottom"/>
            <w:hideMark/>
          </w:tcPr>
          <w:p w14:paraId="694850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65E91DA" w14:textId="77777777" w:rsidTr="004B2A77">
        <w:trPr>
          <w:trHeight w:val="180"/>
          <w:tblCellSpacing w:w="15" w:type="dxa"/>
        </w:trPr>
        <w:tc>
          <w:tcPr>
            <w:tcW w:w="0" w:type="auto"/>
            <w:shd w:val="clear" w:color="auto" w:fill="FFFFFF"/>
            <w:hideMark/>
          </w:tcPr>
          <w:p w14:paraId="1DB63B6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FFFFFF"/>
            <w:vAlign w:val="bottom"/>
            <w:hideMark/>
          </w:tcPr>
          <w:p w14:paraId="7312D7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4E91D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6E1FA76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1,054</w:t>
            </w:r>
          </w:p>
        </w:tc>
        <w:tc>
          <w:tcPr>
            <w:tcW w:w="0" w:type="auto"/>
            <w:shd w:val="clear" w:color="auto" w:fill="FFFFFF"/>
            <w:noWrap/>
            <w:vAlign w:val="bottom"/>
            <w:hideMark/>
          </w:tcPr>
          <w:p w14:paraId="4F66EE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AD649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9E0EF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554B79B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1,027</w:t>
            </w:r>
          </w:p>
        </w:tc>
        <w:tc>
          <w:tcPr>
            <w:tcW w:w="0" w:type="auto"/>
            <w:shd w:val="clear" w:color="auto" w:fill="FFFFFF"/>
            <w:noWrap/>
            <w:vAlign w:val="bottom"/>
            <w:hideMark/>
          </w:tcPr>
          <w:p w14:paraId="4B88F4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007E5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9FA4C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024B836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1,662</w:t>
            </w:r>
          </w:p>
        </w:tc>
        <w:tc>
          <w:tcPr>
            <w:tcW w:w="0" w:type="auto"/>
            <w:shd w:val="clear" w:color="auto" w:fill="FFFFFF"/>
            <w:noWrap/>
            <w:vAlign w:val="bottom"/>
            <w:hideMark/>
          </w:tcPr>
          <w:p w14:paraId="25FBAA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2D18B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BF0B7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5CB76F8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1,747</w:t>
            </w:r>
          </w:p>
        </w:tc>
        <w:tc>
          <w:tcPr>
            <w:tcW w:w="0" w:type="auto"/>
            <w:shd w:val="clear" w:color="auto" w:fill="FFFFFF"/>
            <w:noWrap/>
            <w:vAlign w:val="bottom"/>
            <w:hideMark/>
          </w:tcPr>
          <w:p w14:paraId="043F95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4F9ACC0" w14:textId="77777777" w:rsidTr="004B2A77">
        <w:trPr>
          <w:tblCellSpacing w:w="15" w:type="dxa"/>
        </w:trPr>
        <w:tc>
          <w:tcPr>
            <w:tcW w:w="0" w:type="auto"/>
            <w:shd w:val="clear" w:color="auto" w:fill="CFF0FC"/>
            <w:hideMark/>
          </w:tcPr>
          <w:p w14:paraId="450E16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891C3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1B0FBE8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0CD46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53C3B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22C2473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232833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6E088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EF3E14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D15F6F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EB07F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3410ACC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EC209A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543B1DA" w14:textId="77777777" w:rsidTr="004B2A77">
        <w:trPr>
          <w:trHeight w:val="160"/>
          <w:tblCellSpacing w:w="15" w:type="dxa"/>
        </w:trPr>
        <w:tc>
          <w:tcPr>
            <w:tcW w:w="0" w:type="auto"/>
            <w:shd w:val="clear" w:color="auto" w:fill="FFFFFF"/>
            <w:hideMark/>
          </w:tcPr>
          <w:p w14:paraId="2965347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SHORT-TERM DEBT</w:t>
            </w:r>
          </w:p>
        </w:tc>
        <w:tc>
          <w:tcPr>
            <w:tcW w:w="0" w:type="auto"/>
            <w:shd w:val="clear" w:color="auto" w:fill="FFFFFF"/>
            <w:vAlign w:val="bottom"/>
            <w:hideMark/>
          </w:tcPr>
          <w:p w14:paraId="2A9A96A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0792E50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9682AC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C3D34B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731B001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DDFE02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0A80C9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09F6F80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2953CB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24635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2A82627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707E75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0CDB5E0" w14:textId="77777777" w:rsidTr="004B2A77">
        <w:trPr>
          <w:trHeight w:val="180"/>
          <w:tblCellSpacing w:w="15" w:type="dxa"/>
        </w:trPr>
        <w:tc>
          <w:tcPr>
            <w:tcW w:w="0" w:type="auto"/>
            <w:shd w:val="clear" w:color="auto" w:fill="CFF0FC"/>
            <w:hideMark/>
          </w:tcPr>
          <w:p w14:paraId="010AD4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Short-term portion of long-term debt</w:t>
            </w:r>
          </w:p>
        </w:tc>
        <w:tc>
          <w:tcPr>
            <w:tcW w:w="0" w:type="auto"/>
            <w:shd w:val="clear" w:color="auto" w:fill="CFF0FC"/>
            <w:vAlign w:val="bottom"/>
            <w:hideMark/>
          </w:tcPr>
          <w:p w14:paraId="178A30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B752B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908102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533</w:t>
            </w:r>
          </w:p>
        </w:tc>
        <w:tc>
          <w:tcPr>
            <w:tcW w:w="0" w:type="auto"/>
            <w:shd w:val="clear" w:color="auto" w:fill="CFF0FC"/>
            <w:noWrap/>
            <w:vAlign w:val="bottom"/>
            <w:hideMark/>
          </w:tcPr>
          <w:p w14:paraId="55613D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E8A64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E3AE76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4CD7E9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527</w:t>
            </w:r>
          </w:p>
        </w:tc>
        <w:tc>
          <w:tcPr>
            <w:tcW w:w="0" w:type="auto"/>
            <w:shd w:val="clear" w:color="auto" w:fill="CFF0FC"/>
            <w:noWrap/>
            <w:vAlign w:val="bottom"/>
            <w:hideMark/>
          </w:tcPr>
          <w:p w14:paraId="3A7F3F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EB206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EB51E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56EC07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332</w:t>
            </w:r>
          </w:p>
        </w:tc>
        <w:tc>
          <w:tcPr>
            <w:tcW w:w="0" w:type="auto"/>
            <w:shd w:val="clear" w:color="auto" w:fill="CFF0FC"/>
            <w:noWrap/>
            <w:vAlign w:val="bottom"/>
            <w:hideMark/>
          </w:tcPr>
          <w:p w14:paraId="54DB1C9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4E52BB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6CA06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F730CA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333</w:t>
            </w:r>
          </w:p>
        </w:tc>
        <w:tc>
          <w:tcPr>
            <w:tcW w:w="0" w:type="auto"/>
            <w:shd w:val="clear" w:color="auto" w:fill="CFF0FC"/>
            <w:noWrap/>
            <w:vAlign w:val="bottom"/>
            <w:hideMark/>
          </w:tcPr>
          <w:p w14:paraId="5BB884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3E84B15" w14:textId="77777777" w:rsidTr="004B2A77">
        <w:trPr>
          <w:trHeight w:val="180"/>
          <w:tblCellSpacing w:w="15" w:type="dxa"/>
        </w:trPr>
        <w:tc>
          <w:tcPr>
            <w:tcW w:w="0" w:type="auto"/>
            <w:shd w:val="clear" w:color="auto" w:fill="FFFFFF"/>
            <w:hideMark/>
          </w:tcPr>
          <w:p w14:paraId="7EC736E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Overdrafts and other short-term debt</w:t>
            </w:r>
          </w:p>
        </w:tc>
        <w:tc>
          <w:tcPr>
            <w:tcW w:w="0" w:type="auto"/>
            <w:shd w:val="clear" w:color="auto" w:fill="FFFFFF"/>
            <w:vAlign w:val="bottom"/>
            <w:hideMark/>
          </w:tcPr>
          <w:p w14:paraId="3B9319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53905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4794BD8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178</w:t>
            </w:r>
          </w:p>
        </w:tc>
        <w:tc>
          <w:tcPr>
            <w:tcW w:w="0" w:type="auto"/>
            <w:shd w:val="clear" w:color="auto" w:fill="FFFFFF"/>
            <w:noWrap/>
            <w:vAlign w:val="bottom"/>
            <w:hideMark/>
          </w:tcPr>
          <w:p w14:paraId="303840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905F7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4FE37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793A1E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178</w:t>
            </w:r>
          </w:p>
        </w:tc>
        <w:tc>
          <w:tcPr>
            <w:tcW w:w="0" w:type="auto"/>
            <w:shd w:val="clear" w:color="auto" w:fill="FFFFFF"/>
            <w:noWrap/>
            <w:vAlign w:val="bottom"/>
            <w:hideMark/>
          </w:tcPr>
          <w:p w14:paraId="55B6F8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75CC23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C92FA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D93FCB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w:t>
            </w:r>
          </w:p>
        </w:tc>
        <w:tc>
          <w:tcPr>
            <w:tcW w:w="0" w:type="auto"/>
            <w:shd w:val="clear" w:color="auto" w:fill="FFFFFF"/>
            <w:noWrap/>
            <w:vAlign w:val="bottom"/>
            <w:hideMark/>
          </w:tcPr>
          <w:p w14:paraId="1152E23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3BCCA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C9FEA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4DE3D23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w:t>
            </w:r>
          </w:p>
        </w:tc>
        <w:tc>
          <w:tcPr>
            <w:tcW w:w="0" w:type="auto"/>
            <w:shd w:val="clear" w:color="auto" w:fill="FFFFFF"/>
            <w:noWrap/>
            <w:vAlign w:val="bottom"/>
            <w:hideMark/>
          </w:tcPr>
          <w:p w14:paraId="38035B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EA14AA7" w14:textId="77777777" w:rsidTr="004B2A77">
        <w:trPr>
          <w:trHeight w:val="180"/>
          <w:tblCellSpacing w:w="15" w:type="dxa"/>
        </w:trPr>
        <w:tc>
          <w:tcPr>
            <w:tcW w:w="0" w:type="auto"/>
            <w:shd w:val="clear" w:color="auto" w:fill="CFF0FC"/>
            <w:hideMark/>
          </w:tcPr>
          <w:p w14:paraId="319553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CFF0FC"/>
            <w:vAlign w:val="bottom"/>
            <w:hideMark/>
          </w:tcPr>
          <w:p w14:paraId="489DEF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E0967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9C1756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711</w:t>
            </w:r>
          </w:p>
        </w:tc>
        <w:tc>
          <w:tcPr>
            <w:tcW w:w="0" w:type="auto"/>
            <w:shd w:val="clear" w:color="auto" w:fill="CFF0FC"/>
            <w:noWrap/>
            <w:vAlign w:val="bottom"/>
            <w:hideMark/>
          </w:tcPr>
          <w:p w14:paraId="0DC16A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00E3D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D64D8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30E3E46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705</w:t>
            </w:r>
          </w:p>
        </w:tc>
        <w:tc>
          <w:tcPr>
            <w:tcW w:w="0" w:type="auto"/>
            <w:shd w:val="clear" w:color="auto" w:fill="CFF0FC"/>
            <w:noWrap/>
            <w:vAlign w:val="bottom"/>
            <w:hideMark/>
          </w:tcPr>
          <w:p w14:paraId="31BF16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E1EF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8B1E54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BB591B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346</w:t>
            </w:r>
          </w:p>
        </w:tc>
        <w:tc>
          <w:tcPr>
            <w:tcW w:w="0" w:type="auto"/>
            <w:shd w:val="clear" w:color="auto" w:fill="CFF0FC"/>
            <w:noWrap/>
            <w:vAlign w:val="bottom"/>
            <w:hideMark/>
          </w:tcPr>
          <w:p w14:paraId="7FA3C0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81A9A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F9D46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0FA9326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348</w:t>
            </w:r>
          </w:p>
        </w:tc>
        <w:tc>
          <w:tcPr>
            <w:tcW w:w="0" w:type="auto"/>
            <w:shd w:val="clear" w:color="auto" w:fill="CFF0FC"/>
            <w:noWrap/>
            <w:vAlign w:val="bottom"/>
            <w:hideMark/>
          </w:tcPr>
          <w:p w14:paraId="68FF20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2CB999BF"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
          <w:szCs w:val="2"/>
        </w:rPr>
        <w:t> </w:t>
      </w:r>
    </w:p>
    <w:p w14:paraId="674C0D40"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1) Debt as reported in balance sheet.</w:t>
      </w:r>
    </w:p>
    <w:p w14:paraId="6BA53A6C" w14:textId="77777777" w:rsidR="004B2A77" w:rsidRPr="004B2A77" w:rsidRDefault="004B2A77" w:rsidP="004B2A77">
      <w:pPr>
        <w:widowControl/>
        <w:spacing w:before="34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18"/>
          <w:szCs w:val="18"/>
        </w:rPr>
        <w:t>ASSETS AND LIABILITIES MEASURED AT FAIR VALUE ON A NON-RECURRING BASIS</w:t>
      </w:r>
    </w:p>
    <w:p w14:paraId="3CBF29D6"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In addition to assets and liabilities that are measured at fair value on a recurring basis, the Company also has assets and liabilities in its balance sheet that are measured at fair value on a nonrecurring basis </w:t>
      </w:r>
      <w:r w:rsidRPr="004B2A77">
        <w:rPr>
          <w:rFonts w:ascii="Arial" w:eastAsia="微软雅黑" w:hAnsi="Arial" w:cs="Arial"/>
          <w:color w:val="000000"/>
          <w:kern w:val="0"/>
          <w:sz w:val="18"/>
          <w:szCs w:val="18"/>
        </w:rPr>
        <w:lastRenderedPageBreak/>
        <w:t>including certain long-lived assets, including equity method investments, goodwill and other intangible assets, typically as it relates to impairment.</w:t>
      </w:r>
    </w:p>
    <w:p w14:paraId="0CB4C01A"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Company has determined that the fair value measurements included in each of these assets and liabilities rely primarily on Company-specific inputs and the Company’s assumptions about the use of the assets and settlements of liabilities, as observable inputs are not available. The Company has determined that each of these fair value measurements reside within Level 3 of the fair value hierarchy. To determine the fair value of long-lived assets as of the reporting date, the Company utilizes the projected cash flows expected to be generated by the long-lived assets, then discounts the future cash flows over the expected life of the long-lived assets.</w:t>
      </w:r>
    </w:p>
    <w:p w14:paraId="0D3A5242"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For the period 2020-2022, the Company did not record any material impairment charges on its long-lived assets for its continuing operations.</w:t>
      </w:r>
    </w:p>
    <w:p w14:paraId="117252E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69E3C9E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2C57629"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70</w:t>
      </w:r>
    </w:p>
    <w:p w14:paraId="4C52FB8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6E8C2E6">
          <v:rect id="_x0000_i1097" style="width:0;height:1.5pt" o:hralign="center" o:hrstd="t" o:hrnoshade="t" o:hr="t" fillcolor="black" stroked="f"/>
        </w:pict>
      </w:r>
    </w:p>
    <w:p w14:paraId="268854D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72AA98B" w14:textId="77777777" w:rsidR="004B2A77" w:rsidRPr="004B2A77" w:rsidRDefault="004B2A77" w:rsidP="004B2A77">
      <w:pPr>
        <w:widowControl/>
        <w:spacing w:before="34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22"/>
        </w:rPr>
        <w:t>5. Income Taxes</w:t>
      </w:r>
    </w:p>
    <w:p w14:paraId="1AB72E9D"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501"/>
        <w:gridCol w:w="266"/>
        <w:gridCol w:w="190"/>
        <w:gridCol w:w="1342"/>
        <w:gridCol w:w="190"/>
        <w:gridCol w:w="267"/>
        <w:gridCol w:w="190"/>
        <w:gridCol w:w="1346"/>
        <w:gridCol w:w="190"/>
        <w:gridCol w:w="267"/>
        <w:gridCol w:w="190"/>
        <w:gridCol w:w="1346"/>
        <w:gridCol w:w="206"/>
      </w:tblGrid>
      <w:tr w:rsidR="004B2A77" w:rsidRPr="004B2A77" w14:paraId="6047400A" w14:textId="77777777" w:rsidTr="004B2A77">
        <w:trPr>
          <w:tblCellSpacing w:w="15" w:type="dxa"/>
        </w:trPr>
        <w:tc>
          <w:tcPr>
            <w:tcW w:w="10479" w:type="dxa"/>
            <w:vAlign w:val="center"/>
            <w:hideMark/>
          </w:tcPr>
          <w:p w14:paraId="0083ECD8"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37" w:type="dxa"/>
            <w:vAlign w:val="center"/>
            <w:hideMark/>
          </w:tcPr>
          <w:p w14:paraId="6021C99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B3FD61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4" w:type="dxa"/>
            <w:vAlign w:val="center"/>
            <w:hideMark/>
          </w:tcPr>
          <w:p w14:paraId="2B04F7B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89EF1C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04AE4D2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DD21CA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70A1B31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661633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6126E17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BA4281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53A3958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45AB862D"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916BC6D" w14:textId="77777777" w:rsidTr="004B2A77">
        <w:trPr>
          <w:trHeight w:val="160"/>
          <w:tblCellSpacing w:w="15" w:type="dxa"/>
        </w:trPr>
        <w:tc>
          <w:tcPr>
            <w:tcW w:w="0" w:type="auto"/>
            <w:shd w:val="clear" w:color="auto" w:fill="FFFFFF"/>
            <w:vAlign w:val="bottom"/>
            <w:hideMark/>
          </w:tcPr>
          <w:p w14:paraId="2870BBB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INCOME BEFORE INCOME TAXES (Dollars in millions)</w:t>
            </w:r>
          </w:p>
        </w:tc>
        <w:tc>
          <w:tcPr>
            <w:tcW w:w="0" w:type="auto"/>
            <w:shd w:val="clear" w:color="auto" w:fill="FFFFFF"/>
            <w:vAlign w:val="bottom"/>
            <w:hideMark/>
          </w:tcPr>
          <w:p w14:paraId="07DE2D8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18569E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63CEFA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AC1C13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61D362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69B2C58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A511D6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4E1727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37F264E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46EA03E" w14:textId="77777777" w:rsidTr="004B2A77">
        <w:trPr>
          <w:trHeight w:val="180"/>
          <w:tblCellSpacing w:w="15" w:type="dxa"/>
        </w:trPr>
        <w:tc>
          <w:tcPr>
            <w:tcW w:w="0" w:type="auto"/>
            <w:shd w:val="clear" w:color="auto" w:fill="CFF0FC"/>
            <w:hideMark/>
          </w:tcPr>
          <w:p w14:paraId="284783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U.S.</w:t>
            </w:r>
          </w:p>
        </w:tc>
        <w:tc>
          <w:tcPr>
            <w:tcW w:w="0" w:type="auto"/>
            <w:shd w:val="clear" w:color="auto" w:fill="CFF0FC"/>
            <w:vAlign w:val="bottom"/>
            <w:hideMark/>
          </w:tcPr>
          <w:p w14:paraId="5A965B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52E11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368EB4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4B1787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0A67E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E4867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AB0D80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(38</w:t>
            </w:r>
          </w:p>
        </w:tc>
        <w:tc>
          <w:tcPr>
            <w:tcW w:w="0" w:type="auto"/>
            <w:shd w:val="clear" w:color="auto" w:fill="CFF0FC"/>
            <w:noWrap/>
            <w:vAlign w:val="bottom"/>
            <w:hideMark/>
          </w:tcPr>
          <w:p w14:paraId="1D5D89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870A3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42A3D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3804CF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(102</w:t>
            </w:r>
          </w:p>
        </w:tc>
        <w:tc>
          <w:tcPr>
            <w:tcW w:w="0" w:type="auto"/>
            <w:shd w:val="clear" w:color="auto" w:fill="CFF0FC"/>
            <w:noWrap/>
            <w:vAlign w:val="bottom"/>
            <w:hideMark/>
          </w:tcPr>
          <w:p w14:paraId="4C1533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B8371A7" w14:textId="77777777" w:rsidTr="004B2A77">
        <w:trPr>
          <w:trHeight w:val="180"/>
          <w:tblCellSpacing w:w="15" w:type="dxa"/>
        </w:trPr>
        <w:tc>
          <w:tcPr>
            <w:tcW w:w="0" w:type="auto"/>
            <w:shd w:val="clear" w:color="auto" w:fill="FFFFFF"/>
            <w:hideMark/>
          </w:tcPr>
          <w:p w14:paraId="030648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Non-U.S.</w:t>
            </w:r>
          </w:p>
        </w:tc>
        <w:tc>
          <w:tcPr>
            <w:tcW w:w="0" w:type="auto"/>
            <w:shd w:val="clear" w:color="auto" w:fill="FFFFFF"/>
            <w:vAlign w:val="bottom"/>
            <w:hideMark/>
          </w:tcPr>
          <w:p w14:paraId="2314AE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B7638F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1753B5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606</w:t>
            </w:r>
          </w:p>
        </w:tc>
        <w:tc>
          <w:tcPr>
            <w:tcW w:w="0" w:type="auto"/>
            <w:shd w:val="clear" w:color="auto" w:fill="FFFFFF"/>
            <w:noWrap/>
            <w:vAlign w:val="bottom"/>
            <w:hideMark/>
          </w:tcPr>
          <w:p w14:paraId="79736F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C9984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87765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7898C5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652</w:t>
            </w:r>
          </w:p>
        </w:tc>
        <w:tc>
          <w:tcPr>
            <w:tcW w:w="0" w:type="auto"/>
            <w:shd w:val="clear" w:color="auto" w:fill="FFFFFF"/>
            <w:noWrap/>
            <w:vAlign w:val="bottom"/>
            <w:hideMark/>
          </w:tcPr>
          <w:p w14:paraId="22DAC7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E29C2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30781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20DB3C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393</w:t>
            </w:r>
          </w:p>
        </w:tc>
        <w:tc>
          <w:tcPr>
            <w:tcW w:w="0" w:type="auto"/>
            <w:shd w:val="clear" w:color="auto" w:fill="FFFFFF"/>
            <w:noWrap/>
            <w:vAlign w:val="bottom"/>
            <w:hideMark/>
          </w:tcPr>
          <w:p w14:paraId="52B6D7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03A5FE0" w14:textId="77777777" w:rsidTr="004B2A77">
        <w:trPr>
          <w:trHeight w:val="180"/>
          <w:tblCellSpacing w:w="15" w:type="dxa"/>
        </w:trPr>
        <w:tc>
          <w:tcPr>
            <w:tcW w:w="0" w:type="auto"/>
            <w:shd w:val="clear" w:color="auto" w:fill="CFF0FC"/>
            <w:hideMark/>
          </w:tcPr>
          <w:p w14:paraId="0CABFA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CFF0FC"/>
            <w:vAlign w:val="bottom"/>
            <w:hideMark/>
          </w:tcPr>
          <w:p w14:paraId="3CC8CE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EAB76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12E4D3A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603</w:t>
            </w:r>
          </w:p>
        </w:tc>
        <w:tc>
          <w:tcPr>
            <w:tcW w:w="0" w:type="auto"/>
            <w:shd w:val="clear" w:color="auto" w:fill="CFF0FC"/>
            <w:noWrap/>
            <w:vAlign w:val="bottom"/>
            <w:hideMark/>
          </w:tcPr>
          <w:p w14:paraId="6F97F23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33559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0B7F5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C611CF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614</w:t>
            </w:r>
          </w:p>
        </w:tc>
        <w:tc>
          <w:tcPr>
            <w:tcW w:w="0" w:type="auto"/>
            <w:shd w:val="clear" w:color="auto" w:fill="CFF0FC"/>
            <w:noWrap/>
            <w:vAlign w:val="bottom"/>
            <w:hideMark/>
          </w:tcPr>
          <w:p w14:paraId="44A13A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850E32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52265F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2517602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291</w:t>
            </w:r>
          </w:p>
        </w:tc>
        <w:tc>
          <w:tcPr>
            <w:tcW w:w="0" w:type="auto"/>
            <w:shd w:val="clear" w:color="auto" w:fill="CFF0FC"/>
            <w:noWrap/>
            <w:vAlign w:val="bottom"/>
            <w:hideMark/>
          </w:tcPr>
          <w:p w14:paraId="0CCFF0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7A7CCCB8"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501"/>
        <w:gridCol w:w="266"/>
        <w:gridCol w:w="190"/>
        <w:gridCol w:w="1342"/>
        <w:gridCol w:w="190"/>
        <w:gridCol w:w="267"/>
        <w:gridCol w:w="190"/>
        <w:gridCol w:w="1346"/>
        <w:gridCol w:w="190"/>
        <w:gridCol w:w="267"/>
        <w:gridCol w:w="190"/>
        <w:gridCol w:w="1346"/>
        <w:gridCol w:w="206"/>
      </w:tblGrid>
      <w:tr w:rsidR="004B2A77" w:rsidRPr="004B2A77" w14:paraId="64A025A4" w14:textId="77777777" w:rsidTr="004B2A77">
        <w:trPr>
          <w:tblCellSpacing w:w="15" w:type="dxa"/>
        </w:trPr>
        <w:tc>
          <w:tcPr>
            <w:tcW w:w="10479" w:type="dxa"/>
            <w:vAlign w:val="center"/>
            <w:hideMark/>
          </w:tcPr>
          <w:p w14:paraId="20C69F77"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37" w:type="dxa"/>
            <w:vAlign w:val="center"/>
            <w:hideMark/>
          </w:tcPr>
          <w:p w14:paraId="7EE04C0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DD0AFE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4" w:type="dxa"/>
            <w:vAlign w:val="center"/>
            <w:hideMark/>
          </w:tcPr>
          <w:p w14:paraId="49F946B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B1A1EC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341B019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B190DA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5B2D3C3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16C22E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5C84141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202BEB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4E5A896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025727D7"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9348D13" w14:textId="77777777" w:rsidTr="004B2A77">
        <w:trPr>
          <w:trHeight w:val="160"/>
          <w:tblCellSpacing w:w="15" w:type="dxa"/>
        </w:trPr>
        <w:tc>
          <w:tcPr>
            <w:tcW w:w="0" w:type="auto"/>
            <w:shd w:val="clear" w:color="auto" w:fill="FFFFFF"/>
            <w:vAlign w:val="bottom"/>
            <w:hideMark/>
          </w:tcPr>
          <w:p w14:paraId="6ED0E9C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PROVISION FOR INCOME TAXES (Dollars in millions)</w:t>
            </w:r>
          </w:p>
        </w:tc>
        <w:tc>
          <w:tcPr>
            <w:tcW w:w="0" w:type="auto"/>
            <w:shd w:val="clear" w:color="auto" w:fill="FFFFFF"/>
            <w:vAlign w:val="bottom"/>
            <w:hideMark/>
          </w:tcPr>
          <w:p w14:paraId="5FA683E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21E85A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37F9A6D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F81694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2B0C25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721BDBF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1D28F9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5DA527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539A803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38A4EF0A" w14:textId="77777777" w:rsidTr="004B2A77">
        <w:trPr>
          <w:trHeight w:val="180"/>
          <w:tblCellSpacing w:w="15" w:type="dxa"/>
        </w:trPr>
        <w:tc>
          <w:tcPr>
            <w:tcW w:w="0" w:type="auto"/>
            <w:shd w:val="clear" w:color="auto" w:fill="CFF0FC"/>
            <w:hideMark/>
          </w:tcPr>
          <w:p w14:paraId="2014F1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Current</w:t>
            </w:r>
          </w:p>
        </w:tc>
        <w:tc>
          <w:tcPr>
            <w:tcW w:w="0" w:type="auto"/>
            <w:shd w:val="clear" w:color="auto" w:fill="CFF0FC"/>
            <w:vAlign w:val="bottom"/>
            <w:hideMark/>
          </w:tcPr>
          <w:p w14:paraId="5E7C3F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FAFF0D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BB7C58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4214F7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1CF3560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E38792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78BA3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62F94A2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09ED6D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5AC8D34" w14:textId="77777777" w:rsidTr="004B2A77">
        <w:trPr>
          <w:trHeight w:val="180"/>
          <w:tblCellSpacing w:w="15" w:type="dxa"/>
        </w:trPr>
        <w:tc>
          <w:tcPr>
            <w:tcW w:w="0" w:type="auto"/>
            <w:shd w:val="clear" w:color="auto" w:fill="FFFFFF"/>
            <w:hideMark/>
          </w:tcPr>
          <w:p w14:paraId="2A7332EB"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U.S. federal</w:t>
            </w:r>
          </w:p>
        </w:tc>
        <w:tc>
          <w:tcPr>
            <w:tcW w:w="0" w:type="auto"/>
            <w:shd w:val="clear" w:color="auto" w:fill="FFFFFF"/>
            <w:vAlign w:val="bottom"/>
            <w:hideMark/>
          </w:tcPr>
          <w:p w14:paraId="207524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9065F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489936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32</w:t>
            </w:r>
          </w:p>
        </w:tc>
        <w:tc>
          <w:tcPr>
            <w:tcW w:w="0" w:type="auto"/>
            <w:shd w:val="clear" w:color="auto" w:fill="FFFFFF"/>
            <w:noWrap/>
            <w:vAlign w:val="bottom"/>
            <w:hideMark/>
          </w:tcPr>
          <w:p w14:paraId="7CE8A6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43D76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50A3D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4E041B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FFFFFF"/>
            <w:noWrap/>
            <w:vAlign w:val="bottom"/>
            <w:hideMark/>
          </w:tcPr>
          <w:p w14:paraId="1A4607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8C94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B2F49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50367D2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(41</w:t>
            </w:r>
          </w:p>
        </w:tc>
        <w:tc>
          <w:tcPr>
            <w:tcW w:w="0" w:type="auto"/>
            <w:shd w:val="clear" w:color="auto" w:fill="FFFFFF"/>
            <w:noWrap/>
            <w:vAlign w:val="bottom"/>
            <w:hideMark/>
          </w:tcPr>
          <w:p w14:paraId="556B05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50D5AFDD" w14:textId="77777777" w:rsidTr="004B2A77">
        <w:trPr>
          <w:trHeight w:val="180"/>
          <w:tblCellSpacing w:w="15" w:type="dxa"/>
        </w:trPr>
        <w:tc>
          <w:tcPr>
            <w:tcW w:w="0" w:type="auto"/>
            <w:shd w:val="clear" w:color="auto" w:fill="CFF0FC"/>
            <w:hideMark/>
          </w:tcPr>
          <w:p w14:paraId="47B1A515"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Non-U.S.</w:t>
            </w:r>
          </w:p>
        </w:tc>
        <w:tc>
          <w:tcPr>
            <w:tcW w:w="0" w:type="auto"/>
            <w:shd w:val="clear" w:color="auto" w:fill="CFF0FC"/>
            <w:vAlign w:val="bottom"/>
            <w:hideMark/>
          </w:tcPr>
          <w:p w14:paraId="051702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EC2FE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9A4CEF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181</w:t>
            </w:r>
          </w:p>
        </w:tc>
        <w:tc>
          <w:tcPr>
            <w:tcW w:w="0" w:type="auto"/>
            <w:shd w:val="clear" w:color="auto" w:fill="CFF0FC"/>
            <w:noWrap/>
            <w:vAlign w:val="bottom"/>
            <w:hideMark/>
          </w:tcPr>
          <w:p w14:paraId="42A48E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DF7F9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D3C0A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36FD2C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191</w:t>
            </w:r>
          </w:p>
        </w:tc>
        <w:tc>
          <w:tcPr>
            <w:tcW w:w="0" w:type="auto"/>
            <w:shd w:val="clear" w:color="auto" w:fill="CFF0FC"/>
            <w:noWrap/>
            <w:vAlign w:val="bottom"/>
            <w:hideMark/>
          </w:tcPr>
          <w:p w14:paraId="63F5B0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37380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12191B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FDEFCE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169</w:t>
            </w:r>
          </w:p>
        </w:tc>
        <w:tc>
          <w:tcPr>
            <w:tcW w:w="0" w:type="auto"/>
            <w:shd w:val="clear" w:color="auto" w:fill="CFF0FC"/>
            <w:noWrap/>
            <w:vAlign w:val="bottom"/>
            <w:hideMark/>
          </w:tcPr>
          <w:p w14:paraId="08982B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3EC3648" w14:textId="77777777" w:rsidTr="004B2A77">
        <w:trPr>
          <w:trHeight w:val="180"/>
          <w:tblCellSpacing w:w="15" w:type="dxa"/>
        </w:trPr>
        <w:tc>
          <w:tcPr>
            <w:tcW w:w="0" w:type="auto"/>
            <w:shd w:val="clear" w:color="auto" w:fill="FFFFFF"/>
            <w:hideMark/>
          </w:tcPr>
          <w:p w14:paraId="30C8A14E"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U.S. state and local</w:t>
            </w:r>
          </w:p>
        </w:tc>
        <w:tc>
          <w:tcPr>
            <w:tcW w:w="0" w:type="auto"/>
            <w:shd w:val="clear" w:color="auto" w:fill="FFFFFF"/>
            <w:vAlign w:val="bottom"/>
            <w:hideMark/>
          </w:tcPr>
          <w:p w14:paraId="1BE0F60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04AD8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265AF3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FFFFFF"/>
            <w:noWrap/>
            <w:vAlign w:val="bottom"/>
            <w:hideMark/>
          </w:tcPr>
          <w:p w14:paraId="4200C9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32D9E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813AB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5B8D22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3E6347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1CD67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FFF51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0E9653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54DE01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F27E87B" w14:textId="77777777" w:rsidTr="004B2A77">
        <w:trPr>
          <w:tblCellSpacing w:w="15" w:type="dxa"/>
        </w:trPr>
        <w:tc>
          <w:tcPr>
            <w:tcW w:w="0" w:type="auto"/>
            <w:shd w:val="clear" w:color="auto" w:fill="CFF0FC"/>
            <w:hideMark/>
          </w:tcPr>
          <w:p w14:paraId="77EB5D7E"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B6E95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7C776F0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CEB97D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52DF3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0ED78CF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E46FA3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3F972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13979DC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A8BC59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D83866A" w14:textId="77777777" w:rsidTr="004B2A77">
        <w:trPr>
          <w:trHeight w:val="180"/>
          <w:tblCellSpacing w:w="15" w:type="dxa"/>
        </w:trPr>
        <w:tc>
          <w:tcPr>
            <w:tcW w:w="0" w:type="auto"/>
            <w:shd w:val="clear" w:color="auto" w:fill="FFFFFF"/>
            <w:hideMark/>
          </w:tcPr>
          <w:p w14:paraId="590E7A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Deferred</w:t>
            </w:r>
          </w:p>
        </w:tc>
        <w:tc>
          <w:tcPr>
            <w:tcW w:w="0" w:type="auto"/>
            <w:shd w:val="clear" w:color="auto" w:fill="FFFFFF"/>
            <w:vAlign w:val="bottom"/>
            <w:hideMark/>
          </w:tcPr>
          <w:p w14:paraId="1B6FBD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28B346C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0AF119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742AA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339E040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00DA29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2436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264F9C6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73092F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1737096" w14:textId="77777777" w:rsidTr="004B2A77">
        <w:trPr>
          <w:trHeight w:val="180"/>
          <w:tblCellSpacing w:w="15" w:type="dxa"/>
        </w:trPr>
        <w:tc>
          <w:tcPr>
            <w:tcW w:w="0" w:type="auto"/>
            <w:shd w:val="clear" w:color="auto" w:fill="CFF0FC"/>
            <w:hideMark/>
          </w:tcPr>
          <w:p w14:paraId="39C88B8A"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U.S. federal</w:t>
            </w:r>
          </w:p>
        </w:tc>
        <w:tc>
          <w:tcPr>
            <w:tcW w:w="0" w:type="auto"/>
            <w:shd w:val="clear" w:color="auto" w:fill="CFF0FC"/>
            <w:vAlign w:val="bottom"/>
            <w:hideMark/>
          </w:tcPr>
          <w:p w14:paraId="5D9E10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3F9BF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F2374F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w:t>
            </w:r>
          </w:p>
        </w:tc>
        <w:tc>
          <w:tcPr>
            <w:tcW w:w="0" w:type="auto"/>
            <w:shd w:val="clear" w:color="auto" w:fill="CFF0FC"/>
            <w:noWrap/>
            <w:vAlign w:val="bottom"/>
            <w:hideMark/>
          </w:tcPr>
          <w:p w14:paraId="3E4A41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1B53BB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0BFC52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7FC1AF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CFF0FC"/>
            <w:noWrap/>
            <w:vAlign w:val="bottom"/>
            <w:hideMark/>
          </w:tcPr>
          <w:p w14:paraId="5DA2C0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7C6BC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E3403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C6466C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CFF0FC"/>
            <w:noWrap/>
            <w:vAlign w:val="bottom"/>
            <w:hideMark/>
          </w:tcPr>
          <w:p w14:paraId="52C7AE3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54D097AB" w14:textId="77777777" w:rsidTr="004B2A77">
        <w:trPr>
          <w:trHeight w:val="180"/>
          <w:tblCellSpacing w:w="15" w:type="dxa"/>
        </w:trPr>
        <w:tc>
          <w:tcPr>
            <w:tcW w:w="0" w:type="auto"/>
            <w:shd w:val="clear" w:color="auto" w:fill="FFFFFF"/>
            <w:hideMark/>
          </w:tcPr>
          <w:p w14:paraId="54B306F4"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Non-U.S.</w:t>
            </w:r>
          </w:p>
        </w:tc>
        <w:tc>
          <w:tcPr>
            <w:tcW w:w="0" w:type="auto"/>
            <w:shd w:val="clear" w:color="auto" w:fill="FFFFFF"/>
            <w:vAlign w:val="bottom"/>
            <w:hideMark/>
          </w:tcPr>
          <w:p w14:paraId="731E9E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8A12E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A8CB05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FFFFFF"/>
            <w:noWrap/>
            <w:vAlign w:val="bottom"/>
            <w:hideMark/>
          </w:tcPr>
          <w:p w14:paraId="62567D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2B0969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31933D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8E6B7E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FFFFFF"/>
            <w:noWrap/>
            <w:vAlign w:val="bottom"/>
            <w:hideMark/>
          </w:tcPr>
          <w:p w14:paraId="6629782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5FF421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3BEAC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4DBFDA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FFFFFF"/>
            <w:noWrap/>
            <w:vAlign w:val="bottom"/>
            <w:hideMark/>
          </w:tcPr>
          <w:p w14:paraId="769F356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0A01A6B7" w14:textId="77777777" w:rsidTr="004B2A77">
        <w:trPr>
          <w:trHeight w:val="180"/>
          <w:tblCellSpacing w:w="15" w:type="dxa"/>
        </w:trPr>
        <w:tc>
          <w:tcPr>
            <w:tcW w:w="0" w:type="auto"/>
            <w:shd w:val="clear" w:color="auto" w:fill="CFF0FC"/>
            <w:hideMark/>
          </w:tcPr>
          <w:p w14:paraId="615760A6"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U.S. state and local</w:t>
            </w:r>
          </w:p>
        </w:tc>
        <w:tc>
          <w:tcPr>
            <w:tcW w:w="0" w:type="auto"/>
            <w:shd w:val="clear" w:color="auto" w:fill="CFF0FC"/>
            <w:vAlign w:val="bottom"/>
            <w:hideMark/>
          </w:tcPr>
          <w:p w14:paraId="70239E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19266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884F41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6F95C2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F6574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52219C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E8326D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387578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D988B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02846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4331C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07EC29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27129603" w14:textId="77777777" w:rsidTr="004B2A77">
        <w:trPr>
          <w:trHeight w:val="180"/>
          <w:tblCellSpacing w:w="15" w:type="dxa"/>
        </w:trPr>
        <w:tc>
          <w:tcPr>
            <w:tcW w:w="0" w:type="auto"/>
            <w:shd w:val="clear" w:color="auto" w:fill="FFFFFF"/>
            <w:hideMark/>
          </w:tcPr>
          <w:p w14:paraId="7C6574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income tax expense</w:t>
            </w:r>
          </w:p>
        </w:tc>
        <w:tc>
          <w:tcPr>
            <w:tcW w:w="0" w:type="auto"/>
            <w:shd w:val="clear" w:color="auto" w:fill="FFFFFF"/>
            <w:vAlign w:val="bottom"/>
            <w:hideMark/>
          </w:tcPr>
          <w:p w14:paraId="5B2C76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3D1EC0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37584A7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178</w:t>
            </w:r>
          </w:p>
        </w:tc>
        <w:tc>
          <w:tcPr>
            <w:tcW w:w="0" w:type="auto"/>
            <w:shd w:val="clear" w:color="auto" w:fill="FFFFFF"/>
            <w:noWrap/>
            <w:vAlign w:val="bottom"/>
            <w:hideMark/>
          </w:tcPr>
          <w:p w14:paraId="512E92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2C934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BDF79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474B7AE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177</w:t>
            </w:r>
          </w:p>
        </w:tc>
        <w:tc>
          <w:tcPr>
            <w:tcW w:w="0" w:type="auto"/>
            <w:shd w:val="clear" w:color="auto" w:fill="FFFFFF"/>
            <w:noWrap/>
            <w:vAlign w:val="bottom"/>
            <w:hideMark/>
          </w:tcPr>
          <w:p w14:paraId="35B5C7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9B566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F35CC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2E0521A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103</w:t>
            </w:r>
          </w:p>
        </w:tc>
        <w:tc>
          <w:tcPr>
            <w:tcW w:w="0" w:type="auto"/>
            <w:shd w:val="clear" w:color="auto" w:fill="FFFFFF"/>
            <w:noWrap/>
            <w:vAlign w:val="bottom"/>
            <w:hideMark/>
          </w:tcPr>
          <w:p w14:paraId="15E902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0F11C7EF"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tbl>
      <w:tblPr>
        <w:tblW w:w="17110" w:type="dxa"/>
        <w:tblCellSpacing w:w="15" w:type="dxa"/>
        <w:tblCellMar>
          <w:top w:w="15" w:type="dxa"/>
          <w:left w:w="15" w:type="dxa"/>
          <w:bottom w:w="15" w:type="dxa"/>
          <w:right w:w="15" w:type="dxa"/>
        </w:tblCellMar>
        <w:tblLook w:val="04A0" w:firstRow="1" w:lastRow="0" w:firstColumn="1" w:lastColumn="0" w:noHBand="0" w:noVBand="1"/>
      </w:tblPr>
      <w:tblGrid>
        <w:gridCol w:w="10677"/>
        <w:gridCol w:w="219"/>
        <w:gridCol w:w="196"/>
        <w:gridCol w:w="1338"/>
        <w:gridCol w:w="196"/>
        <w:gridCol w:w="331"/>
        <w:gridCol w:w="196"/>
        <w:gridCol w:w="1340"/>
        <w:gridCol w:w="196"/>
        <w:gridCol w:w="331"/>
        <w:gridCol w:w="196"/>
        <w:gridCol w:w="1340"/>
        <w:gridCol w:w="196"/>
        <w:gridCol w:w="358"/>
      </w:tblGrid>
      <w:tr w:rsidR="004B2A77" w:rsidRPr="004B2A77" w14:paraId="50A0E8B5" w14:textId="77777777" w:rsidTr="004B2A77">
        <w:trPr>
          <w:tblCellSpacing w:w="15" w:type="dxa"/>
        </w:trPr>
        <w:tc>
          <w:tcPr>
            <w:tcW w:w="10653" w:type="dxa"/>
            <w:vAlign w:val="center"/>
            <w:hideMark/>
          </w:tcPr>
          <w:p w14:paraId="382FE34E"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190" w:type="dxa"/>
            <w:vAlign w:val="center"/>
            <w:hideMark/>
          </w:tcPr>
          <w:p w14:paraId="20300C1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 w:type="dxa"/>
            <w:vAlign w:val="center"/>
            <w:hideMark/>
          </w:tcPr>
          <w:p w14:paraId="6E4D9A2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0" w:type="dxa"/>
            <w:vAlign w:val="center"/>
            <w:hideMark/>
          </w:tcPr>
          <w:p w14:paraId="321F163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 w:type="dxa"/>
            <w:vAlign w:val="center"/>
            <w:hideMark/>
          </w:tcPr>
          <w:p w14:paraId="6DA5272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1" w:type="dxa"/>
            <w:vAlign w:val="center"/>
            <w:hideMark/>
          </w:tcPr>
          <w:p w14:paraId="73DC13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 w:type="dxa"/>
            <w:vAlign w:val="center"/>
            <w:hideMark/>
          </w:tcPr>
          <w:p w14:paraId="5CD8AA0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2" w:type="dxa"/>
            <w:vAlign w:val="center"/>
            <w:hideMark/>
          </w:tcPr>
          <w:p w14:paraId="7F005C3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 w:type="dxa"/>
            <w:vAlign w:val="center"/>
            <w:hideMark/>
          </w:tcPr>
          <w:p w14:paraId="4BDE52E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1" w:type="dxa"/>
            <w:vAlign w:val="center"/>
            <w:hideMark/>
          </w:tcPr>
          <w:p w14:paraId="2B1ED59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 w:type="dxa"/>
            <w:vAlign w:val="center"/>
            <w:hideMark/>
          </w:tcPr>
          <w:p w14:paraId="58F3BBE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2" w:type="dxa"/>
            <w:vAlign w:val="center"/>
            <w:hideMark/>
          </w:tcPr>
          <w:p w14:paraId="197C1E1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 w:type="dxa"/>
            <w:vAlign w:val="center"/>
            <w:hideMark/>
          </w:tcPr>
          <w:p w14:paraId="499AAF9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3" w:type="dxa"/>
            <w:vAlign w:val="center"/>
            <w:hideMark/>
          </w:tcPr>
          <w:p w14:paraId="4E4F3B40"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57E33D3" w14:textId="77777777" w:rsidTr="004B2A77">
        <w:trPr>
          <w:trHeight w:val="160"/>
          <w:tblCellSpacing w:w="15" w:type="dxa"/>
        </w:trPr>
        <w:tc>
          <w:tcPr>
            <w:tcW w:w="0" w:type="auto"/>
            <w:shd w:val="clear" w:color="auto" w:fill="FFFFFF"/>
            <w:vAlign w:val="bottom"/>
            <w:hideMark/>
          </w:tcPr>
          <w:p w14:paraId="480C352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EFFECTIVE INCOME TAX RATE (%)</w:t>
            </w:r>
          </w:p>
        </w:tc>
        <w:tc>
          <w:tcPr>
            <w:tcW w:w="0" w:type="auto"/>
            <w:shd w:val="clear" w:color="auto" w:fill="FFFFFF"/>
            <w:vAlign w:val="bottom"/>
            <w:hideMark/>
          </w:tcPr>
          <w:p w14:paraId="17600B5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AA09B5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E7541E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36E5C8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BE0EC4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ED4567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30555A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EB3429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3E0E04F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AE1DA3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Calibri" w:eastAsia="宋体" w:hAnsi="Calibri" w:cs="Calibri"/>
                <w:kern w:val="0"/>
                <w:sz w:val="16"/>
                <w:szCs w:val="16"/>
              </w:rPr>
              <w:t> </w:t>
            </w:r>
          </w:p>
        </w:tc>
      </w:tr>
      <w:tr w:rsidR="004B2A77" w:rsidRPr="004B2A77" w14:paraId="71ABE4DF" w14:textId="77777777" w:rsidTr="004B2A77">
        <w:trPr>
          <w:trHeight w:val="180"/>
          <w:tblCellSpacing w:w="15" w:type="dxa"/>
        </w:trPr>
        <w:tc>
          <w:tcPr>
            <w:tcW w:w="0" w:type="auto"/>
            <w:shd w:val="clear" w:color="auto" w:fill="CFF0FC"/>
            <w:hideMark/>
          </w:tcPr>
          <w:p w14:paraId="5596DB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U.S. federal income tax rate</w:t>
            </w:r>
          </w:p>
        </w:tc>
        <w:tc>
          <w:tcPr>
            <w:tcW w:w="0" w:type="auto"/>
            <w:shd w:val="clear" w:color="auto" w:fill="CFF0FC"/>
            <w:vAlign w:val="bottom"/>
            <w:hideMark/>
          </w:tcPr>
          <w:p w14:paraId="175F554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F5825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3B4668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21.0</w:t>
            </w:r>
          </w:p>
        </w:tc>
        <w:tc>
          <w:tcPr>
            <w:tcW w:w="0" w:type="auto"/>
            <w:shd w:val="clear" w:color="auto" w:fill="CFF0FC"/>
            <w:noWrap/>
            <w:vAlign w:val="bottom"/>
            <w:hideMark/>
          </w:tcPr>
          <w:p w14:paraId="2ACDB9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148002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23990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568BC1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21.0</w:t>
            </w:r>
          </w:p>
        </w:tc>
        <w:tc>
          <w:tcPr>
            <w:tcW w:w="0" w:type="auto"/>
            <w:shd w:val="clear" w:color="auto" w:fill="CFF0FC"/>
            <w:noWrap/>
            <w:vAlign w:val="bottom"/>
            <w:hideMark/>
          </w:tcPr>
          <w:p w14:paraId="7E0580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42FB6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256BB6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0465A5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21.0</w:t>
            </w:r>
          </w:p>
        </w:tc>
        <w:tc>
          <w:tcPr>
            <w:tcW w:w="0" w:type="auto"/>
            <w:shd w:val="clear" w:color="auto" w:fill="CFF0FC"/>
            <w:noWrap/>
            <w:vAlign w:val="bottom"/>
            <w:hideMark/>
          </w:tcPr>
          <w:p w14:paraId="1605B5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41556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35FFA15E" w14:textId="77777777" w:rsidTr="004B2A77">
        <w:trPr>
          <w:trHeight w:val="180"/>
          <w:tblCellSpacing w:w="15" w:type="dxa"/>
        </w:trPr>
        <w:tc>
          <w:tcPr>
            <w:tcW w:w="0" w:type="auto"/>
            <w:shd w:val="clear" w:color="auto" w:fill="FFFFFF"/>
            <w:hideMark/>
          </w:tcPr>
          <w:p w14:paraId="6A7822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lastRenderedPageBreak/>
              <w:t>Non-Deductible Expenses</w:t>
            </w:r>
          </w:p>
        </w:tc>
        <w:tc>
          <w:tcPr>
            <w:tcW w:w="0" w:type="auto"/>
            <w:shd w:val="clear" w:color="auto" w:fill="FFFFFF"/>
            <w:vAlign w:val="bottom"/>
            <w:hideMark/>
          </w:tcPr>
          <w:p w14:paraId="1DD9A3E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1707B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33DCC8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0.5</w:t>
            </w:r>
          </w:p>
        </w:tc>
        <w:tc>
          <w:tcPr>
            <w:tcW w:w="0" w:type="auto"/>
            <w:shd w:val="clear" w:color="auto" w:fill="FFFFFF"/>
            <w:noWrap/>
            <w:vAlign w:val="bottom"/>
            <w:hideMark/>
          </w:tcPr>
          <w:p w14:paraId="44DBAB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A5265D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619EC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9F674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(0.1</w:t>
            </w:r>
          </w:p>
        </w:tc>
        <w:tc>
          <w:tcPr>
            <w:tcW w:w="0" w:type="auto"/>
            <w:shd w:val="clear" w:color="auto" w:fill="FFFFFF"/>
            <w:noWrap/>
            <w:vAlign w:val="bottom"/>
            <w:hideMark/>
          </w:tcPr>
          <w:p w14:paraId="1D4A7F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E143B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9421B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8273FB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3.0</w:t>
            </w:r>
          </w:p>
        </w:tc>
        <w:tc>
          <w:tcPr>
            <w:tcW w:w="0" w:type="auto"/>
            <w:shd w:val="clear" w:color="auto" w:fill="FFFFFF"/>
            <w:noWrap/>
            <w:vAlign w:val="bottom"/>
            <w:hideMark/>
          </w:tcPr>
          <w:p w14:paraId="14C5484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F7351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5C813EB" w14:textId="77777777" w:rsidTr="004B2A77">
        <w:trPr>
          <w:trHeight w:val="180"/>
          <w:tblCellSpacing w:w="15" w:type="dxa"/>
        </w:trPr>
        <w:tc>
          <w:tcPr>
            <w:tcW w:w="0" w:type="auto"/>
            <w:shd w:val="clear" w:color="auto" w:fill="CFF0FC"/>
            <w:hideMark/>
          </w:tcPr>
          <w:p w14:paraId="2ADE6CB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Foreign tax rate variances</w:t>
            </w:r>
          </w:p>
        </w:tc>
        <w:tc>
          <w:tcPr>
            <w:tcW w:w="0" w:type="auto"/>
            <w:shd w:val="clear" w:color="auto" w:fill="CFF0FC"/>
            <w:vAlign w:val="bottom"/>
            <w:hideMark/>
          </w:tcPr>
          <w:p w14:paraId="31FC78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D9840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00C3B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3.6</w:t>
            </w:r>
          </w:p>
        </w:tc>
        <w:tc>
          <w:tcPr>
            <w:tcW w:w="0" w:type="auto"/>
            <w:shd w:val="clear" w:color="auto" w:fill="CFF0FC"/>
            <w:noWrap/>
            <w:vAlign w:val="bottom"/>
            <w:hideMark/>
          </w:tcPr>
          <w:p w14:paraId="5961B6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4AD9B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3373C5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9127D7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3.1</w:t>
            </w:r>
          </w:p>
        </w:tc>
        <w:tc>
          <w:tcPr>
            <w:tcW w:w="0" w:type="auto"/>
            <w:shd w:val="clear" w:color="auto" w:fill="CFF0FC"/>
            <w:noWrap/>
            <w:vAlign w:val="bottom"/>
            <w:hideMark/>
          </w:tcPr>
          <w:p w14:paraId="356430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F9F92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7BCC1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F5B45A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8.4</w:t>
            </w:r>
          </w:p>
        </w:tc>
        <w:tc>
          <w:tcPr>
            <w:tcW w:w="0" w:type="auto"/>
            <w:shd w:val="clear" w:color="auto" w:fill="CFF0FC"/>
            <w:noWrap/>
            <w:vAlign w:val="bottom"/>
            <w:hideMark/>
          </w:tcPr>
          <w:p w14:paraId="1B8BC6F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C5C236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5B6476B" w14:textId="77777777" w:rsidTr="004B2A77">
        <w:trPr>
          <w:trHeight w:val="180"/>
          <w:tblCellSpacing w:w="15" w:type="dxa"/>
        </w:trPr>
        <w:tc>
          <w:tcPr>
            <w:tcW w:w="0" w:type="auto"/>
            <w:shd w:val="clear" w:color="auto" w:fill="FFFFFF"/>
            <w:hideMark/>
          </w:tcPr>
          <w:p w14:paraId="77B0F9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Tax credits</w:t>
            </w:r>
          </w:p>
        </w:tc>
        <w:tc>
          <w:tcPr>
            <w:tcW w:w="0" w:type="auto"/>
            <w:shd w:val="clear" w:color="auto" w:fill="FFFFFF"/>
            <w:vAlign w:val="bottom"/>
            <w:hideMark/>
          </w:tcPr>
          <w:p w14:paraId="5B6E3E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F5E66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9D291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(3.5</w:t>
            </w:r>
          </w:p>
        </w:tc>
        <w:tc>
          <w:tcPr>
            <w:tcW w:w="0" w:type="auto"/>
            <w:shd w:val="clear" w:color="auto" w:fill="FFFFFF"/>
            <w:noWrap/>
            <w:vAlign w:val="bottom"/>
            <w:hideMark/>
          </w:tcPr>
          <w:p w14:paraId="4F3F2E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5F726F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59DA8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C66102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w:t>
            </w:r>
          </w:p>
        </w:tc>
        <w:tc>
          <w:tcPr>
            <w:tcW w:w="0" w:type="auto"/>
            <w:shd w:val="clear" w:color="auto" w:fill="FFFFFF"/>
            <w:noWrap/>
            <w:vAlign w:val="bottom"/>
            <w:hideMark/>
          </w:tcPr>
          <w:p w14:paraId="72862D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209D29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850E1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1D71BE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(3.2</w:t>
            </w:r>
          </w:p>
        </w:tc>
        <w:tc>
          <w:tcPr>
            <w:tcW w:w="0" w:type="auto"/>
            <w:shd w:val="clear" w:color="auto" w:fill="FFFFFF"/>
            <w:noWrap/>
            <w:vAlign w:val="bottom"/>
            <w:hideMark/>
          </w:tcPr>
          <w:p w14:paraId="14560E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473B36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7B42A86" w14:textId="77777777" w:rsidTr="004B2A77">
        <w:trPr>
          <w:trHeight w:val="180"/>
          <w:tblCellSpacing w:w="15" w:type="dxa"/>
        </w:trPr>
        <w:tc>
          <w:tcPr>
            <w:tcW w:w="0" w:type="auto"/>
            <w:shd w:val="clear" w:color="auto" w:fill="CFF0FC"/>
            <w:hideMark/>
          </w:tcPr>
          <w:p w14:paraId="5CDE94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Change in Valuation Allowances</w:t>
            </w:r>
          </w:p>
        </w:tc>
        <w:tc>
          <w:tcPr>
            <w:tcW w:w="0" w:type="auto"/>
            <w:shd w:val="clear" w:color="auto" w:fill="CFF0FC"/>
            <w:vAlign w:val="bottom"/>
            <w:hideMark/>
          </w:tcPr>
          <w:p w14:paraId="62037B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AA964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F931D0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CFF0FC"/>
            <w:noWrap/>
            <w:vAlign w:val="bottom"/>
            <w:hideMark/>
          </w:tcPr>
          <w:p w14:paraId="19CDE3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A8FEC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E6F6B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38B01C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(0.1</w:t>
            </w:r>
          </w:p>
        </w:tc>
        <w:tc>
          <w:tcPr>
            <w:tcW w:w="0" w:type="auto"/>
            <w:shd w:val="clear" w:color="auto" w:fill="CFF0FC"/>
            <w:noWrap/>
            <w:vAlign w:val="bottom"/>
            <w:hideMark/>
          </w:tcPr>
          <w:p w14:paraId="26D074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61DD5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18837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1C42CA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7.1</w:t>
            </w:r>
          </w:p>
        </w:tc>
        <w:tc>
          <w:tcPr>
            <w:tcW w:w="0" w:type="auto"/>
            <w:shd w:val="clear" w:color="auto" w:fill="CFF0FC"/>
            <w:noWrap/>
            <w:vAlign w:val="bottom"/>
            <w:hideMark/>
          </w:tcPr>
          <w:p w14:paraId="1DF15E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FCAF20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3F7287E" w14:textId="77777777" w:rsidTr="004B2A77">
        <w:trPr>
          <w:trHeight w:val="180"/>
          <w:tblCellSpacing w:w="15" w:type="dxa"/>
        </w:trPr>
        <w:tc>
          <w:tcPr>
            <w:tcW w:w="0" w:type="auto"/>
            <w:shd w:val="clear" w:color="auto" w:fill="FFFFFF"/>
            <w:hideMark/>
          </w:tcPr>
          <w:p w14:paraId="15D015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Changes in tax reserves</w:t>
            </w:r>
          </w:p>
        </w:tc>
        <w:tc>
          <w:tcPr>
            <w:tcW w:w="0" w:type="auto"/>
            <w:shd w:val="clear" w:color="auto" w:fill="FFFFFF"/>
            <w:vAlign w:val="bottom"/>
            <w:hideMark/>
          </w:tcPr>
          <w:p w14:paraId="6ADD1E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FDFC1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60CEDB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w:t>
            </w:r>
          </w:p>
        </w:tc>
        <w:tc>
          <w:tcPr>
            <w:tcW w:w="0" w:type="auto"/>
            <w:shd w:val="clear" w:color="auto" w:fill="FFFFFF"/>
            <w:noWrap/>
            <w:vAlign w:val="bottom"/>
            <w:hideMark/>
          </w:tcPr>
          <w:p w14:paraId="390720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16565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9F46E2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132383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0.6</w:t>
            </w:r>
          </w:p>
        </w:tc>
        <w:tc>
          <w:tcPr>
            <w:tcW w:w="0" w:type="auto"/>
            <w:shd w:val="clear" w:color="auto" w:fill="FFFFFF"/>
            <w:noWrap/>
            <w:vAlign w:val="bottom"/>
            <w:hideMark/>
          </w:tcPr>
          <w:p w14:paraId="7EA367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DC0CB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84EB0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DDE9FB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FFFFFF"/>
            <w:noWrap/>
            <w:vAlign w:val="bottom"/>
            <w:hideMark/>
          </w:tcPr>
          <w:p w14:paraId="30A323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D95B9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DEB4849" w14:textId="77777777" w:rsidTr="004B2A77">
        <w:trPr>
          <w:trHeight w:val="180"/>
          <w:tblCellSpacing w:w="15" w:type="dxa"/>
        </w:trPr>
        <w:tc>
          <w:tcPr>
            <w:tcW w:w="0" w:type="auto"/>
            <w:shd w:val="clear" w:color="auto" w:fill="CFF0FC"/>
            <w:hideMark/>
          </w:tcPr>
          <w:p w14:paraId="6BD955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Provision to Return</w:t>
            </w:r>
          </w:p>
        </w:tc>
        <w:tc>
          <w:tcPr>
            <w:tcW w:w="0" w:type="auto"/>
            <w:shd w:val="clear" w:color="auto" w:fill="CFF0FC"/>
            <w:vAlign w:val="bottom"/>
            <w:hideMark/>
          </w:tcPr>
          <w:p w14:paraId="0BC110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89859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7AAF0E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0.6</w:t>
            </w:r>
          </w:p>
        </w:tc>
        <w:tc>
          <w:tcPr>
            <w:tcW w:w="0" w:type="auto"/>
            <w:shd w:val="clear" w:color="auto" w:fill="CFF0FC"/>
            <w:noWrap/>
            <w:vAlign w:val="bottom"/>
            <w:hideMark/>
          </w:tcPr>
          <w:p w14:paraId="53E8AD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041C61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65972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08C009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w:t>
            </w:r>
          </w:p>
        </w:tc>
        <w:tc>
          <w:tcPr>
            <w:tcW w:w="0" w:type="auto"/>
            <w:shd w:val="clear" w:color="auto" w:fill="CFF0FC"/>
            <w:noWrap/>
            <w:vAlign w:val="bottom"/>
            <w:hideMark/>
          </w:tcPr>
          <w:p w14:paraId="15FF35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AC4070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D4FA0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2CD533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(8.8</w:t>
            </w:r>
          </w:p>
        </w:tc>
        <w:tc>
          <w:tcPr>
            <w:tcW w:w="0" w:type="auto"/>
            <w:shd w:val="clear" w:color="auto" w:fill="CFF0FC"/>
            <w:noWrap/>
            <w:vAlign w:val="bottom"/>
            <w:hideMark/>
          </w:tcPr>
          <w:p w14:paraId="19FD99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0EF0D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F2666D4" w14:textId="77777777" w:rsidTr="004B2A77">
        <w:trPr>
          <w:trHeight w:val="180"/>
          <w:tblCellSpacing w:w="15" w:type="dxa"/>
        </w:trPr>
        <w:tc>
          <w:tcPr>
            <w:tcW w:w="0" w:type="auto"/>
            <w:shd w:val="clear" w:color="auto" w:fill="FFFFFF"/>
            <w:hideMark/>
          </w:tcPr>
          <w:p w14:paraId="2640EE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Earnings of equity investments</w:t>
            </w:r>
          </w:p>
        </w:tc>
        <w:tc>
          <w:tcPr>
            <w:tcW w:w="0" w:type="auto"/>
            <w:shd w:val="clear" w:color="auto" w:fill="FFFFFF"/>
            <w:vAlign w:val="bottom"/>
            <w:hideMark/>
          </w:tcPr>
          <w:p w14:paraId="23FAAC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2B72F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89FFBD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(0.1</w:t>
            </w:r>
          </w:p>
        </w:tc>
        <w:tc>
          <w:tcPr>
            <w:tcW w:w="0" w:type="auto"/>
            <w:shd w:val="clear" w:color="auto" w:fill="FFFFFF"/>
            <w:noWrap/>
            <w:vAlign w:val="bottom"/>
            <w:hideMark/>
          </w:tcPr>
          <w:p w14:paraId="1C8D3B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13AFE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F42AA6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B90F25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(0.1</w:t>
            </w:r>
          </w:p>
        </w:tc>
        <w:tc>
          <w:tcPr>
            <w:tcW w:w="0" w:type="auto"/>
            <w:shd w:val="clear" w:color="auto" w:fill="FFFFFF"/>
            <w:noWrap/>
            <w:vAlign w:val="bottom"/>
            <w:hideMark/>
          </w:tcPr>
          <w:p w14:paraId="42ADA5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AC1A45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1CB9F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BA3E3C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w:t>
            </w:r>
          </w:p>
        </w:tc>
        <w:tc>
          <w:tcPr>
            <w:tcW w:w="0" w:type="auto"/>
            <w:shd w:val="clear" w:color="auto" w:fill="FFFFFF"/>
            <w:noWrap/>
            <w:vAlign w:val="bottom"/>
            <w:hideMark/>
          </w:tcPr>
          <w:p w14:paraId="6965B3F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DB4E0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3723181" w14:textId="77777777" w:rsidTr="004B2A77">
        <w:trPr>
          <w:trHeight w:val="180"/>
          <w:tblCellSpacing w:w="15" w:type="dxa"/>
        </w:trPr>
        <w:tc>
          <w:tcPr>
            <w:tcW w:w="0" w:type="auto"/>
            <w:shd w:val="clear" w:color="auto" w:fill="CFF0FC"/>
            <w:hideMark/>
          </w:tcPr>
          <w:p w14:paraId="1F438E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Withholding taxes</w:t>
            </w:r>
          </w:p>
        </w:tc>
        <w:tc>
          <w:tcPr>
            <w:tcW w:w="0" w:type="auto"/>
            <w:shd w:val="clear" w:color="auto" w:fill="CFF0FC"/>
            <w:vAlign w:val="bottom"/>
            <w:hideMark/>
          </w:tcPr>
          <w:p w14:paraId="7DBC13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34E04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30481A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4.0</w:t>
            </w:r>
          </w:p>
        </w:tc>
        <w:tc>
          <w:tcPr>
            <w:tcW w:w="0" w:type="auto"/>
            <w:shd w:val="clear" w:color="auto" w:fill="CFF0FC"/>
            <w:noWrap/>
            <w:vAlign w:val="bottom"/>
            <w:hideMark/>
          </w:tcPr>
          <w:p w14:paraId="6EEDDA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5E61D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80B6B3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91C68D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4.5</w:t>
            </w:r>
          </w:p>
        </w:tc>
        <w:tc>
          <w:tcPr>
            <w:tcW w:w="0" w:type="auto"/>
            <w:shd w:val="clear" w:color="auto" w:fill="CFF0FC"/>
            <w:noWrap/>
            <w:vAlign w:val="bottom"/>
            <w:hideMark/>
          </w:tcPr>
          <w:p w14:paraId="61EE7D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3F8A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1C26D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AEE11E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8.5</w:t>
            </w:r>
          </w:p>
        </w:tc>
        <w:tc>
          <w:tcPr>
            <w:tcW w:w="0" w:type="auto"/>
            <w:shd w:val="clear" w:color="auto" w:fill="CFF0FC"/>
            <w:noWrap/>
            <w:vAlign w:val="bottom"/>
            <w:hideMark/>
          </w:tcPr>
          <w:p w14:paraId="7A3169B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4B15E0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7AEC271" w14:textId="77777777" w:rsidTr="004B2A77">
        <w:trPr>
          <w:trHeight w:val="180"/>
          <w:tblCellSpacing w:w="15" w:type="dxa"/>
        </w:trPr>
        <w:tc>
          <w:tcPr>
            <w:tcW w:w="0" w:type="auto"/>
            <w:shd w:val="clear" w:color="auto" w:fill="FFFFFF"/>
            <w:hideMark/>
          </w:tcPr>
          <w:p w14:paraId="3EE1E3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State taxes, net of federal benefit</w:t>
            </w:r>
          </w:p>
        </w:tc>
        <w:tc>
          <w:tcPr>
            <w:tcW w:w="0" w:type="auto"/>
            <w:shd w:val="clear" w:color="auto" w:fill="FFFFFF"/>
            <w:vAlign w:val="bottom"/>
            <w:hideMark/>
          </w:tcPr>
          <w:p w14:paraId="7ADBC4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BFEA2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2B5F43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0.4</w:t>
            </w:r>
          </w:p>
        </w:tc>
        <w:tc>
          <w:tcPr>
            <w:tcW w:w="0" w:type="auto"/>
            <w:shd w:val="clear" w:color="auto" w:fill="FFFFFF"/>
            <w:noWrap/>
            <w:vAlign w:val="bottom"/>
            <w:hideMark/>
          </w:tcPr>
          <w:p w14:paraId="2966CD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7EF3A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F92EA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23FD72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(0.5</w:t>
            </w:r>
          </w:p>
        </w:tc>
        <w:tc>
          <w:tcPr>
            <w:tcW w:w="0" w:type="auto"/>
            <w:shd w:val="clear" w:color="auto" w:fill="FFFFFF"/>
            <w:noWrap/>
            <w:vAlign w:val="bottom"/>
            <w:hideMark/>
          </w:tcPr>
          <w:p w14:paraId="062E34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59A850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3EF64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F5D44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(0.7</w:t>
            </w:r>
          </w:p>
        </w:tc>
        <w:tc>
          <w:tcPr>
            <w:tcW w:w="0" w:type="auto"/>
            <w:shd w:val="clear" w:color="auto" w:fill="FFFFFF"/>
            <w:noWrap/>
            <w:vAlign w:val="bottom"/>
            <w:hideMark/>
          </w:tcPr>
          <w:p w14:paraId="1EDC9D2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0869FD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3989C13" w14:textId="77777777" w:rsidTr="004B2A77">
        <w:trPr>
          <w:trHeight w:val="180"/>
          <w:tblCellSpacing w:w="15" w:type="dxa"/>
        </w:trPr>
        <w:tc>
          <w:tcPr>
            <w:tcW w:w="0" w:type="auto"/>
            <w:shd w:val="clear" w:color="auto" w:fill="CFF0FC"/>
            <w:hideMark/>
          </w:tcPr>
          <w:p w14:paraId="266619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Tax Audits</w:t>
            </w:r>
          </w:p>
        </w:tc>
        <w:tc>
          <w:tcPr>
            <w:tcW w:w="0" w:type="auto"/>
            <w:shd w:val="clear" w:color="auto" w:fill="CFF0FC"/>
            <w:vAlign w:val="bottom"/>
            <w:hideMark/>
          </w:tcPr>
          <w:p w14:paraId="35EE3D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FC9123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FCDBA2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CFF0FC"/>
            <w:noWrap/>
            <w:vAlign w:val="bottom"/>
            <w:hideMark/>
          </w:tcPr>
          <w:p w14:paraId="026A43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19F0D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DDE7B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B2B3F8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0.6</w:t>
            </w:r>
          </w:p>
        </w:tc>
        <w:tc>
          <w:tcPr>
            <w:tcW w:w="0" w:type="auto"/>
            <w:shd w:val="clear" w:color="auto" w:fill="CFF0FC"/>
            <w:noWrap/>
            <w:vAlign w:val="bottom"/>
            <w:hideMark/>
          </w:tcPr>
          <w:p w14:paraId="35322DB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11074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F3F69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EB4197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0.0</w:t>
            </w:r>
          </w:p>
        </w:tc>
        <w:tc>
          <w:tcPr>
            <w:tcW w:w="0" w:type="auto"/>
            <w:shd w:val="clear" w:color="auto" w:fill="CFF0FC"/>
            <w:noWrap/>
            <w:vAlign w:val="bottom"/>
            <w:hideMark/>
          </w:tcPr>
          <w:p w14:paraId="6E4153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B1A1B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9B83BAA" w14:textId="77777777" w:rsidTr="004B2A77">
        <w:trPr>
          <w:trHeight w:val="180"/>
          <w:tblCellSpacing w:w="15" w:type="dxa"/>
        </w:trPr>
        <w:tc>
          <w:tcPr>
            <w:tcW w:w="0" w:type="auto"/>
            <w:shd w:val="clear" w:color="auto" w:fill="FFFFFF"/>
            <w:hideMark/>
          </w:tcPr>
          <w:p w14:paraId="60A83D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U.S. GILTI Tax</w:t>
            </w:r>
          </w:p>
        </w:tc>
        <w:tc>
          <w:tcPr>
            <w:tcW w:w="0" w:type="auto"/>
            <w:shd w:val="clear" w:color="auto" w:fill="FFFFFF"/>
            <w:vAlign w:val="bottom"/>
            <w:hideMark/>
          </w:tcPr>
          <w:p w14:paraId="315989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2FBA0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A37FC4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3.4</w:t>
            </w:r>
          </w:p>
        </w:tc>
        <w:tc>
          <w:tcPr>
            <w:tcW w:w="0" w:type="auto"/>
            <w:shd w:val="clear" w:color="auto" w:fill="FFFFFF"/>
            <w:noWrap/>
            <w:vAlign w:val="bottom"/>
            <w:hideMark/>
          </w:tcPr>
          <w:p w14:paraId="70D6C6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A9676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95F25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21DEBB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FFFFFF"/>
            <w:noWrap/>
            <w:vAlign w:val="bottom"/>
            <w:hideMark/>
          </w:tcPr>
          <w:p w14:paraId="60E7E2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AE95C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59670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767F70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0A7BED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F49B52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D463C56" w14:textId="77777777" w:rsidTr="004B2A77">
        <w:trPr>
          <w:trHeight w:val="180"/>
          <w:tblCellSpacing w:w="15" w:type="dxa"/>
        </w:trPr>
        <w:tc>
          <w:tcPr>
            <w:tcW w:w="0" w:type="auto"/>
            <w:shd w:val="clear" w:color="auto" w:fill="CFF0FC"/>
            <w:hideMark/>
          </w:tcPr>
          <w:p w14:paraId="0BD5CB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Impact of Translation Rates</w:t>
            </w:r>
          </w:p>
        </w:tc>
        <w:tc>
          <w:tcPr>
            <w:tcW w:w="0" w:type="auto"/>
            <w:shd w:val="clear" w:color="auto" w:fill="CFF0FC"/>
            <w:vAlign w:val="bottom"/>
            <w:hideMark/>
          </w:tcPr>
          <w:p w14:paraId="23DC0A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B9109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62BF78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w:t>
            </w:r>
          </w:p>
        </w:tc>
        <w:tc>
          <w:tcPr>
            <w:tcW w:w="0" w:type="auto"/>
            <w:shd w:val="clear" w:color="auto" w:fill="CFF0FC"/>
            <w:noWrap/>
            <w:vAlign w:val="bottom"/>
            <w:hideMark/>
          </w:tcPr>
          <w:p w14:paraId="2FC2CD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F4B01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B752A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8F1AF4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2ADDAD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6173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689A0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8D6E35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66DB69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6199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6C1F7BD" w14:textId="77777777" w:rsidTr="004B2A77">
        <w:trPr>
          <w:trHeight w:val="180"/>
          <w:tblCellSpacing w:w="15" w:type="dxa"/>
        </w:trPr>
        <w:tc>
          <w:tcPr>
            <w:tcW w:w="0" w:type="auto"/>
            <w:shd w:val="clear" w:color="auto" w:fill="FFFFFF"/>
            <w:hideMark/>
          </w:tcPr>
          <w:p w14:paraId="6A85931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 net</w:t>
            </w:r>
          </w:p>
        </w:tc>
        <w:tc>
          <w:tcPr>
            <w:tcW w:w="0" w:type="auto"/>
            <w:shd w:val="clear" w:color="auto" w:fill="FFFFFF"/>
            <w:vAlign w:val="bottom"/>
            <w:hideMark/>
          </w:tcPr>
          <w:p w14:paraId="2169EA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7681C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0224C2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0.3</w:t>
            </w:r>
          </w:p>
        </w:tc>
        <w:tc>
          <w:tcPr>
            <w:tcW w:w="0" w:type="auto"/>
            <w:shd w:val="clear" w:color="auto" w:fill="FFFFFF"/>
            <w:noWrap/>
            <w:vAlign w:val="bottom"/>
            <w:hideMark/>
          </w:tcPr>
          <w:p w14:paraId="6ED1676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27A0E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F93C3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2C8551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FFFFFF"/>
            <w:noWrap/>
            <w:vAlign w:val="bottom"/>
            <w:hideMark/>
          </w:tcPr>
          <w:p w14:paraId="0A74443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96ADB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362B4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CBEFAF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w:t>
            </w:r>
          </w:p>
        </w:tc>
        <w:tc>
          <w:tcPr>
            <w:tcW w:w="0" w:type="auto"/>
            <w:shd w:val="clear" w:color="auto" w:fill="FFFFFF"/>
            <w:noWrap/>
            <w:vAlign w:val="bottom"/>
            <w:hideMark/>
          </w:tcPr>
          <w:p w14:paraId="45AE64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E5AA6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6411BD3" w14:textId="77777777" w:rsidTr="004B2A77">
        <w:trPr>
          <w:trHeight w:val="180"/>
          <w:tblCellSpacing w:w="15" w:type="dxa"/>
        </w:trPr>
        <w:tc>
          <w:tcPr>
            <w:tcW w:w="0" w:type="auto"/>
            <w:shd w:val="clear" w:color="auto" w:fill="CFF0FC"/>
            <w:hideMark/>
          </w:tcPr>
          <w:p w14:paraId="5A49BE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Effective income tax rate</w:t>
            </w:r>
          </w:p>
        </w:tc>
        <w:tc>
          <w:tcPr>
            <w:tcW w:w="0" w:type="auto"/>
            <w:shd w:val="clear" w:color="auto" w:fill="CFF0FC"/>
            <w:vAlign w:val="bottom"/>
            <w:hideMark/>
          </w:tcPr>
          <w:p w14:paraId="5A2CF1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9309F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968F33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29.5</w:t>
            </w:r>
          </w:p>
        </w:tc>
        <w:tc>
          <w:tcPr>
            <w:tcW w:w="0" w:type="auto"/>
            <w:shd w:val="clear" w:color="auto" w:fill="CFF0FC"/>
            <w:noWrap/>
            <w:vAlign w:val="bottom"/>
            <w:hideMark/>
          </w:tcPr>
          <w:p w14:paraId="3A46D4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A479F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noWrap/>
            <w:vAlign w:val="bottom"/>
            <w:hideMark/>
          </w:tcPr>
          <w:p w14:paraId="38B3D0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5408E9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28.9</w:t>
            </w:r>
          </w:p>
        </w:tc>
        <w:tc>
          <w:tcPr>
            <w:tcW w:w="0" w:type="auto"/>
            <w:shd w:val="clear" w:color="auto" w:fill="CFF0FC"/>
            <w:noWrap/>
            <w:vAlign w:val="bottom"/>
            <w:hideMark/>
          </w:tcPr>
          <w:p w14:paraId="78AAD5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CCD74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noWrap/>
            <w:vAlign w:val="bottom"/>
            <w:hideMark/>
          </w:tcPr>
          <w:p w14:paraId="00FB4D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3C61EE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35.3</w:t>
            </w:r>
          </w:p>
        </w:tc>
        <w:tc>
          <w:tcPr>
            <w:tcW w:w="0" w:type="auto"/>
            <w:shd w:val="clear" w:color="auto" w:fill="CFF0FC"/>
            <w:noWrap/>
            <w:vAlign w:val="bottom"/>
            <w:hideMark/>
          </w:tcPr>
          <w:p w14:paraId="229BF0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366B5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r>
    </w:tbl>
    <w:p w14:paraId="2AD52207"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p w14:paraId="4D873F1C"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p w14:paraId="588CE379" w14:textId="77777777" w:rsidR="004B2A77" w:rsidRPr="004B2A77" w:rsidRDefault="004B2A77" w:rsidP="004B2A77">
      <w:pPr>
        <w:widowControl/>
        <w:spacing w:before="240"/>
        <w:jc w:val="center"/>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71</w:t>
      </w:r>
    </w:p>
    <w:p w14:paraId="2FFF6BAE" w14:textId="77777777" w:rsidR="004B2A77" w:rsidRPr="004B2A77" w:rsidRDefault="004B2A77" w:rsidP="004B2A77">
      <w:pPr>
        <w:widowControl/>
        <w:jc w:val="left"/>
        <w:rPr>
          <w:rFonts w:ascii="微软雅黑" w:eastAsia="微软雅黑" w:hAnsi="微软雅黑" w:cs="宋体"/>
          <w:color w:val="000000"/>
          <w:kern w:val="0"/>
          <w:sz w:val="27"/>
          <w:szCs w:val="27"/>
        </w:rPr>
      </w:pPr>
      <w:r w:rsidRPr="004B2A77">
        <w:rPr>
          <w:rFonts w:ascii="微软雅黑" w:eastAsia="微软雅黑" w:hAnsi="微软雅黑" w:cs="宋体" w:hint="eastAsia"/>
          <w:color w:val="000000"/>
          <w:kern w:val="0"/>
          <w:sz w:val="27"/>
          <w:szCs w:val="27"/>
        </w:rPr>
        <w:pict w14:anchorId="5A89ECBC">
          <v:rect id="_x0000_i1098" style="width:0;height:1.5pt" o:hralign="center" o:hrstd="t" o:hr="t" fillcolor="#a0a0a0" stroked="f"/>
        </w:pict>
      </w:r>
    </w:p>
    <w:p w14:paraId="74D2BA10" w14:textId="77777777" w:rsidR="004B2A77" w:rsidRPr="004B2A77" w:rsidRDefault="004B2A77" w:rsidP="004B2A77">
      <w:pPr>
        <w:widowControl/>
        <w:jc w:val="left"/>
        <w:rPr>
          <w:rFonts w:ascii="Times New Roman" w:eastAsia="微软雅黑" w:hAnsi="Times New Roman" w:cs="Times New Roman" w:hint="eastAsia"/>
          <w:color w:val="000000"/>
          <w:kern w:val="0"/>
          <w:sz w:val="20"/>
          <w:szCs w:val="20"/>
        </w:rPr>
      </w:pPr>
      <w:r w:rsidRPr="004B2A77">
        <w:rPr>
          <w:rFonts w:ascii="Arial" w:eastAsia="微软雅黑" w:hAnsi="Arial" w:cs="Arial"/>
          <w:color w:val="000000"/>
          <w:kern w:val="0"/>
          <w:sz w:val="2"/>
          <w:szCs w:val="2"/>
        </w:rPr>
        <w:t> </w:t>
      </w:r>
    </w:p>
    <w:p w14:paraId="5338FF6F"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Deferred income taxes reflect the net tax effects of temporary differences between the carrying amounts of assets and liabilities for financial reporting purposes and the amounts used for income tax purposes. On December 31, 2022, the Company had net operating loss carryforwards (NOL’s) of approximately $453 million, of which approximately $373 million have no expiration date. The remaining losses expire on various dates through 2037. The Company also has $25 million of U.S. Foreign Tax Credit carry forwards, which begin to expire in 2026.</w:t>
      </w:r>
    </w:p>
    <w:p w14:paraId="4CAC1679"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Valuation allowances have been established which partially offset the related deferred assets. Such allowances are primarily provided against NOL’s of companies that have perennially incurred losses, as well as the NOL’s of companies that are start-up operations and have not established a pattern of profitability. The Company assesses all available evidence, both positive and negative, to determine the amount of any required valuation allowance. During 2022, the Company recognized a tax benefit of $24 million due to the reversal of valuation allowances related to deferred tax assets for loss carryforwards and other deferred balances in Brazil, on the basis of management’s reassessment of the amount of its deferred tax assets that are more likely than not to be realized.</w:t>
      </w:r>
    </w:p>
    <w:p w14:paraId="00E6EEF0"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On August 16, 2022, President Biden signed the Inflation Reduction Act of 2022 (“IRA”) into law. The IRA contains a number of revisions to the Internal Revenue Code, including a 15% corporate alternative minimum income tax and a 1% excise tax on corporate stock repurchases in tax years beginning after December 31, 2022. While these tax law changes have no immediate effect and are not expected to have a material adverse effect on our results of operations going forward, we will continue to evaluate its impact as further information becomes available.</w:t>
      </w:r>
    </w:p>
    <w:p w14:paraId="36690B89"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lastRenderedPageBreak/>
        <w:t>The foreign tax rate variance reflects the fact that approximately two-thirds of the Company’s non-U.S. pre-tax income is generated by business operations located in tax jurisdictions where the tax rate is between 20-30%. The tax rate from quarter to quarter and from year to year is also impacted by the mix of earnings and tax rates in various jurisdictions compared to the same periods or prior years.</w:t>
      </w:r>
    </w:p>
    <w:p w14:paraId="76EC4FE6"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Company has reserves for income taxes that may become payable in future periods as a result of tax audits. These reserves represent the Company’s best estimate of the potential liability for tax exposures. Inherent uncertainties exist in estimates of tax exposures due to changes in tax law, both legislated and concluded through the various jurisdictions’ court systems. The Company files income tax returns in the United States federal jurisdiction, and various states and non-U.S. jurisdictions.</w:t>
      </w:r>
    </w:p>
    <w:p w14:paraId="62C21AA5"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At any given time, the Company is undergoing tax audits in several tax jurisdictions, covering multiple years. The Company is no longer subject to income tax examination by the U.S. Federal tax authorities for years prior to 2015. With few exceptions, the Company is no longer subject to income tax examination by U.S. state or local tax authorities or by non-U.S. tax authorities for years before 2011. The Company is undergoing tax audits in several non-U.S. jurisdictions and several U.S. state jurisdictions, covering multiple years. As of December 31, 2022, as a result of those tax examinations, the Company is not aware of any proposed income tax adjustments that would have a material impact on the Company’s financial statements, however, other audits could result in additional increases or decreases to the unrecognized tax benefits in some future period or periods.</w:t>
      </w:r>
    </w:p>
    <w:p w14:paraId="4B8521F4"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Company recognizes interest and potential penalties accrued related to unrecognized tax benefits in tax expense. As of December 31, 2021, the Company had recorded $49 million for unrecognized tax benefits related to prior years, including $11 million of accrued interest and penalties. During 2022, the Company recorded a net decrease of $4 million to income tax reserves for unrecognized tax benefits related to tax positions taken in prior years. Also during 2022, the Company recorded a net increase of $7 million to income tax reserves for unrecognized tax benefits based on tax positions taken in the current year.</w:t>
      </w:r>
    </w:p>
    <w:p w14:paraId="4D746AB3"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Company had $11 million accrued for the payment of interest and penalties as of December 31, 2022. Of the total unrecognized tax benefits of $46 million recorded at December 31, 2022, $5 million is classified as current income tax payable, and $41 million is classified as non-current tax payable included in Other Non-Current Liabilities on the Consolidated Balance Sheets. Substantially all of these reserves would impact the effective tax rate if released into income. The following table summarizes the activity related to the Company’s unrecognized tax benefits (dollars in millions):</w:t>
      </w:r>
    </w:p>
    <w:p w14:paraId="062E45CC"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p w14:paraId="383864BF"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p w14:paraId="667DD1B8" w14:textId="77777777" w:rsidR="004B2A77" w:rsidRPr="004B2A77" w:rsidRDefault="004B2A77" w:rsidP="004B2A77">
      <w:pPr>
        <w:widowControl/>
        <w:spacing w:before="240"/>
        <w:jc w:val="center"/>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72</w:t>
      </w:r>
    </w:p>
    <w:p w14:paraId="03E373FD" w14:textId="77777777" w:rsidR="004B2A77" w:rsidRPr="004B2A77" w:rsidRDefault="004B2A77" w:rsidP="004B2A77">
      <w:pPr>
        <w:widowControl/>
        <w:jc w:val="left"/>
        <w:rPr>
          <w:rFonts w:ascii="Arial" w:eastAsia="微软雅黑" w:hAnsi="Arial" w:cs="Arial"/>
          <w:color w:val="000000"/>
          <w:kern w:val="0"/>
          <w:sz w:val="18"/>
          <w:szCs w:val="18"/>
        </w:rPr>
      </w:pPr>
      <w:r w:rsidRPr="004B2A77">
        <w:rPr>
          <w:rFonts w:ascii="Arial" w:eastAsia="微软雅黑" w:hAnsi="Arial" w:cs="Arial"/>
          <w:color w:val="000000"/>
          <w:kern w:val="0"/>
          <w:sz w:val="18"/>
          <w:szCs w:val="18"/>
        </w:rPr>
        <w:pict w14:anchorId="784BD9CF">
          <v:rect id="_x0000_i1099" style="width:0;height:1.5pt" o:hralign="center" o:hrstd="t" o:hr="t" fillcolor="#a0a0a0" stroked="f"/>
        </w:pict>
      </w:r>
    </w:p>
    <w:p w14:paraId="47E552DA"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
          <w:szCs w:val="2"/>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465"/>
        <w:gridCol w:w="266"/>
        <w:gridCol w:w="190"/>
        <w:gridCol w:w="1354"/>
        <w:gridCol w:w="190"/>
        <w:gridCol w:w="266"/>
        <w:gridCol w:w="190"/>
        <w:gridCol w:w="1359"/>
        <w:gridCol w:w="190"/>
        <w:gridCol w:w="266"/>
        <w:gridCol w:w="190"/>
        <w:gridCol w:w="1359"/>
        <w:gridCol w:w="206"/>
      </w:tblGrid>
      <w:tr w:rsidR="004B2A77" w:rsidRPr="004B2A77" w14:paraId="20A3CD77" w14:textId="77777777" w:rsidTr="004B2A77">
        <w:trPr>
          <w:tblCellSpacing w:w="15" w:type="dxa"/>
        </w:trPr>
        <w:tc>
          <w:tcPr>
            <w:tcW w:w="10442" w:type="dxa"/>
            <w:vAlign w:val="center"/>
            <w:hideMark/>
          </w:tcPr>
          <w:p w14:paraId="43A859E6"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36" w:type="dxa"/>
            <w:vAlign w:val="center"/>
            <w:hideMark/>
          </w:tcPr>
          <w:p w14:paraId="2C8DAB3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1ED3A1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7" w:type="dxa"/>
            <w:vAlign w:val="center"/>
            <w:hideMark/>
          </w:tcPr>
          <w:p w14:paraId="14DA3C2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343708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6" w:type="dxa"/>
            <w:vAlign w:val="center"/>
            <w:hideMark/>
          </w:tcPr>
          <w:p w14:paraId="1D41A1C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9E7E68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32" w:type="dxa"/>
            <w:vAlign w:val="center"/>
            <w:hideMark/>
          </w:tcPr>
          <w:p w14:paraId="508361F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B5339D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6" w:type="dxa"/>
            <w:vAlign w:val="center"/>
            <w:hideMark/>
          </w:tcPr>
          <w:p w14:paraId="22DEF4E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E65144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32" w:type="dxa"/>
            <w:vAlign w:val="center"/>
            <w:hideMark/>
          </w:tcPr>
          <w:p w14:paraId="66C8F9D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47263A9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E14CE09" w14:textId="77777777" w:rsidTr="004B2A77">
        <w:trPr>
          <w:trHeight w:val="160"/>
          <w:tblCellSpacing w:w="15" w:type="dxa"/>
        </w:trPr>
        <w:tc>
          <w:tcPr>
            <w:tcW w:w="0" w:type="auto"/>
            <w:shd w:val="clear" w:color="auto" w:fill="FFFFFF"/>
            <w:vAlign w:val="bottom"/>
            <w:hideMark/>
          </w:tcPr>
          <w:p w14:paraId="470E10B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UNRECOGNIZED TAX BENEFITS</w:t>
            </w:r>
          </w:p>
        </w:tc>
        <w:tc>
          <w:tcPr>
            <w:tcW w:w="0" w:type="auto"/>
            <w:shd w:val="clear" w:color="auto" w:fill="FFFFFF"/>
            <w:vAlign w:val="bottom"/>
            <w:hideMark/>
          </w:tcPr>
          <w:p w14:paraId="01A3349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D243F1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29654B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C3BD3C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E3966F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1B2F14F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844841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78CA5A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69BBA0C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5D49436A" w14:textId="77777777" w:rsidTr="004B2A77">
        <w:trPr>
          <w:trHeight w:val="180"/>
          <w:tblCellSpacing w:w="15" w:type="dxa"/>
        </w:trPr>
        <w:tc>
          <w:tcPr>
            <w:tcW w:w="0" w:type="auto"/>
            <w:shd w:val="clear" w:color="auto" w:fill="CFF0FC"/>
            <w:hideMark/>
          </w:tcPr>
          <w:p w14:paraId="5F3108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Unrecognized tax benefits at beginning of year</w:t>
            </w:r>
          </w:p>
        </w:tc>
        <w:tc>
          <w:tcPr>
            <w:tcW w:w="0" w:type="auto"/>
            <w:shd w:val="clear" w:color="auto" w:fill="CFF0FC"/>
            <w:vAlign w:val="bottom"/>
            <w:hideMark/>
          </w:tcPr>
          <w:p w14:paraId="772EA9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41F22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96F58B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65</w:t>
            </w:r>
          </w:p>
        </w:tc>
        <w:tc>
          <w:tcPr>
            <w:tcW w:w="0" w:type="auto"/>
            <w:shd w:val="clear" w:color="auto" w:fill="CFF0FC"/>
            <w:noWrap/>
            <w:vAlign w:val="bottom"/>
            <w:hideMark/>
          </w:tcPr>
          <w:p w14:paraId="4FAA3C3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0D3FEF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FEA0B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00D838A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63</w:t>
            </w:r>
          </w:p>
        </w:tc>
        <w:tc>
          <w:tcPr>
            <w:tcW w:w="0" w:type="auto"/>
            <w:shd w:val="clear" w:color="auto" w:fill="CFF0FC"/>
            <w:noWrap/>
            <w:vAlign w:val="bottom"/>
            <w:hideMark/>
          </w:tcPr>
          <w:p w14:paraId="0202F3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4562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ED15F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14B056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59</w:t>
            </w:r>
          </w:p>
        </w:tc>
        <w:tc>
          <w:tcPr>
            <w:tcW w:w="0" w:type="auto"/>
            <w:shd w:val="clear" w:color="auto" w:fill="CFF0FC"/>
            <w:noWrap/>
            <w:vAlign w:val="bottom"/>
            <w:hideMark/>
          </w:tcPr>
          <w:p w14:paraId="661C0DC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DA66C6E" w14:textId="77777777" w:rsidTr="004B2A77">
        <w:trPr>
          <w:trHeight w:val="180"/>
          <w:tblCellSpacing w:w="15" w:type="dxa"/>
        </w:trPr>
        <w:tc>
          <w:tcPr>
            <w:tcW w:w="0" w:type="auto"/>
            <w:shd w:val="clear" w:color="auto" w:fill="FFFFFF"/>
            <w:hideMark/>
          </w:tcPr>
          <w:p w14:paraId="5EAC1538"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 xml:space="preserve">Increases as a result of tax positions taken during a prior </w:t>
            </w:r>
            <w:r w:rsidRPr="004B2A77">
              <w:rPr>
                <w:rFonts w:ascii="Arial" w:eastAsia="宋体" w:hAnsi="Arial" w:cs="Arial"/>
                <w:color w:val="000000"/>
                <w:kern w:val="0"/>
                <w:sz w:val="18"/>
                <w:szCs w:val="18"/>
              </w:rPr>
              <w:br/>
              <w:t>   period</w:t>
            </w:r>
          </w:p>
        </w:tc>
        <w:tc>
          <w:tcPr>
            <w:tcW w:w="0" w:type="auto"/>
            <w:shd w:val="clear" w:color="auto" w:fill="FFFFFF"/>
            <w:vAlign w:val="bottom"/>
            <w:hideMark/>
          </w:tcPr>
          <w:p w14:paraId="0AB6EBC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67FCA0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75F96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3BEDF1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59C3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89CFF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A0E1DC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FFFFFF"/>
            <w:noWrap/>
            <w:vAlign w:val="bottom"/>
            <w:hideMark/>
          </w:tcPr>
          <w:p w14:paraId="0A9978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CAA970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77066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E18DB2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0A9BFF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F9182B8" w14:textId="77777777" w:rsidTr="004B2A77">
        <w:trPr>
          <w:trHeight w:val="180"/>
          <w:tblCellSpacing w:w="15" w:type="dxa"/>
        </w:trPr>
        <w:tc>
          <w:tcPr>
            <w:tcW w:w="0" w:type="auto"/>
            <w:shd w:val="clear" w:color="auto" w:fill="CFF0FC"/>
            <w:hideMark/>
          </w:tcPr>
          <w:p w14:paraId="149A8D02"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lastRenderedPageBreak/>
              <w:t xml:space="preserve">Increases as a result of tax positions taken during the current </w:t>
            </w:r>
            <w:r w:rsidRPr="004B2A77">
              <w:rPr>
                <w:rFonts w:ascii="Arial" w:eastAsia="宋体" w:hAnsi="Arial" w:cs="Arial"/>
                <w:color w:val="000000"/>
                <w:kern w:val="0"/>
                <w:sz w:val="18"/>
                <w:szCs w:val="18"/>
              </w:rPr>
              <w:br/>
              <w:t>   period</w:t>
            </w:r>
          </w:p>
        </w:tc>
        <w:tc>
          <w:tcPr>
            <w:tcW w:w="0" w:type="auto"/>
            <w:shd w:val="clear" w:color="auto" w:fill="CFF0FC"/>
            <w:vAlign w:val="bottom"/>
            <w:hideMark/>
          </w:tcPr>
          <w:p w14:paraId="08203F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82DE6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3FD2FA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w:t>
            </w:r>
          </w:p>
        </w:tc>
        <w:tc>
          <w:tcPr>
            <w:tcW w:w="0" w:type="auto"/>
            <w:shd w:val="clear" w:color="auto" w:fill="CFF0FC"/>
            <w:noWrap/>
            <w:vAlign w:val="bottom"/>
            <w:hideMark/>
          </w:tcPr>
          <w:p w14:paraId="5318FA7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04CC1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BB5AB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377950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CFF0FC"/>
            <w:noWrap/>
            <w:vAlign w:val="bottom"/>
            <w:hideMark/>
          </w:tcPr>
          <w:p w14:paraId="3D9D59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8DDD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5861C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4FDDFC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6A7E04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9489E4F" w14:textId="77777777" w:rsidTr="004B2A77">
        <w:trPr>
          <w:trHeight w:val="180"/>
          <w:tblCellSpacing w:w="15" w:type="dxa"/>
        </w:trPr>
        <w:tc>
          <w:tcPr>
            <w:tcW w:w="0" w:type="auto"/>
            <w:shd w:val="clear" w:color="auto" w:fill="FFFFFF"/>
            <w:hideMark/>
          </w:tcPr>
          <w:p w14:paraId="0C50CAE0"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Decreases as a result of tax positions taken during a prior period</w:t>
            </w:r>
          </w:p>
        </w:tc>
        <w:tc>
          <w:tcPr>
            <w:tcW w:w="0" w:type="auto"/>
            <w:shd w:val="clear" w:color="auto" w:fill="FFFFFF"/>
            <w:vAlign w:val="bottom"/>
            <w:hideMark/>
          </w:tcPr>
          <w:p w14:paraId="1283BA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2A7283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1BE5AB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3EABC43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E92B3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CFF8F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33A9CE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6AA32A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0A935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6704C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D34D5E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4EFE9F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D55316A" w14:textId="77777777" w:rsidTr="004B2A77">
        <w:trPr>
          <w:trHeight w:val="180"/>
          <w:tblCellSpacing w:w="15" w:type="dxa"/>
        </w:trPr>
        <w:tc>
          <w:tcPr>
            <w:tcW w:w="0" w:type="auto"/>
            <w:shd w:val="clear" w:color="auto" w:fill="CFF0FC"/>
            <w:hideMark/>
          </w:tcPr>
          <w:p w14:paraId="11EE042F"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Decreases relating to settlements with taxing authorities</w:t>
            </w:r>
          </w:p>
        </w:tc>
        <w:tc>
          <w:tcPr>
            <w:tcW w:w="0" w:type="auto"/>
            <w:shd w:val="clear" w:color="auto" w:fill="CFF0FC"/>
            <w:vAlign w:val="bottom"/>
            <w:hideMark/>
          </w:tcPr>
          <w:p w14:paraId="73233D7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9FACA0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24BA9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3D181D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14222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13975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46C1E9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52DD74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4D495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A7B58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90FA09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578FA9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CCF92F3" w14:textId="77777777" w:rsidTr="004B2A77">
        <w:trPr>
          <w:trHeight w:val="180"/>
          <w:tblCellSpacing w:w="15" w:type="dxa"/>
        </w:trPr>
        <w:tc>
          <w:tcPr>
            <w:tcW w:w="0" w:type="auto"/>
            <w:shd w:val="clear" w:color="auto" w:fill="FFFFFF"/>
            <w:hideMark/>
          </w:tcPr>
          <w:p w14:paraId="0855733F"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 xml:space="preserve">Decreases resulting from the lapse of the applicable statute </w:t>
            </w:r>
            <w:r w:rsidRPr="004B2A77">
              <w:rPr>
                <w:rFonts w:ascii="Arial" w:eastAsia="宋体" w:hAnsi="Arial" w:cs="Arial"/>
                <w:color w:val="000000"/>
                <w:kern w:val="0"/>
                <w:sz w:val="18"/>
                <w:szCs w:val="18"/>
              </w:rPr>
              <w:br/>
              <w:t>   of limitations</w:t>
            </w:r>
          </w:p>
        </w:tc>
        <w:tc>
          <w:tcPr>
            <w:tcW w:w="0" w:type="auto"/>
            <w:shd w:val="clear" w:color="auto" w:fill="FFFFFF"/>
            <w:vAlign w:val="bottom"/>
            <w:hideMark/>
          </w:tcPr>
          <w:p w14:paraId="5132F3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AA713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691068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64B411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B105E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E19545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CC6A48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4BA32E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E4950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DA394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79142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5AB354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08359178" w14:textId="77777777" w:rsidTr="004B2A77">
        <w:trPr>
          <w:trHeight w:val="180"/>
          <w:tblCellSpacing w:w="15" w:type="dxa"/>
        </w:trPr>
        <w:tc>
          <w:tcPr>
            <w:tcW w:w="0" w:type="auto"/>
            <w:shd w:val="clear" w:color="auto" w:fill="CFF0FC"/>
            <w:hideMark/>
          </w:tcPr>
          <w:p w14:paraId="32453A7C"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CFF0FC"/>
            <w:vAlign w:val="bottom"/>
            <w:hideMark/>
          </w:tcPr>
          <w:p w14:paraId="24E1887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B3CA9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12F1D0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677ABCA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AA495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6F6347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E487E6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6E26B4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DFA8A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FA617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1EB622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4E21F8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5F404BCC" w14:textId="77777777" w:rsidTr="004B2A77">
        <w:trPr>
          <w:trHeight w:val="180"/>
          <w:tblCellSpacing w:w="15" w:type="dxa"/>
        </w:trPr>
        <w:tc>
          <w:tcPr>
            <w:tcW w:w="0" w:type="auto"/>
            <w:shd w:val="clear" w:color="auto" w:fill="FFFFFF"/>
            <w:hideMark/>
          </w:tcPr>
          <w:p w14:paraId="0A1A69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unrecognized tax benefits at end of year</w:t>
            </w:r>
          </w:p>
        </w:tc>
        <w:tc>
          <w:tcPr>
            <w:tcW w:w="0" w:type="auto"/>
            <w:shd w:val="clear" w:color="auto" w:fill="FFFFFF"/>
            <w:vAlign w:val="bottom"/>
            <w:hideMark/>
          </w:tcPr>
          <w:p w14:paraId="324A993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2E3C1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2684DC0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67</w:t>
            </w:r>
          </w:p>
        </w:tc>
        <w:tc>
          <w:tcPr>
            <w:tcW w:w="0" w:type="auto"/>
            <w:shd w:val="clear" w:color="auto" w:fill="FFFFFF"/>
            <w:noWrap/>
            <w:vAlign w:val="bottom"/>
            <w:hideMark/>
          </w:tcPr>
          <w:p w14:paraId="51FA77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0BCAE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189154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7302259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65</w:t>
            </w:r>
          </w:p>
        </w:tc>
        <w:tc>
          <w:tcPr>
            <w:tcW w:w="0" w:type="auto"/>
            <w:shd w:val="clear" w:color="auto" w:fill="FFFFFF"/>
            <w:noWrap/>
            <w:vAlign w:val="bottom"/>
            <w:hideMark/>
          </w:tcPr>
          <w:p w14:paraId="346952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78EAB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76867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0B57262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63</w:t>
            </w:r>
          </w:p>
        </w:tc>
        <w:tc>
          <w:tcPr>
            <w:tcW w:w="0" w:type="auto"/>
            <w:shd w:val="clear" w:color="auto" w:fill="FFFFFF"/>
            <w:noWrap/>
            <w:vAlign w:val="bottom"/>
            <w:hideMark/>
          </w:tcPr>
          <w:p w14:paraId="295FE7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40A8C373"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4"/>
          <w:szCs w:val="24"/>
        </w:rPr>
        <w:t> </w:t>
      </w:r>
    </w:p>
    <w:p w14:paraId="255EF3A9"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tax effect of temporary differences and carryforwards that comprise significant portions of deferred tax assets and liabilities were as follows (dollars in millions).</w:t>
      </w:r>
    </w:p>
    <w:p w14:paraId="46B66EEA"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521"/>
        <w:gridCol w:w="266"/>
        <w:gridCol w:w="190"/>
        <w:gridCol w:w="1331"/>
        <w:gridCol w:w="190"/>
        <w:gridCol w:w="267"/>
        <w:gridCol w:w="190"/>
        <w:gridCol w:w="1334"/>
        <w:gridCol w:w="190"/>
        <w:gridCol w:w="267"/>
        <w:gridCol w:w="190"/>
        <w:gridCol w:w="1349"/>
        <w:gridCol w:w="206"/>
      </w:tblGrid>
      <w:tr w:rsidR="004B2A77" w:rsidRPr="004B2A77" w14:paraId="4202F037" w14:textId="77777777" w:rsidTr="004B2A77">
        <w:trPr>
          <w:tblCellSpacing w:w="15" w:type="dxa"/>
        </w:trPr>
        <w:tc>
          <w:tcPr>
            <w:tcW w:w="10497" w:type="dxa"/>
            <w:vAlign w:val="center"/>
            <w:hideMark/>
          </w:tcPr>
          <w:p w14:paraId="5FC9DCA6"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37" w:type="dxa"/>
            <w:vAlign w:val="center"/>
            <w:hideMark/>
          </w:tcPr>
          <w:p w14:paraId="5E22BDB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5D6225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03" w:type="dxa"/>
            <w:vAlign w:val="center"/>
            <w:hideMark/>
          </w:tcPr>
          <w:p w14:paraId="32F19C7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A0D123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627FD72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D6D44F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06" w:type="dxa"/>
            <w:vAlign w:val="center"/>
            <w:hideMark/>
          </w:tcPr>
          <w:p w14:paraId="43FA824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C63D3F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1CC8DC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0BCB53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1" w:type="dxa"/>
            <w:vAlign w:val="center"/>
            <w:hideMark/>
          </w:tcPr>
          <w:p w14:paraId="428199C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00F494F3"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7B310B9" w14:textId="77777777" w:rsidTr="004B2A77">
        <w:trPr>
          <w:trHeight w:val="160"/>
          <w:tblCellSpacing w:w="15" w:type="dxa"/>
        </w:trPr>
        <w:tc>
          <w:tcPr>
            <w:tcW w:w="0" w:type="auto"/>
            <w:shd w:val="clear" w:color="auto" w:fill="FFFFFF"/>
            <w:vAlign w:val="bottom"/>
            <w:hideMark/>
          </w:tcPr>
          <w:p w14:paraId="05C641D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DEFERRED TAXES</w:t>
            </w:r>
          </w:p>
        </w:tc>
        <w:tc>
          <w:tcPr>
            <w:tcW w:w="0" w:type="auto"/>
            <w:shd w:val="clear" w:color="auto" w:fill="FFFFFF"/>
            <w:vAlign w:val="bottom"/>
            <w:hideMark/>
          </w:tcPr>
          <w:p w14:paraId="21D82AC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10"/>
            <w:tcBorders>
              <w:bottom w:val="single" w:sz="4" w:space="0" w:color="000000"/>
            </w:tcBorders>
            <w:shd w:val="clear" w:color="auto" w:fill="FFFFFF"/>
            <w:vAlign w:val="bottom"/>
            <w:hideMark/>
          </w:tcPr>
          <w:p w14:paraId="7CEDAFB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w:t>
            </w:r>
          </w:p>
        </w:tc>
        <w:tc>
          <w:tcPr>
            <w:tcW w:w="0" w:type="auto"/>
            <w:shd w:val="clear" w:color="auto" w:fill="FFFFFF"/>
            <w:vAlign w:val="bottom"/>
            <w:hideMark/>
          </w:tcPr>
          <w:p w14:paraId="457AEBC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C0D2CD8" w14:textId="77777777" w:rsidTr="004B2A77">
        <w:trPr>
          <w:trHeight w:val="160"/>
          <w:tblCellSpacing w:w="15" w:type="dxa"/>
        </w:trPr>
        <w:tc>
          <w:tcPr>
            <w:tcW w:w="0" w:type="auto"/>
            <w:shd w:val="clear" w:color="auto" w:fill="FFFFFF"/>
            <w:vAlign w:val="bottom"/>
            <w:hideMark/>
          </w:tcPr>
          <w:p w14:paraId="4B95593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B8D05F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C2AFD9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0850804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355CA2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D393A5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7781202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FBC847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E32978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25EC0F2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803C3DB" w14:textId="77777777" w:rsidTr="004B2A77">
        <w:trPr>
          <w:trHeight w:val="180"/>
          <w:tblCellSpacing w:w="15" w:type="dxa"/>
        </w:trPr>
        <w:tc>
          <w:tcPr>
            <w:tcW w:w="0" w:type="auto"/>
            <w:shd w:val="clear" w:color="auto" w:fill="CFF0FC"/>
            <w:hideMark/>
          </w:tcPr>
          <w:p w14:paraId="507E3B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Assets</w:t>
            </w:r>
          </w:p>
        </w:tc>
        <w:tc>
          <w:tcPr>
            <w:tcW w:w="0" w:type="auto"/>
            <w:shd w:val="clear" w:color="auto" w:fill="CFF0FC"/>
            <w:vAlign w:val="bottom"/>
            <w:hideMark/>
          </w:tcPr>
          <w:p w14:paraId="15C61F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6CBBA4D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5AED0F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E94B6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3A1ED49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BCD72D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3BAF2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5FCB18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A32C02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E19F014" w14:textId="77777777" w:rsidTr="004B2A77">
        <w:trPr>
          <w:trHeight w:val="180"/>
          <w:tblCellSpacing w:w="15" w:type="dxa"/>
        </w:trPr>
        <w:tc>
          <w:tcPr>
            <w:tcW w:w="0" w:type="auto"/>
            <w:shd w:val="clear" w:color="auto" w:fill="FFFFFF"/>
            <w:hideMark/>
          </w:tcPr>
          <w:p w14:paraId="737DA1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Provisions</w:t>
            </w:r>
          </w:p>
        </w:tc>
        <w:tc>
          <w:tcPr>
            <w:tcW w:w="0" w:type="auto"/>
            <w:shd w:val="clear" w:color="auto" w:fill="FFFFFF"/>
            <w:vAlign w:val="bottom"/>
            <w:hideMark/>
          </w:tcPr>
          <w:p w14:paraId="35A09F7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E11A80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6694AE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99</w:t>
            </w:r>
          </w:p>
        </w:tc>
        <w:tc>
          <w:tcPr>
            <w:tcW w:w="0" w:type="auto"/>
            <w:shd w:val="clear" w:color="auto" w:fill="FFFFFF"/>
            <w:noWrap/>
            <w:vAlign w:val="bottom"/>
            <w:hideMark/>
          </w:tcPr>
          <w:p w14:paraId="006A3D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6D6A3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33966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C18D7C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136</w:t>
            </w:r>
          </w:p>
        </w:tc>
        <w:tc>
          <w:tcPr>
            <w:tcW w:w="0" w:type="auto"/>
            <w:shd w:val="clear" w:color="auto" w:fill="FFFFFF"/>
            <w:noWrap/>
            <w:vAlign w:val="bottom"/>
            <w:hideMark/>
          </w:tcPr>
          <w:p w14:paraId="601C16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09872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3634F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3DC64B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141</w:t>
            </w:r>
          </w:p>
        </w:tc>
        <w:tc>
          <w:tcPr>
            <w:tcW w:w="0" w:type="auto"/>
            <w:shd w:val="clear" w:color="auto" w:fill="FFFFFF"/>
            <w:noWrap/>
            <w:vAlign w:val="bottom"/>
            <w:hideMark/>
          </w:tcPr>
          <w:p w14:paraId="691177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1AC1A4C" w14:textId="77777777" w:rsidTr="004B2A77">
        <w:trPr>
          <w:trHeight w:val="180"/>
          <w:tblCellSpacing w:w="15" w:type="dxa"/>
        </w:trPr>
        <w:tc>
          <w:tcPr>
            <w:tcW w:w="0" w:type="auto"/>
            <w:shd w:val="clear" w:color="auto" w:fill="CFF0FC"/>
            <w:hideMark/>
          </w:tcPr>
          <w:p w14:paraId="241C10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Costs capitalized for tax</w:t>
            </w:r>
          </w:p>
        </w:tc>
        <w:tc>
          <w:tcPr>
            <w:tcW w:w="0" w:type="auto"/>
            <w:shd w:val="clear" w:color="auto" w:fill="CFF0FC"/>
            <w:vAlign w:val="bottom"/>
            <w:hideMark/>
          </w:tcPr>
          <w:p w14:paraId="63BE35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30A3C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CBC60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43</w:t>
            </w:r>
          </w:p>
        </w:tc>
        <w:tc>
          <w:tcPr>
            <w:tcW w:w="0" w:type="auto"/>
            <w:shd w:val="clear" w:color="auto" w:fill="CFF0FC"/>
            <w:noWrap/>
            <w:vAlign w:val="bottom"/>
            <w:hideMark/>
          </w:tcPr>
          <w:p w14:paraId="467841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E7F22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E562B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DAD4B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29</w:t>
            </w:r>
          </w:p>
        </w:tc>
        <w:tc>
          <w:tcPr>
            <w:tcW w:w="0" w:type="auto"/>
            <w:shd w:val="clear" w:color="auto" w:fill="CFF0FC"/>
            <w:noWrap/>
            <w:vAlign w:val="bottom"/>
            <w:hideMark/>
          </w:tcPr>
          <w:p w14:paraId="081EBB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E0F13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37877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F8EECE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w:t>
            </w:r>
          </w:p>
        </w:tc>
        <w:tc>
          <w:tcPr>
            <w:tcW w:w="0" w:type="auto"/>
            <w:shd w:val="clear" w:color="auto" w:fill="CFF0FC"/>
            <w:noWrap/>
            <w:vAlign w:val="bottom"/>
            <w:hideMark/>
          </w:tcPr>
          <w:p w14:paraId="292453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EF228AD" w14:textId="77777777" w:rsidTr="004B2A77">
        <w:trPr>
          <w:trHeight w:val="180"/>
          <w:tblCellSpacing w:w="15" w:type="dxa"/>
        </w:trPr>
        <w:tc>
          <w:tcPr>
            <w:tcW w:w="0" w:type="auto"/>
            <w:shd w:val="clear" w:color="auto" w:fill="FFFFFF"/>
            <w:hideMark/>
          </w:tcPr>
          <w:p w14:paraId="7279C3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Property, plant and equipment</w:t>
            </w:r>
          </w:p>
        </w:tc>
        <w:tc>
          <w:tcPr>
            <w:tcW w:w="0" w:type="auto"/>
            <w:shd w:val="clear" w:color="auto" w:fill="FFFFFF"/>
            <w:vAlign w:val="bottom"/>
            <w:hideMark/>
          </w:tcPr>
          <w:p w14:paraId="44579D8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0440D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DC11B7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FFFFFF"/>
            <w:noWrap/>
            <w:vAlign w:val="bottom"/>
            <w:hideMark/>
          </w:tcPr>
          <w:p w14:paraId="7446D8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CDA68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1F6153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899CA6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5EF5E9C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B16E2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7FEBC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27F385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FFFFFF"/>
            <w:noWrap/>
            <w:vAlign w:val="bottom"/>
            <w:hideMark/>
          </w:tcPr>
          <w:p w14:paraId="45A17A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3AF38D6" w14:textId="77777777" w:rsidTr="004B2A77">
        <w:trPr>
          <w:trHeight w:val="180"/>
          <w:tblCellSpacing w:w="15" w:type="dxa"/>
        </w:trPr>
        <w:tc>
          <w:tcPr>
            <w:tcW w:w="0" w:type="auto"/>
            <w:shd w:val="clear" w:color="auto" w:fill="CFF0FC"/>
            <w:hideMark/>
          </w:tcPr>
          <w:p w14:paraId="0B0F52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Retirement Plans</w:t>
            </w:r>
          </w:p>
        </w:tc>
        <w:tc>
          <w:tcPr>
            <w:tcW w:w="0" w:type="auto"/>
            <w:shd w:val="clear" w:color="auto" w:fill="CFF0FC"/>
            <w:vAlign w:val="bottom"/>
            <w:hideMark/>
          </w:tcPr>
          <w:p w14:paraId="65EB80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6A86E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6B4D06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42</w:t>
            </w:r>
          </w:p>
        </w:tc>
        <w:tc>
          <w:tcPr>
            <w:tcW w:w="0" w:type="auto"/>
            <w:shd w:val="clear" w:color="auto" w:fill="CFF0FC"/>
            <w:noWrap/>
            <w:vAlign w:val="bottom"/>
            <w:hideMark/>
          </w:tcPr>
          <w:p w14:paraId="71AB79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A4FB0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E3AC0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EED854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46</w:t>
            </w:r>
          </w:p>
        </w:tc>
        <w:tc>
          <w:tcPr>
            <w:tcW w:w="0" w:type="auto"/>
            <w:shd w:val="clear" w:color="auto" w:fill="CFF0FC"/>
            <w:noWrap/>
            <w:vAlign w:val="bottom"/>
            <w:hideMark/>
          </w:tcPr>
          <w:p w14:paraId="291ED9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F8D9B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69BA7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C87FC4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59</w:t>
            </w:r>
          </w:p>
        </w:tc>
        <w:tc>
          <w:tcPr>
            <w:tcW w:w="0" w:type="auto"/>
            <w:shd w:val="clear" w:color="auto" w:fill="CFF0FC"/>
            <w:noWrap/>
            <w:vAlign w:val="bottom"/>
            <w:hideMark/>
          </w:tcPr>
          <w:p w14:paraId="37E553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62E86E4" w14:textId="77777777" w:rsidTr="004B2A77">
        <w:trPr>
          <w:trHeight w:val="180"/>
          <w:tblCellSpacing w:w="15" w:type="dxa"/>
        </w:trPr>
        <w:tc>
          <w:tcPr>
            <w:tcW w:w="0" w:type="auto"/>
            <w:shd w:val="clear" w:color="auto" w:fill="FFFFFF"/>
            <w:hideMark/>
          </w:tcPr>
          <w:p w14:paraId="24246F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Tax receivables, principally NOL’s</w:t>
            </w:r>
          </w:p>
        </w:tc>
        <w:tc>
          <w:tcPr>
            <w:tcW w:w="0" w:type="auto"/>
            <w:shd w:val="clear" w:color="auto" w:fill="FFFFFF"/>
            <w:vAlign w:val="bottom"/>
            <w:hideMark/>
          </w:tcPr>
          <w:p w14:paraId="24CD51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3BE83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ED56F8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123</w:t>
            </w:r>
          </w:p>
        </w:tc>
        <w:tc>
          <w:tcPr>
            <w:tcW w:w="0" w:type="auto"/>
            <w:shd w:val="clear" w:color="auto" w:fill="FFFFFF"/>
            <w:noWrap/>
            <w:vAlign w:val="bottom"/>
            <w:hideMark/>
          </w:tcPr>
          <w:p w14:paraId="0D2386F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6FCDF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E071B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1B3BC3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109</w:t>
            </w:r>
          </w:p>
        </w:tc>
        <w:tc>
          <w:tcPr>
            <w:tcW w:w="0" w:type="auto"/>
            <w:shd w:val="clear" w:color="auto" w:fill="FFFFFF"/>
            <w:noWrap/>
            <w:vAlign w:val="bottom"/>
            <w:hideMark/>
          </w:tcPr>
          <w:p w14:paraId="6747D2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96A5B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043D7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5B0DE3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110</w:t>
            </w:r>
          </w:p>
        </w:tc>
        <w:tc>
          <w:tcPr>
            <w:tcW w:w="0" w:type="auto"/>
            <w:shd w:val="clear" w:color="auto" w:fill="FFFFFF"/>
            <w:noWrap/>
            <w:vAlign w:val="bottom"/>
            <w:hideMark/>
          </w:tcPr>
          <w:p w14:paraId="3D4AB5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9CC861B" w14:textId="77777777" w:rsidTr="004B2A77">
        <w:trPr>
          <w:trHeight w:val="180"/>
          <w:tblCellSpacing w:w="15" w:type="dxa"/>
        </w:trPr>
        <w:tc>
          <w:tcPr>
            <w:tcW w:w="0" w:type="auto"/>
            <w:shd w:val="clear" w:color="auto" w:fill="CFF0FC"/>
            <w:hideMark/>
          </w:tcPr>
          <w:p w14:paraId="71F9C2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Deferred tax assets before allowances</w:t>
            </w:r>
          </w:p>
        </w:tc>
        <w:tc>
          <w:tcPr>
            <w:tcW w:w="0" w:type="auto"/>
            <w:shd w:val="clear" w:color="auto" w:fill="CFF0FC"/>
            <w:vAlign w:val="bottom"/>
            <w:hideMark/>
          </w:tcPr>
          <w:p w14:paraId="15B4FFF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BCB4C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141468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319</w:t>
            </w:r>
          </w:p>
        </w:tc>
        <w:tc>
          <w:tcPr>
            <w:tcW w:w="0" w:type="auto"/>
            <w:shd w:val="clear" w:color="auto" w:fill="CFF0FC"/>
            <w:noWrap/>
            <w:vAlign w:val="bottom"/>
            <w:hideMark/>
          </w:tcPr>
          <w:p w14:paraId="603A6B1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C2B8C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DC0A6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2C384E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320</w:t>
            </w:r>
          </w:p>
        </w:tc>
        <w:tc>
          <w:tcPr>
            <w:tcW w:w="0" w:type="auto"/>
            <w:shd w:val="clear" w:color="auto" w:fill="CFF0FC"/>
            <w:noWrap/>
            <w:vAlign w:val="bottom"/>
            <w:hideMark/>
          </w:tcPr>
          <w:p w14:paraId="71CDBB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C9FF3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F4683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F2FC94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336</w:t>
            </w:r>
          </w:p>
        </w:tc>
        <w:tc>
          <w:tcPr>
            <w:tcW w:w="0" w:type="auto"/>
            <w:shd w:val="clear" w:color="auto" w:fill="CFF0FC"/>
            <w:noWrap/>
            <w:vAlign w:val="bottom"/>
            <w:hideMark/>
          </w:tcPr>
          <w:p w14:paraId="174A55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7B3A43D" w14:textId="77777777" w:rsidTr="004B2A77">
        <w:trPr>
          <w:trHeight w:val="180"/>
          <w:tblCellSpacing w:w="15" w:type="dxa"/>
        </w:trPr>
        <w:tc>
          <w:tcPr>
            <w:tcW w:w="0" w:type="auto"/>
            <w:shd w:val="clear" w:color="auto" w:fill="FFFFFF"/>
            <w:hideMark/>
          </w:tcPr>
          <w:p w14:paraId="564181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Valuation allowances</w:t>
            </w:r>
          </w:p>
        </w:tc>
        <w:tc>
          <w:tcPr>
            <w:tcW w:w="0" w:type="auto"/>
            <w:shd w:val="clear" w:color="auto" w:fill="FFFFFF"/>
            <w:vAlign w:val="bottom"/>
            <w:hideMark/>
          </w:tcPr>
          <w:p w14:paraId="2A15582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FE358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FC94CF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(46</w:t>
            </w:r>
          </w:p>
        </w:tc>
        <w:tc>
          <w:tcPr>
            <w:tcW w:w="0" w:type="auto"/>
            <w:shd w:val="clear" w:color="auto" w:fill="FFFFFF"/>
            <w:noWrap/>
            <w:vAlign w:val="bottom"/>
            <w:hideMark/>
          </w:tcPr>
          <w:p w14:paraId="089AE34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90E91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EE66E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91FB98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(59</w:t>
            </w:r>
          </w:p>
        </w:tc>
        <w:tc>
          <w:tcPr>
            <w:tcW w:w="0" w:type="auto"/>
            <w:shd w:val="clear" w:color="auto" w:fill="FFFFFF"/>
            <w:noWrap/>
            <w:vAlign w:val="bottom"/>
            <w:hideMark/>
          </w:tcPr>
          <w:p w14:paraId="011E5A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4875E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82F0B5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FD2AA9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(68</w:t>
            </w:r>
          </w:p>
        </w:tc>
        <w:tc>
          <w:tcPr>
            <w:tcW w:w="0" w:type="auto"/>
            <w:shd w:val="clear" w:color="auto" w:fill="FFFFFF"/>
            <w:noWrap/>
            <w:vAlign w:val="bottom"/>
            <w:hideMark/>
          </w:tcPr>
          <w:p w14:paraId="6FE6E3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24F58136" w14:textId="77777777" w:rsidTr="004B2A77">
        <w:trPr>
          <w:trHeight w:val="180"/>
          <w:tblCellSpacing w:w="15" w:type="dxa"/>
        </w:trPr>
        <w:tc>
          <w:tcPr>
            <w:tcW w:w="0" w:type="auto"/>
            <w:shd w:val="clear" w:color="auto" w:fill="CFF0FC"/>
            <w:hideMark/>
          </w:tcPr>
          <w:p w14:paraId="11B064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CFF0FC"/>
            <w:vAlign w:val="bottom"/>
            <w:hideMark/>
          </w:tcPr>
          <w:p w14:paraId="3715A9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51F58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EA2DB2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273</w:t>
            </w:r>
          </w:p>
        </w:tc>
        <w:tc>
          <w:tcPr>
            <w:tcW w:w="0" w:type="auto"/>
            <w:shd w:val="clear" w:color="auto" w:fill="CFF0FC"/>
            <w:noWrap/>
            <w:vAlign w:val="bottom"/>
            <w:hideMark/>
          </w:tcPr>
          <w:p w14:paraId="38BD5D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3C5438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1BBEC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17E29D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261</w:t>
            </w:r>
          </w:p>
        </w:tc>
        <w:tc>
          <w:tcPr>
            <w:tcW w:w="0" w:type="auto"/>
            <w:shd w:val="clear" w:color="auto" w:fill="CFF0FC"/>
            <w:noWrap/>
            <w:vAlign w:val="bottom"/>
            <w:hideMark/>
          </w:tcPr>
          <w:p w14:paraId="501868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36F2F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B7F2D2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8F311B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268</w:t>
            </w:r>
          </w:p>
        </w:tc>
        <w:tc>
          <w:tcPr>
            <w:tcW w:w="0" w:type="auto"/>
            <w:shd w:val="clear" w:color="auto" w:fill="CFF0FC"/>
            <w:noWrap/>
            <w:vAlign w:val="bottom"/>
            <w:hideMark/>
          </w:tcPr>
          <w:p w14:paraId="6FFBAB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605595F" w14:textId="77777777" w:rsidTr="004B2A77">
        <w:trPr>
          <w:tblCellSpacing w:w="15" w:type="dxa"/>
        </w:trPr>
        <w:tc>
          <w:tcPr>
            <w:tcW w:w="0" w:type="auto"/>
            <w:shd w:val="clear" w:color="auto" w:fill="FFFFFF"/>
            <w:hideMark/>
          </w:tcPr>
          <w:p w14:paraId="796AB0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CF5E4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5048EC0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894D9B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170E1E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02980D8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E4BB20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8F8D8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5DA544F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854BDE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88C5423" w14:textId="77777777" w:rsidTr="004B2A77">
        <w:trPr>
          <w:trHeight w:val="180"/>
          <w:tblCellSpacing w:w="15" w:type="dxa"/>
        </w:trPr>
        <w:tc>
          <w:tcPr>
            <w:tcW w:w="0" w:type="auto"/>
            <w:shd w:val="clear" w:color="auto" w:fill="CFF0FC"/>
            <w:hideMark/>
          </w:tcPr>
          <w:p w14:paraId="26427C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Liabilities</w:t>
            </w:r>
          </w:p>
        </w:tc>
        <w:tc>
          <w:tcPr>
            <w:tcW w:w="0" w:type="auto"/>
            <w:shd w:val="clear" w:color="auto" w:fill="CFF0FC"/>
            <w:vAlign w:val="bottom"/>
            <w:hideMark/>
          </w:tcPr>
          <w:p w14:paraId="5FA6D0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1D8BC3D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E4723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7FD4A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4B22802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59C46F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75A6A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42B1165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EB2B31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1C11292" w14:textId="77777777" w:rsidTr="004B2A77">
        <w:trPr>
          <w:trHeight w:val="180"/>
          <w:tblCellSpacing w:w="15" w:type="dxa"/>
        </w:trPr>
        <w:tc>
          <w:tcPr>
            <w:tcW w:w="0" w:type="auto"/>
            <w:shd w:val="clear" w:color="auto" w:fill="FFFFFF"/>
            <w:hideMark/>
          </w:tcPr>
          <w:p w14:paraId="4A84AF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Acquired intangibles</w:t>
            </w:r>
          </w:p>
        </w:tc>
        <w:tc>
          <w:tcPr>
            <w:tcW w:w="0" w:type="auto"/>
            <w:shd w:val="clear" w:color="auto" w:fill="FFFFFF"/>
            <w:vAlign w:val="bottom"/>
            <w:hideMark/>
          </w:tcPr>
          <w:p w14:paraId="5F3CC55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96A79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4BE9C7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5F850C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E47BA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0C518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440AF0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5088C1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9823F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4C395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E4AA37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706D07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26DFD9ED" w14:textId="77777777" w:rsidTr="004B2A77">
        <w:trPr>
          <w:trHeight w:val="180"/>
          <w:tblCellSpacing w:w="15" w:type="dxa"/>
        </w:trPr>
        <w:tc>
          <w:tcPr>
            <w:tcW w:w="0" w:type="auto"/>
            <w:shd w:val="clear" w:color="auto" w:fill="CFF0FC"/>
            <w:hideMark/>
          </w:tcPr>
          <w:p w14:paraId="06F2281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Statutory tax allowances</w:t>
            </w:r>
          </w:p>
        </w:tc>
        <w:tc>
          <w:tcPr>
            <w:tcW w:w="0" w:type="auto"/>
            <w:shd w:val="clear" w:color="auto" w:fill="CFF0FC"/>
            <w:vAlign w:val="bottom"/>
            <w:hideMark/>
          </w:tcPr>
          <w:p w14:paraId="12F96F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626E8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DB30E2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793203B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EC499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737570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113A02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CFF0FC"/>
            <w:noWrap/>
            <w:vAlign w:val="bottom"/>
            <w:hideMark/>
          </w:tcPr>
          <w:p w14:paraId="38F30F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FA078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A374A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631F6D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65D7E7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3818B3D7" w14:textId="77777777" w:rsidTr="004B2A77">
        <w:trPr>
          <w:trHeight w:val="180"/>
          <w:tblCellSpacing w:w="15" w:type="dxa"/>
        </w:trPr>
        <w:tc>
          <w:tcPr>
            <w:tcW w:w="0" w:type="auto"/>
            <w:shd w:val="clear" w:color="auto" w:fill="FFFFFF"/>
            <w:hideMark/>
          </w:tcPr>
          <w:p w14:paraId="74B819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Distribution taxes</w:t>
            </w:r>
          </w:p>
        </w:tc>
        <w:tc>
          <w:tcPr>
            <w:tcW w:w="0" w:type="auto"/>
            <w:shd w:val="clear" w:color="auto" w:fill="FFFFFF"/>
            <w:vAlign w:val="bottom"/>
            <w:hideMark/>
          </w:tcPr>
          <w:p w14:paraId="55AA1F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A8171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2DBB44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FFFFFF"/>
            <w:noWrap/>
            <w:vAlign w:val="bottom"/>
            <w:hideMark/>
          </w:tcPr>
          <w:p w14:paraId="519FE1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D9FD58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7CF4F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71933D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FFFFFF"/>
            <w:noWrap/>
            <w:vAlign w:val="bottom"/>
            <w:hideMark/>
          </w:tcPr>
          <w:p w14:paraId="4CE691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47819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E806B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F9BD54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w:t>
            </w:r>
          </w:p>
        </w:tc>
        <w:tc>
          <w:tcPr>
            <w:tcW w:w="0" w:type="auto"/>
            <w:shd w:val="clear" w:color="auto" w:fill="FFFFFF"/>
            <w:noWrap/>
            <w:vAlign w:val="bottom"/>
            <w:hideMark/>
          </w:tcPr>
          <w:p w14:paraId="085175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ECFC41A" w14:textId="77777777" w:rsidTr="004B2A77">
        <w:trPr>
          <w:trHeight w:val="180"/>
          <w:tblCellSpacing w:w="15" w:type="dxa"/>
        </w:trPr>
        <w:tc>
          <w:tcPr>
            <w:tcW w:w="0" w:type="auto"/>
            <w:shd w:val="clear" w:color="auto" w:fill="CFF0FC"/>
            <w:hideMark/>
          </w:tcPr>
          <w:p w14:paraId="26B809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w:t>
            </w:r>
          </w:p>
        </w:tc>
        <w:tc>
          <w:tcPr>
            <w:tcW w:w="0" w:type="auto"/>
            <w:shd w:val="clear" w:color="auto" w:fill="CFF0FC"/>
            <w:vAlign w:val="bottom"/>
            <w:hideMark/>
          </w:tcPr>
          <w:p w14:paraId="7D4BE8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422C3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4B79E3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333DED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9C8D2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583C47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BA13EA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13EC31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736D0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CDA97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8FC182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6A36AE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0D732B6B" w14:textId="77777777" w:rsidTr="004B2A77">
        <w:trPr>
          <w:trHeight w:val="180"/>
          <w:tblCellSpacing w:w="15" w:type="dxa"/>
        </w:trPr>
        <w:tc>
          <w:tcPr>
            <w:tcW w:w="0" w:type="auto"/>
            <w:shd w:val="clear" w:color="auto" w:fill="FFFFFF"/>
            <w:hideMark/>
          </w:tcPr>
          <w:p w14:paraId="13A2EE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FFFFFF"/>
            <w:vAlign w:val="bottom"/>
            <w:hideMark/>
          </w:tcPr>
          <w:p w14:paraId="6C95B2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5DEEB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406660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w:t>
            </w:r>
          </w:p>
        </w:tc>
        <w:tc>
          <w:tcPr>
            <w:tcW w:w="0" w:type="auto"/>
            <w:shd w:val="clear" w:color="auto" w:fill="FFFFFF"/>
            <w:noWrap/>
            <w:vAlign w:val="bottom"/>
            <w:hideMark/>
          </w:tcPr>
          <w:p w14:paraId="54853F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16EEC3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0BD4F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9A80DB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(15</w:t>
            </w:r>
          </w:p>
        </w:tc>
        <w:tc>
          <w:tcPr>
            <w:tcW w:w="0" w:type="auto"/>
            <w:shd w:val="clear" w:color="auto" w:fill="FFFFFF"/>
            <w:noWrap/>
            <w:vAlign w:val="bottom"/>
            <w:hideMark/>
          </w:tcPr>
          <w:p w14:paraId="1F226D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06C75A8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8E861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5EBAD0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(21</w:t>
            </w:r>
          </w:p>
        </w:tc>
        <w:tc>
          <w:tcPr>
            <w:tcW w:w="0" w:type="auto"/>
            <w:shd w:val="clear" w:color="auto" w:fill="FFFFFF"/>
            <w:noWrap/>
            <w:vAlign w:val="bottom"/>
            <w:hideMark/>
          </w:tcPr>
          <w:p w14:paraId="6D5914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r>
      <w:tr w:rsidR="004B2A77" w:rsidRPr="004B2A77" w14:paraId="0F792860" w14:textId="77777777" w:rsidTr="004B2A77">
        <w:trPr>
          <w:trHeight w:val="180"/>
          <w:tblCellSpacing w:w="15" w:type="dxa"/>
        </w:trPr>
        <w:tc>
          <w:tcPr>
            <w:tcW w:w="0" w:type="auto"/>
            <w:shd w:val="clear" w:color="auto" w:fill="CFF0FC"/>
            <w:hideMark/>
          </w:tcPr>
          <w:p w14:paraId="16556A0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Net deferred tax asset</w:t>
            </w:r>
          </w:p>
        </w:tc>
        <w:tc>
          <w:tcPr>
            <w:tcW w:w="0" w:type="auto"/>
            <w:shd w:val="clear" w:color="auto" w:fill="CFF0FC"/>
            <w:vAlign w:val="bottom"/>
            <w:hideMark/>
          </w:tcPr>
          <w:p w14:paraId="65D19D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59A0D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1FDF41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268</w:t>
            </w:r>
          </w:p>
        </w:tc>
        <w:tc>
          <w:tcPr>
            <w:tcW w:w="0" w:type="auto"/>
            <w:shd w:val="clear" w:color="auto" w:fill="CFF0FC"/>
            <w:noWrap/>
            <w:vAlign w:val="bottom"/>
            <w:hideMark/>
          </w:tcPr>
          <w:p w14:paraId="368995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7401C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18442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9E7F18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246</w:t>
            </w:r>
          </w:p>
        </w:tc>
        <w:tc>
          <w:tcPr>
            <w:tcW w:w="0" w:type="auto"/>
            <w:shd w:val="clear" w:color="auto" w:fill="CFF0FC"/>
            <w:noWrap/>
            <w:vAlign w:val="bottom"/>
            <w:hideMark/>
          </w:tcPr>
          <w:p w14:paraId="32298F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F852B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2E9A5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87D14B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247</w:t>
            </w:r>
          </w:p>
        </w:tc>
        <w:tc>
          <w:tcPr>
            <w:tcW w:w="0" w:type="auto"/>
            <w:shd w:val="clear" w:color="auto" w:fill="CFF0FC"/>
            <w:noWrap/>
            <w:vAlign w:val="bottom"/>
            <w:hideMark/>
          </w:tcPr>
          <w:p w14:paraId="019014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360EB2CF"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4"/>
          <w:szCs w:val="24"/>
        </w:rPr>
        <w:t> </w:t>
      </w:r>
    </w:p>
    <w:p w14:paraId="6CEE7C8F"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following table summarizes the activity related to the Company’s valuation allowances (dollars in millions):</w:t>
      </w:r>
    </w:p>
    <w:p w14:paraId="142D7BE1"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471"/>
        <w:gridCol w:w="278"/>
        <w:gridCol w:w="190"/>
        <w:gridCol w:w="1338"/>
        <w:gridCol w:w="190"/>
        <w:gridCol w:w="281"/>
        <w:gridCol w:w="190"/>
        <w:gridCol w:w="1338"/>
        <w:gridCol w:w="190"/>
        <w:gridCol w:w="281"/>
        <w:gridCol w:w="190"/>
        <w:gridCol w:w="1348"/>
        <w:gridCol w:w="206"/>
      </w:tblGrid>
      <w:tr w:rsidR="004B2A77" w:rsidRPr="004B2A77" w14:paraId="1E0016B6" w14:textId="77777777" w:rsidTr="004B2A77">
        <w:trPr>
          <w:tblCellSpacing w:w="15" w:type="dxa"/>
        </w:trPr>
        <w:tc>
          <w:tcPr>
            <w:tcW w:w="10447" w:type="dxa"/>
            <w:vAlign w:val="center"/>
            <w:hideMark/>
          </w:tcPr>
          <w:p w14:paraId="2FF61904"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49" w:type="dxa"/>
            <w:vAlign w:val="center"/>
            <w:hideMark/>
          </w:tcPr>
          <w:p w14:paraId="0F2A83B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D0C1EC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0" w:type="dxa"/>
            <w:vAlign w:val="center"/>
            <w:hideMark/>
          </w:tcPr>
          <w:p w14:paraId="0506B36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D1E60B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1" w:type="dxa"/>
            <w:vAlign w:val="center"/>
            <w:hideMark/>
          </w:tcPr>
          <w:p w14:paraId="41706F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16F454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0" w:type="dxa"/>
            <w:vAlign w:val="center"/>
            <w:hideMark/>
          </w:tcPr>
          <w:p w14:paraId="74C23DE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ACD200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1" w:type="dxa"/>
            <w:vAlign w:val="center"/>
            <w:hideMark/>
          </w:tcPr>
          <w:p w14:paraId="0A52A26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F2D3EE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0" w:type="dxa"/>
            <w:vAlign w:val="center"/>
            <w:hideMark/>
          </w:tcPr>
          <w:p w14:paraId="25D31CE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2F09975A"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D0C9C12" w14:textId="77777777" w:rsidTr="004B2A77">
        <w:trPr>
          <w:trHeight w:val="160"/>
          <w:tblCellSpacing w:w="15" w:type="dxa"/>
        </w:trPr>
        <w:tc>
          <w:tcPr>
            <w:tcW w:w="0" w:type="auto"/>
            <w:shd w:val="clear" w:color="auto" w:fill="FFFFFF"/>
            <w:vAlign w:val="bottom"/>
            <w:hideMark/>
          </w:tcPr>
          <w:p w14:paraId="047414B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VALUATION ALLOWANCES AGAINST DEFERRED TAX ASSETS</w:t>
            </w:r>
          </w:p>
        </w:tc>
        <w:tc>
          <w:tcPr>
            <w:tcW w:w="0" w:type="auto"/>
            <w:shd w:val="clear" w:color="auto" w:fill="FFFFFF"/>
            <w:vAlign w:val="bottom"/>
            <w:hideMark/>
          </w:tcPr>
          <w:p w14:paraId="744C8194"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gridSpan w:val="10"/>
            <w:tcBorders>
              <w:bottom w:val="single" w:sz="4" w:space="0" w:color="000000"/>
            </w:tcBorders>
            <w:shd w:val="clear" w:color="auto" w:fill="FFFFFF"/>
            <w:vAlign w:val="bottom"/>
            <w:hideMark/>
          </w:tcPr>
          <w:p w14:paraId="361412B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w:t>
            </w:r>
          </w:p>
        </w:tc>
        <w:tc>
          <w:tcPr>
            <w:tcW w:w="0" w:type="auto"/>
            <w:shd w:val="clear" w:color="auto" w:fill="FFFFFF"/>
            <w:vAlign w:val="bottom"/>
            <w:hideMark/>
          </w:tcPr>
          <w:p w14:paraId="3B1DB09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058335B6" w14:textId="77777777" w:rsidTr="004B2A77">
        <w:trPr>
          <w:trHeight w:val="160"/>
          <w:tblCellSpacing w:w="15" w:type="dxa"/>
        </w:trPr>
        <w:tc>
          <w:tcPr>
            <w:tcW w:w="0" w:type="auto"/>
            <w:shd w:val="clear" w:color="auto" w:fill="FFFFFF"/>
            <w:vAlign w:val="bottom"/>
            <w:hideMark/>
          </w:tcPr>
          <w:p w14:paraId="67CC4B1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36A52A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0F1B69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13F5DA1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9BBFF5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C3F90C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4DA2433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4FA5B4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38D27C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093D08B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0D2A15C" w14:textId="77777777" w:rsidTr="004B2A77">
        <w:trPr>
          <w:trHeight w:val="180"/>
          <w:tblCellSpacing w:w="15" w:type="dxa"/>
        </w:trPr>
        <w:tc>
          <w:tcPr>
            <w:tcW w:w="0" w:type="auto"/>
            <w:shd w:val="clear" w:color="auto" w:fill="FFFFFF"/>
            <w:vAlign w:val="center"/>
            <w:hideMark/>
          </w:tcPr>
          <w:p w14:paraId="15B03E9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Allowances at beginning of year</w:t>
            </w:r>
          </w:p>
        </w:tc>
        <w:tc>
          <w:tcPr>
            <w:tcW w:w="0" w:type="auto"/>
            <w:shd w:val="clear" w:color="auto" w:fill="FFFFFF"/>
            <w:vAlign w:val="bottom"/>
            <w:hideMark/>
          </w:tcPr>
          <w:p w14:paraId="255D04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7C70B2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center"/>
            <w:hideMark/>
          </w:tcPr>
          <w:p w14:paraId="0A79BB5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59</w:t>
            </w:r>
          </w:p>
        </w:tc>
        <w:tc>
          <w:tcPr>
            <w:tcW w:w="0" w:type="auto"/>
            <w:shd w:val="clear" w:color="auto" w:fill="FFFFFF"/>
            <w:noWrap/>
            <w:vAlign w:val="center"/>
            <w:hideMark/>
          </w:tcPr>
          <w:p w14:paraId="7B13E36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5088D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742E73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center"/>
            <w:hideMark/>
          </w:tcPr>
          <w:p w14:paraId="3505010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68</w:t>
            </w:r>
          </w:p>
        </w:tc>
        <w:tc>
          <w:tcPr>
            <w:tcW w:w="0" w:type="auto"/>
            <w:shd w:val="clear" w:color="auto" w:fill="FFFFFF"/>
            <w:noWrap/>
            <w:vAlign w:val="center"/>
            <w:hideMark/>
          </w:tcPr>
          <w:p w14:paraId="1C0448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B6A88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710C9C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center"/>
            <w:hideMark/>
          </w:tcPr>
          <w:p w14:paraId="0BDA768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61</w:t>
            </w:r>
          </w:p>
        </w:tc>
        <w:tc>
          <w:tcPr>
            <w:tcW w:w="0" w:type="auto"/>
            <w:shd w:val="clear" w:color="auto" w:fill="FFFFFF"/>
            <w:noWrap/>
            <w:vAlign w:val="center"/>
            <w:hideMark/>
          </w:tcPr>
          <w:p w14:paraId="57025D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BE3C060" w14:textId="77777777" w:rsidTr="004B2A77">
        <w:trPr>
          <w:trHeight w:val="180"/>
          <w:tblCellSpacing w:w="15" w:type="dxa"/>
        </w:trPr>
        <w:tc>
          <w:tcPr>
            <w:tcW w:w="0" w:type="auto"/>
            <w:shd w:val="clear" w:color="auto" w:fill="CFF0FC"/>
            <w:vAlign w:val="center"/>
            <w:hideMark/>
          </w:tcPr>
          <w:p w14:paraId="7B84F26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lastRenderedPageBreak/>
              <w:t>Benefits reserved current year</w:t>
            </w:r>
          </w:p>
        </w:tc>
        <w:tc>
          <w:tcPr>
            <w:tcW w:w="0" w:type="auto"/>
            <w:shd w:val="clear" w:color="auto" w:fill="CFF0FC"/>
            <w:vAlign w:val="bottom"/>
            <w:hideMark/>
          </w:tcPr>
          <w:p w14:paraId="36544B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5AD433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19CA388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w:t>
            </w:r>
          </w:p>
        </w:tc>
        <w:tc>
          <w:tcPr>
            <w:tcW w:w="0" w:type="auto"/>
            <w:shd w:val="clear" w:color="auto" w:fill="CFF0FC"/>
            <w:noWrap/>
            <w:vAlign w:val="center"/>
            <w:hideMark/>
          </w:tcPr>
          <w:p w14:paraId="7DE890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DF6B4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5C7EEE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0CA3A0C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CFF0FC"/>
            <w:noWrap/>
            <w:vAlign w:val="center"/>
            <w:hideMark/>
          </w:tcPr>
          <w:p w14:paraId="7C5BBA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61264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6A9E23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4FB778D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w:t>
            </w:r>
          </w:p>
        </w:tc>
        <w:tc>
          <w:tcPr>
            <w:tcW w:w="0" w:type="auto"/>
            <w:shd w:val="clear" w:color="auto" w:fill="CFF0FC"/>
            <w:noWrap/>
            <w:vAlign w:val="center"/>
            <w:hideMark/>
          </w:tcPr>
          <w:p w14:paraId="4CA2C81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FBDB3BE" w14:textId="77777777" w:rsidTr="004B2A77">
        <w:trPr>
          <w:trHeight w:val="180"/>
          <w:tblCellSpacing w:w="15" w:type="dxa"/>
        </w:trPr>
        <w:tc>
          <w:tcPr>
            <w:tcW w:w="0" w:type="auto"/>
            <w:shd w:val="clear" w:color="auto" w:fill="FFFFFF"/>
            <w:vAlign w:val="center"/>
            <w:hideMark/>
          </w:tcPr>
          <w:p w14:paraId="0B57F3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Benefits recognized current year</w:t>
            </w:r>
          </w:p>
        </w:tc>
        <w:tc>
          <w:tcPr>
            <w:tcW w:w="0" w:type="auto"/>
            <w:shd w:val="clear" w:color="auto" w:fill="FFFFFF"/>
            <w:vAlign w:val="bottom"/>
            <w:hideMark/>
          </w:tcPr>
          <w:p w14:paraId="48225A3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68EAC9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12324A0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w:t>
            </w:r>
          </w:p>
        </w:tc>
        <w:tc>
          <w:tcPr>
            <w:tcW w:w="0" w:type="auto"/>
            <w:shd w:val="clear" w:color="auto" w:fill="FFFFFF"/>
            <w:noWrap/>
            <w:vAlign w:val="center"/>
            <w:hideMark/>
          </w:tcPr>
          <w:p w14:paraId="2E4EEF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2540E6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45C552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3E0C9EF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w:t>
            </w:r>
          </w:p>
        </w:tc>
        <w:tc>
          <w:tcPr>
            <w:tcW w:w="0" w:type="auto"/>
            <w:shd w:val="clear" w:color="auto" w:fill="FFFFFF"/>
            <w:noWrap/>
            <w:vAlign w:val="center"/>
            <w:hideMark/>
          </w:tcPr>
          <w:p w14:paraId="053ACC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BC757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69648A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51141B7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center"/>
            <w:hideMark/>
          </w:tcPr>
          <w:p w14:paraId="0B6E40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25DCCF9C" w14:textId="77777777" w:rsidTr="004B2A77">
        <w:trPr>
          <w:trHeight w:val="180"/>
          <w:tblCellSpacing w:w="15" w:type="dxa"/>
        </w:trPr>
        <w:tc>
          <w:tcPr>
            <w:tcW w:w="0" w:type="auto"/>
            <w:shd w:val="clear" w:color="auto" w:fill="CFF0FC"/>
            <w:vAlign w:val="center"/>
            <w:hideMark/>
          </w:tcPr>
          <w:p w14:paraId="4BA54C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CFF0FC"/>
            <w:vAlign w:val="bottom"/>
            <w:hideMark/>
          </w:tcPr>
          <w:p w14:paraId="1F6A1C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center"/>
            <w:hideMark/>
          </w:tcPr>
          <w:p w14:paraId="44D3FC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1382A00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center"/>
            <w:hideMark/>
          </w:tcPr>
          <w:p w14:paraId="154179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BF0E1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center"/>
            <w:hideMark/>
          </w:tcPr>
          <w:p w14:paraId="330CC2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0B96CF8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CFF0FC"/>
            <w:noWrap/>
            <w:vAlign w:val="center"/>
            <w:hideMark/>
          </w:tcPr>
          <w:p w14:paraId="33A4613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4320F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center"/>
            <w:hideMark/>
          </w:tcPr>
          <w:p w14:paraId="4F78A6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center"/>
            <w:hideMark/>
          </w:tcPr>
          <w:p w14:paraId="6293178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CFF0FC"/>
            <w:noWrap/>
            <w:vAlign w:val="center"/>
            <w:hideMark/>
          </w:tcPr>
          <w:p w14:paraId="3FFB46E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5AD23887" w14:textId="77777777" w:rsidTr="004B2A77">
        <w:trPr>
          <w:trHeight w:val="180"/>
          <w:tblCellSpacing w:w="15" w:type="dxa"/>
        </w:trPr>
        <w:tc>
          <w:tcPr>
            <w:tcW w:w="0" w:type="auto"/>
            <w:shd w:val="clear" w:color="auto" w:fill="FFFFFF"/>
            <w:vAlign w:val="center"/>
            <w:hideMark/>
          </w:tcPr>
          <w:p w14:paraId="231561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Allowances at end of year</w:t>
            </w:r>
          </w:p>
        </w:tc>
        <w:tc>
          <w:tcPr>
            <w:tcW w:w="0" w:type="auto"/>
            <w:shd w:val="clear" w:color="auto" w:fill="FFFFFF"/>
            <w:vAlign w:val="bottom"/>
            <w:hideMark/>
          </w:tcPr>
          <w:p w14:paraId="064B20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0B3C11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center"/>
            <w:hideMark/>
          </w:tcPr>
          <w:p w14:paraId="1A6D96B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46</w:t>
            </w:r>
          </w:p>
        </w:tc>
        <w:tc>
          <w:tcPr>
            <w:tcW w:w="0" w:type="auto"/>
            <w:shd w:val="clear" w:color="auto" w:fill="FFFFFF"/>
            <w:noWrap/>
            <w:vAlign w:val="center"/>
            <w:hideMark/>
          </w:tcPr>
          <w:p w14:paraId="793BD0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6BEBA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5DFC11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center"/>
            <w:hideMark/>
          </w:tcPr>
          <w:p w14:paraId="2A37423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59</w:t>
            </w:r>
          </w:p>
        </w:tc>
        <w:tc>
          <w:tcPr>
            <w:tcW w:w="0" w:type="auto"/>
            <w:shd w:val="clear" w:color="auto" w:fill="FFFFFF"/>
            <w:noWrap/>
            <w:vAlign w:val="center"/>
            <w:hideMark/>
          </w:tcPr>
          <w:p w14:paraId="24F35F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7B469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4F529C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center"/>
            <w:hideMark/>
          </w:tcPr>
          <w:p w14:paraId="2F43E35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68</w:t>
            </w:r>
          </w:p>
        </w:tc>
        <w:tc>
          <w:tcPr>
            <w:tcW w:w="0" w:type="auto"/>
            <w:shd w:val="clear" w:color="auto" w:fill="FFFFFF"/>
            <w:noWrap/>
            <w:vAlign w:val="center"/>
            <w:hideMark/>
          </w:tcPr>
          <w:p w14:paraId="5A75232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4DCF771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2B17DA3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4D1A2573"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73</w:t>
      </w:r>
    </w:p>
    <w:p w14:paraId="7F1B8796"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0EFE186">
          <v:rect id="_x0000_i1100" style="width:0;height:1.5pt" o:hralign="center" o:hrstd="t" o:hrnoshade="t" o:hr="t" fillcolor="black" stroked="f"/>
        </w:pict>
      </w:r>
    </w:p>
    <w:p w14:paraId="5E2D8B6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4494596"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6. Receivables</w:t>
      </w:r>
    </w:p>
    <w:p w14:paraId="59FF3F3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455"/>
        <w:gridCol w:w="279"/>
        <w:gridCol w:w="190"/>
        <w:gridCol w:w="1341"/>
        <w:gridCol w:w="190"/>
        <w:gridCol w:w="282"/>
        <w:gridCol w:w="190"/>
        <w:gridCol w:w="1341"/>
        <w:gridCol w:w="190"/>
        <w:gridCol w:w="282"/>
        <w:gridCol w:w="190"/>
        <w:gridCol w:w="1355"/>
        <w:gridCol w:w="206"/>
      </w:tblGrid>
      <w:tr w:rsidR="004B2A77" w:rsidRPr="004B2A77" w14:paraId="2938EAB1" w14:textId="77777777" w:rsidTr="004B2A77">
        <w:trPr>
          <w:tblCellSpacing w:w="15" w:type="dxa"/>
        </w:trPr>
        <w:tc>
          <w:tcPr>
            <w:tcW w:w="10432" w:type="dxa"/>
            <w:vAlign w:val="center"/>
            <w:hideMark/>
          </w:tcPr>
          <w:p w14:paraId="3028216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50" w:type="dxa"/>
            <w:vAlign w:val="center"/>
            <w:hideMark/>
          </w:tcPr>
          <w:p w14:paraId="0E95534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1A8270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3" w:type="dxa"/>
            <w:vAlign w:val="center"/>
            <w:hideMark/>
          </w:tcPr>
          <w:p w14:paraId="7AEF054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EAA295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2" w:type="dxa"/>
            <w:vAlign w:val="center"/>
            <w:hideMark/>
          </w:tcPr>
          <w:p w14:paraId="20FFEF0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580C66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3" w:type="dxa"/>
            <w:vAlign w:val="center"/>
            <w:hideMark/>
          </w:tcPr>
          <w:p w14:paraId="0847B9A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2AB096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2" w:type="dxa"/>
            <w:vAlign w:val="center"/>
            <w:hideMark/>
          </w:tcPr>
          <w:p w14:paraId="369468F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68ACC0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7" w:type="dxa"/>
            <w:vAlign w:val="center"/>
            <w:hideMark/>
          </w:tcPr>
          <w:p w14:paraId="45C2FB2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64298DFC"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2F5F64D" w14:textId="77777777" w:rsidTr="004B2A77">
        <w:trPr>
          <w:trHeight w:val="160"/>
          <w:tblCellSpacing w:w="15" w:type="dxa"/>
        </w:trPr>
        <w:tc>
          <w:tcPr>
            <w:tcW w:w="0" w:type="auto"/>
            <w:shd w:val="clear" w:color="auto" w:fill="FFFFFF"/>
            <w:vAlign w:val="bottom"/>
            <w:hideMark/>
          </w:tcPr>
          <w:p w14:paraId="0790629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49230FF9"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gridSpan w:val="10"/>
            <w:tcBorders>
              <w:bottom w:val="single" w:sz="4" w:space="0" w:color="000000"/>
            </w:tcBorders>
            <w:shd w:val="clear" w:color="auto" w:fill="FFFFFF"/>
            <w:vAlign w:val="bottom"/>
            <w:hideMark/>
          </w:tcPr>
          <w:p w14:paraId="6128AA7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w:t>
            </w:r>
          </w:p>
        </w:tc>
        <w:tc>
          <w:tcPr>
            <w:tcW w:w="0" w:type="auto"/>
            <w:shd w:val="clear" w:color="auto" w:fill="FFFFFF"/>
            <w:vAlign w:val="bottom"/>
            <w:hideMark/>
          </w:tcPr>
          <w:p w14:paraId="7021278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743DA076" w14:textId="77777777" w:rsidTr="004B2A77">
        <w:trPr>
          <w:trHeight w:val="160"/>
          <w:tblCellSpacing w:w="15" w:type="dxa"/>
        </w:trPr>
        <w:tc>
          <w:tcPr>
            <w:tcW w:w="0" w:type="auto"/>
            <w:shd w:val="clear" w:color="auto" w:fill="FFFFFF"/>
            <w:vAlign w:val="bottom"/>
            <w:hideMark/>
          </w:tcPr>
          <w:p w14:paraId="70F6D1D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7DD3E8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DB5CDC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12A4900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E37427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8FE108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5CD969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B17D10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BBA40F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535B64F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28BB3C1" w14:textId="77777777" w:rsidTr="004B2A77">
        <w:trPr>
          <w:trHeight w:val="180"/>
          <w:tblCellSpacing w:w="15" w:type="dxa"/>
        </w:trPr>
        <w:tc>
          <w:tcPr>
            <w:tcW w:w="0" w:type="auto"/>
            <w:shd w:val="clear" w:color="auto" w:fill="FFFFFF"/>
            <w:hideMark/>
          </w:tcPr>
          <w:p w14:paraId="7B41C0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Receivables</w:t>
            </w:r>
          </w:p>
        </w:tc>
        <w:tc>
          <w:tcPr>
            <w:tcW w:w="0" w:type="auto"/>
            <w:shd w:val="clear" w:color="auto" w:fill="FFFFFF"/>
            <w:vAlign w:val="bottom"/>
            <w:hideMark/>
          </w:tcPr>
          <w:p w14:paraId="247B70D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EA4AF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7EE852A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1,916</w:t>
            </w:r>
          </w:p>
        </w:tc>
        <w:tc>
          <w:tcPr>
            <w:tcW w:w="0" w:type="auto"/>
            <w:shd w:val="clear" w:color="auto" w:fill="FFFFFF"/>
            <w:noWrap/>
            <w:vAlign w:val="bottom"/>
            <w:hideMark/>
          </w:tcPr>
          <w:p w14:paraId="31B7E9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77263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A513F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1A02D32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1,707</w:t>
            </w:r>
          </w:p>
        </w:tc>
        <w:tc>
          <w:tcPr>
            <w:tcW w:w="0" w:type="auto"/>
            <w:shd w:val="clear" w:color="auto" w:fill="FFFFFF"/>
            <w:noWrap/>
            <w:vAlign w:val="bottom"/>
            <w:hideMark/>
          </w:tcPr>
          <w:p w14:paraId="796AC2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C1F6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F1CFC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3617720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1,831</w:t>
            </w:r>
          </w:p>
        </w:tc>
        <w:tc>
          <w:tcPr>
            <w:tcW w:w="0" w:type="auto"/>
            <w:shd w:val="clear" w:color="auto" w:fill="FFFFFF"/>
            <w:noWrap/>
            <w:vAlign w:val="bottom"/>
            <w:hideMark/>
          </w:tcPr>
          <w:p w14:paraId="3C7EAB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6E98A7F" w14:textId="77777777" w:rsidTr="004B2A77">
        <w:trPr>
          <w:trHeight w:val="180"/>
          <w:tblCellSpacing w:w="15" w:type="dxa"/>
        </w:trPr>
        <w:tc>
          <w:tcPr>
            <w:tcW w:w="0" w:type="auto"/>
            <w:shd w:val="clear" w:color="auto" w:fill="CFF0FC"/>
            <w:vAlign w:val="bottom"/>
            <w:hideMark/>
          </w:tcPr>
          <w:p w14:paraId="247BD2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Allowance for credit loss at beginning of year</w:t>
            </w:r>
          </w:p>
        </w:tc>
        <w:tc>
          <w:tcPr>
            <w:tcW w:w="0" w:type="auto"/>
            <w:shd w:val="clear" w:color="auto" w:fill="CFF0FC"/>
            <w:vAlign w:val="bottom"/>
            <w:hideMark/>
          </w:tcPr>
          <w:p w14:paraId="3D4CF4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C4C0C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C7AABC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w:t>
            </w:r>
          </w:p>
        </w:tc>
        <w:tc>
          <w:tcPr>
            <w:tcW w:w="0" w:type="auto"/>
            <w:shd w:val="clear" w:color="auto" w:fill="CFF0FC"/>
            <w:noWrap/>
            <w:vAlign w:val="bottom"/>
            <w:hideMark/>
          </w:tcPr>
          <w:p w14:paraId="291CBD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EAFBF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75D57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2FE9F9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(12</w:t>
            </w:r>
          </w:p>
        </w:tc>
        <w:tc>
          <w:tcPr>
            <w:tcW w:w="0" w:type="auto"/>
            <w:shd w:val="clear" w:color="auto" w:fill="CFF0FC"/>
            <w:noWrap/>
            <w:vAlign w:val="bottom"/>
            <w:hideMark/>
          </w:tcPr>
          <w:p w14:paraId="5D3CC28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EFEFB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714636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43572C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w:t>
            </w:r>
          </w:p>
        </w:tc>
        <w:tc>
          <w:tcPr>
            <w:tcW w:w="0" w:type="auto"/>
            <w:shd w:val="clear" w:color="auto" w:fill="CFF0FC"/>
            <w:noWrap/>
            <w:vAlign w:val="bottom"/>
            <w:hideMark/>
          </w:tcPr>
          <w:p w14:paraId="118218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r>
      <w:tr w:rsidR="004B2A77" w:rsidRPr="004B2A77" w14:paraId="512800CD" w14:textId="77777777" w:rsidTr="004B2A77">
        <w:trPr>
          <w:trHeight w:val="180"/>
          <w:tblCellSpacing w:w="15" w:type="dxa"/>
        </w:trPr>
        <w:tc>
          <w:tcPr>
            <w:tcW w:w="0" w:type="auto"/>
            <w:shd w:val="clear" w:color="auto" w:fill="FFFFFF"/>
            <w:hideMark/>
          </w:tcPr>
          <w:p w14:paraId="087300E8"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Reversal of (addition to) allowance</w:t>
            </w:r>
          </w:p>
        </w:tc>
        <w:tc>
          <w:tcPr>
            <w:tcW w:w="0" w:type="auto"/>
            <w:shd w:val="clear" w:color="auto" w:fill="FFFFFF"/>
            <w:vAlign w:val="bottom"/>
            <w:hideMark/>
          </w:tcPr>
          <w:p w14:paraId="3EF684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25148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5CC72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2951A5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C4D84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4D8C55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16F51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0AC466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2BADF6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BCCF92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7E0E7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2BFE2D9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385F6164" w14:textId="77777777" w:rsidTr="004B2A77">
        <w:trPr>
          <w:trHeight w:val="180"/>
          <w:tblCellSpacing w:w="15" w:type="dxa"/>
        </w:trPr>
        <w:tc>
          <w:tcPr>
            <w:tcW w:w="0" w:type="auto"/>
            <w:shd w:val="clear" w:color="auto" w:fill="CFF0FC"/>
            <w:hideMark/>
          </w:tcPr>
          <w:p w14:paraId="06B3977C"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Write-off against allowance</w:t>
            </w:r>
          </w:p>
        </w:tc>
        <w:tc>
          <w:tcPr>
            <w:tcW w:w="0" w:type="auto"/>
            <w:shd w:val="clear" w:color="auto" w:fill="CFF0FC"/>
            <w:vAlign w:val="bottom"/>
            <w:hideMark/>
          </w:tcPr>
          <w:p w14:paraId="32C72F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E82082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D7F352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1426FE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6FD319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A651C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40B79A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474738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25A62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0833B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57E13C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40CA9F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02DA089" w14:textId="77777777" w:rsidTr="004B2A77">
        <w:trPr>
          <w:trHeight w:val="180"/>
          <w:tblCellSpacing w:w="15" w:type="dxa"/>
        </w:trPr>
        <w:tc>
          <w:tcPr>
            <w:tcW w:w="0" w:type="auto"/>
            <w:shd w:val="clear" w:color="auto" w:fill="FFFFFF"/>
            <w:hideMark/>
          </w:tcPr>
          <w:p w14:paraId="3E280E99"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FFFFFF"/>
            <w:vAlign w:val="bottom"/>
            <w:hideMark/>
          </w:tcPr>
          <w:p w14:paraId="21C4D2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6C01D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331171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6D4EF0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86556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2B50E1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6EAB07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5481C2B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16CF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3319A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0FFBC1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3DE0B2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795D03E3" w14:textId="77777777" w:rsidTr="004B2A77">
        <w:trPr>
          <w:trHeight w:val="180"/>
          <w:tblCellSpacing w:w="15" w:type="dxa"/>
        </w:trPr>
        <w:tc>
          <w:tcPr>
            <w:tcW w:w="0" w:type="auto"/>
            <w:shd w:val="clear" w:color="auto" w:fill="CFF0FC"/>
            <w:hideMark/>
          </w:tcPr>
          <w:p w14:paraId="21748A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Allowance for credit loss at end of year</w:t>
            </w:r>
          </w:p>
        </w:tc>
        <w:tc>
          <w:tcPr>
            <w:tcW w:w="0" w:type="auto"/>
            <w:shd w:val="clear" w:color="auto" w:fill="CFF0FC"/>
            <w:vAlign w:val="bottom"/>
            <w:hideMark/>
          </w:tcPr>
          <w:p w14:paraId="0EE4C0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8C083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C8BC4A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w:t>
            </w:r>
          </w:p>
        </w:tc>
        <w:tc>
          <w:tcPr>
            <w:tcW w:w="0" w:type="auto"/>
            <w:shd w:val="clear" w:color="auto" w:fill="CFF0FC"/>
            <w:noWrap/>
            <w:vAlign w:val="bottom"/>
            <w:hideMark/>
          </w:tcPr>
          <w:p w14:paraId="69041B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D9C05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578AE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1DA04C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w:t>
            </w:r>
          </w:p>
        </w:tc>
        <w:tc>
          <w:tcPr>
            <w:tcW w:w="0" w:type="auto"/>
            <w:shd w:val="clear" w:color="auto" w:fill="CFF0FC"/>
            <w:noWrap/>
            <w:vAlign w:val="bottom"/>
            <w:hideMark/>
          </w:tcPr>
          <w:p w14:paraId="63F6C0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0C4E74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8E1B7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63C1E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(12</w:t>
            </w:r>
          </w:p>
        </w:tc>
        <w:tc>
          <w:tcPr>
            <w:tcW w:w="0" w:type="auto"/>
            <w:shd w:val="clear" w:color="auto" w:fill="CFF0FC"/>
            <w:noWrap/>
            <w:vAlign w:val="bottom"/>
            <w:hideMark/>
          </w:tcPr>
          <w:p w14:paraId="0B7DEF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r>
      <w:tr w:rsidR="004B2A77" w:rsidRPr="004B2A77" w14:paraId="28F3983C" w14:textId="77777777" w:rsidTr="004B2A77">
        <w:trPr>
          <w:trHeight w:val="180"/>
          <w:tblCellSpacing w:w="15" w:type="dxa"/>
        </w:trPr>
        <w:tc>
          <w:tcPr>
            <w:tcW w:w="0" w:type="auto"/>
            <w:shd w:val="clear" w:color="auto" w:fill="FFFFFF"/>
            <w:vAlign w:val="bottom"/>
            <w:hideMark/>
          </w:tcPr>
          <w:p w14:paraId="006B16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receivables, net of allowance</w:t>
            </w:r>
          </w:p>
        </w:tc>
        <w:tc>
          <w:tcPr>
            <w:tcW w:w="0" w:type="auto"/>
            <w:shd w:val="clear" w:color="auto" w:fill="FFFFFF"/>
            <w:vAlign w:val="bottom"/>
            <w:hideMark/>
          </w:tcPr>
          <w:p w14:paraId="275389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ACB18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6C6D25F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1,907</w:t>
            </w:r>
          </w:p>
        </w:tc>
        <w:tc>
          <w:tcPr>
            <w:tcW w:w="0" w:type="auto"/>
            <w:shd w:val="clear" w:color="auto" w:fill="FFFFFF"/>
            <w:noWrap/>
            <w:vAlign w:val="bottom"/>
            <w:hideMark/>
          </w:tcPr>
          <w:p w14:paraId="3255B8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D8DAC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F1270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617181A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1,699</w:t>
            </w:r>
          </w:p>
        </w:tc>
        <w:tc>
          <w:tcPr>
            <w:tcW w:w="0" w:type="auto"/>
            <w:shd w:val="clear" w:color="auto" w:fill="FFFFFF"/>
            <w:noWrap/>
            <w:vAlign w:val="bottom"/>
            <w:hideMark/>
          </w:tcPr>
          <w:p w14:paraId="5A890B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68995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738E4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5CA7D6D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1,820</w:t>
            </w:r>
          </w:p>
        </w:tc>
        <w:tc>
          <w:tcPr>
            <w:tcW w:w="0" w:type="auto"/>
            <w:shd w:val="clear" w:color="auto" w:fill="FFFFFF"/>
            <w:noWrap/>
            <w:vAlign w:val="bottom"/>
            <w:hideMark/>
          </w:tcPr>
          <w:p w14:paraId="2DEAEF8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2424044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14C3C58C"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7. Inventories</w:t>
      </w:r>
    </w:p>
    <w:p w14:paraId="357E4B7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455"/>
        <w:gridCol w:w="279"/>
        <w:gridCol w:w="190"/>
        <w:gridCol w:w="1341"/>
        <w:gridCol w:w="190"/>
        <w:gridCol w:w="282"/>
        <w:gridCol w:w="190"/>
        <w:gridCol w:w="1341"/>
        <w:gridCol w:w="190"/>
        <w:gridCol w:w="282"/>
        <w:gridCol w:w="190"/>
        <w:gridCol w:w="1355"/>
        <w:gridCol w:w="206"/>
      </w:tblGrid>
      <w:tr w:rsidR="004B2A77" w:rsidRPr="004B2A77" w14:paraId="7A17E30A" w14:textId="77777777" w:rsidTr="004B2A77">
        <w:trPr>
          <w:tblCellSpacing w:w="15" w:type="dxa"/>
        </w:trPr>
        <w:tc>
          <w:tcPr>
            <w:tcW w:w="10432" w:type="dxa"/>
            <w:vAlign w:val="center"/>
            <w:hideMark/>
          </w:tcPr>
          <w:p w14:paraId="492242F7"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50" w:type="dxa"/>
            <w:vAlign w:val="center"/>
            <w:hideMark/>
          </w:tcPr>
          <w:p w14:paraId="426FC7A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54C692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3" w:type="dxa"/>
            <w:vAlign w:val="center"/>
            <w:hideMark/>
          </w:tcPr>
          <w:p w14:paraId="6F69E7A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CEA167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2" w:type="dxa"/>
            <w:vAlign w:val="center"/>
            <w:hideMark/>
          </w:tcPr>
          <w:p w14:paraId="4B6CB0A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3C2570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3" w:type="dxa"/>
            <w:vAlign w:val="center"/>
            <w:hideMark/>
          </w:tcPr>
          <w:p w14:paraId="719094C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2A7B6A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52" w:type="dxa"/>
            <w:vAlign w:val="center"/>
            <w:hideMark/>
          </w:tcPr>
          <w:p w14:paraId="07183A1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779F2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7" w:type="dxa"/>
            <w:vAlign w:val="center"/>
            <w:hideMark/>
          </w:tcPr>
          <w:p w14:paraId="2C4C96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11335A32"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33F5913" w14:textId="77777777" w:rsidTr="004B2A77">
        <w:trPr>
          <w:trHeight w:val="160"/>
          <w:tblCellSpacing w:w="15" w:type="dxa"/>
        </w:trPr>
        <w:tc>
          <w:tcPr>
            <w:tcW w:w="0" w:type="auto"/>
            <w:shd w:val="clear" w:color="auto" w:fill="FFFFFF"/>
            <w:vAlign w:val="bottom"/>
            <w:hideMark/>
          </w:tcPr>
          <w:p w14:paraId="016DDD4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6ECF0DA9"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gridSpan w:val="10"/>
            <w:tcBorders>
              <w:bottom w:val="single" w:sz="4" w:space="0" w:color="000000"/>
            </w:tcBorders>
            <w:shd w:val="clear" w:color="auto" w:fill="FFFFFF"/>
            <w:vAlign w:val="bottom"/>
            <w:hideMark/>
          </w:tcPr>
          <w:p w14:paraId="184C0BE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w:t>
            </w:r>
          </w:p>
        </w:tc>
        <w:tc>
          <w:tcPr>
            <w:tcW w:w="0" w:type="auto"/>
            <w:shd w:val="clear" w:color="auto" w:fill="FFFFFF"/>
            <w:vAlign w:val="bottom"/>
            <w:hideMark/>
          </w:tcPr>
          <w:p w14:paraId="387247F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5FFAC50" w14:textId="77777777" w:rsidTr="004B2A77">
        <w:trPr>
          <w:trHeight w:val="160"/>
          <w:tblCellSpacing w:w="15" w:type="dxa"/>
        </w:trPr>
        <w:tc>
          <w:tcPr>
            <w:tcW w:w="0" w:type="auto"/>
            <w:shd w:val="clear" w:color="auto" w:fill="FFFFFF"/>
            <w:vAlign w:val="bottom"/>
            <w:hideMark/>
          </w:tcPr>
          <w:p w14:paraId="0048E3E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75CD38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F2B2F5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06C31FC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6A67BA2"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BE1B46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5CD1CA1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74386A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491F03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1DB93A5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2B40F668" w14:textId="77777777" w:rsidTr="004B2A77">
        <w:trPr>
          <w:trHeight w:val="180"/>
          <w:tblCellSpacing w:w="15" w:type="dxa"/>
        </w:trPr>
        <w:tc>
          <w:tcPr>
            <w:tcW w:w="0" w:type="auto"/>
            <w:shd w:val="clear" w:color="auto" w:fill="FFFFFF"/>
            <w:hideMark/>
          </w:tcPr>
          <w:p w14:paraId="1C8266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Raw material</w:t>
            </w:r>
          </w:p>
        </w:tc>
        <w:tc>
          <w:tcPr>
            <w:tcW w:w="0" w:type="auto"/>
            <w:shd w:val="clear" w:color="auto" w:fill="FFFFFF"/>
            <w:vAlign w:val="bottom"/>
            <w:hideMark/>
          </w:tcPr>
          <w:p w14:paraId="519BB8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DF250E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41776A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445</w:t>
            </w:r>
          </w:p>
        </w:tc>
        <w:tc>
          <w:tcPr>
            <w:tcW w:w="0" w:type="auto"/>
            <w:shd w:val="clear" w:color="auto" w:fill="FFFFFF"/>
            <w:noWrap/>
            <w:vAlign w:val="bottom"/>
            <w:hideMark/>
          </w:tcPr>
          <w:p w14:paraId="032ED2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5C09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3EA38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B924D7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395</w:t>
            </w:r>
          </w:p>
        </w:tc>
        <w:tc>
          <w:tcPr>
            <w:tcW w:w="0" w:type="auto"/>
            <w:shd w:val="clear" w:color="auto" w:fill="FFFFFF"/>
            <w:noWrap/>
            <w:vAlign w:val="bottom"/>
            <w:hideMark/>
          </w:tcPr>
          <w:p w14:paraId="46B1C5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CF7D30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A67CB6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AF3CF3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379</w:t>
            </w:r>
          </w:p>
        </w:tc>
        <w:tc>
          <w:tcPr>
            <w:tcW w:w="0" w:type="auto"/>
            <w:shd w:val="clear" w:color="auto" w:fill="FFFFFF"/>
            <w:noWrap/>
            <w:vAlign w:val="bottom"/>
            <w:hideMark/>
          </w:tcPr>
          <w:p w14:paraId="3660664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A5BACA4" w14:textId="77777777" w:rsidTr="004B2A77">
        <w:trPr>
          <w:trHeight w:val="180"/>
          <w:tblCellSpacing w:w="15" w:type="dxa"/>
        </w:trPr>
        <w:tc>
          <w:tcPr>
            <w:tcW w:w="0" w:type="auto"/>
            <w:shd w:val="clear" w:color="auto" w:fill="CFF0FC"/>
            <w:hideMark/>
          </w:tcPr>
          <w:p w14:paraId="7639BF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Work in progress</w:t>
            </w:r>
          </w:p>
        </w:tc>
        <w:tc>
          <w:tcPr>
            <w:tcW w:w="0" w:type="auto"/>
            <w:shd w:val="clear" w:color="auto" w:fill="CFF0FC"/>
            <w:vAlign w:val="bottom"/>
            <w:hideMark/>
          </w:tcPr>
          <w:p w14:paraId="206A37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5D6F6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2C9108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350</w:t>
            </w:r>
          </w:p>
        </w:tc>
        <w:tc>
          <w:tcPr>
            <w:tcW w:w="0" w:type="auto"/>
            <w:shd w:val="clear" w:color="auto" w:fill="CFF0FC"/>
            <w:noWrap/>
            <w:vAlign w:val="bottom"/>
            <w:hideMark/>
          </w:tcPr>
          <w:p w14:paraId="368B73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ED887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3D5DD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EACF1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283</w:t>
            </w:r>
          </w:p>
        </w:tc>
        <w:tc>
          <w:tcPr>
            <w:tcW w:w="0" w:type="auto"/>
            <w:shd w:val="clear" w:color="auto" w:fill="CFF0FC"/>
            <w:noWrap/>
            <w:vAlign w:val="bottom"/>
            <w:hideMark/>
          </w:tcPr>
          <w:p w14:paraId="7BA764B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FCEE1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EB54C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C38EE8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292</w:t>
            </w:r>
          </w:p>
        </w:tc>
        <w:tc>
          <w:tcPr>
            <w:tcW w:w="0" w:type="auto"/>
            <w:shd w:val="clear" w:color="auto" w:fill="CFF0FC"/>
            <w:noWrap/>
            <w:vAlign w:val="bottom"/>
            <w:hideMark/>
          </w:tcPr>
          <w:p w14:paraId="1F23C5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F60CE60" w14:textId="77777777" w:rsidTr="004B2A77">
        <w:trPr>
          <w:trHeight w:val="180"/>
          <w:tblCellSpacing w:w="15" w:type="dxa"/>
        </w:trPr>
        <w:tc>
          <w:tcPr>
            <w:tcW w:w="0" w:type="auto"/>
            <w:shd w:val="clear" w:color="auto" w:fill="FFFFFF"/>
            <w:hideMark/>
          </w:tcPr>
          <w:p w14:paraId="69FAE8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Finished products</w:t>
            </w:r>
          </w:p>
        </w:tc>
        <w:tc>
          <w:tcPr>
            <w:tcW w:w="0" w:type="auto"/>
            <w:shd w:val="clear" w:color="auto" w:fill="FFFFFF"/>
            <w:vAlign w:val="bottom"/>
            <w:hideMark/>
          </w:tcPr>
          <w:p w14:paraId="59C280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5CB81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B3DE11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265</w:t>
            </w:r>
          </w:p>
        </w:tc>
        <w:tc>
          <w:tcPr>
            <w:tcW w:w="0" w:type="auto"/>
            <w:shd w:val="clear" w:color="auto" w:fill="FFFFFF"/>
            <w:noWrap/>
            <w:vAlign w:val="bottom"/>
            <w:hideMark/>
          </w:tcPr>
          <w:p w14:paraId="4FF031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C9889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2EBC2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98FF0C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190</w:t>
            </w:r>
          </w:p>
        </w:tc>
        <w:tc>
          <w:tcPr>
            <w:tcW w:w="0" w:type="auto"/>
            <w:shd w:val="clear" w:color="auto" w:fill="FFFFFF"/>
            <w:noWrap/>
            <w:vAlign w:val="bottom"/>
            <w:hideMark/>
          </w:tcPr>
          <w:p w14:paraId="2215AA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43472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B0DB0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73AB02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220</w:t>
            </w:r>
          </w:p>
        </w:tc>
        <w:tc>
          <w:tcPr>
            <w:tcW w:w="0" w:type="auto"/>
            <w:shd w:val="clear" w:color="auto" w:fill="FFFFFF"/>
            <w:noWrap/>
            <w:vAlign w:val="bottom"/>
            <w:hideMark/>
          </w:tcPr>
          <w:p w14:paraId="61853C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58A9377" w14:textId="77777777" w:rsidTr="004B2A77">
        <w:trPr>
          <w:trHeight w:val="180"/>
          <w:tblCellSpacing w:w="15" w:type="dxa"/>
        </w:trPr>
        <w:tc>
          <w:tcPr>
            <w:tcW w:w="0" w:type="auto"/>
            <w:shd w:val="clear" w:color="auto" w:fill="CFF0FC"/>
            <w:hideMark/>
          </w:tcPr>
          <w:p w14:paraId="4FDA13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Inventories</w:t>
            </w:r>
          </w:p>
        </w:tc>
        <w:tc>
          <w:tcPr>
            <w:tcW w:w="0" w:type="auto"/>
            <w:shd w:val="clear" w:color="auto" w:fill="CFF0FC"/>
            <w:vAlign w:val="bottom"/>
            <w:hideMark/>
          </w:tcPr>
          <w:p w14:paraId="7C2C66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E6DE6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92B036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1,060</w:t>
            </w:r>
          </w:p>
        </w:tc>
        <w:tc>
          <w:tcPr>
            <w:tcW w:w="0" w:type="auto"/>
            <w:shd w:val="clear" w:color="auto" w:fill="CFF0FC"/>
            <w:noWrap/>
            <w:vAlign w:val="bottom"/>
            <w:hideMark/>
          </w:tcPr>
          <w:p w14:paraId="322E78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BC48C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E4ACD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6C69D9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868</w:t>
            </w:r>
          </w:p>
        </w:tc>
        <w:tc>
          <w:tcPr>
            <w:tcW w:w="0" w:type="auto"/>
            <w:shd w:val="clear" w:color="auto" w:fill="CFF0FC"/>
            <w:noWrap/>
            <w:vAlign w:val="bottom"/>
            <w:hideMark/>
          </w:tcPr>
          <w:p w14:paraId="5C97D1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747C9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7FBE9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6473B7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891</w:t>
            </w:r>
          </w:p>
        </w:tc>
        <w:tc>
          <w:tcPr>
            <w:tcW w:w="0" w:type="auto"/>
            <w:shd w:val="clear" w:color="auto" w:fill="CFF0FC"/>
            <w:noWrap/>
            <w:vAlign w:val="bottom"/>
            <w:hideMark/>
          </w:tcPr>
          <w:p w14:paraId="75C22E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B627E8D" w14:textId="77777777" w:rsidTr="004B2A77">
        <w:trPr>
          <w:trHeight w:val="180"/>
          <w:tblCellSpacing w:w="15" w:type="dxa"/>
        </w:trPr>
        <w:tc>
          <w:tcPr>
            <w:tcW w:w="0" w:type="auto"/>
            <w:shd w:val="clear" w:color="auto" w:fill="FFFFFF"/>
            <w:vAlign w:val="bottom"/>
            <w:hideMark/>
          </w:tcPr>
          <w:p w14:paraId="2048152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Inventory reserve at beginning of year</w:t>
            </w:r>
          </w:p>
        </w:tc>
        <w:tc>
          <w:tcPr>
            <w:tcW w:w="0" w:type="auto"/>
            <w:shd w:val="clear" w:color="auto" w:fill="FFFFFF"/>
            <w:vAlign w:val="bottom"/>
            <w:hideMark/>
          </w:tcPr>
          <w:p w14:paraId="086103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CDA34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A15F78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(91</w:t>
            </w:r>
          </w:p>
        </w:tc>
        <w:tc>
          <w:tcPr>
            <w:tcW w:w="0" w:type="auto"/>
            <w:shd w:val="clear" w:color="auto" w:fill="FFFFFF"/>
            <w:noWrap/>
            <w:vAlign w:val="bottom"/>
            <w:hideMark/>
          </w:tcPr>
          <w:p w14:paraId="27C578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5DBE78C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F2CCE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4ED6FC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(93</w:t>
            </w:r>
          </w:p>
        </w:tc>
        <w:tc>
          <w:tcPr>
            <w:tcW w:w="0" w:type="auto"/>
            <w:shd w:val="clear" w:color="auto" w:fill="FFFFFF"/>
            <w:noWrap/>
            <w:vAlign w:val="bottom"/>
            <w:hideMark/>
          </w:tcPr>
          <w:p w14:paraId="43E7102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126435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96F42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C496A2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(83</w:t>
            </w:r>
          </w:p>
        </w:tc>
        <w:tc>
          <w:tcPr>
            <w:tcW w:w="0" w:type="auto"/>
            <w:shd w:val="clear" w:color="auto" w:fill="FFFFFF"/>
            <w:noWrap/>
            <w:vAlign w:val="bottom"/>
            <w:hideMark/>
          </w:tcPr>
          <w:p w14:paraId="1779EC1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r>
      <w:tr w:rsidR="004B2A77" w:rsidRPr="004B2A77" w14:paraId="3DE35B8F" w14:textId="77777777" w:rsidTr="004B2A77">
        <w:trPr>
          <w:trHeight w:val="180"/>
          <w:tblCellSpacing w:w="15" w:type="dxa"/>
        </w:trPr>
        <w:tc>
          <w:tcPr>
            <w:tcW w:w="0" w:type="auto"/>
            <w:shd w:val="clear" w:color="auto" w:fill="CFF0FC"/>
            <w:hideMark/>
          </w:tcPr>
          <w:p w14:paraId="4C9DC568"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Reversal of (addition to) reserve</w:t>
            </w:r>
          </w:p>
        </w:tc>
        <w:tc>
          <w:tcPr>
            <w:tcW w:w="0" w:type="auto"/>
            <w:shd w:val="clear" w:color="auto" w:fill="CFF0FC"/>
            <w:vAlign w:val="bottom"/>
            <w:hideMark/>
          </w:tcPr>
          <w:p w14:paraId="5BAB0C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C1DF0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390ACA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CFF0FC"/>
            <w:noWrap/>
            <w:vAlign w:val="bottom"/>
            <w:hideMark/>
          </w:tcPr>
          <w:p w14:paraId="503D28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53A99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41B6B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B02214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4BC2BF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9436D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ABEB4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12440F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66DCC0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4C1FC33" w14:textId="77777777" w:rsidTr="004B2A77">
        <w:trPr>
          <w:trHeight w:val="180"/>
          <w:tblCellSpacing w:w="15" w:type="dxa"/>
        </w:trPr>
        <w:tc>
          <w:tcPr>
            <w:tcW w:w="0" w:type="auto"/>
            <w:shd w:val="clear" w:color="auto" w:fill="FFFFFF"/>
            <w:hideMark/>
          </w:tcPr>
          <w:p w14:paraId="563C591C"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FFFFFF"/>
            <w:vAlign w:val="bottom"/>
            <w:hideMark/>
          </w:tcPr>
          <w:p w14:paraId="643371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484A6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FE473D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4A3C84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EA2C0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4B0E6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191929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FFFFFF"/>
            <w:noWrap/>
            <w:vAlign w:val="bottom"/>
            <w:hideMark/>
          </w:tcPr>
          <w:p w14:paraId="28B19D3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0E868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EEC68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E80556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FFFFFF"/>
            <w:noWrap/>
            <w:vAlign w:val="bottom"/>
            <w:hideMark/>
          </w:tcPr>
          <w:p w14:paraId="5C585B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59D3EA37" w14:textId="77777777" w:rsidTr="004B2A77">
        <w:trPr>
          <w:trHeight w:val="180"/>
          <w:tblCellSpacing w:w="15" w:type="dxa"/>
        </w:trPr>
        <w:tc>
          <w:tcPr>
            <w:tcW w:w="0" w:type="auto"/>
            <w:shd w:val="clear" w:color="auto" w:fill="CFF0FC"/>
            <w:hideMark/>
          </w:tcPr>
          <w:p w14:paraId="60F510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Inventory reserve at end of year</w:t>
            </w:r>
          </w:p>
        </w:tc>
        <w:tc>
          <w:tcPr>
            <w:tcW w:w="0" w:type="auto"/>
            <w:shd w:val="clear" w:color="auto" w:fill="CFF0FC"/>
            <w:vAlign w:val="bottom"/>
            <w:hideMark/>
          </w:tcPr>
          <w:p w14:paraId="3478DF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C30F0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C7DFF0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(91</w:t>
            </w:r>
          </w:p>
        </w:tc>
        <w:tc>
          <w:tcPr>
            <w:tcW w:w="0" w:type="auto"/>
            <w:shd w:val="clear" w:color="auto" w:fill="CFF0FC"/>
            <w:noWrap/>
            <w:vAlign w:val="bottom"/>
            <w:hideMark/>
          </w:tcPr>
          <w:p w14:paraId="28AE5E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479B5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0C4137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CF40C3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(91</w:t>
            </w:r>
          </w:p>
        </w:tc>
        <w:tc>
          <w:tcPr>
            <w:tcW w:w="0" w:type="auto"/>
            <w:shd w:val="clear" w:color="auto" w:fill="CFF0FC"/>
            <w:noWrap/>
            <w:vAlign w:val="bottom"/>
            <w:hideMark/>
          </w:tcPr>
          <w:p w14:paraId="7984B7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392B52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5E3D8AF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A08024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(93</w:t>
            </w:r>
          </w:p>
        </w:tc>
        <w:tc>
          <w:tcPr>
            <w:tcW w:w="0" w:type="auto"/>
            <w:shd w:val="clear" w:color="auto" w:fill="CFF0FC"/>
            <w:noWrap/>
            <w:vAlign w:val="bottom"/>
            <w:hideMark/>
          </w:tcPr>
          <w:p w14:paraId="204D8AD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r>
      <w:tr w:rsidR="004B2A77" w:rsidRPr="004B2A77" w14:paraId="2D5C9294" w14:textId="77777777" w:rsidTr="004B2A77">
        <w:trPr>
          <w:trHeight w:val="180"/>
          <w:tblCellSpacing w:w="15" w:type="dxa"/>
        </w:trPr>
        <w:tc>
          <w:tcPr>
            <w:tcW w:w="0" w:type="auto"/>
            <w:shd w:val="clear" w:color="auto" w:fill="FFFFFF"/>
            <w:vAlign w:val="bottom"/>
            <w:hideMark/>
          </w:tcPr>
          <w:p w14:paraId="31CD1BD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inventories, net of reserve</w:t>
            </w:r>
          </w:p>
        </w:tc>
        <w:tc>
          <w:tcPr>
            <w:tcW w:w="0" w:type="auto"/>
            <w:shd w:val="clear" w:color="auto" w:fill="FFFFFF"/>
            <w:vAlign w:val="bottom"/>
            <w:hideMark/>
          </w:tcPr>
          <w:p w14:paraId="24B1FB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B0907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047D422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969</w:t>
            </w:r>
          </w:p>
        </w:tc>
        <w:tc>
          <w:tcPr>
            <w:tcW w:w="0" w:type="auto"/>
            <w:shd w:val="clear" w:color="auto" w:fill="FFFFFF"/>
            <w:noWrap/>
            <w:vAlign w:val="bottom"/>
            <w:hideMark/>
          </w:tcPr>
          <w:p w14:paraId="546098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8B822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B1F71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3062568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777</w:t>
            </w:r>
          </w:p>
        </w:tc>
        <w:tc>
          <w:tcPr>
            <w:tcW w:w="0" w:type="auto"/>
            <w:shd w:val="clear" w:color="auto" w:fill="FFFFFF"/>
            <w:noWrap/>
            <w:vAlign w:val="bottom"/>
            <w:hideMark/>
          </w:tcPr>
          <w:p w14:paraId="479F6E1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A5010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CA605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081BA87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798</w:t>
            </w:r>
          </w:p>
        </w:tc>
        <w:tc>
          <w:tcPr>
            <w:tcW w:w="0" w:type="auto"/>
            <w:shd w:val="clear" w:color="auto" w:fill="FFFFFF"/>
            <w:noWrap/>
            <w:vAlign w:val="bottom"/>
            <w:hideMark/>
          </w:tcPr>
          <w:p w14:paraId="281AF6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5370082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0BF60947"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8. Other Non-Current Assets</w:t>
      </w:r>
    </w:p>
    <w:p w14:paraId="78CEB05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10565"/>
        <w:gridCol w:w="240"/>
        <w:gridCol w:w="171"/>
        <w:gridCol w:w="1332"/>
        <w:gridCol w:w="171"/>
        <w:gridCol w:w="241"/>
        <w:gridCol w:w="171"/>
        <w:gridCol w:w="1353"/>
        <w:gridCol w:w="186"/>
      </w:tblGrid>
      <w:tr w:rsidR="004B2A77" w:rsidRPr="004B2A77" w14:paraId="61762B94" w14:textId="77777777" w:rsidTr="004B2A77">
        <w:trPr>
          <w:tblCellSpacing w:w="15" w:type="dxa"/>
        </w:trPr>
        <w:tc>
          <w:tcPr>
            <w:tcW w:w="10544" w:type="dxa"/>
            <w:vAlign w:val="center"/>
            <w:hideMark/>
          </w:tcPr>
          <w:p w14:paraId="2C503215"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11" w:type="dxa"/>
            <w:vAlign w:val="center"/>
            <w:hideMark/>
          </w:tcPr>
          <w:p w14:paraId="1B9E0AE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914E70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04" w:type="dxa"/>
            <w:vAlign w:val="center"/>
            <w:hideMark/>
          </w:tcPr>
          <w:p w14:paraId="51EFF0B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7CF1F83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1" w:type="dxa"/>
            <w:vAlign w:val="center"/>
            <w:hideMark/>
          </w:tcPr>
          <w:p w14:paraId="69CC331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59D1D75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5" w:type="dxa"/>
            <w:vAlign w:val="center"/>
            <w:hideMark/>
          </w:tcPr>
          <w:p w14:paraId="623F35D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2E006D8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2E068EF" w14:textId="77777777" w:rsidTr="004B2A77">
        <w:trPr>
          <w:trHeight w:val="160"/>
          <w:tblCellSpacing w:w="15" w:type="dxa"/>
        </w:trPr>
        <w:tc>
          <w:tcPr>
            <w:tcW w:w="0" w:type="auto"/>
            <w:shd w:val="clear" w:color="auto" w:fill="FFFFFF"/>
            <w:vAlign w:val="bottom"/>
            <w:hideMark/>
          </w:tcPr>
          <w:p w14:paraId="0D72C9A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lastRenderedPageBreak/>
              <w:t>(Dollars in millions)</w:t>
            </w:r>
          </w:p>
        </w:tc>
        <w:tc>
          <w:tcPr>
            <w:tcW w:w="0" w:type="auto"/>
            <w:shd w:val="clear" w:color="auto" w:fill="FFFFFF"/>
            <w:vAlign w:val="bottom"/>
            <w:hideMark/>
          </w:tcPr>
          <w:p w14:paraId="07AF9D76"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gridSpan w:val="6"/>
            <w:tcBorders>
              <w:bottom w:val="single" w:sz="4" w:space="0" w:color="000000"/>
            </w:tcBorders>
            <w:shd w:val="clear" w:color="auto" w:fill="FFFFFF"/>
            <w:vAlign w:val="bottom"/>
            <w:hideMark/>
          </w:tcPr>
          <w:p w14:paraId="7738606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w:t>
            </w:r>
          </w:p>
        </w:tc>
        <w:tc>
          <w:tcPr>
            <w:tcW w:w="0" w:type="auto"/>
            <w:shd w:val="clear" w:color="auto" w:fill="FFFFFF"/>
            <w:vAlign w:val="bottom"/>
            <w:hideMark/>
          </w:tcPr>
          <w:p w14:paraId="48D7338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C45534F" w14:textId="77777777" w:rsidTr="004B2A77">
        <w:trPr>
          <w:trHeight w:val="160"/>
          <w:tblCellSpacing w:w="15" w:type="dxa"/>
        </w:trPr>
        <w:tc>
          <w:tcPr>
            <w:tcW w:w="0" w:type="auto"/>
            <w:shd w:val="clear" w:color="auto" w:fill="FFFFFF"/>
            <w:vAlign w:val="bottom"/>
            <w:hideMark/>
          </w:tcPr>
          <w:p w14:paraId="762656B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7D985A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EE9E42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DE1E59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E31814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C39A68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1AB6A78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2D4CA06F" w14:textId="77777777" w:rsidTr="004B2A77">
        <w:trPr>
          <w:trHeight w:val="180"/>
          <w:tblCellSpacing w:w="15" w:type="dxa"/>
        </w:trPr>
        <w:tc>
          <w:tcPr>
            <w:tcW w:w="0" w:type="auto"/>
            <w:shd w:val="clear" w:color="auto" w:fill="FFFFFF"/>
            <w:hideMark/>
          </w:tcPr>
          <w:p w14:paraId="3A99EE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Equity method investments</w:t>
            </w:r>
          </w:p>
        </w:tc>
        <w:tc>
          <w:tcPr>
            <w:tcW w:w="0" w:type="auto"/>
            <w:shd w:val="clear" w:color="auto" w:fill="FFFFFF"/>
            <w:vAlign w:val="bottom"/>
            <w:hideMark/>
          </w:tcPr>
          <w:p w14:paraId="3E52B3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5C975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C9D486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FFFFFF"/>
            <w:noWrap/>
            <w:vAlign w:val="bottom"/>
            <w:hideMark/>
          </w:tcPr>
          <w:p w14:paraId="58F02E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219C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18C26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8A530A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FFFFFF"/>
            <w:noWrap/>
            <w:vAlign w:val="bottom"/>
            <w:hideMark/>
          </w:tcPr>
          <w:p w14:paraId="444886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63B769D" w14:textId="77777777" w:rsidTr="004B2A77">
        <w:trPr>
          <w:trHeight w:val="180"/>
          <w:tblCellSpacing w:w="15" w:type="dxa"/>
        </w:trPr>
        <w:tc>
          <w:tcPr>
            <w:tcW w:w="0" w:type="auto"/>
            <w:shd w:val="clear" w:color="auto" w:fill="CFF0FC"/>
            <w:hideMark/>
          </w:tcPr>
          <w:p w14:paraId="6FB37C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Deferred tax assets</w:t>
            </w:r>
          </w:p>
        </w:tc>
        <w:tc>
          <w:tcPr>
            <w:tcW w:w="0" w:type="auto"/>
            <w:shd w:val="clear" w:color="auto" w:fill="CFF0FC"/>
            <w:vAlign w:val="bottom"/>
            <w:hideMark/>
          </w:tcPr>
          <w:p w14:paraId="53C65F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7C3BDB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1F69B35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289</w:t>
            </w:r>
          </w:p>
        </w:tc>
        <w:tc>
          <w:tcPr>
            <w:tcW w:w="0" w:type="auto"/>
            <w:shd w:val="clear" w:color="auto" w:fill="CFF0FC"/>
            <w:noWrap/>
            <w:vAlign w:val="center"/>
            <w:hideMark/>
          </w:tcPr>
          <w:p w14:paraId="35119D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FD0EE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0D4892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3433CF7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271</w:t>
            </w:r>
          </w:p>
        </w:tc>
        <w:tc>
          <w:tcPr>
            <w:tcW w:w="0" w:type="auto"/>
            <w:shd w:val="clear" w:color="auto" w:fill="CFF0FC"/>
            <w:noWrap/>
            <w:vAlign w:val="center"/>
            <w:hideMark/>
          </w:tcPr>
          <w:p w14:paraId="42AA9C5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85AD3B8" w14:textId="77777777" w:rsidTr="004B2A77">
        <w:trPr>
          <w:trHeight w:val="180"/>
          <w:tblCellSpacing w:w="15" w:type="dxa"/>
        </w:trPr>
        <w:tc>
          <w:tcPr>
            <w:tcW w:w="0" w:type="auto"/>
            <w:shd w:val="clear" w:color="auto" w:fill="FFFFFF"/>
            <w:hideMark/>
          </w:tcPr>
          <w:p w14:paraId="52423EC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Income tax receivables</w:t>
            </w:r>
          </w:p>
        </w:tc>
        <w:tc>
          <w:tcPr>
            <w:tcW w:w="0" w:type="auto"/>
            <w:shd w:val="clear" w:color="auto" w:fill="FFFFFF"/>
            <w:vAlign w:val="bottom"/>
            <w:hideMark/>
          </w:tcPr>
          <w:p w14:paraId="527009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2F1CE0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01EB25C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w:t>
            </w:r>
          </w:p>
        </w:tc>
        <w:tc>
          <w:tcPr>
            <w:tcW w:w="0" w:type="auto"/>
            <w:shd w:val="clear" w:color="auto" w:fill="FFFFFF"/>
            <w:noWrap/>
            <w:vAlign w:val="center"/>
            <w:hideMark/>
          </w:tcPr>
          <w:p w14:paraId="3514EC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EB667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36AC82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1329413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w:t>
            </w:r>
          </w:p>
        </w:tc>
        <w:tc>
          <w:tcPr>
            <w:tcW w:w="0" w:type="auto"/>
            <w:shd w:val="clear" w:color="auto" w:fill="FFFFFF"/>
            <w:noWrap/>
            <w:vAlign w:val="center"/>
            <w:hideMark/>
          </w:tcPr>
          <w:p w14:paraId="30B845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274BB66" w14:textId="77777777" w:rsidTr="004B2A77">
        <w:trPr>
          <w:trHeight w:val="180"/>
          <w:tblCellSpacing w:w="15" w:type="dxa"/>
        </w:trPr>
        <w:tc>
          <w:tcPr>
            <w:tcW w:w="0" w:type="auto"/>
            <w:shd w:val="clear" w:color="auto" w:fill="CFF0FC"/>
            <w:hideMark/>
          </w:tcPr>
          <w:p w14:paraId="3F78F23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Insurance receivables</w:t>
            </w:r>
          </w:p>
        </w:tc>
        <w:tc>
          <w:tcPr>
            <w:tcW w:w="0" w:type="auto"/>
            <w:shd w:val="clear" w:color="auto" w:fill="CFF0FC"/>
            <w:vAlign w:val="bottom"/>
            <w:hideMark/>
          </w:tcPr>
          <w:p w14:paraId="1DF00C0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1D0B4F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55E84B6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124</w:t>
            </w:r>
          </w:p>
        </w:tc>
        <w:tc>
          <w:tcPr>
            <w:tcW w:w="0" w:type="auto"/>
            <w:shd w:val="clear" w:color="auto" w:fill="CFF0FC"/>
            <w:noWrap/>
            <w:vAlign w:val="center"/>
            <w:hideMark/>
          </w:tcPr>
          <w:p w14:paraId="4BA0BB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04ADED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03539F4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3A12DB4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127</w:t>
            </w:r>
          </w:p>
        </w:tc>
        <w:tc>
          <w:tcPr>
            <w:tcW w:w="0" w:type="auto"/>
            <w:shd w:val="clear" w:color="auto" w:fill="CFF0FC"/>
            <w:noWrap/>
            <w:vAlign w:val="center"/>
            <w:hideMark/>
          </w:tcPr>
          <w:p w14:paraId="00734D9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3F480E2" w14:textId="77777777" w:rsidTr="004B2A77">
        <w:trPr>
          <w:trHeight w:val="180"/>
          <w:tblCellSpacing w:w="15" w:type="dxa"/>
        </w:trPr>
        <w:tc>
          <w:tcPr>
            <w:tcW w:w="0" w:type="auto"/>
            <w:shd w:val="clear" w:color="auto" w:fill="FFFFFF"/>
            <w:vAlign w:val="bottom"/>
            <w:hideMark/>
          </w:tcPr>
          <w:p w14:paraId="334629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 non-current assets</w:t>
            </w:r>
          </w:p>
        </w:tc>
        <w:tc>
          <w:tcPr>
            <w:tcW w:w="0" w:type="auto"/>
            <w:shd w:val="clear" w:color="auto" w:fill="FFFFFF"/>
            <w:vAlign w:val="bottom"/>
            <w:hideMark/>
          </w:tcPr>
          <w:p w14:paraId="25B5B2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center"/>
            <w:hideMark/>
          </w:tcPr>
          <w:p w14:paraId="468C2C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center"/>
            <w:hideMark/>
          </w:tcPr>
          <w:p w14:paraId="0A8DC66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56</w:t>
            </w:r>
          </w:p>
        </w:tc>
        <w:tc>
          <w:tcPr>
            <w:tcW w:w="0" w:type="auto"/>
            <w:shd w:val="clear" w:color="auto" w:fill="FFFFFF"/>
            <w:noWrap/>
            <w:vAlign w:val="center"/>
            <w:hideMark/>
          </w:tcPr>
          <w:p w14:paraId="7C01D54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D5FFF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center"/>
            <w:hideMark/>
          </w:tcPr>
          <w:p w14:paraId="16E9052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center"/>
            <w:hideMark/>
          </w:tcPr>
          <w:p w14:paraId="04787B7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51</w:t>
            </w:r>
          </w:p>
        </w:tc>
        <w:tc>
          <w:tcPr>
            <w:tcW w:w="0" w:type="auto"/>
            <w:shd w:val="clear" w:color="auto" w:fill="FFFFFF"/>
            <w:noWrap/>
            <w:vAlign w:val="center"/>
            <w:hideMark/>
          </w:tcPr>
          <w:p w14:paraId="1D2588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5C950A0" w14:textId="77777777" w:rsidTr="004B2A77">
        <w:trPr>
          <w:trHeight w:val="180"/>
          <w:tblCellSpacing w:w="15" w:type="dxa"/>
        </w:trPr>
        <w:tc>
          <w:tcPr>
            <w:tcW w:w="0" w:type="auto"/>
            <w:shd w:val="clear" w:color="auto" w:fill="CFF0FC"/>
            <w:vAlign w:val="bottom"/>
            <w:hideMark/>
          </w:tcPr>
          <w:p w14:paraId="16013B0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other non-current assets</w:t>
            </w:r>
          </w:p>
        </w:tc>
        <w:tc>
          <w:tcPr>
            <w:tcW w:w="0" w:type="auto"/>
            <w:shd w:val="clear" w:color="auto" w:fill="CFF0FC"/>
            <w:vAlign w:val="bottom"/>
            <w:hideMark/>
          </w:tcPr>
          <w:p w14:paraId="4841C4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E2C5B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26C3739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502</w:t>
            </w:r>
          </w:p>
        </w:tc>
        <w:tc>
          <w:tcPr>
            <w:tcW w:w="0" w:type="auto"/>
            <w:shd w:val="clear" w:color="auto" w:fill="CFF0FC"/>
            <w:noWrap/>
            <w:vAlign w:val="bottom"/>
            <w:hideMark/>
          </w:tcPr>
          <w:p w14:paraId="33376F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0C072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1ED15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1F4FD52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481</w:t>
            </w:r>
          </w:p>
        </w:tc>
        <w:tc>
          <w:tcPr>
            <w:tcW w:w="0" w:type="auto"/>
            <w:shd w:val="clear" w:color="auto" w:fill="CFF0FC"/>
            <w:noWrap/>
            <w:vAlign w:val="bottom"/>
            <w:hideMark/>
          </w:tcPr>
          <w:p w14:paraId="54B1D8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5726E15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099FB0E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of December 31, 2022 and 2021, the Company had one equity method investment. The Company owns 49% of Autoliv-Hirotako Safety Sdn, Bhd (parent and subsidiaries) in Malaysia which it currently does not control, but in which it exercises significant influence over operations and financial position.</w:t>
      </w:r>
    </w:p>
    <w:p w14:paraId="4E536AA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12EB053"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74</w:t>
      </w:r>
    </w:p>
    <w:p w14:paraId="272F5A70"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DAB86F4">
          <v:rect id="_x0000_i1101" style="width:0;height:1.5pt" o:hralign="center" o:hrstd="t" o:hrnoshade="t" o:hr="t" fillcolor="black" stroked="f"/>
        </w:pict>
      </w:r>
    </w:p>
    <w:p w14:paraId="5EAD3EF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754B5F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9. Property, Plant and Equipment</w:t>
      </w:r>
    </w:p>
    <w:p w14:paraId="47D5755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365"/>
        <w:gridCol w:w="265"/>
        <w:gridCol w:w="191"/>
        <w:gridCol w:w="1893"/>
        <w:gridCol w:w="191"/>
        <w:gridCol w:w="264"/>
        <w:gridCol w:w="191"/>
        <w:gridCol w:w="1908"/>
        <w:gridCol w:w="191"/>
        <w:gridCol w:w="264"/>
        <w:gridCol w:w="2768"/>
      </w:tblGrid>
      <w:tr w:rsidR="004B2A77" w:rsidRPr="004B2A77" w14:paraId="5D065C50" w14:textId="77777777" w:rsidTr="004B2A77">
        <w:trPr>
          <w:tblCellSpacing w:w="15" w:type="dxa"/>
        </w:trPr>
        <w:tc>
          <w:tcPr>
            <w:tcW w:w="8339" w:type="dxa"/>
            <w:vAlign w:val="center"/>
            <w:hideMark/>
          </w:tcPr>
          <w:p w14:paraId="63041FD7"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36" w:type="dxa"/>
            <w:vAlign w:val="center"/>
            <w:hideMark/>
          </w:tcPr>
          <w:p w14:paraId="304657A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159D14E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66" w:type="dxa"/>
            <w:vAlign w:val="center"/>
            <w:hideMark/>
          </w:tcPr>
          <w:p w14:paraId="4638CCF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0C1B3BA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4" w:type="dxa"/>
            <w:vAlign w:val="center"/>
            <w:hideMark/>
          </w:tcPr>
          <w:p w14:paraId="0BCB4F8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11B7B9A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81" w:type="dxa"/>
            <w:vAlign w:val="center"/>
            <w:hideMark/>
          </w:tcPr>
          <w:p w14:paraId="505AF97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4D20247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4" w:type="dxa"/>
            <w:vAlign w:val="center"/>
            <w:hideMark/>
          </w:tcPr>
          <w:p w14:paraId="6524B15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28" w:type="dxa"/>
            <w:vAlign w:val="center"/>
            <w:hideMark/>
          </w:tcPr>
          <w:p w14:paraId="4BB43FF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BFD3C45" w14:textId="77777777" w:rsidTr="004B2A77">
        <w:trPr>
          <w:trHeight w:val="160"/>
          <w:tblCellSpacing w:w="15" w:type="dxa"/>
        </w:trPr>
        <w:tc>
          <w:tcPr>
            <w:tcW w:w="0" w:type="auto"/>
            <w:shd w:val="clear" w:color="auto" w:fill="FFFFFF"/>
            <w:vAlign w:val="bottom"/>
            <w:hideMark/>
          </w:tcPr>
          <w:p w14:paraId="58105FB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073617CE"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gridSpan w:val="6"/>
            <w:tcBorders>
              <w:bottom w:val="single" w:sz="4" w:space="0" w:color="000000"/>
            </w:tcBorders>
            <w:shd w:val="clear" w:color="auto" w:fill="FFFFFF"/>
            <w:vAlign w:val="bottom"/>
            <w:hideMark/>
          </w:tcPr>
          <w:p w14:paraId="413BDF2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December 31,</w:t>
            </w:r>
          </w:p>
        </w:tc>
        <w:tc>
          <w:tcPr>
            <w:tcW w:w="0" w:type="auto"/>
            <w:shd w:val="clear" w:color="auto" w:fill="FFFFFF"/>
            <w:vAlign w:val="bottom"/>
            <w:hideMark/>
          </w:tcPr>
          <w:p w14:paraId="30ECA02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0C9C35B"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shd w:val="clear" w:color="auto" w:fill="FFFFFF"/>
            <w:vAlign w:val="bottom"/>
            <w:hideMark/>
          </w:tcPr>
          <w:p w14:paraId="575827D7"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r>
      <w:tr w:rsidR="004B2A77" w:rsidRPr="004B2A77" w14:paraId="2DA9F630" w14:textId="77777777" w:rsidTr="004B2A77">
        <w:trPr>
          <w:trHeight w:val="160"/>
          <w:tblCellSpacing w:w="15" w:type="dxa"/>
        </w:trPr>
        <w:tc>
          <w:tcPr>
            <w:tcW w:w="0" w:type="auto"/>
            <w:shd w:val="clear" w:color="auto" w:fill="FFFFFF"/>
            <w:vAlign w:val="bottom"/>
            <w:hideMark/>
          </w:tcPr>
          <w:p w14:paraId="6CFE0E3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974243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79EB39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0E5C7EA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D7280A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CBDD61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19CBFBC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18650F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tcBorders>
              <w:bottom w:val="single" w:sz="4" w:space="0" w:color="000000"/>
            </w:tcBorders>
            <w:shd w:val="clear" w:color="auto" w:fill="FFFFFF"/>
            <w:vAlign w:val="bottom"/>
            <w:hideMark/>
          </w:tcPr>
          <w:p w14:paraId="58DCE78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Estimated life</w:t>
            </w:r>
          </w:p>
        </w:tc>
      </w:tr>
      <w:tr w:rsidR="004B2A77" w:rsidRPr="004B2A77" w14:paraId="7172A6EB" w14:textId="77777777" w:rsidTr="004B2A77">
        <w:trPr>
          <w:trHeight w:val="180"/>
          <w:tblCellSpacing w:w="15" w:type="dxa"/>
        </w:trPr>
        <w:tc>
          <w:tcPr>
            <w:tcW w:w="0" w:type="auto"/>
            <w:shd w:val="clear" w:color="auto" w:fill="FFFFFF"/>
            <w:hideMark/>
          </w:tcPr>
          <w:p w14:paraId="6C565D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Land and land improvements</w:t>
            </w:r>
          </w:p>
        </w:tc>
        <w:tc>
          <w:tcPr>
            <w:tcW w:w="0" w:type="auto"/>
            <w:shd w:val="clear" w:color="auto" w:fill="FFFFFF"/>
            <w:vAlign w:val="bottom"/>
            <w:hideMark/>
          </w:tcPr>
          <w:p w14:paraId="48488F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2A3DC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33ED19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125</w:t>
            </w:r>
          </w:p>
        </w:tc>
        <w:tc>
          <w:tcPr>
            <w:tcW w:w="0" w:type="auto"/>
            <w:shd w:val="clear" w:color="auto" w:fill="FFFFFF"/>
            <w:noWrap/>
            <w:vAlign w:val="bottom"/>
            <w:hideMark/>
          </w:tcPr>
          <w:p w14:paraId="1BFC78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FB651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06D95F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7200DA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147</w:t>
            </w:r>
          </w:p>
        </w:tc>
        <w:tc>
          <w:tcPr>
            <w:tcW w:w="0" w:type="auto"/>
            <w:shd w:val="clear" w:color="auto" w:fill="FFFFFF"/>
            <w:noWrap/>
            <w:vAlign w:val="bottom"/>
            <w:hideMark/>
          </w:tcPr>
          <w:p w14:paraId="43B8E4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72EBF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785C20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n/a to 15</w:t>
            </w:r>
          </w:p>
        </w:tc>
      </w:tr>
      <w:tr w:rsidR="004B2A77" w:rsidRPr="004B2A77" w14:paraId="28DEC664" w14:textId="77777777" w:rsidTr="004B2A77">
        <w:trPr>
          <w:trHeight w:val="180"/>
          <w:tblCellSpacing w:w="15" w:type="dxa"/>
        </w:trPr>
        <w:tc>
          <w:tcPr>
            <w:tcW w:w="0" w:type="auto"/>
            <w:shd w:val="clear" w:color="auto" w:fill="CFF0FC"/>
            <w:hideMark/>
          </w:tcPr>
          <w:p w14:paraId="567A6D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Buildings</w:t>
            </w:r>
          </w:p>
        </w:tc>
        <w:tc>
          <w:tcPr>
            <w:tcW w:w="0" w:type="auto"/>
            <w:shd w:val="clear" w:color="auto" w:fill="CFF0FC"/>
            <w:vAlign w:val="bottom"/>
            <w:hideMark/>
          </w:tcPr>
          <w:p w14:paraId="31CE335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E9401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EFDBEC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957</w:t>
            </w:r>
          </w:p>
        </w:tc>
        <w:tc>
          <w:tcPr>
            <w:tcW w:w="0" w:type="auto"/>
            <w:shd w:val="clear" w:color="auto" w:fill="CFF0FC"/>
            <w:noWrap/>
            <w:vAlign w:val="bottom"/>
            <w:hideMark/>
          </w:tcPr>
          <w:p w14:paraId="078D22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C5E32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4D512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D2D04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957</w:t>
            </w:r>
          </w:p>
        </w:tc>
        <w:tc>
          <w:tcPr>
            <w:tcW w:w="0" w:type="auto"/>
            <w:shd w:val="clear" w:color="auto" w:fill="CFF0FC"/>
            <w:noWrap/>
            <w:vAlign w:val="bottom"/>
            <w:hideMark/>
          </w:tcPr>
          <w:p w14:paraId="1325745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EEE09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CFAB42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20-40</w:t>
            </w:r>
          </w:p>
        </w:tc>
      </w:tr>
      <w:tr w:rsidR="004B2A77" w:rsidRPr="004B2A77" w14:paraId="24A901E3" w14:textId="77777777" w:rsidTr="004B2A77">
        <w:trPr>
          <w:trHeight w:val="180"/>
          <w:tblCellSpacing w:w="15" w:type="dxa"/>
        </w:trPr>
        <w:tc>
          <w:tcPr>
            <w:tcW w:w="0" w:type="auto"/>
            <w:shd w:val="clear" w:color="auto" w:fill="FFFFFF"/>
            <w:hideMark/>
          </w:tcPr>
          <w:p w14:paraId="056DAB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Machinery and equipment</w:t>
            </w:r>
          </w:p>
        </w:tc>
        <w:tc>
          <w:tcPr>
            <w:tcW w:w="0" w:type="auto"/>
            <w:shd w:val="clear" w:color="auto" w:fill="FFFFFF"/>
            <w:vAlign w:val="bottom"/>
            <w:hideMark/>
          </w:tcPr>
          <w:p w14:paraId="5B6B01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314B6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CBB76F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4,155</w:t>
            </w:r>
          </w:p>
        </w:tc>
        <w:tc>
          <w:tcPr>
            <w:tcW w:w="0" w:type="auto"/>
            <w:shd w:val="clear" w:color="auto" w:fill="FFFFFF"/>
            <w:noWrap/>
            <w:vAlign w:val="bottom"/>
            <w:hideMark/>
          </w:tcPr>
          <w:p w14:paraId="7ECF069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73DBA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616AE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F363BA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4,193</w:t>
            </w:r>
          </w:p>
        </w:tc>
        <w:tc>
          <w:tcPr>
            <w:tcW w:w="0" w:type="auto"/>
            <w:shd w:val="clear" w:color="auto" w:fill="FFFFFF"/>
            <w:noWrap/>
            <w:vAlign w:val="bottom"/>
            <w:hideMark/>
          </w:tcPr>
          <w:p w14:paraId="0E9AE4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742F8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3FFBB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3-12</w:t>
            </w:r>
          </w:p>
        </w:tc>
      </w:tr>
      <w:tr w:rsidR="004B2A77" w:rsidRPr="004B2A77" w14:paraId="10266C55" w14:textId="77777777" w:rsidTr="004B2A77">
        <w:trPr>
          <w:trHeight w:val="180"/>
          <w:tblCellSpacing w:w="15" w:type="dxa"/>
        </w:trPr>
        <w:tc>
          <w:tcPr>
            <w:tcW w:w="0" w:type="auto"/>
            <w:shd w:val="clear" w:color="auto" w:fill="CFF0FC"/>
            <w:hideMark/>
          </w:tcPr>
          <w:p w14:paraId="02BA29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Construction in progress</w:t>
            </w:r>
          </w:p>
        </w:tc>
        <w:tc>
          <w:tcPr>
            <w:tcW w:w="0" w:type="auto"/>
            <w:shd w:val="clear" w:color="auto" w:fill="CFF0FC"/>
            <w:vAlign w:val="bottom"/>
            <w:hideMark/>
          </w:tcPr>
          <w:p w14:paraId="3AE42F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5EF152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AFA6BE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523</w:t>
            </w:r>
          </w:p>
        </w:tc>
        <w:tc>
          <w:tcPr>
            <w:tcW w:w="0" w:type="auto"/>
            <w:shd w:val="clear" w:color="auto" w:fill="CFF0FC"/>
            <w:noWrap/>
            <w:vAlign w:val="bottom"/>
            <w:hideMark/>
          </w:tcPr>
          <w:p w14:paraId="24098E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DB43B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65C5C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06869E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354</w:t>
            </w:r>
          </w:p>
        </w:tc>
        <w:tc>
          <w:tcPr>
            <w:tcW w:w="0" w:type="auto"/>
            <w:shd w:val="clear" w:color="auto" w:fill="CFF0FC"/>
            <w:noWrap/>
            <w:vAlign w:val="bottom"/>
            <w:hideMark/>
          </w:tcPr>
          <w:p w14:paraId="00B346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893C5C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1747B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n/a</w:t>
            </w:r>
          </w:p>
        </w:tc>
      </w:tr>
      <w:tr w:rsidR="004B2A77" w:rsidRPr="004B2A77" w14:paraId="2429F72E" w14:textId="77777777" w:rsidTr="004B2A77">
        <w:trPr>
          <w:trHeight w:val="180"/>
          <w:tblCellSpacing w:w="15" w:type="dxa"/>
        </w:trPr>
        <w:tc>
          <w:tcPr>
            <w:tcW w:w="0" w:type="auto"/>
            <w:shd w:val="clear" w:color="auto" w:fill="FFFFFF"/>
            <w:hideMark/>
          </w:tcPr>
          <w:p w14:paraId="2D16A5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Property, plant and equipment</w:t>
            </w:r>
          </w:p>
        </w:tc>
        <w:tc>
          <w:tcPr>
            <w:tcW w:w="0" w:type="auto"/>
            <w:shd w:val="clear" w:color="auto" w:fill="FFFFFF"/>
            <w:vAlign w:val="bottom"/>
            <w:hideMark/>
          </w:tcPr>
          <w:p w14:paraId="58CDDD0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CA4C3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7F4EE1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5,760</w:t>
            </w:r>
          </w:p>
        </w:tc>
        <w:tc>
          <w:tcPr>
            <w:tcW w:w="0" w:type="auto"/>
            <w:shd w:val="clear" w:color="auto" w:fill="FFFFFF"/>
            <w:noWrap/>
            <w:vAlign w:val="bottom"/>
            <w:hideMark/>
          </w:tcPr>
          <w:p w14:paraId="5A5FB6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4D665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FEDE8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4F78A6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5,651</w:t>
            </w:r>
          </w:p>
        </w:tc>
        <w:tc>
          <w:tcPr>
            <w:tcW w:w="0" w:type="auto"/>
            <w:shd w:val="clear" w:color="auto" w:fill="FFFFFF"/>
            <w:noWrap/>
            <w:vAlign w:val="bottom"/>
            <w:hideMark/>
          </w:tcPr>
          <w:p w14:paraId="578482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84E6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9BF59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6C6C7D8" w14:textId="77777777" w:rsidTr="004B2A77">
        <w:trPr>
          <w:trHeight w:val="180"/>
          <w:tblCellSpacing w:w="15" w:type="dxa"/>
        </w:trPr>
        <w:tc>
          <w:tcPr>
            <w:tcW w:w="0" w:type="auto"/>
            <w:shd w:val="clear" w:color="auto" w:fill="CFF0FC"/>
            <w:hideMark/>
          </w:tcPr>
          <w:p w14:paraId="78FC58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Less accumulated depreciation</w:t>
            </w:r>
          </w:p>
        </w:tc>
        <w:tc>
          <w:tcPr>
            <w:tcW w:w="0" w:type="auto"/>
            <w:shd w:val="clear" w:color="auto" w:fill="CFF0FC"/>
            <w:vAlign w:val="bottom"/>
            <w:hideMark/>
          </w:tcPr>
          <w:p w14:paraId="03D0C1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A9A04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1A438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(3,800</w:t>
            </w:r>
          </w:p>
        </w:tc>
        <w:tc>
          <w:tcPr>
            <w:tcW w:w="0" w:type="auto"/>
            <w:shd w:val="clear" w:color="auto" w:fill="CFF0FC"/>
            <w:noWrap/>
            <w:vAlign w:val="bottom"/>
            <w:hideMark/>
          </w:tcPr>
          <w:p w14:paraId="142B50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CBC0B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50D55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B88914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(3,796</w:t>
            </w:r>
          </w:p>
        </w:tc>
        <w:tc>
          <w:tcPr>
            <w:tcW w:w="0" w:type="auto"/>
            <w:shd w:val="clear" w:color="auto" w:fill="CFF0FC"/>
            <w:noWrap/>
            <w:vAlign w:val="bottom"/>
            <w:hideMark/>
          </w:tcPr>
          <w:p w14:paraId="213A68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8C2EF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97C75F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E9E57BA" w14:textId="77777777" w:rsidTr="004B2A77">
        <w:trPr>
          <w:trHeight w:val="180"/>
          <w:tblCellSpacing w:w="15" w:type="dxa"/>
        </w:trPr>
        <w:tc>
          <w:tcPr>
            <w:tcW w:w="0" w:type="auto"/>
            <w:shd w:val="clear" w:color="auto" w:fill="FFFFFF"/>
            <w:hideMark/>
          </w:tcPr>
          <w:p w14:paraId="52ED83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Net of depreciation</w:t>
            </w:r>
          </w:p>
        </w:tc>
        <w:tc>
          <w:tcPr>
            <w:tcW w:w="0" w:type="auto"/>
            <w:shd w:val="clear" w:color="auto" w:fill="FFFFFF"/>
            <w:vAlign w:val="bottom"/>
            <w:hideMark/>
          </w:tcPr>
          <w:p w14:paraId="7CC7BF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61951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6452436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1,960</w:t>
            </w:r>
          </w:p>
        </w:tc>
        <w:tc>
          <w:tcPr>
            <w:tcW w:w="0" w:type="auto"/>
            <w:shd w:val="clear" w:color="auto" w:fill="FFFFFF"/>
            <w:noWrap/>
            <w:vAlign w:val="bottom"/>
            <w:hideMark/>
          </w:tcPr>
          <w:p w14:paraId="42F0CD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0BE7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2B95A8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1BD3779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1,855</w:t>
            </w:r>
          </w:p>
        </w:tc>
        <w:tc>
          <w:tcPr>
            <w:tcW w:w="0" w:type="auto"/>
            <w:shd w:val="clear" w:color="auto" w:fill="FFFFFF"/>
            <w:noWrap/>
            <w:vAlign w:val="bottom"/>
            <w:hideMark/>
          </w:tcPr>
          <w:p w14:paraId="1A9EAC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458FF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54EE46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4B987FD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8608"/>
        <w:gridCol w:w="270"/>
        <w:gridCol w:w="189"/>
        <w:gridCol w:w="1972"/>
        <w:gridCol w:w="190"/>
        <w:gridCol w:w="271"/>
        <w:gridCol w:w="190"/>
        <w:gridCol w:w="1972"/>
        <w:gridCol w:w="190"/>
        <w:gridCol w:w="271"/>
        <w:gridCol w:w="190"/>
        <w:gridCol w:w="1972"/>
        <w:gridCol w:w="206"/>
      </w:tblGrid>
      <w:tr w:rsidR="004B2A77" w:rsidRPr="004B2A77" w14:paraId="2A7180C8" w14:textId="77777777" w:rsidTr="004B2A77">
        <w:trPr>
          <w:tblCellSpacing w:w="15" w:type="dxa"/>
        </w:trPr>
        <w:tc>
          <w:tcPr>
            <w:tcW w:w="8579" w:type="dxa"/>
            <w:vAlign w:val="center"/>
            <w:hideMark/>
          </w:tcPr>
          <w:p w14:paraId="346E46E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41" w:type="dxa"/>
            <w:vAlign w:val="center"/>
            <w:hideMark/>
          </w:tcPr>
          <w:p w14:paraId="05A220C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7D0092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5" w:type="dxa"/>
            <w:vAlign w:val="center"/>
            <w:hideMark/>
          </w:tcPr>
          <w:p w14:paraId="42FBB9A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E0DA35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1" w:type="dxa"/>
            <w:vAlign w:val="center"/>
            <w:hideMark/>
          </w:tcPr>
          <w:p w14:paraId="7C3F32F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F94089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5" w:type="dxa"/>
            <w:vAlign w:val="center"/>
            <w:hideMark/>
          </w:tcPr>
          <w:p w14:paraId="0D19C23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03BED5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1" w:type="dxa"/>
            <w:vAlign w:val="center"/>
            <w:hideMark/>
          </w:tcPr>
          <w:p w14:paraId="060D72D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CFB26C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5" w:type="dxa"/>
            <w:vAlign w:val="center"/>
            <w:hideMark/>
          </w:tcPr>
          <w:p w14:paraId="5A0A77A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5E9C3A32"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7EBB8F2" w14:textId="77777777" w:rsidTr="004B2A77">
        <w:trPr>
          <w:trHeight w:val="160"/>
          <w:tblCellSpacing w:w="15" w:type="dxa"/>
        </w:trPr>
        <w:tc>
          <w:tcPr>
            <w:tcW w:w="0" w:type="auto"/>
            <w:shd w:val="clear" w:color="auto" w:fill="FFFFFF"/>
            <w:vAlign w:val="bottom"/>
            <w:hideMark/>
          </w:tcPr>
          <w:p w14:paraId="5F6652B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DEPRECIATION INCLUDED IN</w:t>
            </w:r>
          </w:p>
        </w:tc>
        <w:tc>
          <w:tcPr>
            <w:tcW w:w="0" w:type="auto"/>
            <w:shd w:val="clear" w:color="auto" w:fill="FFFFFF"/>
            <w:vAlign w:val="bottom"/>
            <w:hideMark/>
          </w:tcPr>
          <w:p w14:paraId="7380436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AA7534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03200B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951477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E30614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2111871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879299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B3D7FB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21586A1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024036C8" w14:textId="77777777" w:rsidTr="004B2A77">
        <w:trPr>
          <w:trHeight w:val="180"/>
          <w:tblCellSpacing w:w="15" w:type="dxa"/>
        </w:trPr>
        <w:tc>
          <w:tcPr>
            <w:tcW w:w="0" w:type="auto"/>
            <w:shd w:val="clear" w:color="auto" w:fill="CFF0FC"/>
            <w:hideMark/>
          </w:tcPr>
          <w:p w14:paraId="0922F0A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Cost of sales</w:t>
            </w:r>
          </w:p>
        </w:tc>
        <w:tc>
          <w:tcPr>
            <w:tcW w:w="0" w:type="auto"/>
            <w:shd w:val="clear" w:color="auto" w:fill="CFF0FC"/>
            <w:vAlign w:val="bottom"/>
            <w:hideMark/>
          </w:tcPr>
          <w:p w14:paraId="1C7747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701DD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DA8829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329</w:t>
            </w:r>
          </w:p>
        </w:tc>
        <w:tc>
          <w:tcPr>
            <w:tcW w:w="0" w:type="auto"/>
            <w:shd w:val="clear" w:color="auto" w:fill="CFF0FC"/>
            <w:noWrap/>
            <w:vAlign w:val="bottom"/>
            <w:hideMark/>
          </w:tcPr>
          <w:p w14:paraId="14A663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E376F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FABCD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CFAF67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348</w:t>
            </w:r>
          </w:p>
        </w:tc>
        <w:tc>
          <w:tcPr>
            <w:tcW w:w="0" w:type="auto"/>
            <w:shd w:val="clear" w:color="auto" w:fill="CFF0FC"/>
            <w:noWrap/>
            <w:vAlign w:val="bottom"/>
            <w:hideMark/>
          </w:tcPr>
          <w:p w14:paraId="02CE20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8C39B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334A5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5C118A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327</w:t>
            </w:r>
          </w:p>
        </w:tc>
        <w:tc>
          <w:tcPr>
            <w:tcW w:w="0" w:type="auto"/>
            <w:shd w:val="clear" w:color="auto" w:fill="CFF0FC"/>
            <w:noWrap/>
            <w:vAlign w:val="bottom"/>
            <w:hideMark/>
          </w:tcPr>
          <w:p w14:paraId="6BDC6C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1468BA1" w14:textId="77777777" w:rsidTr="004B2A77">
        <w:trPr>
          <w:trHeight w:val="180"/>
          <w:tblCellSpacing w:w="15" w:type="dxa"/>
        </w:trPr>
        <w:tc>
          <w:tcPr>
            <w:tcW w:w="0" w:type="auto"/>
            <w:shd w:val="clear" w:color="auto" w:fill="FFFFFF"/>
            <w:hideMark/>
          </w:tcPr>
          <w:p w14:paraId="748245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Selling, general and administrative expenses</w:t>
            </w:r>
          </w:p>
        </w:tc>
        <w:tc>
          <w:tcPr>
            <w:tcW w:w="0" w:type="auto"/>
            <w:shd w:val="clear" w:color="auto" w:fill="FFFFFF"/>
            <w:vAlign w:val="bottom"/>
            <w:hideMark/>
          </w:tcPr>
          <w:p w14:paraId="44B094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52C4D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FA329D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FFFFFF"/>
            <w:noWrap/>
            <w:vAlign w:val="bottom"/>
            <w:hideMark/>
          </w:tcPr>
          <w:p w14:paraId="4189BF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C93D8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EEE79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DBD5E2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w:t>
            </w:r>
          </w:p>
        </w:tc>
        <w:tc>
          <w:tcPr>
            <w:tcW w:w="0" w:type="auto"/>
            <w:shd w:val="clear" w:color="auto" w:fill="FFFFFF"/>
            <w:noWrap/>
            <w:vAlign w:val="bottom"/>
            <w:hideMark/>
          </w:tcPr>
          <w:p w14:paraId="34D19B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8573E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5F6E42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B9AC1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w:t>
            </w:r>
          </w:p>
        </w:tc>
        <w:tc>
          <w:tcPr>
            <w:tcW w:w="0" w:type="auto"/>
            <w:shd w:val="clear" w:color="auto" w:fill="FFFFFF"/>
            <w:noWrap/>
            <w:vAlign w:val="bottom"/>
            <w:hideMark/>
          </w:tcPr>
          <w:p w14:paraId="1AEBC0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C6043E9" w14:textId="77777777" w:rsidTr="004B2A77">
        <w:trPr>
          <w:trHeight w:val="180"/>
          <w:tblCellSpacing w:w="15" w:type="dxa"/>
        </w:trPr>
        <w:tc>
          <w:tcPr>
            <w:tcW w:w="0" w:type="auto"/>
            <w:shd w:val="clear" w:color="auto" w:fill="CFF0FC"/>
            <w:hideMark/>
          </w:tcPr>
          <w:p w14:paraId="6A6798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Research, development and engineering expenses, net</w:t>
            </w:r>
          </w:p>
        </w:tc>
        <w:tc>
          <w:tcPr>
            <w:tcW w:w="0" w:type="auto"/>
            <w:shd w:val="clear" w:color="auto" w:fill="CFF0FC"/>
            <w:vAlign w:val="bottom"/>
            <w:hideMark/>
          </w:tcPr>
          <w:p w14:paraId="234C67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53112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6A1EE3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w:t>
            </w:r>
          </w:p>
        </w:tc>
        <w:tc>
          <w:tcPr>
            <w:tcW w:w="0" w:type="auto"/>
            <w:shd w:val="clear" w:color="auto" w:fill="CFF0FC"/>
            <w:noWrap/>
            <w:vAlign w:val="bottom"/>
            <w:hideMark/>
          </w:tcPr>
          <w:p w14:paraId="0D3B73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CB92B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6B4E1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437B37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23</w:t>
            </w:r>
          </w:p>
        </w:tc>
        <w:tc>
          <w:tcPr>
            <w:tcW w:w="0" w:type="auto"/>
            <w:shd w:val="clear" w:color="auto" w:fill="CFF0FC"/>
            <w:noWrap/>
            <w:vAlign w:val="bottom"/>
            <w:hideMark/>
          </w:tcPr>
          <w:p w14:paraId="67EC928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9BF1F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428BA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99459E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w:t>
            </w:r>
          </w:p>
        </w:tc>
        <w:tc>
          <w:tcPr>
            <w:tcW w:w="0" w:type="auto"/>
            <w:shd w:val="clear" w:color="auto" w:fill="CFF0FC"/>
            <w:noWrap/>
            <w:vAlign w:val="bottom"/>
            <w:hideMark/>
          </w:tcPr>
          <w:p w14:paraId="6B4A4C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6B31665" w14:textId="77777777" w:rsidTr="004B2A77">
        <w:trPr>
          <w:trHeight w:val="180"/>
          <w:tblCellSpacing w:w="15" w:type="dxa"/>
        </w:trPr>
        <w:tc>
          <w:tcPr>
            <w:tcW w:w="0" w:type="auto"/>
            <w:shd w:val="clear" w:color="auto" w:fill="FFFFFF"/>
            <w:hideMark/>
          </w:tcPr>
          <w:p w14:paraId="3419F7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FFFFFF"/>
            <w:vAlign w:val="bottom"/>
            <w:hideMark/>
          </w:tcPr>
          <w:p w14:paraId="632834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875A6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747C627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360</w:t>
            </w:r>
          </w:p>
        </w:tc>
        <w:tc>
          <w:tcPr>
            <w:tcW w:w="0" w:type="auto"/>
            <w:shd w:val="clear" w:color="auto" w:fill="FFFFFF"/>
            <w:noWrap/>
            <w:vAlign w:val="bottom"/>
            <w:hideMark/>
          </w:tcPr>
          <w:p w14:paraId="62DAC59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DDB72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6BE8C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3713D3D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384</w:t>
            </w:r>
          </w:p>
        </w:tc>
        <w:tc>
          <w:tcPr>
            <w:tcW w:w="0" w:type="auto"/>
            <w:shd w:val="clear" w:color="auto" w:fill="FFFFFF"/>
            <w:noWrap/>
            <w:vAlign w:val="bottom"/>
            <w:hideMark/>
          </w:tcPr>
          <w:p w14:paraId="0EB2BB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9DE08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5FA8E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083E203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361</w:t>
            </w:r>
          </w:p>
        </w:tc>
        <w:tc>
          <w:tcPr>
            <w:tcW w:w="0" w:type="auto"/>
            <w:shd w:val="clear" w:color="auto" w:fill="FFFFFF"/>
            <w:noWrap/>
            <w:vAlign w:val="bottom"/>
            <w:hideMark/>
          </w:tcPr>
          <w:p w14:paraId="526779A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7F6EFDE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600F5F4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No significant fixed asset impairments related to the Company’s operations were recognized during 2022, 2021 or 2020.</w:t>
      </w:r>
    </w:p>
    <w:p w14:paraId="48C646C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net book value of machinery and equipment and buildings and land under finance lease contracts recorded at December 31, 2022 and December 31, 2021 were immaterial. The amortization expense related to finance leases is included with depreciation expenses disclosed in the table above.</w:t>
      </w:r>
    </w:p>
    <w:p w14:paraId="7997594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10. Goodwill and Intangible Assets</w:t>
      </w:r>
    </w:p>
    <w:p w14:paraId="3E47D53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10507"/>
        <w:gridCol w:w="259"/>
        <w:gridCol w:w="171"/>
        <w:gridCol w:w="1341"/>
        <w:gridCol w:w="171"/>
        <w:gridCol w:w="264"/>
        <w:gridCol w:w="171"/>
        <w:gridCol w:w="1360"/>
        <w:gridCol w:w="186"/>
      </w:tblGrid>
      <w:tr w:rsidR="004B2A77" w:rsidRPr="004B2A77" w14:paraId="181A6D6D" w14:textId="77777777" w:rsidTr="004B2A77">
        <w:trPr>
          <w:tblCellSpacing w:w="15" w:type="dxa"/>
        </w:trPr>
        <w:tc>
          <w:tcPr>
            <w:tcW w:w="10488" w:type="dxa"/>
            <w:vAlign w:val="center"/>
            <w:hideMark/>
          </w:tcPr>
          <w:p w14:paraId="64CBD7FA"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9" w:type="dxa"/>
            <w:vAlign w:val="center"/>
            <w:hideMark/>
          </w:tcPr>
          <w:p w14:paraId="7B297DB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01C8C4E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3" w:type="dxa"/>
            <w:vAlign w:val="center"/>
            <w:hideMark/>
          </w:tcPr>
          <w:p w14:paraId="0E36894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5D3DBEA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4" w:type="dxa"/>
            <w:vAlign w:val="center"/>
            <w:hideMark/>
          </w:tcPr>
          <w:p w14:paraId="24C7737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2A681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32" w:type="dxa"/>
            <w:vAlign w:val="center"/>
            <w:hideMark/>
          </w:tcPr>
          <w:p w14:paraId="18BF94C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08BB64E5"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664760B" w14:textId="77777777" w:rsidTr="004B2A77">
        <w:trPr>
          <w:trHeight w:val="160"/>
          <w:tblCellSpacing w:w="15" w:type="dxa"/>
        </w:trPr>
        <w:tc>
          <w:tcPr>
            <w:tcW w:w="0" w:type="auto"/>
            <w:shd w:val="clear" w:color="auto" w:fill="FFFFFF"/>
            <w:vAlign w:val="bottom"/>
            <w:hideMark/>
          </w:tcPr>
          <w:p w14:paraId="48E4A5F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 xml:space="preserve">GOODWILL </w:t>
            </w: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06BFFDD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E7A571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066C888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CBE046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0BB8BB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65EC542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3E3163B" w14:textId="77777777" w:rsidTr="004B2A77">
        <w:trPr>
          <w:trHeight w:val="180"/>
          <w:tblCellSpacing w:w="15" w:type="dxa"/>
        </w:trPr>
        <w:tc>
          <w:tcPr>
            <w:tcW w:w="0" w:type="auto"/>
            <w:shd w:val="clear" w:color="auto" w:fill="CFF0FC"/>
            <w:hideMark/>
          </w:tcPr>
          <w:p w14:paraId="471147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Carrying amount at beginning of year</w:t>
            </w:r>
          </w:p>
        </w:tc>
        <w:tc>
          <w:tcPr>
            <w:tcW w:w="0" w:type="auto"/>
            <w:shd w:val="clear" w:color="auto" w:fill="CFF0FC"/>
            <w:vAlign w:val="bottom"/>
            <w:hideMark/>
          </w:tcPr>
          <w:p w14:paraId="7CF9B2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24432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D44D51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1,387</w:t>
            </w:r>
          </w:p>
        </w:tc>
        <w:tc>
          <w:tcPr>
            <w:tcW w:w="0" w:type="auto"/>
            <w:shd w:val="clear" w:color="auto" w:fill="CFF0FC"/>
            <w:noWrap/>
            <w:vAlign w:val="bottom"/>
            <w:hideMark/>
          </w:tcPr>
          <w:p w14:paraId="34B0964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582B680"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shd w:val="clear" w:color="auto" w:fill="CFF0FC"/>
            <w:noWrap/>
            <w:vAlign w:val="bottom"/>
            <w:hideMark/>
          </w:tcPr>
          <w:p w14:paraId="32A044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983546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1,398</w:t>
            </w:r>
          </w:p>
        </w:tc>
        <w:tc>
          <w:tcPr>
            <w:tcW w:w="0" w:type="auto"/>
            <w:shd w:val="clear" w:color="auto" w:fill="CFF0FC"/>
            <w:noWrap/>
            <w:vAlign w:val="bottom"/>
            <w:hideMark/>
          </w:tcPr>
          <w:p w14:paraId="4E490F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5226B3F" w14:textId="77777777" w:rsidTr="004B2A77">
        <w:trPr>
          <w:trHeight w:val="180"/>
          <w:tblCellSpacing w:w="15" w:type="dxa"/>
        </w:trPr>
        <w:tc>
          <w:tcPr>
            <w:tcW w:w="0" w:type="auto"/>
            <w:shd w:val="clear" w:color="auto" w:fill="FFFFFF"/>
            <w:hideMark/>
          </w:tcPr>
          <w:p w14:paraId="19D8B2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differences</w:t>
            </w:r>
          </w:p>
        </w:tc>
        <w:tc>
          <w:tcPr>
            <w:tcW w:w="0" w:type="auto"/>
            <w:shd w:val="clear" w:color="auto" w:fill="FFFFFF"/>
            <w:vAlign w:val="bottom"/>
            <w:hideMark/>
          </w:tcPr>
          <w:p w14:paraId="294A3C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FF775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373711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FFFFFF"/>
            <w:noWrap/>
            <w:vAlign w:val="bottom"/>
            <w:hideMark/>
          </w:tcPr>
          <w:p w14:paraId="2EC66C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D3B639A"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tcBorders>
              <w:bottom w:val="single" w:sz="4" w:space="0" w:color="000000"/>
            </w:tcBorders>
            <w:shd w:val="clear" w:color="auto" w:fill="FFFFFF"/>
            <w:noWrap/>
            <w:vAlign w:val="bottom"/>
            <w:hideMark/>
          </w:tcPr>
          <w:p w14:paraId="3A68CD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18E8DB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FFFFFF"/>
            <w:noWrap/>
            <w:vAlign w:val="bottom"/>
            <w:hideMark/>
          </w:tcPr>
          <w:p w14:paraId="34DE74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7584AAC6" w14:textId="77777777" w:rsidTr="004B2A77">
        <w:trPr>
          <w:trHeight w:val="180"/>
          <w:tblCellSpacing w:w="15" w:type="dxa"/>
        </w:trPr>
        <w:tc>
          <w:tcPr>
            <w:tcW w:w="0" w:type="auto"/>
            <w:shd w:val="clear" w:color="auto" w:fill="CFF0FC"/>
            <w:hideMark/>
          </w:tcPr>
          <w:p w14:paraId="247945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Carrying amount at end of year</w:t>
            </w:r>
          </w:p>
        </w:tc>
        <w:tc>
          <w:tcPr>
            <w:tcW w:w="0" w:type="auto"/>
            <w:shd w:val="clear" w:color="auto" w:fill="CFF0FC"/>
            <w:vAlign w:val="bottom"/>
            <w:hideMark/>
          </w:tcPr>
          <w:p w14:paraId="5B7885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9AFBE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263BD84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1,375</w:t>
            </w:r>
          </w:p>
        </w:tc>
        <w:tc>
          <w:tcPr>
            <w:tcW w:w="0" w:type="auto"/>
            <w:shd w:val="clear" w:color="auto" w:fill="CFF0FC"/>
            <w:noWrap/>
            <w:vAlign w:val="bottom"/>
            <w:hideMark/>
          </w:tcPr>
          <w:p w14:paraId="60E4B0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064301E"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c>
          <w:tcPr>
            <w:tcW w:w="0" w:type="auto"/>
            <w:shd w:val="clear" w:color="auto" w:fill="CFF0FC"/>
            <w:noWrap/>
            <w:vAlign w:val="bottom"/>
            <w:hideMark/>
          </w:tcPr>
          <w:p w14:paraId="5E96B5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6B74DD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1,387</w:t>
            </w:r>
          </w:p>
        </w:tc>
        <w:tc>
          <w:tcPr>
            <w:tcW w:w="0" w:type="auto"/>
            <w:shd w:val="clear" w:color="auto" w:fill="CFF0FC"/>
            <w:noWrap/>
            <w:vAlign w:val="bottom"/>
            <w:hideMark/>
          </w:tcPr>
          <w:p w14:paraId="513190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7D98576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585EE73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Approximately $1.2 billion of the Company’s goodwill is associated with the 1997 merger of Autoliv AB and the Automotive Safety Products Division of Morton International, Inc. No goodwill impairment charges were recognized during 2022, 2021 or 2020.</w:t>
      </w:r>
    </w:p>
    <w:p w14:paraId="4BD8CAC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10542"/>
        <w:gridCol w:w="245"/>
        <w:gridCol w:w="171"/>
        <w:gridCol w:w="1354"/>
        <w:gridCol w:w="171"/>
        <w:gridCol w:w="231"/>
        <w:gridCol w:w="171"/>
        <w:gridCol w:w="1358"/>
        <w:gridCol w:w="187"/>
      </w:tblGrid>
      <w:tr w:rsidR="004B2A77" w:rsidRPr="004B2A77" w14:paraId="443C671D" w14:textId="77777777" w:rsidTr="004B2A77">
        <w:trPr>
          <w:tblCellSpacing w:w="15" w:type="dxa"/>
        </w:trPr>
        <w:tc>
          <w:tcPr>
            <w:tcW w:w="10522" w:type="dxa"/>
            <w:vAlign w:val="center"/>
            <w:hideMark/>
          </w:tcPr>
          <w:p w14:paraId="56E7E4B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15" w:type="dxa"/>
            <w:vAlign w:val="center"/>
            <w:hideMark/>
          </w:tcPr>
          <w:p w14:paraId="193D678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63BA020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7" w:type="dxa"/>
            <w:vAlign w:val="center"/>
            <w:hideMark/>
          </w:tcPr>
          <w:p w14:paraId="71ECD22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25464B6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14C77B5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43D4B3E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31" w:type="dxa"/>
            <w:vAlign w:val="center"/>
            <w:hideMark/>
          </w:tcPr>
          <w:p w14:paraId="52061D8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2" w:type="dxa"/>
            <w:vAlign w:val="center"/>
            <w:hideMark/>
          </w:tcPr>
          <w:p w14:paraId="4FA69203"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EFA52AF" w14:textId="77777777" w:rsidTr="004B2A77">
        <w:trPr>
          <w:trHeight w:val="160"/>
          <w:tblCellSpacing w:w="15" w:type="dxa"/>
        </w:trPr>
        <w:tc>
          <w:tcPr>
            <w:tcW w:w="0" w:type="auto"/>
            <w:shd w:val="clear" w:color="auto" w:fill="FFFFFF"/>
            <w:vAlign w:val="bottom"/>
            <w:hideMark/>
          </w:tcPr>
          <w:p w14:paraId="5C4C9E32"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 xml:space="preserve">AMORTIZABLE INTANGIBLES </w:t>
            </w: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025DDC2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5D28A0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906C0B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31BC22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AF37F2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3A61A4C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5F201264" w14:textId="77777777" w:rsidTr="004B2A77">
        <w:trPr>
          <w:trHeight w:val="180"/>
          <w:tblCellSpacing w:w="15" w:type="dxa"/>
        </w:trPr>
        <w:tc>
          <w:tcPr>
            <w:tcW w:w="0" w:type="auto"/>
            <w:shd w:val="clear" w:color="auto" w:fill="CFF0FC"/>
            <w:hideMark/>
          </w:tcPr>
          <w:p w14:paraId="7442E3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Gross carrying amount</w:t>
            </w:r>
          </w:p>
        </w:tc>
        <w:tc>
          <w:tcPr>
            <w:tcW w:w="0" w:type="auto"/>
            <w:shd w:val="clear" w:color="auto" w:fill="CFF0FC"/>
            <w:vAlign w:val="bottom"/>
            <w:hideMark/>
          </w:tcPr>
          <w:p w14:paraId="452C320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B8939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A77501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387</w:t>
            </w:r>
          </w:p>
        </w:tc>
        <w:tc>
          <w:tcPr>
            <w:tcW w:w="0" w:type="auto"/>
            <w:shd w:val="clear" w:color="auto" w:fill="CFF0FC"/>
            <w:noWrap/>
            <w:vAlign w:val="bottom"/>
            <w:hideMark/>
          </w:tcPr>
          <w:p w14:paraId="7E4911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44342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34B54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C04247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398</w:t>
            </w:r>
          </w:p>
        </w:tc>
        <w:tc>
          <w:tcPr>
            <w:tcW w:w="0" w:type="auto"/>
            <w:shd w:val="clear" w:color="auto" w:fill="CFF0FC"/>
            <w:noWrap/>
            <w:vAlign w:val="bottom"/>
            <w:hideMark/>
          </w:tcPr>
          <w:p w14:paraId="75F8A6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8CF4C31" w14:textId="77777777" w:rsidTr="004B2A77">
        <w:trPr>
          <w:trHeight w:val="180"/>
          <w:tblCellSpacing w:w="15" w:type="dxa"/>
        </w:trPr>
        <w:tc>
          <w:tcPr>
            <w:tcW w:w="0" w:type="auto"/>
            <w:shd w:val="clear" w:color="auto" w:fill="FFFFFF"/>
            <w:hideMark/>
          </w:tcPr>
          <w:p w14:paraId="6C6E7F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Accumulated amortization</w:t>
            </w:r>
          </w:p>
        </w:tc>
        <w:tc>
          <w:tcPr>
            <w:tcW w:w="0" w:type="auto"/>
            <w:shd w:val="clear" w:color="auto" w:fill="FFFFFF"/>
            <w:vAlign w:val="bottom"/>
            <w:hideMark/>
          </w:tcPr>
          <w:p w14:paraId="66292C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4A55B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6B3EA0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(380</w:t>
            </w:r>
          </w:p>
        </w:tc>
        <w:tc>
          <w:tcPr>
            <w:tcW w:w="0" w:type="auto"/>
            <w:shd w:val="clear" w:color="auto" w:fill="FFFFFF"/>
            <w:noWrap/>
            <w:vAlign w:val="bottom"/>
            <w:hideMark/>
          </w:tcPr>
          <w:p w14:paraId="1F2524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EF6DB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F491D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30263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(390</w:t>
            </w:r>
          </w:p>
        </w:tc>
        <w:tc>
          <w:tcPr>
            <w:tcW w:w="0" w:type="auto"/>
            <w:shd w:val="clear" w:color="auto" w:fill="FFFFFF"/>
            <w:noWrap/>
            <w:vAlign w:val="bottom"/>
            <w:hideMark/>
          </w:tcPr>
          <w:p w14:paraId="0DB236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4C11060" w14:textId="77777777" w:rsidTr="004B2A77">
        <w:trPr>
          <w:trHeight w:val="180"/>
          <w:tblCellSpacing w:w="15" w:type="dxa"/>
        </w:trPr>
        <w:tc>
          <w:tcPr>
            <w:tcW w:w="0" w:type="auto"/>
            <w:shd w:val="clear" w:color="auto" w:fill="CFF0FC"/>
            <w:hideMark/>
          </w:tcPr>
          <w:p w14:paraId="13AAAD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Carrying value</w:t>
            </w:r>
          </w:p>
        </w:tc>
        <w:tc>
          <w:tcPr>
            <w:tcW w:w="0" w:type="auto"/>
            <w:shd w:val="clear" w:color="auto" w:fill="CFF0FC"/>
            <w:vAlign w:val="bottom"/>
            <w:hideMark/>
          </w:tcPr>
          <w:p w14:paraId="15C6161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B4B65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690083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w:t>
            </w:r>
          </w:p>
        </w:tc>
        <w:tc>
          <w:tcPr>
            <w:tcW w:w="0" w:type="auto"/>
            <w:shd w:val="clear" w:color="auto" w:fill="CFF0FC"/>
            <w:noWrap/>
            <w:vAlign w:val="bottom"/>
            <w:hideMark/>
          </w:tcPr>
          <w:p w14:paraId="1E97BE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E67DE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1C61A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17F4D91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w:t>
            </w:r>
          </w:p>
        </w:tc>
        <w:tc>
          <w:tcPr>
            <w:tcW w:w="0" w:type="auto"/>
            <w:shd w:val="clear" w:color="auto" w:fill="CFF0FC"/>
            <w:noWrap/>
            <w:vAlign w:val="bottom"/>
            <w:hideMark/>
          </w:tcPr>
          <w:p w14:paraId="2738AF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3D9E1C7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75B63EF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At December 31, 2022, intangible assets subject to amortization mainly relate to acquired technology. No significant impairments of intangible assets were recognized during 2022, 2021 or 2020.</w:t>
      </w:r>
    </w:p>
    <w:p w14:paraId="6B9B809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Amortization expense related to intangible assets was $3 million, $10 million and $10 million in 2022, 2021 and 2020, respectively. Estimated future amortization expense is: 2023: $2 million; 2024: $2 million; 2025: $2 million; 2026: $— million and 2027: $— million.</w:t>
      </w:r>
    </w:p>
    <w:p w14:paraId="47A13DD5"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FCDDC8A"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75</w:t>
      </w:r>
    </w:p>
    <w:p w14:paraId="67924A89"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8651E1A">
          <v:rect id="_x0000_i1102" style="width:0;height:1.5pt" o:hralign="center" o:hrstd="t" o:hrnoshade="t" o:hr="t" fillcolor="black" stroked="f"/>
        </w:pict>
      </w:r>
    </w:p>
    <w:p w14:paraId="724250A5"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51CB2D7" w14:textId="77777777" w:rsidR="004B2A77" w:rsidRPr="004B2A77" w:rsidRDefault="004B2A77" w:rsidP="004B2A77">
      <w:pPr>
        <w:widowControl/>
        <w:spacing w:before="34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22"/>
        </w:rPr>
        <w:t>11. Restructuring</w:t>
      </w:r>
    </w:p>
    <w:p w14:paraId="6905C755"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Restructuring provisions are made on a case-by-case basis and primarily include severance costs incurred in connection with headcount reductions and plant consolidations. Restructuring costs other than employee related costs are immaterial for all periods presented and are included in the table below. The Company expects to finance restructuring programs over the next several years through cash generated from its ongoing operations or through cash available under its existing credit facilities. The Company does not expect that the execution of these programs will have an adverse impact on its liquidity position. The changes in the employee-related reserves have been charged against Other income (expense), net in the Consolidated Statements of Income. The restructuring reserve balance is included within Accrued expenses in the Consolidated Balance Sheet.</w:t>
      </w:r>
    </w:p>
    <w:p w14:paraId="1DBCF101"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lastRenderedPageBreak/>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395"/>
        <w:gridCol w:w="345"/>
        <w:gridCol w:w="231"/>
        <w:gridCol w:w="2512"/>
        <w:gridCol w:w="232"/>
        <w:gridCol w:w="346"/>
        <w:gridCol w:w="232"/>
        <w:gridCol w:w="2512"/>
        <w:gridCol w:w="232"/>
        <w:gridCol w:w="346"/>
        <w:gridCol w:w="232"/>
        <w:gridCol w:w="2752"/>
        <w:gridCol w:w="247"/>
      </w:tblGrid>
      <w:tr w:rsidR="004B2A77" w:rsidRPr="004B2A77" w14:paraId="36EC0BE6" w14:textId="77777777" w:rsidTr="004B2A77">
        <w:trPr>
          <w:tblCellSpacing w:w="15" w:type="dxa"/>
        </w:trPr>
        <w:tc>
          <w:tcPr>
            <w:tcW w:w="10369" w:type="dxa"/>
            <w:vAlign w:val="center"/>
            <w:hideMark/>
          </w:tcPr>
          <w:p w14:paraId="74768721"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316" w:type="dxa"/>
            <w:vAlign w:val="center"/>
            <w:hideMark/>
          </w:tcPr>
          <w:p w14:paraId="022B000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46AD4DA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86" w:type="dxa"/>
            <w:vAlign w:val="center"/>
            <w:hideMark/>
          </w:tcPr>
          <w:p w14:paraId="01881D1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5DCFDE2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6" w:type="dxa"/>
            <w:vAlign w:val="center"/>
            <w:hideMark/>
          </w:tcPr>
          <w:p w14:paraId="0A8A7B3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7DA6251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86" w:type="dxa"/>
            <w:vAlign w:val="center"/>
            <w:hideMark/>
          </w:tcPr>
          <w:p w14:paraId="69E9554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37790C3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16" w:type="dxa"/>
            <w:vAlign w:val="center"/>
            <w:hideMark/>
          </w:tcPr>
          <w:p w14:paraId="39D64CC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6D4C745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27" w:type="dxa"/>
            <w:vAlign w:val="center"/>
            <w:hideMark/>
          </w:tcPr>
          <w:p w14:paraId="291805B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19A05510"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65D439A" w14:textId="77777777" w:rsidTr="004B2A77">
        <w:trPr>
          <w:trHeight w:val="160"/>
          <w:tblCellSpacing w:w="15" w:type="dxa"/>
        </w:trPr>
        <w:tc>
          <w:tcPr>
            <w:tcW w:w="0" w:type="auto"/>
            <w:shd w:val="clear" w:color="auto" w:fill="FFFFFF"/>
            <w:vAlign w:val="bottom"/>
            <w:hideMark/>
          </w:tcPr>
          <w:p w14:paraId="18913C2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16BDE74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E5E8EB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C951ED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FCC6E8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0B8FDC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13EC486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AA28F7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9662E8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6013E5A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494E536" w14:textId="77777777" w:rsidTr="004B2A77">
        <w:trPr>
          <w:trHeight w:val="180"/>
          <w:tblCellSpacing w:w="15" w:type="dxa"/>
        </w:trPr>
        <w:tc>
          <w:tcPr>
            <w:tcW w:w="0" w:type="auto"/>
            <w:shd w:val="clear" w:color="auto" w:fill="FFFFFF"/>
            <w:hideMark/>
          </w:tcPr>
          <w:p w14:paraId="72F75D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Reserve at beginning of the period</w:t>
            </w:r>
          </w:p>
        </w:tc>
        <w:tc>
          <w:tcPr>
            <w:tcW w:w="0" w:type="auto"/>
            <w:shd w:val="clear" w:color="auto" w:fill="FFFFFF"/>
            <w:vAlign w:val="bottom"/>
            <w:hideMark/>
          </w:tcPr>
          <w:p w14:paraId="16C29A8E"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2AFF5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7373C17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88</w:t>
            </w:r>
          </w:p>
        </w:tc>
        <w:tc>
          <w:tcPr>
            <w:tcW w:w="0" w:type="auto"/>
            <w:shd w:val="clear" w:color="auto" w:fill="FFFFFF"/>
            <w:noWrap/>
            <w:vAlign w:val="bottom"/>
            <w:hideMark/>
          </w:tcPr>
          <w:p w14:paraId="3AD279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795B482"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53ABF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39CEE7D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126</w:t>
            </w:r>
          </w:p>
        </w:tc>
        <w:tc>
          <w:tcPr>
            <w:tcW w:w="0" w:type="auto"/>
            <w:shd w:val="clear" w:color="auto" w:fill="FFFFFF"/>
            <w:noWrap/>
            <w:vAlign w:val="bottom"/>
            <w:hideMark/>
          </w:tcPr>
          <w:p w14:paraId="51A190E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E41C22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BC2BEF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7923FCC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56</w:t>
            </w:r>
          </w:p>
        </w:tc>
        <w:tc>
          <w:tcPr>
            <w:tcW w:w="0" w:type="auto"/>
            <w:shd w:val="clear" w:color="auto" w:fill="FFFFFF"/>
            <w:noWrap/>
            <w:vAlign w:val="bottom"/>
            <w:hideMark/>
          </w:tcPr>
          <w:p w14:paraId="74A5B8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42645EA" w14:textId="77777777" w:rsidTr="004B2A77">
        <w:trPr>
          <w:trHeight w:val="180"/>
          <w:tblCellSpacing w:w="15" w:type="dxa"/>
        </w:trPr>
        <w:tc>
          <w:tcPr>
            <w:tcW w:w="0" w:type="auto"/>
            <w:shd w:val="clear" w:color="auto" w:fill="CFF0FC"/>
            <w:hideMark/>
          </w:tcPr>
          <w:p w14:paraId="2F2A16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Provision - charge</w:t>
            </w:r>
          </w:p>
        </w:tc>
        <w:tc>
          <w:tcPr>
            <w:tcW w:w="0" w:type="auto"/>
            <w:shd w:val="clear" w:color="auto" w:fill="CFF0FC"/>
            <w:vAlign w:val="bottom"/>
            <w:hideMark/>
          </w:tcPr>
          <w:p w14:paraId="7CB84859"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4BC74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CD9705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CFF0FC"/>
            <w:noWrap/>
            <w:vAlign w:val="bottom"/>
            <w:hideMark/>
          </w:tcPr>
          <w:p w14:paraId="0CB725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9276BCE"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85FAD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99A935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39</w:t>
            </w:r>
          </w:p>
        </w:tc>
        <w:tc>
          <w:tcPr>
            <w:tcW w:w="0" w:type="auto"/>
            <w:shd w:val="clear" w:color="auto" w:fill="CFF0FC"/>
            <w:noWrap/>
            <w:vAlign w:val="bottom"/>
            <w:hideMark/>
          </w:tcPr>
          <w:p w14:paraId="3A1462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B11C5C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3DDEBC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3AB85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109</w:t>
            </w:r>
          </w:p>
        </w:tc>
        <w:tc>
          <w:tcPr>
            <w:tcW w:w="0" w:type="auto"/>
            <w:shd w:val="clear" w:color="auto" w:fill="CFF0FC"/>
            <w:noWrap/>
            <w:vAlign w:val="bottom"/>
            <w:hideMark/>
          </w:tcPr>
          <w:p w14:paraId="462FD5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11CC547" w14:textId="77777777" w:rsidTr="004B2A77">
        <w:trPr>
          <w:trHeight w:val="180"/>
          <w:tblCellSpacing w:w="15" w:type="dxa"/>
        </w:trPr>
        <w:tc>
          <w:tcPr>
            <w:tcW w:w="0" w:type="auto"/>
            <w:shd w:val="clear" w:color="auto" w:fill="FFFFFF"/>
            <w:hideMark/>
          </w:tcPr>
          <w:p w14:paraId="3B54EE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Provision - reversal</w:t>
            </w:r>
          </w:p>
        </w:tc>
        <w:tc>
          <w:tcPr>
            <w:tcW w:w="0" w:type="auto"/>
            <w:shd w:val="clear" w:color="auto" w:fill="FFFFFF"/>
            <w:vAlign w:val="bottom"/>
            <w:hideMark/>
          </w:tcPr>
          <w:p w14:paraId="4451BC65"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EB548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BAF3AF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6C7551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BC63675"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E2415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94D1DC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(31</w:t>
            </w:r>
          </w:p>
        </w:tc>
        <w:tc>
          <w:tcPr>
            <w:tcW w:w="0" w:type="auto"/>
            <w:shd w:val="clear" w:color="auto" w:fill="FFFFFF"/>
            <w:noWrap/>
            <w:vAlign w:val="bottom"/>
            <w:hideMark/>
          </w:tcPr>
          <w:p w14:paraId="5E7BA7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8D37F9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4D22F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E6E65D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FFFFFF"/>
            <w:noWrap/>
            <w:vAlign w:val="bottom"/>
            <w:hideMark/>
          </w:tcPr>
          <w:p w14:paraId="2C457E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3111EB0E" w14:textId="77777777" w:rsidTr="004B2A77">
        <w:trPr>
          <w:trHeight w:val="180"/>
          <w:tblCellSpacing w:w="15" w:type="dxa"/>
        </w:trPr>
        <w:tc>
          <w:tcPr>
            <w:tcW w:w="0" w:type="auto"/>
            <w:shd w:val="clear" w:color="auto" w:fill="CFF0FC"/>
            <w:hideMark/>
          </w:tcPr>
          <w:p w14:paraId="47C8DE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Cash payments</w:t>
            </w:r>
          </w:p>
        </w:tc>
        <w:tc>
          <w:tcPr>
            <w:tcW w:w="0" w:type="auto"/>
            <w:shd w:val="clear" w:color="auto" w:fill="CFF0FC"/>
            <w:vAlign w:val="bottom"/>
            <w:hideMark/>
          </w:tcPr>
          <w:p w14:paraId="000801D1"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E3A4D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DCD1E6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(64</w:t>
            </w:r>
          </w:p>
        </w:tc>
        <w:tc>
          <w:tcPr>
            <w:tcW w:w="0" w:type="auto"/>
            <w:shd w:val="clear" w:color="auto" w:fill="CFF0FC"/>
            <w:noWrap/>
            <w:vAlign w:val="bottom"/>
            <w:hideMark/>
          </w:tcPr>
          <w:p w14:paraId="3113FC3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6C040B8"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87FB2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5E25DC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(37</w:t>
            </w:r>
          </w:p>
        </w:tc>
        <w:tc>
          <w:tcPr>
            <w:tcW w:w="0" w:type="auto"/>
            <w:shd w:val="clear" w:color="auto" w:fill="CFF0FC"/>
            <w:noWrap/>
            <w:vAlign w:val="bottom"/>
            <w:hideMark/>
          </w:tcPr>
          <w:p w14:paraId="683587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89711B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68E86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4C6BB6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(38</w:t>
            </w:r>
          </w:p>
        </w:tc>
        <w:tc>
          <w:tcPr>
            <w:tcW w:w="0" w:type="auto"/>
            <w:shd w:val="clear" w:color="auto" w:fill="CFF0FC"/>
            <w:noWrap/>
            <w:vAlign w:val="bottom"/>
            <w:hideMark/>
          </w:tcPr>
          <w:p w14:paraId="770FB7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23E9E452" w14:textId="77777777" w:rsidTr="004B2A77">
        <w:trPr>
          <w:trHeight w:val="180"/>
          <w:tblCellSpacing w:w="15" w:type="dxa"/>
        </w:trPr>
        <w:tc>
          <w:tcPr>
            <w:tcW w:w="0" w:type="auto"/>
            <w:shd w:val="clear" w:color="auto" w:fill="FFFFFF"/>
            <w:hideMark/>
          </w:tcPr>
          <w:p w14:paraId="17734E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FFFFFF"/>
            <w:vAlign w:val="bottom"/>
            <w:hideMark/>
          </w:tcPr>
          <w:p w14:paraId="3D85497F"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D6156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A45B2A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FFFFFF"/>
            <w:noWrap/>
            <w:vAlign w:val="bottom"/>
            <w:hideMark/>
          </w:tcPr>
          <w:p w14:paraId="3EE4CD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A994247"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49090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8FEE8D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FFFFFF"/>
            <w:noWrap/>
            <w:vAlign w:val="bottom"/>
            <w:hideMark/>
          </w:tcPr>
          <w:p w14:paraId="363794F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D5B84A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AFDC7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44E3ED1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w:t>
            </w:r>
          </w:p>
        </w:tc>
        <w:tc>
          <w:tcPr>
            <w:tcW w:w="0" w:type="auto"/>
            <w:shd w:val="clear" w:color="auto" w:fill="FFFFFF"/>
            <w:noWrap/>
            <w:vAlign w:val="bottom"/>
            <w:hideMark/>
          </w:tcPr>
          <w:p w14:paraId="770C0A0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57A464A" w14:textId="77777777" w:rsidTr="004B2A77">
        <w:trPr>
          <w:trHeight w:val="180"/>
          <w:tblCellSpacing w:w="15" w:type="dxa"/>
        </w:trPr>
        <w:tc>
          <w:tcPr>
            <w:tcW w:w="0" w:type="auto"/>
            <w:shd w:val="clear" w:color="auto" w:fill="CFF0FC"/>
            <w:hideMark/>
          </w:tcPr>
          <w:p w14:paraId="5EE8EA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Reserve at end of the period</w:t>
            </w:r>
          </w:p>
        </w:tc>
        <w:tc>
          <w:tcPr>
            <w:tcW w:w="0" w:type="auto"/>
            <w:shd w:val="clear" w:color="auto" w:fill="CFF0FC"/>
            <w:vAlign w:val="bottom"/>
            <w:hideMark/>
          </w:tcPr>
          <w:p w14:paraId="28824368"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860B2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209CF6D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31</w:t>
            </w:r>
          </w:p>
        </w:tc>
        <w:tc>
          <w:tcPr>
            <w:tcW w:w="0" w:type="auto"/>
            <w:shd w:val="clear" w:color="auto" w:fill="CFF0FC"/>
            <w:noWrap/>
            <w:vAlign w:val="bottom"/>
            <w:hideMark/>
          </w:tcPr>
          <w:p w14:paraId="40B78C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C9C7D25"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A79EC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326EFDD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88</w:t>
            </w:r>
          </w:p>
        </w:tc>
        <w:tc>
          <w:tcPr>
            <w:tcW w:w="0" w:type="auto"/>
            <w:shd w:val="clear" w:color="auto" w:fill="CFF0FC"/>
            <w:noWrap/>
            <w:vAlign w:val="bottom"/>
            <w:hideMark/>
          </w:tcPr>
          <w:p w14:paraId="670CF3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6E4748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556E1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121DE2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126</w:t>
            </w:r>
          </w:p>
        </w:tc>
        <w:tc>
          <w:tcPr>
            <w:tcW w:w="0" w:type="auto"/>
            <w:shd w:val="clear" w:color="auto" w:fill="CFF0FC"/>
            <w:noWrap/>
            <w:vAlign w:val="bottom"/>
            <w:hideMark/>
          </w:tcPr>
          <w:p w14:paraId="6B534B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6EE76AB5"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p w14:paraId="3EF59C43"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As of December 31, 2022, approximately $10 million out of the $31 million in total reserve balance can be attributed to footprint optimization activities in Europe, initiated in the third quarter of 2020 and expected to be concluded in 2023. The restructuring charges in 2022 of $17 million, mainly related to footprint optimization activities in Asia and Europe. Cash payments of $64 million in 2022 are mainly related to the structural efficiency program initiated in 2020, footprint optimization activities in Europe initiated in 2020 and in Asia initiated in 2022.</w:t>
      </w:r>
    </w:p>
    <w:p w14:paraId="6F788F94"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The restructuring charges in 2021 of $39 million, mainly related to footprint optimization activities primarily in Asia. Reversals mainly related to the structural efficiency program initiated in the second quarter of 2020. Cash payments in 2021 related to the structural efficiency program initiated in the second quarter of 2020 and other footprint activities. </w:t>
      </w:r>
    </w:p>
    <w:p w14:paraId="7F29076A"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restructuring charges in 2020 of $109 million, mainly related to the structural efficiency program initiated in the second quarter of 2020 in the Americas and Europe, and footprint optimization activities in Europe initiated in the third quarter of 2020. Cash payments in 2020 mainly related to the structural efficiency program initiated in 2019.</w:t>
      </w:r>
    </w:p>
    <w:p w14:paraId="640E680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12. Product Related Liabilities</w:t>
      </w:r>
    </w:p>
    <w:p w14:paraId="17B93AB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is exposed to product liability and warranty claims in the event that the Company’s products fail to perform as represented and such failure results, or is alleged to result, in bodily injury, and/or property damage or other loss. The Company has reserves for product risks. Such reserves are related to product performance issues including recall, product liability and warranty issues. For further information, see Note 17.</w:t>
      </w:r>
    </w:p>
    <w:p w14:paraId="380D7EF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records liabilities for product related risks when probable claims are identified and when it is possible to reasonably estimate costs. Changes in reserve for warranty claims are estimated based on prior experience, likely changes in performance of newer products, and the mix and volume of the products sold. The changes in reserve are recorded on an accrual basis.</w:t>
      </w:r>
    </w:p>
    <w:p w14:paraId="78CC2AA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Pursuant to the Spin-off Agreements, Autoliv is also required to indemnify Veoneer, Inc. (which was acquired by SSW Partners on April 1, 2022) for recalls related to certain qualified Electronics products. At December 31, 2022, the reserves for indemnification liabilities were approximately $4 million and were included within accrued expenses on the Consolidated Balance Sheet.</w:t>
      </w:r>
    </w:p>
    <w:p w14:paraId="4B8C7A7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2022, the change in the reserve for product related liabilities mainly related to warranty related issues. Of the cash payments in 2022 the main part was also related to warranty related issues. In 2021, the cash </w:t>
      </w:r>
      <w:r w:rsidRPr="004B2A77">
        <w:rPr>
          <w:rFonts w:ascii="Arial" w:eastAsia="宋体" w:hAnsi="Arial" w:cs="Arial"/>
          <w:color w:val="000000"/>
          <w:kern w:val="0"/>
          <w:sz w:val="18"/>
          <w:szCs w:val="18"/>
        </w:rPr>
        <w:lastRenderedPageBreak/>
        <w:t>payments mainly related to recall related issues, whereof the main part was related to the “Toyota Recall” recall issue. In 2020, the change in reserve mainly related to recall related issues, whereof the "Toyota Recall" represented the major recall issue. The reserve for product related liabilities is included in accrued expenses on the Consolidated Balance Sheet.</w:t>
      </w:r>
    </w:p>
    <w:p w14:paraId="674228F9" w14:textId="77777777" w:rsidR="004B2A77" w:rsidRPr="004B2A77" w:rsidRDefault="004B2A77" w:rsidP="004B2A77">
      <w:pPr>
        <w:widowControl/>
        <w:spacing w:before="120" w:after="20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 majority of the Company’s recall related issues as of December 31, 2022 are covered by insurance. Insurance receivables are included within other current and non-current assets on the Consolidated Balance Sheet. As of December 31, 2022, the Company had total insurance receivables related to recall issues of $124 million ($138 million as of December 31, 2021). </w:t>
      </w:r>
    </w:p>
    <w:p w14:paraId="702AD62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table below summarizes the change in the balance sheet position of the product related liabilities (dollars in millions).</w:t>
      </w:r>
    </w:p>
    <w:p w14:paraId="3667C15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501"/>
        <w:gridCol w:w="266"/>
        <w:gridCol w:w="190"/>
        <w:gridCol w:w="1342"/>
        <w:gridCol w:w="190"/>
        <w:gridCol w:w="267"/>
        <w:gridCol w:w="190"/>
        <w:gridCol w:w="1346"/>
        <w:gridCol w:w="190"/>
        <w:gridCol w:w="267"/>
        <w:gridCol w:w="190"/>
        <w:gridCol w:w="1346"/>
        <w:gridCol w:w="206"/>
      </w:tblGrid>
      <w:tr w:rsidR="004B2A77" w:rsidRPr="004B2A77" w14:paraId="14E71AE1" w14:textId="77777777" w:rsidTr="004B2A77">
        <w:trPr>
          <w:tblCellSpacing w:w="15" w:type="dxa"/>
        </w:trPr>
        <w:tc>
          <w:tcPr>
            <w:tcW w:w="10479" w:type="dxa"/>
            <w:vAlign w:val="center"/>
            <w:hideMark/>
          </w:tcPr>
          <w:p w14:paraId="4570C840"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37" w:type="dxa"/>
            <w:vAlign w:val="center"/>
            <w:hideMark/>
          </w:tcPr>
          <w:p w14:paraId="12BF081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5A5D66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4" w:type="dxa"/>
            <w:vAlign w:val="center"/>
            <w:hideMark/>
          </w:tcPr>
          <w:p w14:paraId="061E55C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4CC930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473112B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0A7BF8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7E6BC86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7F4FFC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5D042FD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4ACCCD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743BE7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39372DDC"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CDC4C83" w14:textId="77777777" w:rsidTr="004B2A77">
        <w:trPr>
          <w:trHeight w:val="160"/>
          <w:tblCellSpacing w:w="15" w:type="dxa"/>
        </w:trPr>
        <w:tc>
          <w:tcPr>
            <w:tcW w:w="0" w:type="auto"/>
            <w:shd w:val="clear" w:color="auto" w:fill="FFFFFF"/>
            <w:vAlign w:val="bottom"/>
            <w:hideMark/>
          </w:tcPr>
          <w:p w14:paraId="00FEE7E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4E14662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F9FFE6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37F05E2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B58239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F59CDD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533997B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37E9B6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B1BA5C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3EB4102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06E57B8" w14:textId="77777777" w:rsidTr="004B2A77">
        <w:trPr>
          <w:trHeight w:val="180"/>
          <w:tblCellSpacing w:w="15" w:type="dxa"/>
        </w:trPr>
        <w:tc>
          <w:tcPr>
            <w:tcW w:w="0" w:type="auto"/>
            <w:shd w:val="clear" w:color="auto" w:fill="CFF0FC"/>
            <w:vAlign w:val="center"/>
            <w:hideMark/>
          </w:tcPr>
          <w:p w14:paraId="4A6FF4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Reserve at beginning of the year</w:t>
            </w:r>
          </w:p>
        </w:tc>
        <w:tc>
          <w:tcPr>
            <w:tcW w:w="0" w:type="auto"/>
            <w:shd w:val="clear" w:color="auto" w:fill="CFF0FC"/>
            <w:vAlign w:val="bottom"/>
            <w:hideMark/>
          </w:tcPr>
          <w:p w14:paraId="440CC48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38DBA4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center"/>
            <w:hideMark/>
          </w:tcPr>
          <w:p w14:paraId="5D5092D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144</w:t>
            </w:r>
          </w:p>
        </w:tc>
        <w:tc>
          <w:tcPr>
            <w:tcW w:w="0" w:type="auto"/>
            <w:shd w:val="clear" w:color="auto" w:fill="CFF0FC"/>
            <w:noWrap/>
            <w:vAlign w:val="center"/>
            <w:hideMark/>
          </w:tcPr>
          <w:p w14:paraId="771F2DA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2276C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3D6D2A8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center"/>
            <w:hideMark/>
          </w:tcPr>
          <w:p w14:paraId="20062BE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341</w:t>
            </w:r>
          </w:p>
        </w:tc>
        <w:tc>
          <w:tcPr>
            <w:tcW w:w="0" w:type="auto"/>
            <w:shd w:val="clear" w:color="auto" w:fill="CFF0FC"/>
            <w:noWrap/>
            <w:vAlign w:val="center"/>
            <w:hideMark/>
          </w:tcPr>
          <w:p w14:paraId="27CF35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3350D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355E2A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center"/>
            <w:hideMark/>
          </w:tcPr>
          <w:p w14:paraId="78A11F8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72</w:t>
            </w:r>
          </w:p>
        </w:tc>
        <w:tc>
          <w:tcPr>
            <w:tcW w:w="0" w:type="auto"/>
            <w:shd w:val="clear" w:color="auto" w:fill="CFF0FC"/>
            <w:noWrap/>
            <w:vAlign w:val="center"/>
            <w:hideMark/>
          </w:tcPr>
          <w:p w14:paraId="5842A9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8E13343" w14:textId="77777777" w:rsidTr="004B2A77">
        <w:trPr>
          <w:trHeight w:val="180"/>
          <w:tblCellSpacing w:w="15" w:type="dxa"/>
        </w:trPr>
        <w:tc>
          <w:tcPr>
            <w:tcW w:w="0" w:type="auto"/>
            <w:shd w:val="clear" w:color="auto" w:fill="FFFFFF"/>
            <w:vAlign w:val="center"/>
            <w:hideMark/>
          </w:tcPr>
          <w:p w14:paraId="7427DF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Change in reserve</w:t>
            </w:r>
          </w:p>
        </w:tc>
        <w:tc>
          <w:tcPr>
            <w:tcW w:w="0" w:type="auto"/>
            <w:shd w:val="clear" w:color="auto" w:fill="FFFFFF"/>
            <w:vAlign w:val="bottom"/>
            <w:hideMark/>
          </w:tcPr>
          <w:p w14:paraId="38BF7B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24E550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0C52FDD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w:t>
            </w:r>
          </w:p>
        </w:tc>
        <w:tc>
          <w:tcPr>
            <w:tcW w:w="0" w:type="auto"/>
            <w:shd w:val="clear" w:color="auto" w:fill="FFFFFF"/>
            <w:noWrap/>
            <w:vAlign w:val="center"/>
            <w:hideMark/>
          </w:tcPr>
          <w:p w14:paraId="66DFFF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A6499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4051BD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1ADB0AA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49</w:t>
            </w:r>
          </w:p>
        </w:tc>
        <w:tc>
          <w:tcPr>
            <w:tcW w:w="0" w:type="auto"/>
            <w:shd w:val="clear" w:color="auto" w:fill="FFFFFF"/>
            <w:noWrap/>
            <w:vAlign w:val="center"/>
            <w:hideMark/>
          </w:tcPr>
          <w:p w14:paraId="60348F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B6DF0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23B624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1D953B0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304</w:t>
            </w:r>
          </w:p>
        </w:tc>
        <w:tc>
          <w:tcPr>
            <w:tcW w:w="0" w:type="auto"/>
            <w:shd w:val="clear" w:color="auto" w:fill="FFFFFF"/>
            <w:noWrap/>
            <w:vAlign w:val="center"/>
            <w:hideMark/>
          </w:tcPr>
          <w:p w14:paraId="0105DC4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EE35B35" w14:textId="77777777" w:rsidTr="004B2A77">
        <w:trPr>
          <w:trHeight w:val="180"/>
          <w:tblCellSpacing w:w="15" w:type="dxa"/>
        </w:trPr>
        <w:tc>
          <w:tcPr>
            <w:tcW w:w="0" w:type="auto"/>
            <w:shd w:val="clear" w:color="auto" w:fill="CFF0FC"/>
            <w:vAlign w:val="center"/>
            <w:hideMark/>
          </w:tcPr>
          <w:p w14:paraId="527881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Cash payments</w:t>
            </w:r>
          </w:p>
        </w:tc>
        <w:tc>
          <w:tcPr>
            <w:tcW w:w="0" w:type="auto"/>
            <w:shd w:val="clear" w:color="auto" w:fill="CFF0FC"/>
            <w:vAlign w:val="bottom"/>
            <w:hideMark/>
          </w:tcPr>
          <w:p w14:paraId="740D3A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3A82B9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4417E93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CFF0FC"/>
            <w:noWrap/>
            <w:vAlign w:val="center"/>
            <w:hideMark/>
          </w:tcPr>
          <w:p w14:paraId="6459F4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9FB90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72D68A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2B8A4CE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(245</w:t>
            </w:r>
          </w:p>
        </w:tc>
        <w:tc>
          <w:tcPr>
            <w:tcW w:w="0" w:type="auto"/>
            <w:shd w:val="clear" w:color="auto" w:fill="CFF0FC"/>
            <w:noWrap/>
            <w:vAlign w:val="center"/>
            <w:hideMark/>
          </w:tcPr>
          <w:p w14:paraId="73B4D5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B6C36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017D25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center"/>
            <w:hideMark/>
          </w:tcPr>
          <w:p w14:paraId="390D458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(36</w:t>
            </w:r>
          </w:p>
        </w:tc>
        <w:tc>
          <w:tcPr>
            <w:tcW w:w="0" w:type="auto"/>
            <w:shd w:val="clear" w:color="auto" w:fill="CFF0FC"/>
            <w:noWrap/>
            <w:vAlign w:val="center"/>
            <w:hideMark/>
          </w:tcPr>
          <w:p w14:paraId="4D303E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3A587773" w14:textId="77777777" w:rsidTr="004B2A77">
        <w:trPr>
          <w:trHeight w:val="180"/>
          <w:tblCellSpacing w:w="15" w:type="dxa"/>
        </w:trPr>
        <w:tc>
          <w:tcPr>
            <w:tcW w:w="0" w:type="auto"/>
            <w:shd w:val="clear" w:color="auto" w:fill="FFFFFF"/>
            <w:vAlign w:val="center"/>
            <w:hideMark/>
          </w:tcPr>
          <w:p w14:paraId="032EE0D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FFFFFF"/>
            <w:vAlign w:val="bottom"/>
            <w:hideMark/>
          </w:tcPr>
          <w:p w14:paraId="387450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center"/>
            <w:hideMark/>
          </w:tcPr>
          <w:p w14:paraId="614ABB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center"/>
            <w:hideMark/>
          </w:tcPr>
          <w:p w14:paraId="0B16875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center"/>
            <w:hideMark/>
          </w:tcPr>
          <w:p w14:paraId="7A5233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E99FF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center"/>
            <w:hideMark/>
          </w:tcPr>
          <w:p w14:paraId="34E190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center"/>
            <w:hideMark/>
          </w:tcPr>
          <w:p w14:paraId="4C7D6A9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center"/>
            <w:hideMark/>
          </w:tcPr>
          <w:p w14:paraId="026F9D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EF9B4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center"/>
            <w:hideMark/>
          </w:tcPr>
          <w:p w14:paraId="1C9A08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center"/>
            <w:hideMark/>
          </w:tcPr>
          <w:p w14:paraId="5C31A53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center"/>
            <w:hideMark/>
          </w:tcPr>
          <w:p w14:paraId="779C18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2CEA749" w14:textId="77777777" w:rsidTr="004B2A77">
        <w:trPr>
          <w:trHeight w:val="180"/>
          <w:tblCellSpacing w:w="15" w:type="dxa"/>
        </w:trPr>
        <w:tc>
          <w:tcPr>
            <w:tcW w:w="0" w:type="auto"/>
            <w:shd w:val="clear" w:color="auto" w:fill="CFF0FC"/>
            <w:vAlign w:val="center"/>
            <w:hideMark/>
          </w:tcPr>
          <w:p w14:paraId="6EEB4F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Reserve at end of the year</w:t>
            </w:r>
          </w:p>
        </w:tc>
        <w:tc>
          <w:tcPr>
            <w:tcW w:w="0" w:type="auto"/>
            <w:shd w:val="clear" w:color="auto" w:fill="CFF0FC"/>
            <w:vAlign w:val="bottom"/>
            <w:hideMark/>
          </w:tcPr>
          <w:p w14:paraId="545291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7E96E0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center"/>
            <w:hideMark/>
          </w:tcPr>
          <w:p w14:paraId="7D3BFB2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145</w:t>
            </w:r>
          </w:p>
        </w:tc>
        <w:tc>
          <w:tcPr>
            <w:tcW w:w="0" w:type="auto"/>
            <w:shd w:val="clear" w:color="auto" w:fill="CFF0FC"/>
            <w:noWrap/>
            <w:vAlign w:val="center"/>
            <w:hideMark/>
          </w:tcPr>
          <w:p w14:paraId="01200F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07D0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34E9A79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center"/>
            <w:hideMark/>
          </w:tcPr>
          <w:p w14:paraId="02CF592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144</w:t>
            </w:r>
          </w:p>
        </w:tc>
        <w:tc>
          <w:tcPr>
            <w:tcW w:w="0" w:type="auto"/>
            <w:shd w:val="clear" w:color="auto" w:fill="CFF0FC"/>
            <w:noWrap/>
            <w:vAlign w:val="center"/>
            <w:hideMark/>
          </w:tcPr>
          <w:p w14:paraId="679CB67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211BA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center"/>
            <w:hideMark/>
          </w:tcPr>
          <w:p w14:paraId="7D2D5A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center"/>
            <w:hideMark/>
          </w:tcPr>
          <w:p w14:paraId="4FF121D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341</w:t>
            </w:r>
          </w:p>
        </w:tc>
        <w:tc>
          <w:tcPr>
            <w:tcW w:w="0" w:type="auto"/>
            <w:shd w:val="clear" w:color="auto" w:fill="CFF0FC"/>
            <w:noWrap/>
            <w:vAlign w:val="center"/>
            <w:hideMark/>
          </w:tcPr>
          <w:p w14:paraId="70AB32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7CF4840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4B7A82D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35F990A0"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76</w:t>
      </w:r>
    </w:p>
    <w:p w14:paraId="422E17E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A408EA7">
          <v:rect id="_x0000_i1103" style="width:0;height:1.5pt" o:hralign="center" o:hrstd="t" o:hrnoshade="t" o:hr="t" fillcolor="black" stroked="f"/>
        </w:pict>
      </w:r>
    </w:p>
    <w:p w14:paraId="7D57C138"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A9C8C6A"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13. Debt and Credit Agreements</w:t>
      </w:r>
    </w:p>
    <w:p w14:paraId="52C376C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2FB099F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SHORT-TERM DEBT</w:t>
      </w:r>
    </w:p>
    <w:p w14:paraId="250E90B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of December 31, 2022 and 2021, total short-term debt was $711 million and $346 million, respectively. As of December 31, 2022, short-term debt consisted mainly of a €500 million ($533 million) 5-year notes in the Eurobond market issued in June 2018. The notes carry a coupon of 0.75% and are due June 2023.</w:t>
      </w:r>
    </w:p>
    <w:p w14:paraId="3AD3628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Company’s subsidiaries have credit agreements, principally in the form of overdraft facilities with several local banks. Total available short-term facilities as of December 31, 2022, excluding commercial paper facilities as described below, amounted to $349 million, of which approximately $27 million was utilized. The weighted average interest rate on total short-term debt outstanding at December 31, 2022 and 2021, excluding the short-term portion of long-term debt, was 5% and 2%, respectively.</w:t>
      </w:r>
    </w:p>
    <w:p w14:paraId="5A76990C"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 xml:space="preserve">LONG-TERM DEBT </w:t>
      </w:r>
    </w:p>
    <w:p w14:paraId="12DA455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As of December 31, 2022 and 2021, total long-term debt was $1,054 million and $1,662 million, respectively. </w:t>
      </w:r>
    </w:p>
    <w:p w14:paraId="5AA1F3B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xml:space="preserve">In June 2020, the Company utilized its SEK 3,000 million facility with Swedish Export Credit Corporation which was signed in May 2020. The SEK 3,000 million ($287 million) loan matures in 2025 and carries a floating interest rate of 3M STIBOR +1.85%. </w:t>
      </w:r>
    </w:p>
    <w:p w14:paraId="1210862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2014, the Company issued</w:t>
      </w:r>
      <w:r w:rsidRPr="004B2A77">
        <w:rPr>
          <w:rFonts w:ascii="Arial" w:eastAsia="宋体" w:hAnsi="Arial" w:cs="Arial"/>
          <w:color w:val="000000"/>
          <w:kern w:val="0"/>
          <w:sz w:val="20"/>
          <w:szCs w:val="20"/>
        </w:rPr>
        <w:t xml:space="preserve"> </w:t>
      </w:r>
      <w:r w:rsidRPr="004B2A77">
        <w:rPr>
          <w:rFonts w:ascii="Arial" w:eastAsia="宋体" w:hAnsi="Arial" w:cs="Arial"/>
          <w:color w:val="000000"/>
          <w:kern w:val="0"/>
          <w:sz w:val="18"/>
          <w:szCs w:val="18"/>
        </w:rPr>
        <w:t>long-term debt securities in a U.S. Private Placement. As of December 31, 2022 the total long-term debt outstanding from the 2014 issuance of $767 million consist of: $297 million aggregate principal amount of 10-year senior notes with an interest rate of 4.09%; $285 million aggregate principal amount of 12-year senior notes with an interest rate of 4.24%; and $185 million aggregate principal amount of 15-year senior notes with an interest rate of 4.44%.</w:t>
      </w:r>
    </w:p>
    <w:p w14:paraId="1EF786F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CREDIT FACILITIES</w:t>
      </w:r>
    </w:p>
    <w:p w14:paraId="1901BB2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May 2022, the Company refinanced its existing revolving credit facility (RCF) of $1,100 million. The facility, syndicated among 11 banks, matures in May 2027 and has two extension options, each for an additional year. The Company pays a commitment fee on the undrawn amount of 0.15%, representing 35% of the applicable margin, which is 0.425% (given the Company’s rating of “BBB” from S&amp;P Global Ratings). Borrowings under the facility are unsecured. As of December 31, 2022, the facility was not utilized.</w:t>
      </w:r>
    </w:p>
    <w:p w14:paraId="72757F9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a €3,000 million ($3,199 million) Euro Medium Term Note Program in place for being able to issue notes to be traded on the Global Exchange Market of Euronext Dublin. At December 31, 2022, there were no notes outstanding that had been issued under this program.</w:t>
      </w:r>
    </w:p>
    <w:p w14:paraId="20AC951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has two commercial paper programs: one SEK 7 billion ($671 million) Swedish program and a $1 billion U.S. program. At December 31, 2022 the total amount outstanding was SEK 100 million ($10 million) and $142 million under these two programs. </w:t>
      </w:r>
    </w:p>
    <w:p w14:paraId="17DFF63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is not subject to any financial covenants, i.e., performance related restrictions, in any of its significant long-term borrowings or commitments.</w:t>
      </w:r>
    </w:p>
    <w:p w14:paraId="05F5363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CREDIT RISK</w:t>
      </w:r>
    </w:p>
    <w:p w14:paraId="2B2D58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the Company’s financial operations, credit risk arises in connection with cash deposits with banks and when entering into forward exchange agreements, swap contracts or other financial instruments. In order to reduce this risk, deposits and financial instruments are only entered with a limited number of banks up to a calculated risk amount of $200 million per bank for banks rated A- or above and up to $50 million for banks rated BBB+. The policy of the Company is to work with banks that have a strong credit rating and that participate in the Company’s financing. In addition to this, deposits of up to an aggregate amount of $2 billion can be placed in U.S. and Swedish government paper and in certain AAA rated money market funds. As of December 31, 2022, the Company had placed $237 million in money market funds compared to $579 million as of December 31, 2021.</w:t>
      </w:r>
    </w:p>
    <w:p w14:paraId="05B2EB9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table below shows debt maturity as cash flow. For a description of hedging instruments used as part of debt management, see the Financial Instruments section of Note 2 and Note 4.</w:t>
      </w:r>
    </w:p>
    <w:p w14:paraId="3C049C8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DEBT PROFILE</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347"/>
        <w:gridCol w:w="216"/>
        <w:gridCol w:w="223"/>
        <w:gridCol w:w="964"/>
        <w:gridCol w:w="223"/>
        <w:gridCol w:w="216"/>
        <w:gridCol w:w="224"/>
        <w:gridCol w:w="965"/>
        <w:gridCol w:w="224"/>
        <w:gridCol w:w="217"/>
        <w:gridCol w:w="224"/>
        <w:gridCol w:w="965"/>
        <w:gridCol w:w="224"/>
        <w:gridCol w:w="217"/>
        <w:gridCol w:w="224"/>
        <w:gridCol w:w="965"/>
        <w:gridCol w:w="224"/>
        <w:gridCol w:w="217"/>
        <w:gridCol w:w="224"/>
        <w:gridCol w:w="932"/>
        <w:gridCol w:w="224"/>
        <w:gridCol w:w="224"/>
        <w:gridCol w:w="414"/>
        <w:gridCol w:w="224"/>
        <w:gridCol w:w="224"/>
        <w:gridCol w:w="1219"/>
        <w:gridCol w:w="224"/>
        <w:gridCol w:w="219"/>
        <w:gridCol w:w="224"/>
        <w:gridCol w:w="969"/>
        <w:gridCol w:w="224"/>
        <w:gridCol w:w="219"/>
        <w:gridCol w:w="224"/>
        <w:gridCol w:w="969"/>
        <w:gridCol w:w="224"/>
        <w:gridCol w:w="354"/>
      </w:tblGrid>
      <w:tr w:rsidR="004B2A77" w:rsidRPr="004B2A77" w14:paraId="11AE4F07" w14:textId="77777777" w:rsidTr="004B2A77">
        <w:trPr>
          <w:tblCellSpacing w:w="15" w:type="dxa"/>
        </w:trPr>
        <w:tc>
          <w:tcPr>
            <w:tcW w:w="6315" w:type="dxa"/>
            <w:vAlign w:val="center"/>
            <w:hideMark/>
          </w:tcPr>
          <w:p w14:paraId="17F6BCDE"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87" w:type="dxa"/>
            <w:vAlign w:val="center"/>
            <w:hideMark/>
          </w:tcPr>
          <w:p w14:paraId="6FB85CD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0ECEE69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36" w:type="dxa"/>
            <w:vAlign w:val="center"/>
            <w:hideMark/>
          </w:tcPr>
          <w:p w14:paraId="327229E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60BEF32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7" w:type="dxa"/>
            <w:vAlign w:val="center"/>
            <w:hideMark/>
          </w:tcPr>
          <w:p w14:paraId="18826C9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E8CC5C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36" w:type="dxa"/>
            <w:vAlign w:val="center"/>
            <w:hideMark/>
          </w:tcPr>
          <w:p w14:paraId="598B625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3488CA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7" w:type="dxa"/>
            <w:vAlign w:val="center"/>
            <w:hideMark/>
          </w:tcPr>
          <w:p w14:paraId="2148D5D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02402D3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36" w:type="dxa"/>
            <w:vAlign w:val="center"/>
            <w:hideMark/>
          </w:tcPr>
          <w:p w14:paraId="731257F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21C65EA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7" w:type="dxa"/>
            <w:vAlign w:val="center"/>
            <w:hideMark/>
          </w:tcPr>
          <w:p w14:paraId="522AF4A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4F79FE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36" w:type="dxa"/>
            <w:vAlign w:val="center"/>
            <w:hideMark/>
          </w:tcPr>
          <w:p w14:paraId="3ABE2B7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2C96908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7" w:type="dxa"/>
            <w:vAlign w:val="center"/>
            <w:hideMark/>
          </w:tcPr>
          <w:p w14:paraId="2733878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7EE2080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04" w:type="dxa"/>
            <w:vAlign w:val="center"/>
            <w:hideMark/>
          </w:tcPr>
          <w:p w14:paraId="405AB5C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72FD81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0268258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84" w:type="dxa"/>
            <w:vAlign w:val="center"/>
            <w:hideMark/>
          </w:tcPr>
          <w:p w14:paraId="70757B0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65FE599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69C106A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191" w:type="dxa"/>
            <w:vAlign w:val="center"/>
            <w:hideMark/>
          </w:tcPr>
          <w:p w14:paraId="2D28D8A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130B9FE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9" w:type="dxa"/>
            <w:vAlign w:val="center"/>
            <w:hideMark/>
          </w:tcPr>
          <w:p w14:paraId="4001838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1520D25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40" w:type="dxa"/>
            <w:vAlign w:val="center"/>
            <w:hideMark/>
          </w:tcPr>
          <w:p w14:paraId="2732928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A2BF1A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9" w:type="dxa"/>
            <w:vAlign w:val="center"/>
            <w:hideMark/>
          </w:tcPr>
          <w:p w14:paraId="62E163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7BC1D05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40" w:type="dxa"/>
            <w:vAlign w:val="center"/>
            <w:hideMark/>
          </w:tcPr>
          <w:p w14:paraId="55632B8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4" w:type="dxa"/>
            <w:vAlign w:val="center"/>
            <w:hideMark/>
          </w:tcPr>
          <w:p w14:paraId="588A505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09" w:type="dxa"/>
            <w:vAlign w:val="center"/>
            <w:hideMark/>
          </w:tcPr>
          <w:p w14:paraId="4D38A8BE"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F59BA71" w14:textId="77777777" w:rsidTr="004B2A77">
        <w:trPr>
          <w:trHeight w:val="140"/>
          <w:tblCellSpacing w:w="15" w:type="dxa"/>
        </w:trPr>
        <w:tc>
          <w:tcPr>
            <w:tcW w:w="0" w:type="auto"/>
            <w:shd w:val="clear" w:color="auto" w:fill="FFFFFF"/>
            <w:vAlign w:val="bottom"/>
            <w:hideMark/>
          </w:tcPr>
          <w:p w14:paraId="671A766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D3CB2A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1C9F29E2"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1167BF9"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69ED41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463CB33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1B3BB2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7201BF8"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75DDA72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53633806"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0690D88"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7938DB97"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54D311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4D61BF63" w14:textId="77777777" w:rsidR="004B2A77" w:rsidRPr="004B2A77" w:rsidRDefault="004B2A77" w:rsidP="004B2A77">
            <w:pPr>
              <w:widowControl/>
              <w:jc w:val="left"/>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39F805F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B0AB09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6426AB5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3A86F71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66C26E8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4C16C87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116845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77E0773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Total</w:t>
            </w:r>
          </w:p>
        </w:tc>
        <w:tc>
          <w:tcPr>
            <w:tcW w:w="0" w:type="auto"/>
            <w:shd w:val="clear" w:color="auto" w:fill="FFFFFF"/>
            <w:vAlign w:val="bottom"/>
            <w:hideMark/>
          </w:tcPr>
          <w:p w14:paraId="79496E5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11BBE6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706530F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513631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3CE6087"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r>
      <w:tr w:rsidR="004B2A77" w:rsidRPr="004B2A77" w14:paraId="05C7B06C" w14:textId="77777777" w:rsidTr="004B2A77">
        <w:trPr>
          <w:trHeight w:val="140"/>
          <w:tblCellSpacing w:w="15" w:type="dxa"/>
        </w:trPr>
        <w:tc>
          <w:tcPr>
            <w:tcW w:w="0" w:type="auto"/>
            <w:shd w:val="clear" w:color="auto" w:fill="FFFFFF"/>
            <w:vAlign w:val="bottom"/>
            <w:hideMark/>
          </w:tcPr>
          <w:p w14:paraId="505238A6" w14:textId="77777777" w:rsidR="004B2A77" w:rsidRPr="004B2A77" w:rsidRDefault="004B2A77" w:rsidP="004B2A77">
            <w:pPr>
              <w:widowControl/>
              <w:jc w:val="left"/>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u w:val="single"/>
              </w:rPr>
              <w:lastRenderedPageBreak/>
              <w:t>PRINCIPAL AMOUNT BY EXPECTED MATURITY</w:t>
            </w:r>
            <w:r w:rsidRPr="004B2A77">
              <w:rPr>
                <w:rFonts w:ascii="Arial" w:eastAsia="宋体" w:hAnsi="Arial" w:cs="Arial"/>
                <w:b/>
                <w:bCs/>
                <w:color w:val="000000"/>
                <w:kern w:val="0"/>
                <w:sz w:val="14"/>
                <w:szCs w:val="14"/>
                <w:u w:val="single"/>
              </w:rPr>
              <w:br/>
            </w:r>
            <w:r w:rsidRPr="004B2A77">
              <w:rPr>
                <w:rFonts w:ascii="Arial" w:eastAsia="宋体" w:hAnsi="Arial" w:cs="Arial"/>
                <w:color w:val="000000"/>
                <w:kern w:val="0"/>
                <w:sz w:val="14"/>
                <w:szCs w:val="14"/>
                <w:u w:val="single"/>
              </w:rPr>
              <w:t>(dollars in millions)</w:t>
            </w:r>
          </w:p>
        </w:tc>
        <w:tc>
          <w:tcPr>
            <w:tcW w:w="0" w:type="auto"/>
            <w:shd w:val="clear" w:color="auto" w:fill="FFFFFF"/>
            <w:vAlign w:val="bottom"/>
            <w:hideMark/>
          </w:tcPr>
          <w:p w14:paraId="7D540999"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1C0135DC"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2023</w:t>
            </w:r>
          </w:p>
        </w:tc>
        <w:tc>
          <w:tcPr>
            <w:tcW w:w="0" w:type="auto"/>
            <w:shd w:val="clear" w:color="auto" w:fill="FFFFFF"/>
            <w:vAlign w:val="bottom"/>
            <w:hideMark/>
          </w:tcPr>
          <w:p w14:paraId="757BF563"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F81C735"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20C419F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2024</w:t>
            </w:r>
          </w:p>
        </w:tc>
        <w:tc>
          <w:tcPr>
            <w:tcW w:w="0" w:type="auto"/>
            <w:shd w:val="clear" w:color="auto" w:fill="FFFFFF"/>
            <w:vAlign w:val="bottom"/>
            <w:hideMark/>
          </w:tcPr>
          <w:p w14:paraId="1E25E1A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E4F2009"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2C8CB49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2025</w:t>
            </w:r>
          </w:p>
        </w:tc>
        <w:tc>
          <w:tcPr>
            <w:tcW w:w="0" w:type="auto"/>
            <w:shd w:val="clear" w:color="auto" w:fill="FFFFFF"/>
            <w:vAlign w:val="bottom"/>
            <w:hideMark/>
          </w:tcPr>
          <w:p w14:paraId="2CF9BF7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433A05D"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4B9BB89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2026</w:t>
            </w:r>
          </w:p>
        </w:tc>
        <w:tc>
          <w:tcPr>
            <w:tcW w:w="0" w:type="auto"/>
            <w:shd w:val="clear" w:color="auto" w:fill="FFFFFF"/>
            <w:vAlign w:val="bottom"/>
            <w:hideMark/>
          </w:tcPr>
          <w:p w14:paraId="30068561"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05379702" w14:textId="77777777" w:rsidR="004B2A77" w:rsidRPr="004B2A77" w:rsidRDefault="004B2A77" w:rsidP="004B2A77">
            <w:pPr>
              <w:widowControl/>
              <w:jc w:val="left"/>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40A8E71E"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2027</w:t>
            </w:r>
          </w:p>
        </w:tc>
        <w:tc>
          <w:tcPr>
            <w:tcW w:w="0" w:type="auto"/>
            <w:shd w:val="clear" w:color="auto" w:fill="FFFFFF"/>
            <w:vAlign w:val="bottom"/>
            <w:hideMark/>
          </w:tcPr>
          <w:p w14:paraId="2AB73700"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shd w:val="clear" w:color="auto" w:fill="FFFFFF"/>
            <w:vAlign w:val="bottom"/>
            <w:hideMark/>
          </w:tcPr>
          <w:p w14:paraId="51C5D151"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CFBF3DB"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58C6F3D2"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Thereafter</w:t>
            </w:r>
          </w:p>
        </w:tc>
        <w:tc>
          <w:tcPr>
            <w:tcW w:w="0" w:type="auto"/>
            <w:shd w:val="clear" w:color="auto" w:fill="FFFFFF"/>
            <w:vAlign w:val="bottom"/>
            <w:hideMark/>
          </w:tcPr>
          <w:p w14:paraId="6384A24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725208E1"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502B9B72"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long-</w:t>
            </w:r>
            <w:r w:rsidRPr="004B2A77">
              <w:rPr>
                <w:rFonts w:ascii="Arial" w:eastAsia="宋体" w:hAnsi="Arial" w:cs="Arial"/>
                <w:b/>
                <w:bCs/>
                <w:color w:val="000000"/>
                <w:kern w:val="0"/>
                <w:sz w:val="14"/>
                <w:szCs w:val="14"/>
              </w:rPr>
              <w:br/>
              <w:t>term</w:t>
            </w:r>
          </w:p>
        </w:tc>
        <w:tc>
          <w:tcPr>
            <w:tcW w:w="0" w:type="auto"/>
            <w:shd w:val="clear" w:color="auto" w:fill="FFFFFF"/>
            <w:vAlign w:val="bottom"/>
            <w:hideMark/>
          </w:tcPr>
          <w:p w14:paraId="33F73A0F"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2E7B1C87"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gridSpan w:val="2"/>
            <w:tcBorders>
              <w:bottom w:val="single" w:sz="4" w:space="0" w:color="000000"/>
            </w:tcBorders>
            <w:shd w:val="clear" w:color="auto" w:fill="FFFFFF"/>
            <w:vAlign w:val="bottom"/>
            <w:hideMark/>
          </w:tcPr>
          <w:p w14:paraId="44024108"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b/>
                <w:bCs/>
                <w:color w:val="000000"/>
                <w:kern w:val="0"/>
                <w:sz w:val="14"/>
                <w:szCs w:val="14"/>
              </w:rPr>
              <w:t>Total</w:t>
            </w:r>
          </w:p>
        </w:tc>
        <w:tc>
          <w:tcPr>
            <w:tcW w:w="0" w:type="auto"/>
            <w:shd w:val="clear" w:color="auto" w:fill="FFFFFF"/>
            <w:vAlign w:val="bottom"/>
            <w:hideMark/>
          </w:tcPr>
          <w:p w14:paraId="2585AF84"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c>
          <w:tcPr>
            <w:tcW w:w="0" w:type="auto"/>
            <w:shd w:val="clear" w:color="auto" w:fill="FFFFFF"/>
            <w:vAlign w:val="bottom"/>
            <w:hideMark/>
          </w:tcPr>
          <w:p w14:paraId="14AB2C1A" w14:textId="77777777" w:rsidR="004B2A77" w:rsidRPr="004B2A77" w:rsidRDefault="004B2A77" w:rsidP="004B2A77">
            <w:pPr>
              <w:widowControl/>
              <w:jc w:val="center"/>
              <w:rPr>
                <w:rFonts w:ascii="Times New Roman" w:eastAsia="宋体" w:hAnsi="Times New Roman" w:cs="Times New Roman"/>
                <w:kern w:val="0"/>
                <w:sz w:val="14"/>
                <w:szCs w:val="14"/>
              </w:rPr>
            </w:pPr>
            <w:r w:rsidRPr="004B2A77">
              <w:rPr>
                <w:rFonts w:ascii="Arial" w:eastAsia="宋体" w:hAnsi="Arial" w:cs="Arial"/>
                <w:kern w:val="0"/>
                <w:sz w:val="14"/>
                <w:szCs w:val="14"/>
              </w:rPr>
              <w:t> </w:t>
            </w:r>
          </w:p>
        </w:tc>
      </w:tr>
      <w:tr w:rsidR="004B2A77" w:rsidRPr="004B2A77" w14:paraId="146B06CD" w14:textId="77777777" w:rsidTr="004B2A77">
        <w:trPr>
          <w:trHeight w:val="180"/>
          <w:tblCellSpacing w:w="15" w:type="dxa"/>
        </w:trPr>
        <w:tc>
          <w:tcPr>
            <w:tcW w:w="0" w:type="auto"/>
            <w:shd w:val="clear" w:color="auto" w:fill="CFF0FC"/>
            <w:vAlign w:val="bottom"/>
            <w:hideMark/>
          </w:tcPr>
          <w:p w14:paraId="58C7E3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Bonds</w:t>
            </w:r>
          </w:p>
        </w:tc>
        <w:tc>
          <w:tcPr>
            <w:tcW w:w="0" w:type="auto"/>
            <w:shd w:val="clear" w:color="auto" w:fill="CFF0FC"/>
            <w:vAlign w:val="bottom"/>
            <w:hideMark/>
          </w:tcPr>
          <w:p w14:paraId="078084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8567E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94497C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533</w:t>
            </w:r>
          </w:p>
        </w:tc>
        <w:tc>
          <w:tcPr>
            <w:tcW w:w="0" w:type="auto"/>
            <w:shd w:val="clear" w:color="auto" w:fill="CFF0FC"/>
            <w:noWrap/>
            <w:vAlign w:val="bottom"/>
            <w:hideMark/>
          </w:tcPr>
          <w:p w14:paraId="37800E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ABCB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7BD1F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D6FFCA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297</w:t>
            </w:r>
          </w:p>
        </w:tc>
        <w:tc>
          <w:tcPr>
            <w:tcW w:w="0" w:type="auto"/>
            <w:shd w:val="clear" w:color="auto" w:fill="CFF0FC"/>
            <w:noWrap/>
            <w:vAlign w:val="bottom"/>
            <w:hideMark/>
          </w:tcPr>
          <w:p w14:paraId="0C3C4E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097FC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1CD70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170F8A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05FF0BF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47A9D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EECCC2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D5F960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285</w:t>
            </w:r>
          </w:p>
        </w:tc>
        <w:tc>
          <w:tcPr>
            <w:tcW w:w="0" w:type="auto"/>
            <w:shd w:val="clear" w:color="auto" w:fill="CFF0FC"/>
            <w:noWrap/>
            <w:vAlign w:val="bottom"/>
            <w:hideMark/>
          </w:tcPr>
          <w:p w14:paraId="470A8E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B1965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86045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0502FD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5F47DE6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32D43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A7AFDC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B6635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B2030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CDFF21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185</w:t>
            </w:r>
          </w:p>
        </w:tc>
        <w:tc>
          <w:tcPr>
            <w:tcW w:w="0" w:type="auto"/>
            <w:shd w:val="clear" w:color="auto" w:fill="CFF0FC"/>
            <w:noWrap/>
            <w:vAlign w:val="bottom"/>
            <w:hideMark/>
          </w:tcPr>
          <w:p w14:paraId="3656F2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0A342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23F80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93F737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767</w:t>
            </w:r>
          </w:p>
        </w:tc>
        <w:tc>
          <w:tcPr>
            <w:tcW w:w="0" w:type="auto"/>
            <w:shd w:val="clear" w:color="auto" w:fill="CFF0FC"/>
            <w:noWrap/>
            <w:vAlign w:val="bottom"/>
            <w:hideMark/>
          </w:tcPr>
          <w:p w14:paraId="423DFD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F2BD8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02827A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F8617F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1,300</w:t>
            </w:r>
          </w:p>
        </w:tc>
        <w:tc>
          <w:tcPr>
            <w:tcW w:w="0" w:type="auto"/>
            <w:shd w:val="clear" w:color="auto" w:fill="CFF0FC"/>
            <w:noWrap/>
            <w:vAlign w:val="bottom"/>
            <w:hideMark/>
          </w:tcPr>
          <w:p w14:paraId="2651766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E3939CC"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r>
      <w:tr w:rsidR="004B2A77" w:rsidRPr="004B2A77" w14:paraId="1245E149" w14:textId="77777777" w:rsidTr="004B2A77">
        <w:trPr>
          <w:trHeight w:val="180"/>
          <w:tblCellSpacing w:w="15" w:type="dxa"/>
        </w:trPr>
        <w:tc>
          <w:tcPr>
            <w:tcW w:w="0" w:type="auto"/>
            <w:shd w:val="clear" w:color="auto" w:fill="FFFFFF"/>
            <w:vAlign w:val="bottom"/>
            <w:hideMark/>
          </w:tcPr>
          <w:p w14:paraId="68F0A9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Loans</w:t>
            </w:r>
          </w:p>
        </w:tc>
        <w:tc>
          <w:tcPr>
            <w:tcW w:w="0" w:type="auto"/>
            <w:shd w:val="clear" w:color="auto" w:fill="FFFFFF"/>
            <w:vAlign w:val="bottom"/>
            <w:hideMark/>
          </w:tcPr>
          <w:p w14:paraId="739376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B4261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CA65E6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557F939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A4D03D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798DA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DFA656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6A100B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49D23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B64C0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346294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287</w:t>
            </w:r>
          </w:p>
        </w:tc>
        <w:tc>
          <w:tcPr>
            <w:tcW w:w="0" w:type="auto"/>
            <w:shd w:val="clear" w:color="auto" w:fill="FFFFFF"/>
            <w:noWrap/>
            <w:vAlign w:val="bottom"/>
            <w:hideMark/>
          </w:tcPr>
          <w:p w14:paraId="35AA85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9D7F6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1D0543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E0ACF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FD8B8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81ABB9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49B986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003172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040CA58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4368A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B6864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EDBB6C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6E00F3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5998A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E5325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C1C40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287</w:t>
            </w:r>
          </w:p>
        </w:tc>
        <w:tc>
          <w:tcPr>
            <w:tcW w:w="0" w:type="auto"/>
            <w:shd w:val="clear" w:color="auto" w:fill="FFFFFF"/>
            <w:noWrap/>
            <w:vAlign w:val="bottom"/>
            <w:hideMark/>
          </w:tcPr>
          <w:p w14:paraId="428B46D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429AC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DD24B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7A29CB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287</w:t>
            </w:r>
          </w:p>
        </w:tc>
        <w:tc>
          <w:tcPr>
            <w:tcW w:w="0" w:type="auto"/>
            <w:shd w:val="clear" w:color="auto" w:fill="FFFFFF"/>
            <w:noWrap/>
            <w:vAlign w:val="bottom"/>
            <w:hideMark/>
          </w:tcPr>
          <w:p w14:paraId="0461B4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34FAA52"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r>
      <w:tr w:rsidR="004B2A77" w:rsidRPr="004B2A77" w14:paraId="3B3A4755" w14:textId="77777777" w:rsidTr="004B2A77">
        <w:trPr>
          <w:trHeight w:val="180"/>
          <w:tblCellSpacing w:w="15" w:type="dxa"/>
        </w:trPr>
        <w:tc>
          <w:tcPr>
            <w:tcW w:w="0" w:type="auto"/>
            <w:shd w:val="clear" w:color="auto" w:fill="CFF0FC"/>
            <w:vAlign w:val="bottom"/>
            <w:hideMark/>
          </w:tcPr>
          <w:p w14:paraId="1DE06A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Commercial papers</w:t>
            </w:r>
          </w:p>
        </w:tc>
        <w:tc>
          <w:tcPr>
            <w:tcW w:w="0" w:type="auto"/>
            <w:shd w:val="clear" w:color="auto" w:fill="CFF0FC"/>
            <w:vAlign w:val="bottom"/>
            <w:hideMark/>
          </w:tcPr>
          <w:p w14:paraId="4568B7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D5953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F7C2B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152</w:t>
            </w:r>
          </w:p>
        </w:tc>
        <w:tc>
          <w:tcPr>
            <w:tcW w:w="0" w:type="auto"/>
            <w:shd w:val="clear" w:color="auto" w:fill="CFF0FC"/>
            <w:noWrap/>
            <w:vAlign w:val="bottom"/>
            <w:hideMark/>
          </w:tcPr>
          <w:p w14:paraId="29F69E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52ABC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37B851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4ACF68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6A7B78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DC8F64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19D9A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641BDD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31DF45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F34AA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2823B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932728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F5F64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9A9FC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94FAF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11EBA9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2E962F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3E8565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E9306C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97824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11B9BB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7B323F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1ABD7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873A0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6E121A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55D58E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CD3A3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E441B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5D65EF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152</w:t>
            </w:r>
          </w:p>
        </w:tc>
        <w:tc>
          <w:tcPr>
            <w:tcW w:w="0" w:type="auto"/>
            <w:shd w:val="clear" w:color="auto" w:fill="CFF0FC"/>
            <w:noWrap/>
            <w:vAlign w:val="bottom"/>
            <w:hideMark/>
          </w:tcPr>
          <w:p w14:paraId="3C05CE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5D94509"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r>
      <w:tr w:rsidR="004B2A77" w:rsidRPr="004B2A77" w14:paraId="4BEA6634" w14:textId="77777777" w:rsidTr="004B2A77">
        <w:trPr>
          <w:trHeight w:val="180"/>
          <w:tblCellSpacing w:w="15" w:type="dxa"/>
        </w:trPr>
        <w:tc>
          <w:tcPr>
            <w:tcW w:w="0" w:type="auto"/>
            <w:shd w:val="clear" w:color="auto" w:fill="FFFFFF"/>
            <w:vAlign w:val="bottom"/>
            <w:hideMark/>
          </w:tcPr>
          <w:p w14:paraId="45CF52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 short-term debt</w:t>
            </w:r>
          </w:p>
        </w:tc>
        <w:tc>
          <w:tcPr>
            <w:tcW w:w="0" w:type="auto"/>
            <w:shd w:val="clear" w:color="auto" w:fill="FFFFFF"/>
            <w:vAlign w:val="bottom"/>
            <w:hideMark/>
          </w:tcPr>
          <w:p w14:paraId="3D947C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46BE8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AD15A6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w:t>
            </w:r>
          </w:p>
        </w:tc>
        <w:tc>
          <w:tcPr>
            <w:tcW w:w="0" w:type="auto"/>
            <w:shd w:val="clear" w:color="auto" w:fill="FFFFFF"/>
            <w:noWrap/>
            <w:vAlign w:val="bottom"/>
            <w:hideMark/>
          </w:tcPr>
          <w:p w14:paraId="0C86CF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AE2B5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65E73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07DD35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76218EC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06FC1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A6273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DF8D7A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1E76BDC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C5C0C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25A8E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71712E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7B3D65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D710B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4DD00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D782EE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66AD1CE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1A3BA0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C83073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9B7B7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280C19E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734B06F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0570D3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6A2EE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3B565F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1115D3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D6B51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91A5A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308F9B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w:t>
            </w:r>
          </w:p>
        </w:tc>
        <w:tc>
          <w:tcPr>
            <w:tcW w:w="0" w:type="auto"/>
            <w:shd w:val="clear" w:color="auto" w:fill="FFFFFF"/>
            <w:noWrap/>
            <w:vAlign w:val="bottom"/>
            <w:hideMark/>
          </w:tcPr>
          <w:p w14:paraId="7A601B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FA7F17"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r>
      <w:tr w:rsidR="004B2A77" w:rsidRPr="004B2A77" w14:paraId="786EFD71" w14:textId="77777777" w:rsidTr="004B2A77">
        <w:trPr>
          <w:trHeight w:val="180"/>
          <w:tblCellSpacing w:w="15" w:type="dxa"/>
        </w:trPr>
        <w:tc>
          <w:tcPr>
            <w:tcW w:w="0" w:type="auto"/>
            <w:shd w:val="clear" w:color="auto" w:fill="CFF0FC"/>
            <w:vAlign w:val="bottom"/>
            <w:hideMark/>
          </w:tcPr>
          <w:p w14:paraId="7A5FB2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principal amount</w:t>
            </w:r>
          </w:p>
        </w:tc>
        <w:tc>
          <w:tcPr>
            <w:tcW w:w="0" w:type="auto"/>
            <w:shd w:val="clear" w:color="auto" w:fill="CFF0FC"/>
            <w:vAlign w:val="bottom"/>
            <w:hideMark/>
          </w:tcPr>
          <w:p w14:paraId="444A22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B10DF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154201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711</w:t>
            </w:r>
          </w:p>
        </w:tc>
        <w:tc>
          <w:tcPr>
            <w:tcW w:w="0" w:type="auto"/>
            <w:shd w:val="clear" w:color="auto" w:fill="CFF0FC"/>
            <w:noWrap/>
            <w:vAlign w:val="bottom"/>
            <w:hideMark/>
          </w:tcPr>
          <w:p w14:paraId="1360AB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E9CC1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5EC38E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F42AA4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297</w:t>
            </w:r>
          </w:p>
        </w:tc>
        <w:tc>
          <w:tcPr>
            <w:tcW w:w="0" w:type="auto"/>
            <w:shd w:val="clear" w:color="auto" w:fill="CFF0FC"/>
            <w:noWrap/>
            <w:vAlign w:val="bottom"/>
            <w:hideMark/>
          </w:tcPr>
          <w:p w14:paraId="0B8C05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B106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352DE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D38307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287</w:t>
            </w:r>
          </w:p>
        </w:tc>
        <w:tc>
          <w:tcPr>
            <w:tcW w:w="0" w:type="auto"/>
            <w:shd w:val="clear" w:color="auto" w:fill="CFF0FC"/>
            <w:noWrap/>
            <w:vAlign w:val="bottom"/>
            <w:hideMark/>
          </w:tcPr>
          <w:p w14:paraId="4FA7E7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77C06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C0936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3877A21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285</w:t>
            </w:r>
          </w:p>
        </w:tc>
        <w:tc>
          <w:tcPr>
            <w:tcW w:w="0" w:type="auto"/>
            <w:shd w:val="clear" w:color="auto" w:fill="CFF0FC"/>
            <w:noWrap/>
            <w:vAlign w:val="bottom"/>
            <w:hideMark/>
          </w:tcPr>
          <w:p w14:paraId="609151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2038C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D2209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3DDDCC5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noWrap/>
            <w:vAlign w:val="bottom"/>
            <w:hideMark/>
          </w:tcPr>
          <w:p w14:paraId="00F516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56DE2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38DAD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D4DD2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D9AA2B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185</w:t>
            </w:r>
          </w:p>
        </w:tc>
        <w:tc>
          <w:tcPr>
            <w:tcW w:w="0" w:type="auto"/>
            <w:shd w:val="clear" w:color="auto" w:fill="CFF0FC"/>
            <w:noWrap/>
            <w:vAlign w:val="bottom"/>
            <w:hideMark/>
          </w:tcPr>
          <w:p w14:paraId="4060D1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D6022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C2663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77CCE8E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1,054</w:t>
            </w:r>
          </w:p>
        </w:tc>
        <w:tc>
          <w:tcPr>
            <w:tcW w:w="0" w:type="auto"/>
            <w:shd w:val="clear" w:color="auto" w:fill="CFF0FC"/>
            <w:noWrap/>
            <w:vAlign w:val="bottom"/>
            <w:hideMark/>
          </w:tcPr>
          <w:p w14:paraId="0B0FDC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A8375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04DEE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68C4E7C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1,765</w:t>
            </w:r>
          </w:p>
        </w:tc>
        <w:tc>
          <w:tcPr>
            <w:tcW w:w="0" w:type="auto"/>
            <w:shd w:val="clear" w:color="auto" w:fill="CFF0FC"/>
            <w:noWrap/>
            <w:vAlign w:val="bottom"/>
            <w:hideMark/>
          </w:tcPr>
          <w:p w14:paraId="64FD31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05D5ABD"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kern w:val="0"/>
                <w:sz w:val="20"/>
                <w:szCs w:val="20"/>
              </w:rPr>
              <w:t> </w:t>
            </w:r>
          </w:p>
        </w:tc>
      </w:tr>
    </w:tbl>
    <w:p w14:paraId="54FDD0C2" w14:textId="77777777" w:rsidR="004B2A77" w:rsidRPr="004B2A77" w:rsidRDefault="004B2A77" w:rsidP="004B2A77">
      <w:pPr>
        <w:widowControl/>
        <w:ind w:hanging="581"/>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283E944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3CBD7B8"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77</w:t>
      </w:r>
    </w:p>
    <w:p w14:paraId="3E1F527C"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9AD9A40">
          <v:rect id="_x0000_i1104" style="width:0;height:1.5pt" o:hralign="center" o:hrstd="t" o:hrnoshade="t" o:hr="t" fillcolor="black" stroked="f"/>
        </w:pict>
      </w:r>
    </w:p>
    <w:p w14:paraId="52AC321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30999E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14. Shareholders’ Equity</w:t>
      </w:r>
    </w:p>
    <w:p w14:paraId="12622A0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number of shares outstanding as of December 31, 2022 was 86,187,746.</w:t>
      </w:r>
    </w:p>
    <w:p w14:paraId="5AF42D9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495"/>
        <w:gridCol w:w="266"/>
        <w:gridCol w:w="190"/>
        <w:gridCol w:w="1342"/>
        <w:gridCol w:w="190"/>
        <w:gridCol w:w="267"/>
        <w:gridCol w:w="190"/>
        <w:gridCol w:w="1346"/>
        <w:gridCol w:w="190"/>
        <w:gridCol w:w="267"/>
        <w:gridCol w:w="190"/>
        <w:gridCol w:w="1352"/>
        <w:gridCol w:w="206"/>
      </w:tblGrid>
      <w:tr w:rsidR="004B2A77" w:rsidRPr="004B2A77" w14:paraId="2A73F758" w14:textId="77777777" w:rsidTr="004B2A77">
        <w:trPr>
          <w:tblCellSpacing w:w="15" w:type="dxa"/>
        </w:trPr>
        <w:tc>
          <w:tcPr>
            <w:tcW w:w="10473" w:type="dxa"/>
            <w:vAlign w:val="center"/>
            <w:hideMark/>
          </w:tcPr>
          <w:p w14:paraId="6485867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37" w:type="dxa"/>
            <w:vAlign w:val="center"/>
            <w:hideMark/>
          </w:tcPr>
          <w:p w14:paraId="71838AA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E6BB85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4" w:type="dxa"/>
            <w:vAlign w:val="center"/>
            <w:hideMark/>
          </w:tcPr>
          <w:p w14:paraId="658C6D2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745235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1269080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26615C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015EBC0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A60239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454364C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57D04D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24" w:type="dxa"/>
            <w:vAlign w:val="center"/>
            <w:hideMark/>
          </w:tcPr>
          <w:p w14:paraId="68304BA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1FD4314C"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3A1EF39" w14:textId="77777777" w:rsidTr="004B2A77">
        <w:trPr>
          <w:trHeight w:val="160"/>
          <w:tblCellSpacing w:w="15" w:type="dxa"/>
        </w:trPr>
        <w:tc>
          <w:tcPr>
            <w:tcW w:w="0" w:type="auto"/>
            <w:shd w:val="clear" w:color="auto" w:fill="FFFFFF"/>
            <w:vAlign w:val="bottom"/>
            <w:hideMark/>
          </w:tcPr>
          <w:p w14:paraId="3DE4B06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DIVIDENDS</w:t>
            </w:r>
          </w:p>
        </w:tc>
        <w:tc>
          <w:tcPr>
            <w:tcW w:w="0" w:type="auto"/>
            <w:shd w:val="clear" w:color="auto" w:fill="FFFFFF"/>
            <w:vAlign w:val="bottom"/>
            <w:hideMark/>
          </w:tcPr>
          <w:p w14:paraId="09512E0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A60642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EEE947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1C3705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1B9161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491467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448784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B3C099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4949147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6FAB348" w14:textId="77777777" w:rsidTr="004B2A77">
        <w:trPr>
          <w:trHeight w:val="180"/>
          <w:tblCellSpacing w:w="15" w:type="dxa"/>
        </w:trPr>
        <w:tc>
          <w:tcPr>
            <w:tcW w:w="0" w:type="auto"/>
            <w:shd w:val="clear" w:color="auto" w:fill="CFF0FC"/>
            <w:hideMark/>
          </w:tcPr>
          <w:p w14:paraId="46630B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Cash dividend paid per share</w:t>
            </w:r>
          </w:p>
        </w:tc>
        <w:tc>
          <w:tcPr>
            <w:tcW w:w="0" w:type="auto"/>
            <w:shd w:val="clear" w:color="auto" w:fill="CFF0FC"/>
            <w:vAlign w:val="bottom"/>
            <w:hideMark/>
          </w:tcPr>
          <w:p w14:paraId="60C533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8498B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8836AB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2.58</w:t>
            </w:r>
          </w:p>
        </w:tc>
        <w:tc>
          <w:tcPr>
            <w:tcW w:w="0" w:type="auto"/>
            <w:shd w:val="clear" w:color="auto" w:fill="CFF0FC"/>
            <w:noWrap/>
            <w:vAlign w:val="bottom"/>
            <w:hideMark/>
          </w:tcPr>
          <w:p w14:paraId="34A1D5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F7A4D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1F61A8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965C7D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1.88</w:t>
            </w:r>
          </w:p>
        </w:tc>
        <w:tc>
          <w:tcPr>
            <w:tcW w:w="0" w:type="auto"/>
            <w:shd w:val="clear" w:color="auto" w:fill="CFF0FC"/>
            <w:noWrap/>
            <w:vAlign w:val="bottom"/>
            <w:hideMark/>
          </w:tcPr>
          <w:p w14:paraId="00B1B3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C4951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3D892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67F777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0.62</w:t>
            </w:r>
          </w:p>
        </w:tc>
        <w:tc>
          <w:tcPr>
            <w:tcW w:w="0" w:type="auto"/>
            <w:shd w:val="clear" w:color="auto" w:fill="CFF0FC"/>
            <w:noWrap/>
            <w:vAlign w:val="bottom"/>
            <w:hideMark/>
          </w:tcPr>
          <w:p w14:paraId="63163B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68BCACF" w14:textId="77777777" w:rsidTr="004B2A77">
        <w:trPr>
          <w:trHeight w:val="180"/>
          <w:tblCellSpacing w:w="15" w:type="dxa"/>
        </w:trPr>
        <w:tc>
          <w:tcPr>
            <w:tcW w:w="0" w:type="auto"/>
            <w:shd w:val="clear" w:color="auto" w:fill="FFFFFF"/>
            <w:hideMark/>
          </w:tcPr>
          <w:p w14:paraId="3ABCAD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Cash dividend declared per share</w:t>
            </w:r>
          </w:p>
        </w:tc>
        <w:tc>
          <w:tcPr>
            <w:tcW w:w="0" w:type="auto"/>
            <w:shd w:val="clear" w:color="auto" w:fill="FFFFFF"/>
            <w:vAlign w:val="bottom"/>
            <w:hideMark/>
          </w:tcPr>
          <w:p w14:paraId="735A85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2D022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5C3718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2.58</w:t>
            </w:r>
          </w:p>
        </w:tc>
        <w:tc>
          <w:tcPr>
            <w:tcW w:w="0" w:type="auto"/>
            <w:shd w:val="clear" w:color="auto" w:fill="FFFFFF"/>
            <w:noWrap/>
            <w:vAlign w:val="bottom"/>
            <w:hideMark/>
          </w:tcPr>
          <w:p w14:paraId="25E7FC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FC9B3A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7FE2A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CB1044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1.88</w:t>
            </w:r>
          </w:p>
        </w:tc>
        <w:tc>
          <w:tcPr>
            <w:tcW w:w="0" w:type="auto"/>
            <w:shd w:val="clear" w:color="auto" w:fill="FFFFFF"/>
            <w:noWrap/>
            <w:vAlign w:val="bottom"/>
            <w:hideMark/>
          </w:tcPr>
          <w:p w14:paraId="6DFE16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7A666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5B3B9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AEE267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4D4621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87E4928" w14:textId="77777777" w:rsidTr="004B2A77">
        <w:trPr>
          <w:tblCellSpacing w:w="15" w:type="dxa"/>
        </w:trPr>
        <w:tc>
          <w:tcPr>
            <w:tcW w:w="0" w:type="auto"/>
            <w:gridSpan w:val="12"/>
            <w:shd w:val="clear" w:color="auto" w:fill="FFFFFF"/>
            <w:hideMark/>
          </w:tcPr>
          <w:p w14:paraId="0BF01B0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hideMark/>
          </w:tcPr>
          <w:p w14:paraId="154A8FE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bl>
    <w:p w14:paraId="4FC979F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569"/>
        <w:gridCol w:w="269"/>
        <w:gridCol w:w="190"/>
        <w:gridCol w:w="1315"/>
        <w:gridCol w:w="190"/>
        <w:gridCol w:w="272"/>
        <w:gridCol w:w="190"/>
        <w:gridCol w:w="1319"/>
        <w:gridCol w:w="190"/>
        <w:gridCol w:w="272"/>
        <w:gridCol w:w="190"/>
        <w:gridCol w:w="1319"/>
        <w:gridCol w:w="206"/>
      </w:tblGrid>
      <w:tr w:rsidR="004B2A77" w:rsidRPr="004B2A77" w14:paraId="14864280" w14:textId="77777777" w:rsidTr="004B2A77">
        <w:trPr>
          <w:tblCellSpacing w:w="15" w:type="dxa"/>
        </w:trPr>
        <w:tc>
          <w:tcPr>
            <w:tcW w:w="10546" w:type="dxa"/>
            <w:vAlign w:val="center"/>
            <w:hideMark/>
          </w:tcPr>
          <w:p w14:paraId="7F59E5C7"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40" w:type="dxa"/>
            <w:vAlign w:val="center"/>
            <w:hideMark/>
          </w:tcPr>
          <w:p w14:paraId="36D101B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B3AF3F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87" w:type="dxa"/>
            <w:vAlign w:val="center"/>
            <w:hideMark/>
          </w:tcPr>
          <w:p w14:paraId="6FAF011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7C96A1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2" w:type="dxa"/>
            <w:vAlign w:val="center"/>
            <w:hideMark/>
          </w:tcPr>
          <w:p w14:paraId="74F861C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7CCE71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91" w:type="dxa"/>
            <w:vAlign w:val="center"/>
            <w:hideMark/>
          </w:tcPr>
          <w:p w14:paraId="0AC938B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492821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2" w:type="dxa"/>
            <w:vAlign w:val="center"/>
            <w:hideMark/>
          </w:tcPr>
          <w:p w14:paraId="6395F84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B63D8E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291" w:type="dxa"/>
            <w:vAlign w:val="center"/>
            <w:hideMark/>
          </w:tcPr>
          <w:p w14:paraId="1083CB9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2B270F6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29D6254" w14:textId="77777777" w:rsidTr="004B2A77">
        <w:trPr>
          <w:trHeight w:val="160"/>
          <w:tblCellSpacing w:w="15" w:type="dxa"/>
        </w:trPr>
        <w:tc>
          <w:tcPr>
            <w:tcW w:w="0" w:type="auto"/>
            <w:shd w:val="clear" w:color="auto" w:fill="FFFFFF"/>
            <w:vAlign w:val="bottom"/>
            <w:hideMark/>
          </w:tcPr>
          <w:p w14:paraId="7DB1F3C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OTHER COMPREHENSIVE LOSS / ENDING BALANCE</w:t>
            </w:r>
            <w:r w:rsidRPr="004B2A77">
              <w:rPr>
                <w:rFonts w:ascii="Arial" w:eastAsia="宋体" w:hAnsi="Arial" w:cs="Arial"/>
                <w:color w:val="000000"/>
                <w:kern w:val="0"/>
                <w:sz w:val="11"/>
                <w:szCs w:val="11"/>
              </w:rPr>
              <w:t>1)</w:t>
            </w:r>
            <w:r w:rsidRPr="004B2A77">
              <w:rPr>
                <w:rFonts w:ascii="Arial" w:eastAsia="宋体" w:hAnsi="Arial" w:cs="Arial"/>
                <w:color w:val="000000"/>
                <w:kern w:val="0"/>
                <w:sz w:val="16"/>
                <w:szCs w:val="16"/>
                <w:u w:val="single"/>
              </w:rPr>
              <w:t> (Dollars in millions)</w:t>
            </w:r>
          </w:p>
        </w:tc>
        <w:tc>
          <w:tcPr>
            <w:tcW w:w="0" w:type="auto"/>
            <w:shd w:val="clear" w:color="auto" w:fill="FFFFFF"/>
            <w:vAlign w:val="bottom"/>
            <w:hideMark/>
          </w:tcPr>
          <w:p w14:paraId="2EE2EE5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2DF5F6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E5B77F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616032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5834FB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599554C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0E22C7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FD0805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4CD92CE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7F997A93" w14:textId="77777777" w:rsidTr="004B2A77">
        <w:trPr>
          <w:trHeight w:val="180"/>
          <w:tblCellSpacing w:w="15" w:type="dxa"/>
        </w:trPr>
        <w:tc>
          <w:tcPr>
            <w:tcW w:w="0" w:type="auto"/>
            <w:shd w:val="clear" w:color="auto" w:fill="CFF0FC"/>
            <w:hideMark/>
          </w:tcPr>
          <w:p w14:paraId="2AD20F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Cumulative translation adjustments</w:t>
            </w:r>
          </w:p>
        </w:tc>
        <w:tc>
          <w:tcPr>
            <w:tcW w:w="0" w:type="auto"/>
            <w:shd w:val="clear" w:color="auto" w:fill="CFF0FC"/>
            <w:vAlign w:val="bottom"/>
            <w:hideMark/>
          </w:tcPr>
          <w:p w14:paraId="57A4AE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3B693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E5884F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(492</w:t>
            </w:r>
          </w:p>
        </w:tc>
        <w:tc>
          <w:tcPr>
            <w:tcW w:w="0" w:type="auto"/>
            <w:shd w:val="clear" w:color="auto" w:fill="CFF0FC"/>
            <w:noWrap/>
            <w:vAlign w:val="bottom"/>
            <w:hideMark/>
          </w:tcPr>
          <w:p w14:paraId="54F1BDB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907E2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E7B05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084317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(355</w:t>
            </w:r>
          </w:p>
        </w:tc>
        <w:tc>
          <w:tcPr>
            <w:tcW w:w="0" w:type="auto"/>
            <w:shd w:val="clear" w:color="auto" w:fill="CFF0FC"/>
            <w:noWrap/>
            <w:vAlign w:val="bottom"/>
            <w:hideMark/>
          </w:tcPr>
          <w:p w14:paraId="1A6BD4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5C49D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2E2BC6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F61EC1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(269</w:t>
            </w:r>
          </w:p>
        </w:tc>
        <w:tc>
          <w:tcPr>
            <w:tcW w:w="0" w:type="auto"/>
            <w:shd w:val="clear" w:color="auto" w:fill="CFF0FC"/>
            <w:noWrap/>
            <w:vAlign w:val="bottom"/>
            <w:hideMark/>
          </w:tcPr>
          <w:p w14:paraId="4AAA3A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4F7EB88" w14:textId="77777777" w:rsidTr="004B2A77">
        <w:trPr>
          <w:trHeight w:val="180"/>
          <w:tblCellSpacing w:w="15" w:type="dxa"/>
        </w:trPr>
        <w:tc>
          <w:tcPr>
            <w:tcW w:w="0" w:type="auto"/>
            <w:shd w:val="clear" w:color="auto" w:fill="FFFFFF"/>
            <w:hideMark/>
          </w:tcPr>
          <w:p w14:paraId="3E004C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Net pension liability</w:t>
            </w:r>
          </w:p>
        </w:tc>
        <w:tc>
          <w:tcPr>
            <w:tcW w:w="0" w:type="auto"/>
            <w:shd w:val="clear" w:color="auto" w:fill="FFFFFF"/>
            <w:vAlign w:val="bottom"/>
            <w:hideMark/>
          </w:tcPr>
          <w:p w14:paraId="2C7218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02438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88932B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(30</w:t>
            </w:r>
          </w:p>
        </w:tc>
        <w:tc>
          <w:tcPr>
            <w:tcW w:w="0" w:type="auto"/>
            <w:shd w:val="clear" w:color="auto" w:fill="FFFFFF"/>
            <w:noWrap/>
            <w:vAlign w:val="bottom"/>
            <w:hideMark/>
          </w:tcPr>
          <w:p w14:paraId="426B2D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24CB1E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F51623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032995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(52</w:t>
            </w:r>
          </w:p>
        </w:tc>
        <w:tc>
          <w:tcPr>
            <w:tcW w:w="0" w:type="auto"/>
            <w:shd w:val="clear" w:color="auto" w:fill="FFFFFF"/>
            <w:noWrap/>
            <w:vAlign w:val="bottom"/>
            <w:hideMark/>
          </w:tcPr>
          <w:p w14:paraId="0031C7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0B956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147D7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2C1999B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(78</w:t>
            </w:r>
          </w:p>
        </w:tc>
        <w:tc>
          <w:tcPr>
            <w:tcW w:w="0" w:type="auto"/>
            <w:shd w:val="clear" w:color="auto" w:fill="FFFFFF"/>
            <w:noWrap/>
            <w:vAlign w:val="bottom"/>
            <w:hideMark/>
          </w:tcPr>
          <w:p w14:paraId="6D2A90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ACEA04F" w14:textId="77777777" w:rsidTr="004B2A77">
        <w:trPr>
          <w:trHeight w:val="180"/>
          <w:tblCellSpacing w:w="15" w:type="dxa"/>
        </w:trPr>
        <w:tc>
          <w:tcPr>
            <w:tcW w:w="0" w:type="auto"/>
            <w:shd w:val="clear" w:color="auto" w:fill="CFF0FC"/>
            <w:hideMark/>
          </w:tcPr>
          <w:p w14:paraId="06137B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(ending balance)</w:t>
            </w:r>
          </w:p>
        </w:tc>
        <w:tc>
          <w:tcPr>
            <w:tcW w:w="0" w:type="auto"/>
            <w:shd w:val="clear" w:color="auto" w:fill="CFF0FC"/>
            <w:vAlign w:val="bottom"/>
            <w:hideMark/>
          </w:tcPr>
          <w:p w14:paraId="3470E9D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AC7C06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C2C634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(522</w:t>
            </w:r>
          </w:p>
        </w:tc>
        <w:tc>
          <w:tcPr>
            <w:tcW w:w="0" w:type="auto"/>
            <w:shd w:val="clear" w:color="auto" w:fill="CFF0FC"/>
            <w:noWrap/>
            <w:vAlign w:val="bottom"/>
            <w:hideMark/>
          </w:tcPr>
          <w:p w14:paraId="1DE9F91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340657E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26608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4F6AF94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(408</w:t>
            </w:r>
          </w:p>
        </w:tc>
        <w:tc>
          <w:tcPr>
            <w:tcW w:w="0" w:type="auto"/>
            <w:shd w:val="clear" w:color="auto" w:fill="CFF0FC"/>
            <w:noWrap/>
            <w:vAlign w:val="bottom"/>
            <w:hideMark/>
          </w:tcPr>
          <w:p w14:paraId="55E919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A7DF99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DDC1D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056FCB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(347</w:t>
            </w:r>
          </w:p>
        </w:tc>
        <w:tc>
          <w:tcPr>
            <w:tcW w:w="0" w:type="auto"/>
            <w:shd w:val="clear" w:color="auto" w:fill="CFF0FC"/>
            <w:noWrap/>
            <w:vAlign w:val="bottom"/>
            <w:hideMark/>
          </w:tcPr>
          <w:p w14:paraId="242AD8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r>
      <w:tr w:rsidR="004B2A77" w:rsidRPr="004B2A77" w14:paraId="27E82829" w14:textId="77777777" w:rsidTr="004B2A77">
        <w:trPr>
          <w:tblCellSpacing w:w="15" w:type="dxa"/>
        </w:trPr>
        <w:tc>
          <w:tcPr>
            <w:tcW w:w="0" w:type="auto"/>
            <w:shd w:val="clear" w:color="auto" w:fill="FFFFFF"/>
            <w:hideMark/>
          </w:tcPr>
          <w:p w14:paraId="03E8A8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9614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0BAB499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533D20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00CD6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3786CCB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968B33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0B129C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379D032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D8F923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14B195C" w14:textId="77777777" w:rsidTr="004B2A77">
        <w:trPr>
          <w:trHeight w:val="180"/>
          <w:tblCellSpacing w:w="15" w:type="dxa"/>
        </w:trPr>
        <w:tc>
          <w:tcPr>
            <w:tcW w:w="0" w:type="auto"/>
            <w:shd w:val="clear" w:color="auto" w:fill="FFFFFF"/>
            <w:vAlign w:val="bottom"/>
            <w:hideMark/>
          </w:tcPr>
          <w:p w14:paraId="105975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Deferred taxes on the pension liability</w:t>
            </w:r>
          </w:p>
        </w:tc>
        <w:tc>
          <w:tcPr>
            <w:tcW w:w="0" w:type="auto"/>
            <w:shd w:val="clear" w:color="auto" w:fill="FFFFFF"/>
            <w:vAlign w:val="bottom"/>
            <w:hideMark/>
          </w:tcPr>
          <w:p w14:paraId="530BE9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AF911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10113F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w:t>
            </w:r>
          </w:p>
        </w:tc>
        <w:tc>
          <w:tcPr>
            <w:tcW w:w="0" w:type="auto"/>
            <w:shd w:val="clear" w:color="auto" w:fill="FFFFFF"/>
            <w:noWrap/>
            <w:vAlign w:val="bottom"/>
            <w:hideMark/>
          </w:tcPr>
          <w:p w14:paraId="00C3A8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D16F3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4790D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53154EA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15</w:t>
            </w:r>
          </w:p>
        </w:tc>
        <w:tc>
          <w:tcPr>
            <w:tcW w:w="0" w:type="auto"/>
            <w:shd w:val="clear" w:color="auto" w:fill="FFFFFF"/>
            <w:noWrap/>
            <w:vAlign w:val="bottom"/>
            <w:hideMark/>
          </w:tcPr>
          <w:p w14:paraId="7377D4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715BAA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7A706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5DBF36D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23</w:t>
            </w:r>
          </w:p>
        </w:tc>
        <w:tc>
          <w:tcPr>
            <w:tcW w:w="0" w:type="auto"/>
            <w:shd w:val="clear" w:color="auto" w:fill="FFFFFF"/>
            <w:noWrap/>
            <w:vAlign w:val="bottom"/>
            <w:hideMark/>
          </w:tcPr>
          <w:p w14:paraId="0BA76E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2918AB3A"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4"/>
          <w:szCs w:val="4"/>
        </w:rPr>
        <w:t> </w:t>
      </w:r>
    </w:p>
    <w:p w14:paraId="326D8A8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The components of Other Comprehensive Loss are net of any related income tax effects.</w:t>
      </w:r>
    </w:p>
    <w:p w14:paraId="2F67B78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SHARE REPURCHASE PROGRAM</w:t>
      </w:r>
    </w:p>
    <w:p w14:paraId="38F7A9A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On December 31, 2021, the stock repurchase program authorized by the Board of Directors in 2014 expired with approximately 3 million shares remaining. In November 2021, the Board of Directors approved a new stock repurchase program that authorizes the Company to repurchase up to $1.5 billion or up to 17 million shares (whichever comes first) between January 2022 and the end of 2024.</w:t>
      </w:r>
    </w:p>
    <w:p w14:paraId="10335032" w14:textId="77777777" w:rsidR="004B2A77" w:rsidRPr="004B2A77" w:rsidRDefault="004B2A77" w:rsidP="004B2A77">
      <w:pPr>
        <w:widowControl/>
        <w:spacing w:before="120"/>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During 2022, the Company repurchased and immediately retired 1,440,572 shares for approximately $115 million.</w:t>
      </w:r>
    </w:p>
    <w:p w14:paraId="1B984550"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15. Supplemental Cash Flow Information</w:t>
      </w:r>
    </w:p>
    <w:p w14:paraId="3BA7DBE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Payments for interest and income taxes were as follows:</w:t>
      </w:r>
    </w:p>
    <w:p w14:paraId="31AC6F4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10501"/>
        <w:gridCol w:w="266"/>
        <w:gridCol w:w="190"/>
        <w:gridCol w:w="1342"/>
        <w:gridCol w:w="190"/>
        <w:gridCol w:w="267"/>
        <w:gridCol w:w="190"/>
        <w:gridCol w:w="1346"/>
        <w:gridCol w:w="190"/>
        <w:gridCol w:w="267"/>
        <w:gridCol w:w="190"/>
        <w:gridCol w:w="1346"/>
        <w:gridCol w:w="206"/>
      </w:tblGrid>
      <w:tr w:rsidR="004B2A77" w:rsidRPr="004B2A77" w14:paraId="25CC10A5" w14:textId="77777777" w:rsidTr="004B2A77">
        <w:trPr>
          <w:tblCellSpacing w:w="15" w:type="dxa"/>
        </w:trPr>
        <w:tc>
          <w:tcPr>
            <w:tcW w:w="10479" w:type="dxa"/>
            <w:vAlign w:val="center"/>
            <w:hideMark/>
          </w:tcPr>
          <w:p w14:paraId="3F35FDBD"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37" w:type="dxa"/>
            <w:vAlign w:val="center"/>
            <w:hideMark/>
          </w:tcPr>
          <w:p w14:paraId="15541AA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68FF83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4" w:type="dxa"/>
            <w:vAlign w:val="center"/>
            <w:hideMark/>
          </w:tcPr>
          <w:p w14:paraId="6C3378D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DAF451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17FA68B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C90C4E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58DF564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AFE5C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7" w:type="dxa"/>
            <w:vAlign w:val="center"/>
            <w:hideMark/>
          </w:tcPr>
          <w:p w14:paraId="5B3DF13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25B9DC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318" w:type="dxa"/>
            <w:vAlign w:val="center"/>
            <w:hideMark/>
          </w:tcPr>
          <w:p w14:paraId="3FC0AA1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5D4B1E08"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8F7BDD2" w14:textId="77777777" w:rsidTr="004B2A77">
        <w:trPr>
          <w:trHeight w:val="160"/>
          <w:tblCellSpacing w:w="15" w:type="dxa"/>
        </w:trPr>
        <w:tc>
          <w:tcPr>
            <w:tcW w:w="0" w:type="auto"/>
            <w:shd w:val="clear" w:color="auto" w:fill="FFFFFF"/>
            <w:vAlign w:val="bottom"/>
            <w:hideMark/>
          </w:tcPr>
          <w:p w14:paraId="20A7477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4C6D323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42C323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7E9001D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5A43B7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88B6A9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57856C5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49A09A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470AFB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4212093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2BFD5F70" w14:textId="77777777" w:rsidTr="004B2A77">
        <w:trPr>
          <w:trHeight w:val="180"/>
          <w:tblCellSpacing w:w="15" w:type="dxa"/>
        </w:trPr>
        <w:tc>
          <w:tcPr>
            <w:tcW w:w="0" w:type="auto"/>
            <w:shd w:val="clear" w:color="auto" w:fill="CFF0FC"/>
            <w:hideMark/>
          </w:tcPr>
          <w:p w14:paraId="633A08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Interest</w:t>
            </w:r>
          </w:p>
        </w:tc>
        <w:tc>
          <w:tcPr>
            <w:tcW w:w="0" w:type="auto"/>
            <w:shd w:val="clear" w:color="auto" w:fill="CFF0FC"/>
            <w:vAlign w:val="bottom"/>
            <w:hideMark/>
          </w:tcPr>
          <w:p w14:paraId="4460BB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E104D6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2775F2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64</w:t>
            </w:r>
          </w:p>
        </w:tc>
        <w:tc>
          <w:tcPr>
            <w:tcW w:w="0" w:type="auto"/>
            <w:shd w:val="clear" w:color="auto" w:fill="CFF0FC"/>
            <w:noWrap/>
            <w:vAlign w:val="bottom"/>
            <w:hideMark/>
          </w:tcPr>
          <w:p w14:paraId="188983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E97F0F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60539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18785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60</w:t>
            </w:r>
          </w:p>
        </w:tc>
        <w:tc>
          <w:tcPr>
            <w:tcW w:w="0" w:type="auto"/>
            <w:shd w:val="clear" w:color="auto" w:fill="CFF0FC"/>
            <w:noWrap/>
            <w:vAlign w:val="bottom"/>
            <w:hideMark/>
          </w:tcPr>
          <w:p w14:paraId="671F2E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239BF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C7CC8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A32AA0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73</w:t>
            </w:r>
          </w:p>
        </w:tc>
        <w:tc>
          <w:tcPr>
            <w:tcW w:w="0" w:type="auto"/>
            <w:shd w:val="clear" w:color="auto" w:fill="CFF0FC"/>
            <w:noWrap/>
            <w:vAlign w:val="bottom"/>
            <w:hideMark/>
          </w:tcPr>
          <w:p w14:paraId="54B12C4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CA5279C" w14:textId="77777777" w:rsidTr="004B2A77">
        <w:trPr>
          <w:trHeight w:val="180"/>
          <w:tblCellSpacing w:w="15" w:type="dxa"/>
        </w:trPr>
        <w:tc>
          <w:tcPr>
            <w:tcW w:w="0" w:type="auto"/>
            <w:shd w:val="clear" w:color="auto" w:fill="FFFFFF"/>
            <w:hideMark/>
          </w:tcPr>
          <w:p w14:paraId="324320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Income taxes</w:t>
            </w:r>
          </w:p>
        </w:tc>
        <w:tc>
          <w:tcPr>
            <w:tcW w:w="0" w:type="auto"/>
            <w:shd w:val="clear" w:color="auto" w:fill="FFFFFF"/>
            <w:vAlign w:val="bottom"/>
            <w:hideMark/>
          </w:tcPr>
          <w:p w14:paraId="545145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4CED09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3C9802A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215</w:t>
            </w:r>
          </w:p>
        </w:tc>
        <w:tc>
          <w:tcPr>
            <w:tcW w:w="0" w:type="auto"/>
            <w:shd w:val="clear" w:color="auto" w:fill="FFFFFF"/>
            <w:noWrap/>
            <w:vAlign w:val="center"/>
            <w:hideMark/>
          </w:tcPr>
          <w:p w14:paraId="2EAB1A0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512A2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center"/>
            <w:hideMark/>
          </w:tcPr>
          <w:p w14:paraId="66FBD8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center"/>
            <w:hideMark/>
          </w:tcPr>
          <w:p w14:paraId="66BB095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207</w:t>
            </w:r>
          </w:p>
        </w:tc>
        <w:tc>
          <w:tcPr>
            <w:tcW w:w="0" w:type="auto"/>
            <w:shd w:val="clear" w:color="auto" w:fill="FFFFFF"/>
            <w:noWrap/>
            <w:vAlign w:val="center"/>
            <w:hideMark/>
          </w:tcPr>
          <w:p w14:paraId="30617E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747B4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4D1960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7757A8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104</w:t>
            </w:r>
          </w:p>
        </w:tc>
        <w:tc>
          <w:tcPr>
            <w:tcW w:w="0" w:type="auto"/>
            <w:shd w:val="clear" w:color="auto" w:fill="FFFFFF"/>
            <w:noWrap/>
            <w:vAlign w:val="bottom"/>
            <w:hideMark/>
          </w:tcPr>
          <w:p w14:paraId="70EBAEF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06ED3D5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5657699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27A4255"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78</w:t>
      </w:r>
    </w:p>
    <w:p w14:paraId="574FA27A"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4034D36">
          <v:rect id="_x0000_i1105" style="width:0;height:1.5pt" o:hralign="center" o:hrstd="t" o:hrnoshade="t" o:hr="t" fillcolor="black" stroked="f"/>
        </w:pict>
      </w:r>
    </w:p>
    <w:p w14:paraId="2518F5D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99D0D6E" w14:textId="77777777" w:rsidR="004B2A77" w:rsidRPr="004B2A77" w:rsidRDefault="004B2A77" w:rsidP="004B2A77">
      <w:pPr>
        <w:widowControl/>
        <w:spacing w:before="100"/>
        <w:rPr>
          <w:rFonts w:ascii="Times New Roman" w:eastAsia="微软雅黑" w:hAnsi="Times New Roman" w:cs="Times New Roman"/>
          <w:color w:val="000000"/>
          <w:kern w:val="0"/>
          <w:sz w:val="20"/>
          <w:szCs w:val="20"/>
        </w:rPr>
      </w:pPr>
      <w:r w:rsidRPr="004B2A77">
        <w:rPr>
          <w:rFonts w:ascii="Arial" w:eastAsia="微软雅黑" w:hAnsi="Arial" w:cs="Arial"/>
          <w:b/>
          <w:bCs/>
          <w:color w:val="000000"/>
          <w:kern w:val="0"/>
          <w:sz w:val="22"/>
        </w:rPr>
        <w:t>16. Stock Incentive Plan</w:t>
      </w:r>
    </w:p>
    <w:p w14:paraId="29190F40"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The Company maintains the Autoliv, Inc. 1997 Stock Incentive Plan, as amended (the “Stock Incentive Plan”), pursuant to which it has granted to eligible employees and non-employee directors stock options (SOs), restricted stock units (RSUs) and performance shares (PSUs). </w:t>
      </w:r>
    </w:p>
    <w:p w14:paraId="416ADF5E"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fair value of the RSUs and PSUs is calculated as the grant date fair value of the shares expected to be issued. The RSUs and PSUs granted in 2022, 2021 and 2020 entitle the grantee to receive dividend equivalents in the form of additional RSUs and PSUs subject to the same vesting conditions as the underlying RSUs and PSUs. For the grants made during 2022, 2021 and 2020, the fair value of a RSU and a PSU was calculated by using the closing stock price on the grant date and, with respect to a PSU, assumed target performance. The grant date fair value for the RSUs and PSUs granted during 2022 was approximately $5 million and approximately $8 million, respectively.</w:t>
      </w:r>
    </w:p>
    <w:p w14:paraId="3C08002D"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Pursuant to the Company’s non-employee director compensation policy effective May 1, 2022, the Company’s non-employee directors receive an annual RSU grant having a grant date value equal to $147,500 and the Chairman of the Board of Directors also receives an additional annual RSU grant having a grant date value equal to $85,000. All RSUs granted to non-employee directors vest in one installment on the earlier of the next AGM or the first anniversary of the grant date, in each case subject to the grantee’s continued service as a non-employee director on the vesting date with limited exceptions. The RSUs granted to the Company’s non-employee directors entitle the grantee to receive dividend equivalents in the form of additional RSUs subject to the same vesting conditions as the underlying RSUs. The grant date fair value for the RSUs granted in 2022 to the Company’s non-employee directors was approximately $2 million.</w:t>
      </w:r>
    </w:p>
    <w:p w14:paraId="19FB8ED3"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source of the shares issued upon vesting of awards is generally from treasury shares. The Stock Incentive Plan provides for the issuance of up to 9,585,055 common shares for awards. At December 31, 2022, 6,926,837 of these shares have been issued for awards and 2,658,218 shares remain available for future grants.</w:t>
      </w:r>
    </w:p>
    <w:p w14:paraId="62A2EB46"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In 2015 and earlier, stock awards were granted in the form of SOs and RSUs. All SOs were granted for 10-year terms, had an exercise price equal to the fair market value per share of common stock at the date of grant, and became exercisable after one year of continued employment following the grant date. The average grant date fair values of SOs were calculated using the Black-Scholes valuation model. The </w:t>
      </w:r>
      <w:r w:rsidRPr="004B2A77">
        <w:rPr>
          <w:rFonts w:ascii="Arial" w:eastAsia="微软雅黑" w:hAnsi="Arial" w:cs="Arial"/>
          <w:color w:val="000000"/>
          <w:kern w:val="0"/>
          <w:sz w:val="18"/>
          <w:szCs w:val="18"/>
        </w:rPr>
        <w:lastRenderedPageBreak/>
        <w:t xml:space="preserve">Company used historical exercise data for determining the expected life assumption. Expected volatility was based on historical and implied volatility. </w:t>
      </w:r>
    </w:p>
    <w:p w14:paraId="1F28C63B"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Company recorded approximately $4 million, $10 million and $12 million stock-based compensation expense related to RSUs and PSUs for 2022, 2021 and 2020, respectively. The total compensation cost related to non-vested awards not yet recognized is $13 million for RSUs and PSs and the weighted average period over which this cost is expected to be recognized is approximately 1.7 years. There are no remaining unrecognized compensation costs associated with SOs.</w:t>
      </w:r>
    </w:p>
    <w:p w14:paraId="7A498B30"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Information on the number of RSUs, PSUs and SOs related to the Stock Incentive Plan during the period of 2020 to 2022 is as follows.</w:t>
      </w:r>
    </w:p>
    <w:p w14:paraId="726DB4C2"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207"/>
        <w:gridCol w:w="255"/>
        <w:gridCol w:w="190"/>
        <w:gridCol w:w="1789"/>
        <w:gridCol w:w="190"/>
        <w:gridCol w:w="253"/>
        <w:gridCol w:w="190"/>
        <w:gridCol w:w="1789"/>
        <w:gridCol w:w="190"/>
        <w:gridCol w:w="253"/>
        <w:gridCol w:w="190"/>
        <w:gridCol w:w="1789"/>
        <w:gridCol w:w="206"/>
      </w:tblGrid>
      <w:tr w:rsidR="004B2A77" w:rsidRPr="004B2A77" w14:paraId="221CE2A9" w14:textId="77777777" w:rsidTr="004B2A77">
        <w:trPr>
          <w:tblCellSpacing w:w="15" w:type="dxa"/>
        </w:trPr>
        <w:tc>
          <w:tcPr>
            <w:tcW w:w="9181" w:type="dxa"/>
            <w:vAlign w:val="center"/>
            <w:hideMark/>
          </w:tcPr>
          <w:p w14:paraId="75BC6E49"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25" w:type="dxa"/>
            <w:vAlign w:val="center"/>
            <w:hideMark/>
          </w:tcPr>
          <w:p w14:paraId="58DFD17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D72BDA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2" w:type="dxa"/>
            <w:vAlign w:val="center"/>
            <w:hideMark/>
          </w:tcPr>
          <w:p w14:paraId="55E3B00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AE5B58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3" w:type="dxa"/>
            <w:vAlign w:val="center"/>
            <w:hideMark/>
          </w:tcPr>
          <w:p w14:paraId="79717E2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201083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2" w:type="dxa"/>
            <w:vAlign w:val="center"/>
            <w:hideMark/>
          </w:tcPr>
          <w:p w14:paraId="4CA4F76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FB4FB7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3" w:type="dxa"/>
            <w:vAlign w:val="center"/>
            <w:hideMark/>
          </w:tcPr>
          <w:p w14:paraId="0D1F1F0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DF5341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2" w:type="dxa"/>
            <w:vAlign w:val="center"/>
            <w:hideMark/>
          </w:tcPr>
          <w:p w14:paraId="42DB4DB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724026C9"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60329F7" w14:textId="77777777" w:rsidTr="004B2A77">
        <w:trPr>
          <w:trHeight w:val="160"/>
          <w:tblCellSpacing w:w="15" w:type="dxa"/>
        </w:trPr>
        <w:tc>
          <w:tcPr>
            <w:tcW w:w="0" w:type="auto"/>
            <w:shd w:val="clear" w:color="auto" w:fill="FFFFFF"/>
            <w:hideMark/>
          </w:tcPr>
          <w:p w14:paraId="493027C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RSUs</w:t>
            </w:r>
          </w:p>
        </w:tc>
        <w:tc>
          <w:tcPr>
            <w:tcW w:w="0" w:type="auto"/>
            <w:shd w:val="clear" w:color="auto" w:fill="FFFFFF"/>
            <w:vAlign w:val="bottom"/>
            <w:hideMark/>
          </w:tcPr>
          <w:p w14:paraId="577250C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7920CE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1905EA9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30643B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26032D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6F8B7C3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529D5B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0F80E0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073E8F1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871B8D6" w14:textId="77777777" w:rsidTr="004B2A77">
        <w:trPr>
          <w:trHeight w:val="180"/>
          <w:tblCellSpacing w:w="15" w:type="dxa"/>
        </w:trPr>
        <w:tc>
          <w:tcPr>
            <w:tcW w:w="0" w:type="auto"/>
            <w:shd w:val="clear" w:color="auto" w:fill="CFF0FC"/>
            <w:hideMark/>
          </w:tcPr>
          <w:p w14:paraId="426D91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Weighted average fair value at grant date</w:t>
            </w:r>
          </w:p>
        </w:tc>
        <w:tc>
          <w:tcPr>
            <w:tcW w:w="0" w:type="auto"/>
            <w:shd w:val="clear" w:color="auto" w:fill="CFF0FC"/>
            <w:vAlign w:val="bottom"/>
            <w:hideMark/>
          </w:tcPr>
          <w:p w14:paraId="006DA1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8E059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21D0433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87.56</w:t>
            </w:r>
          </w:p>
        </w:tc>
        <w:tc>
          <w:tcPr>
            <w:tcW w:w="0" w:type="auto"/>
            <w:shd w:val="clear" w:color="auto" w:fill="CFF0FC"/>
            <w:noWrap/>
            <w:vAlign w:val="bottom"/>
            <w:hideMark/>
          </w:tcPr>
          <w:p w14:paraId="4DB037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C5FD4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37301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E04EE1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94.01</w:t>
            </w:r>
          </w:p>
        </w:tc>
        <w:tc>
          <w:tcPr>
            <w:tcW w:w="0" w:type="auto"/>
            <w:shd w:val="clear" w:color="auto" w:fill="CFF0FC"/>
            <w:noWrap/>
            <w:vAlign w:val="bottom"/>
            <w:hideMark/>
          </w:tcPr>
          <w:p w14:paraId="4E2FA8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6F5B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C2145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3698AA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69.58</w:t>
            </w:r>
          </w:p>
        </w:tc>
        <w:tc>
          <w:tcPr>
            <w:tcW w:w="0" w:type="auto"/>
            <w:shd w:val="clear" w:color="auto" w:fill="CFF0FC"/>
            <w:noWrap/>
            <w:vAlign w:val="bottom"/>
            <w:hideMark/>
          </w:tcPr>
          <w:p w14:paraId="12F9E9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D772F02" w14:textId="77777777" w:rsidTr="004B2A77">
        <w:trPr>
          <w:tblCellSpacing w:w="15" w:type="dxa"/>
        </w:trPr>
        <w:tc>
          <w:tcPr>
            <w:tcW w:w="0" w:type="auto"/>
            <w:shd w:val="clear" w:color="auto" w:fill="FFFFFF"/>
            <w:hideMark/>
          </w:tcPr>
          <w:p w14:paraId="5DCCAA6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B228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40BF229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F9F316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93642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519CA17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0EADDC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D4AA7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4403314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985CF8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D41CFF0" w14:textId="77777777" w:rsidTr="004B2A77">
        <w:trPr>
          <w:trHeight w:val="180"/>
          <w:tblCellSpacing w:w="15" w:type="dxa"/>
        </w:trPr>
        <w:tc>
          <w:tcPr>
            <w:tcW w:w="0" w:type="auto"/>
            <w:shd w:val="clear" w:color="auto" w:fill="CFF0FC"/>
            <w:hideMark/>
          </w:tcPr>
          <w:p w14:paraId="505325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beginning of year</w:t>
            </w:r>
          </w:p>
        </w:tc>
        <w:tc>
          <w:tcPr>
            <w:tcW w:w="0" w:type="auto"/>
            <w:shd w:val="clear" w:color="auto" w:fill="CFF0FC"/>
            <w:vAlign w:val="bottom"/>
            <w:hideMark/>
          </w:tcPr>
          <w:p w14:paraId="20DA83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9F82FB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14A9DB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218,268</w:t>
            </w:r>
          </w:p>
        </w:tc>
        <w:tc>
          <w:tcPr>
            <w:tcW w:w="0" w:type="auto"/>
            <w:shd w:val="clear" w:color="auto" w:fill="CFF0FC"/>
            <w:noWrap/>
            <w:vAlign w:val="bottom"/>
            <w:hideMark/>
          </w:tcPr>
          <w:p w14:paraId="6690B4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6459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CD9F8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119F4E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244,901</w:t>
            </w:r>
          </w:p>
        </w:tc>
        <w:tc>
          <w:tcPr>
            <w:tcW w:w="0" w:type="auto"/>
            <w:shd w:val="clear" w:color="auto" w:fill="CFF0FC"/>
            <w:noWrap/>
            <w:vAlign w:val="bottom"/>
            <w:hideMark/>
          </w:tcPr>
          <w:p w14:paraId="0BD447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9CA21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A7307B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9FB820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255,195</w:t>
            </w:r>
          </w:p>
        </w:tc>
        <w:tc>
          <w:tcPr>
            <w:tcW w:w="0" w:type="auto"/>
            <w:shd w:val="clear" w:color="auto" w:fill="CFF0FC"/>
            <w:noWrap/>
            <w:vAlign w:val="bottom"/>
            <w:hideMark/>
          </w:tcPr>
          <w:p w14:paraId="40B8D14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AFC8741" w14:textId="77777777" w:rsidTr="004B2A77">
        <w:trPr>
          <w:trHeight w:val="180"/>
          <w:tblCellSpacing w:w="15" w:type="dxa"/>
        </w:trPr>
        <w:tc>
          <w:tcPr>
            <w:tcW w:w="0" w:type="auto"/>
            <w:shd w:val="clear" w:color="auto" w:fill="FFFFFF"/>
            <w:hideMark/>
          </w:tcPr>
          <w:p w14:paraId="30D2EB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Granted</w:t>
            </w:r>
          </w:p>
        </w:tc>
        <w:tc>
          <w:tcPr>
            <w:tcW w:w="0" w:type="auto"/>
            <w:shd w:val="clear" w:color="auto" w:fill="FFFFFF"/>
            <w:vAlign w:val="bottom"/>
            <w:hideMark/>
          </w:tcPr>
          <w:p w14:paraId="26A81C3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A5072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B54F5D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85,985</w:t>
            </w:r>
          </w:p>
        </w:tc>
        <w:tc>
          <w:tcPr>
            <w:tcW w:w="0" w:type="auto"/>
            <w:shd w:val="clear" w:color="auto" w:fill="FFFFFF"/>
            <w:noWrap/>
            <w:vAlign w:val="bottom"/>
            <w:hideMark/>
          </w:tcPr>
          <w:p w14:paraId="2567FE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19AE2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DFF2A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11722F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81,866</w:t>
            </w:r>
          </w:p>
        </w:tc>
        <w:tc>
          <w:tcPr>
            <w:tcW w:w="0" w:type="auto"/>
            <w:shd w:val="clear" w:color="auto" w:fill="FFFFFF"/>
            <w:noWrap/>
            <w:vAlign w:val="bottom"/>
            <w:hideMark/>
          </w:tcPr>
          <w:p w14:paraId="7FA578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A0DDD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0FA97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89DE11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115,500</w:t>
            </w:r>
          </w:p>
        </w:tc>
        <w:tc>
          <w:tcPr>
            <w:tcW w:w="0" w:type="auto"/>
            <w:shd w:val="clear" w:color="auto" w:fill="FFFFFF"/>
            <w:noWrap/>
            <w:vAlign w:val="bottom"/>
            <w:hideMark/>
          </w:tcPr>
          <w:p w14:paraId="1BD239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90F9AE5" w14:textId="77777777" w:rsidTr="004B2A77">
        <w:trPr>
          <w:trHeight w:val="180"/>
          <w:tblCellSpacing w:w="15" w:type="dxa"/>
        </w:trPr>
        <w:tc>
          <w:tcPr>
            <w:tcW w:w="0" w:type="auto"/>
            <w:shd w:val="clear" w:color="auto" w:fill="CFF0FC"/>
            <w:hideMark/>
          </w:tcPr>
          <w:p w14:paraId="74DDB2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Shares issued</w:t>
            </w:r>
          </w:p>
        </w:tc>
        <w:tc>
          <w:tcPr>
            <w:tcW w:w="0" w:type="auto"/>
            <w:shd w:val="clear" w:color="auto" w:fill="CFF0FC"/>
            <w:vAlign w:val="bottom"/>
            <w:hideMark/>
          </w:tcPr>
          <w:p w14:paraId="7820B1B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94DCA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4D9DE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(84,848</w:t>
            </w:r>
          </w:p>
        </w:tc>
        <w:tc>
          <w:tcPr>
            <w:tcW w:w="0" w:type="auto"/>
            <w:shd w:val="clear" w:color="auto" w:fill="CFF0FC"/>
            <w:noWrap/>
            <w:vAlign w:val="bottom"/>
            <w:hideMark/>
          </w:tcPr>
          <w:p w14:paraId="34AF9B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FF915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1B931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B5689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(99,399</w:t>
            </w:r>
          </w:p>
        </w:tc>
        <w:tc>
          <w:tcPr>
            <w:tcW w:w="0" w:type="auto"/>
            <w:shd w:val="clear" w:color="auto" w:fill="CFF0FC"/>
            <w:noWrap/>
            <w:vAlign w:val="bottom"/>
            <w:hideMark/>
          </w:tcPr>
          <w:p w14:paraId="427A2F4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474F9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6A132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12C74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(105,750</w:t>
            </w:r>
          </w:p>
        </w:tc>
        <w:tc>
          <w:tcPr>
            <w:tcW w:w="0" w:type="auto"/>
            <w:shd w:val="clear" w:color="auto" w:fill="CFF0FC"/>
            <w:noWrap/>
            <w:vAlign w:val="bottom"/>
            <w:hideMark/>
          </w:tcPr>
          <w:p w14:paraId="41807B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2FDA5E33" w14:textId="77777777" w:rsidTr="004B2A77">
        <w:trPr>
          <w:trHeight w:val="180"/>
          <w:tblCellSpacing w:w="15" w:type="dxa"/>
        </w:trPr>
        <w:tc>
          <w:tcPr>
            <w:tcW w:w="0" w:type="auto"/>
            <w:shd w:val="clear" w:color="auto" w:fill="FFFFFF"/>
            <w:hideMark/>
          </w:tcPr>
          <w:p w14:paraId="66B62D8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Cancelled/Forfeited/Expired</w:t>
            </w:r>
          </w:p>
        </w:tc>
        <w:tc>
          <w:tcPr>
            <w:tcW w:w="0" w:type="auto"/>
            <w:shd w:val="clear" w:color="auto" w:fill="FFFFFF"/>
            <w:vAlign w:val="bottom"/>
            <w:hideMark/>
          </w:tcPr>
          <w:p w14:paraId="75FCF13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3BE1F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2FDD636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(18,641</w:t>
            </w:r>
          </w:p>
        </w:tc>
        <w:tc>
          <w:tcPr>
            <w:tcW w:w="0" w:type="auto"/>
            <w:shd w:val="clear" w:color="auto" w:fill="FFFFFF"/>
            <w:noWrap/>
            <w:vAlign w:val="bottom"/>
            <w:hideMark/>
          </w:tcPr>
          <w:p w14:paraId="5B3B5F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FC5DFF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52E63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4FA5110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(9,100</w:t>
            </w:r>
          </w:p>
        </w:tc>
        <w:tc>
          <w:tcPr>
            <w:tcW w:w="0" w:type="auto"/>
            <w:shd w:val="clear" w:color="auto" w:fill="FFFFFF"/>
            <w:noWrap/>
            <w:vAlign w:val="bottom"/>
            <w:hideMark/>
          </w:tcPr>
          <w:p w14:paraId="0A8B74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230960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9BF6E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00A23E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(20,044</w:t>
            </w:r>
          </w:p>
        </w:tc>
        <w:tc>
          <w:tcPr>
            <w:tcW w:w="0" w:type="auto"/>
            <w:shd w:val="clear" w:color="auto" w:fill="FFFFFF"/>
            <w:noWrap/>
            <w:vAlign w:val="bottom"/>
            <w:hideMark/>
          </w:tcPr>
          <w:p w14:paraId="2010640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297ECBD" w14:textId="77777777" w:rsidTr="004B2A77">
        <w:trPr>
          <w:trHeight w:val="180"/>
          <w:tblCellSpacing w:w="15" w:type="dxa"/>
        </w:trPr>
        <w:tc>
          <w:tcPr>
            <w:tcW w:w="0" w:type="auto"/>
            <w:shd w:val="clear" w:color="auto" w:fill="CFF0FC"/>
            <w:hideMark/>
          </w:tcPr>
          <w:p w14:paraId="675CA3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end of year</w:t>
            </w:r>
          </w:p>
        </w:tc>
        <w:tc>
          <w:tcPr>
            <w:tcW w:w="0" w:type="auto"/>
            <w:shd w:val="clear" w:color="auto" w:fill="CFF0FC"/>
            <w:vAlign w:val="bottom"/>
            <w:hideMark/>
          </w:tcPr>
          <w:p w14:paraId="67E99E0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85FF8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4CE8DF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200,764</w:t>
            </w:r>
          </w:p>
        </w:tc>
        <w:tc>
          <w:tcPr>
            <w:tcW w:w="0" w:type="auto"/>
            <w:shd w:val="clear" w:color="auto" w:fill="CFF0FC"/>
            <w:noWrap/>
            <w:vAlign w:val="bottom"/>
            <w:hideMark/>
          </w:tcPr>
          <w:p w14:paraId="632A04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DEEB6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9E0B2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C382F6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218,268</w:t>
            </w:r>
          </w:p>
        </w:tc>
        <w:tc>
          <w:tcPr>
            <w:tcW w:w="0" w:type="auto"/>
            <w:shd w:val="clear" w:color="auto" w:fill="CFF0FC"/>
            <w:noWrap/>
            <w:vAlign w:val="bottom"/>
            <w:hideMark/>
          </w:tcPr>
          <w:p w14:paraId="028030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E3D2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10F064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8711F8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244,901</w:t>
            </w:r>
          </w:p>
        </w:tc>
        <w:tc>
          <w:tcPr>
            <w:tcW w:w="0" w:type="auto"/>
            <w:shd w:val="clear" w:color="auto" w:fill="CFF0FC"/>
            <w:noWrap/>
            <w:vAlign w:val="bottom"/>
            <w:hideMark/>
          </w:tcPr>
          <w:p w14:paraId="46D3B37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5961DDB5" w14:textId="77777777" w:rsidR="004B2A77" w:rsidRPr="004B2A77" w:rsidRDefault="004B2A77" w:rsidP="004B2A77">
      <w:pPr>
        <w:widowControl/>
        <w:spacing w:before="6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p w14:paraId="1A835ACC" w14:textId="77777777" w:rsidR="004B2A77" w:rsidRPr="004B2A77" w:rsidRDefault="004B2A77" w:rsidP="004B2A77">
      <w:pPr>
        <w:widowControl/>
        <w:spacing w:before="6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aggregate intrinsic value for RSUs outstanding at December 31, 2022 was approximately $15 million.</w:t>
      </w:r>
    </w:p>
    <w:p w14:paraId="3C3F091E"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112"/>
        <w:gridCol w:w="266"/>
        <w:gridCol w:w="190"/>
        <w:gridCol w:w="1805"/>
        <w:gridCol w:w="190"/>
        <w:gridCol w:w="269"/>
        <w:gridCol w:w="190"/>
        <w:gridCol w:w="1807"/>
        <w:gridCol w:w="190"/>
        <w:gridCol w:w="269"/>
        <w:gridCol w:w="190"/>
        <w:gridCol w:w="1807"/>
        <w:gridCol w:w="206"/>
      </w:tblGrid>
      <w:tr w:rsidR="004B2A77" w:rsidRPr="004B2A77" w14:paraId="7D1DF064" w14:textId="77777777" w:rsidTr="004B2A77">
        <w:trPr>
          <w:tblCellSpacing w:w="15" w:type="dxa"/>
        </w:trPr>
        <w:tc>
          <w:tcPr>
            <w:tcW w:w="9086" w:type="dxa"/>
            <w:vAlign w:val="center"/>
            <w:hideMark/>
          </w:tcPr>
          <w:p w14:paraId="594DA8E7"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37" w:type="dxa"/>
            <w:vAlign w:val="center"/>
            <w:hideMark/>
          </w:tcPr>
          <w:p w14:paraId="13557A1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13890F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78" w:type="dxa"/>
            <w:vAlign w:val="center"/>
            <w:hideMark/>
          </w:tcPr>
          <w:p w14:paraId="021EA68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CE67AF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9" w:type="dxa"/>
            <w:vAlign w:val="center"/>
            <w:hideMark/>
          </w:tcPr>
          <w:p w14:paraId="6108BA0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6D5EDB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780D8EB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B2A2C9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9" w:type="dxa"/>
            <w:vAlign w:val="center"/>
            <w:hideMark/>
          </w:tcPr>
          <w:p w14:paraId="5BFDC31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133586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19D4111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77A12BE5"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A4E4621" w14:textId="77777777" w:rsidTr="004B2A77">
        <w:trPr>
          <w:trHeight w:val="160"/>
          <w:tblCellSpacing w:w="15" w:type="dxa"/>
        </w:trPr>
        <w:tc>
          <w:tcPr>
            <w:tcW w:w="0" w:type="auto"/>
            <w:shd w:val="clear" w:color="auto" w:fill="FFFFFF"/>
            <w:vAlign w:val="bottom"/>
            <w:hideMark/>
          </w:tcPr>
          <w:p w14:paraId="009C247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PSUs</w:t>
            </w:r>
          </w:p>
        </w:tc>
        <w:tc>
          <w:tcPr>
            <w:tcW w:w="0" w:type="auto"/>
            <w:shd w:val="clear" w:color="auto" w:fill="FFFFFF"/>
            <w:vAlign w:val="bottom"/>
            <w:hideMark/>
          </w:tcPr>
          <w:p w14:paraId="012EBD2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91A1F5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7A30F9B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3E9FB4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259225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3086434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9CF1FE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A07EB7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6CE0E21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72B478D" w14:textId="77777777" w:rsidTr="004B2A77">
        <w:trPr>
          <w:trHeight w:val="180"/>
          <w:tblCellSpacing w:w="15" w:type="dxa"/>
        </w:trPr>
        <w:tc>
          <w:tcPr>
            <w:tcW w:w="0" w:type="auto"/>
            <w:shd w:val="clear" w:color="auto" w:fill="CFF0FC"/>
            <w:hideMark/>
          </w:tcPr>
          <w:p w14:paraId="77E515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Weighted average fair value at grant date</w:t>
            </w:r>
          </w:p>
        </w:tc>
        <w:tc>
          <w:tcPr>
            <w:tcW w:w="0" w:type="auto"/>
            <w:shd w:val="clear" w:color="auto" w:fill="CFF0FC"/>
            <w:vAlign w:val="bottom"/>
            <w:hideMark/>
          </w:tcPr>
          <w:p w14:paraId="2A6D8A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7729D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131DD98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88.05</w:t>
            </w:r>
          </w:p>
        </w:tc>
        <w:tc>
          <w:tcPr>
            <w:tcW w:w="0" w:type="auto"/>
            <w:shd w:val="clear" w:color="auto" w:fill="CFF0FC"/>
            <w:noWrap/>
            <w:vAlign w:val="bottom"/>
            <w:hideMark/>
          </w:tcPr>
          <w:p w14:paraId="7B2F18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CB445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90951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5813B2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93.90</w:t>
            </w:r>
          </w:p>
        </w:tc>
        <w:tc>
          <w:tcPr>
            <w:tcW w:w="0" w:type="auto"/>
            <w:shd w:val="clear" w:color="auto" w:fill="CFF0FC"/>
            <w:noWrap/>
            <w:vAlign w:val="bottom"/>
            <w:hideMark/>
          </w:tcPr>
          <w:p w14:paraId="09C675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D9F03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8445F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20C411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69.86</w:t>
            </w:r>
          </w:p>
        </w:tc>
        <w:tc>
          <w:tcPr>
            <w:tcW w:w="0" w:type="auto"/>
            <w:shd w:val="clear" w:color="auto" w:fill="CFF0FC"/>
            <w:noWrap/>
            <w:vAlign w:val="bottom"/>
            <w:hideMark/>
          </w:tcPr>
          <w:p w14:paraId="5B2AE1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A7FD2B8" w14:textId="77777777" w:rsidTr="004B2A77">
        <w:trPr>
          <w:tblCellSpacing w:w="15" w:type="dxa"/>
        </w:trPr>
        <w:tc>
          <w:tcPr>
            <w:tcW w:w="0" w:type="auto"/>
            <w:shd w:val="clear" w:color="auto" w:fill="FFFFFF"/>
            <w:hideMark/>
          </w:tcPr>
          <w:p w14:paraId="7264B4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C5A64A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52D42FD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13CF8E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261B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5002659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6FF51F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F7D5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3DB93F5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6C0B8D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D9E5392" w14:textId="77777777" w:rsidTr="004B2A77">
        <w:trPr>
          <w:trHeight w:val="180"/>
          <w:tblCellSpacing w:w="15" w:type="dxa"/>
        </w:trPr>
        <w:tc>
          <w:tcPr>
            <w:tcW w:w="0" w:type="auto"/>
            <w:shd w:val="clear" w:color="auto" w:fill="CFF0FC"/>
            <w:hideMark/>
          </w:tcPr>
          <w:p w14:paraId="04C3A2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beginning of year</w:t>
            </w:r>
          </w:p>
        </w:tc>
        <w:tc>
          <w:tcPr>
            <w:tcW w:w="0" w:type="auto"/>
            <w:shd w:val="clear" w:color="auto" w:fill="CFF0FC"/>
            <w:vAlign w:val="bottom"/>
            <w:hideMark/>
          </w:tcPr>
          <w:p w14:paraId="6044ABC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57EBE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5DDEE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179,311</w:t>
            </w:r>
          </w:p>
        </w:tc>
        <w:tc>
          <w:tcPr>
            <w:tcW w:w="0" w:type="auto"/>
            <w:shd w:val="clear" w:color="auto" w:fill="CFF0FC"/>
            <w:noWrap/>
            <w:vAlign w:val="bottom"/>
            <w:hideMark/>
          </w:tcPr>
          <w:p w14:paraId="6E3C3D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7FED1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5A4A62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887B02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158,128</w:t>
            </w:r>
          </w:p>
        </w:tc>
        <w:tc>
          <w:tcPr>
            <w:tcW w:w="0" w:type="auto"/>
            <w:shd w:val="clear" w:color="auto" w:fill="CFF0FC"/>
            <w:noWrap/>
            <w:vAlign w:val="bottom"/>
            <w:hideMark/>
          </w:tcPr>
          <w:p w14:paraId="487E0E5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6F97D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C4C58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7E5FAD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76,321</w:t>
            </w:r>
          </w:p>
        </w:tc>
        <w:tc>
          <w:tcPr>
            <w:tcW w:w="0" w:type="auto"/>
            <w:shd w:val="clear" w:color="auto" w:fill="CFF0FC"/>
            <w:noWrap/>
            <w:vAlign w:val="bottom"/>
            <w:hideMark/>
          </w:tcPr>
          <w:p w14:paraId="3CD4DF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B7DD0F9" w14:textId="77777777" w:rsidTr="004B2A77">
        <w:trPr>
          <w:trHeight w:val="180"/>
          <w:tblCellSpacing w:w="15" w:type="dxa"/>
        </w:trPr>
        <w:tc>
          <w:tcPr>
            <w:tcW w:w="0" w:type="auto"/>
            <w:shd w:val="clear" w:color="auto" w:fill="FFFFFF"/>
            <w:hideMark/>
          </w:tcPr>
          <w:p w14:paraId="4DF8D9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Change in performance conditions</w:t>
            </w:r>
          </w:p>
        </w:tc>
        <w:tc>
          <w:tcPr>
            <w:tcW w:w="0" w:type="auto"/>
            <w:shd w:val="clear" w:color="auto" w:fill="FFFFFF"/>
            <w:vAlign w:val="bottom"/>
            <w:hideMark/>
          </w:tcPr>
          <w:p w14:paraId="5EC7D4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32B57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0C2971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(69,924</w:t>
            </w:r>
          </w:p>
        </w:tc>
        <w:tc>
          <w:tcPr>
            <w:tcW w:w="0" w:type="auto"/>
            <w:shd w:val="clear" w:color="auto" w:fill="FFFFFF"/>
            <w:noWrap/>
            <w:vAlign w:val="bottom"/>
            <w:hideMark/>
          </w:tcPr>
          <w:p w14:paraId="642B62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F7014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9CBD6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BF2303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(44,385</w:t>
            </w:r>
          </w:p>
        </w:tc>
        <w:tc>
          <w:tcPr>
            <w:tcW w:w="0" w:type="auto"/>
            <w:shd w:val="clear" w:color="auto" w:fill="FFFFFF"/>
            <w:noWrap/>
            <w:vAlign w:val="bottom"/>
            <w:hideMark/>
          </w:tcPr>
          <w:p w14:paraId="753198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AB95E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45B46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CB584D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23,998</w:t>
            </w:r>
          </w:p>
        </w:tc>
        <w:tc>
          <w:tcPr>
            <w:tcW w:w="0" w:type="auto"/>
            <w:shd w:val="clear" w:color="auto" w:fill="FFFFFF"/>
            <w:noWrap/>
            <w:vAlign w:val="bottom"/>
            <w:hideMark/>
          </w:tcPr>
          <w:p w14:paraId="1AB6378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9CD6368" w14:textId="77777777" w:rsidTr="004B2A77">
        <w:trPr>
          <w:trHeight w:val="180"/>
          <w:tblCellSpacing w:w="15" w:type="dxa"/>
        </w:trPr>
        <w:tc>
          <w:tcPr>
            <w:tcW w:w="0" w:type="auto"/>
            <w:shd w:val="clear" w:color="auto" w:fill="CFF0FC"/>
            <w:hideMark/>
          </w:tcPr>
          <w:p w14:paraId="04C6B5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Granted</w:t>
            </w:r>
          </w:p>
        </w:tc>
        <w:tc>
          <w:tcPr>
            <w:tcW w:w="0" w:type="auto"/>
            <w:shd w:val="clear" w:color="auto" w:fill="CFF0FC"/>
            <w:vAlign w:val="bottom"/>
            <w:hideMark/>
          </w:tcPr>
          <w:p w14:paraId="562DCF8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68075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92A321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82,914</w:t>
            </w:r>
          </w:p>
        </w:tc>
        <w:tc>
          <w:tcPr>
            <w:tcW w:w="0" w:type="auto"/>
            <w:shd w:val="clear" w:color="auto" w:fill="CFF0FC"/>
            <w:noWrap/>
            <w:vAlign w:val="bottom"/>
            <w:hideMark/>
          </w:tcPr>
          <w:p w14:paraId="62D1232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C3D836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EE7CF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E16187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74,427</w:t>
            </w:r>
          </w:p>
        </w:tc>
        <w:tc>
          <w:tcPr>
            <w:tcW w:w="0" w:type="auto"/>
            <w:shd w:val="clear" w:color="auto" w:fill="CFF0FC"/>
            <w:noWrap/>
            <w:vAlign w:val="bottom"/>
            <w:hideMark/>
          </w:tcPr>
          <w:p w14:paraId="00B4EB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7B624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1ABDA8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8EB1B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75,940</w:t>
            </w:r>
          </w:p>
        </w:tc>
        <w:tc>
          <w:tcPr>
            <w:tcW w:w="0" w:type="auto"/>
            <w:shd w:val="clear" w:color="auto" w:fill="CFF0FC"/>
            <w:noWrap/>
            <w:vAlign w:val="bottom"/>
            <w:hideMark/>
          </w:tcPr>
          <w:p w14:paraId="0E9088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AEC17D8" w14:textId="77777777" w:rsidTr="004B2A77">
        <w:trPr>
          <w:trHeight w:val="180"/>
          <w:tblCellSpacing w:w="15" w:type="dxa"/>
        </w:trPr>
        <w:tc>
          <w:tcPr>
            <w:tcW w:w="0" w:type="auto"/>
            <w:shd w:val="clear" w:color="auto" w:fill="FFFFFF"/>
            <w:hideMark/>
          </w:tcPr>
          <w:p w14:paraId="376B690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Shares issued</w:t>
            </w:r>
          </w:p>
        </w:tc>
        <w:tc>
          <w:tcPr>
            <w:tcW w:w="0" w:type="auto"/>
            <w:shd w:val="clear" w:color="auto" w:fill="FFFFFF"/>
            <w:vAlign w:val="bottom"/>
            <w:hideMark/>
          </w:tcPr>
          <w:p w14:paraId="2EA8AF4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859BF3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6097B3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(64,397</w:t>
            </w:r>
          </w:p>
        </w:tc>
        <w:tc>
          <w:tcPr>
            <w:tcW w:w="0" w:type="auto"/>
            <w:shd w:val="clear" w:color="auto" w:fill="FFFFFF"/>
            <w:noWrap/>
            <w:vAlign w:val="bottom"/>
            <w:hideMark/>
          </w:tcPr>
          <w:p w14:paraId="74C7FB5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70117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FE442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E606B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3D9D03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BA507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52E1DF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541354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51A67B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B512356" w14:textId="77777777" w:rsidTr="004B2A77">
        <w:trPr>
          <w:trHeight w:val="180"/>
          <w:tblCellSpacing w:w="15" w:type="dxa"/>
        </w:trPr>
        <w:tc>
          <w:tcPr>
            <w:tcW w:w="0" w:type="auto"/>
            <w:shd w:val="clear" w:color="auto" w:fill="CFF0FC"/>
            <w:hideMark/>
          </w:tcPr>
          <w:p w14:paraId="4E5BAB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Cancelled/Forfeited/Expired</w:t>
            </w:r>
          </w:p>
        </w:tc>
        <w:tc>
          <w:tcPr>
            <w:tcW w:w="0" w:type="auto"/>
            <w:shd w:val="clear" w:color="auto" w:fill="CFF0FC"/>
            <w:vAlign w:val="bottom"/>
            <w:hideMark/>
          </w:tcPr>
          <w:p w14:paraId="2DDDE5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4A814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F37008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(26,076</w:t>
            </w:r>
          </w:p>
        </w:tc>
        <w:tc>
          <w:tcPr>
            <w:tcW w:w="0" w:type="auto"/>
            <w:shd w:val="clear" w:color="auto" w:fill="CFF0FC"/>
            <w:noWrap/>
            <w:vAlign w:val="bottom"/>
            <w:hideMark/>
          </w:tcPr>
          <w:p w14:paraId="6C1C9C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0A9E9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17C10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F95D2B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(8,859</w:t>
            </w:r>
          </w:p>
        </w:tc>
        <w:tc>
          <w:tcPr>
            <w:tcW w:w="0" w:type="auto"/>
            <w:shd w:val="clear" w:color="auto" w:fill="CFF0FC"/>
            <w:noWrap/>
            <w:vAlign w:val="bottom"/>
            <w:hideMark/>
          </w:tcPr>
          <w:p w14:paraId="31C095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4385C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13840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62140A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(18,131</w:t>
            </w:r>
          </w:p>
        </w:tc>
        <w:tc>
          <w:tcPr>
            <w:tcW w:w="0" w:type="auto"/>
            <w:shd w:val="clear" w:color="auto" w:fill="CFF0FC"/>
            <w:noWrap/>
            <w:vAlign w:val="bottom"/>
            <w:hideMark/>
          </w:tcPr>
          <w:p w14:paraId="64B97F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517D32DB" w14:textId="77777777" w:rsidTr="004B2A77">
        <w:trPr>
          <w:trHeight w:val="180"/>
          <w:tblCellSpacing w:w="15" w:type="dxa"/>
        </w:trPr>
        <w:tc>
          <w:tcPr>
            <w:tcW w:w="0" w:type="auto"/>
            <w:shd w:val="clear" w:color="auto" w:fill="FFFFFF"/>
            <w:hideMark/>
          </w:tcPr>
          <w:p w14:paraId="32C57E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end of year</w:t>
            </w:r>
          </w:p>
        </w:tc>
        <w:tc>
          <w:tcPr>
            <w:tcW w:w="0" w:type="auto"/>
            <w:shd w:val="clear" w:color="auto" w:fill="FFFFFF"/>
            <w:vAlign w:val="bottom"/>
            <w:hideMark/>
          </w:tcPr>
          <w:p w14:paraId="5D8CE9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1E9DD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3DED3C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101,828</w:t>
            </w:r>
          </w:p>
        </w:tc>
        <w:tc>
          <w:tcPr>
            <w:tcW w:w="0" w:type="auto"/>
            <w:shd w:val="clear" w:color="auto" w:fill="FFFFFF"/>
            <w:noWrap/>
            <w:vAlign w:val="bottom"/>
            <w:hideMark/>
          </w:tcPr>
          <w:p w14:paraId="166FC8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967BD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BE25F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8143B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179,311</w:t>
            </w:r>
          </w:p>
        </w:tc>
        <w:tc>
          <w:tcPr>
            <w:tcW w:w="0" w:type="auto"/>
            <w:shd w:val="clear" w:color="auto" w:fill="FFFFFF"/>
            <w:noWrap/>
            <w:vAlign w:val="bottom"/>
            <w:hideMark/>
          </w:tcPr>
          <w:p w14:paraId="1810799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B16283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C12B2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462725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158,128</w:t>
            </w:r>
          </w:p>
        </w:tc>
        <w:tc>
          <w:tcPr>
            <w:tcW w:w="0" w:type="auto"/>
            <w:shd w:val="clear" w:color="auto" w:fill="FFFFFF"/>
            <w:noWrap/>
            <w:vAlign w:val="bottom"/>
            <w:hideMark/>
          </w:tcPr>
          <w:p w14:paraId="2FC91D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4B14CB5B" w14:textId="77777777" w:rsidR="004B2A77" w:rsidRPr="004B2A77" w:rsidRDefault="004B2A77" w:rsidP="004B2A77">
      <w:pPr>
        <w:widowControl/>
        <w:ind w:hanging="581"/>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6"/>
          <w:szCs w:val="16"/>
        </w:rPr>
        <w:t> </w:t>
      </w:r>
    </w:p>
    <w:p w14:paraId="77CA4D0E" w14:textId="77777777" w:rsidR="004B2A77" w:rsidRPr="004B2A77" w:rsidRDefault="004B2A77" w:rsidP="004B2A77">
      <w:pPr>
        <w:widowControl/>
        <w:spacing w:before="8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xml:space="preserve">The PSUs granted include assumptions regarding the ultimate number of shares that will be issued based on the probability of achievement of the performance conditions. Changes in those assumptions result in changes in the estimated shares to be issued which is reflected in the “Change in performance conditions” line above. </w:t>
      </w:r>
    </w:p>
    <w:p w14:paraId="26FAFA9D"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p w14:paraId="056D1B80"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r w:rsidRPr="004B2A77">
        <w:rPr>
          <w:rFonts w:ascii="Times New Roman" w:eastAsia="微软雅黑" w:hAnsi="Times New Roman" w:cs="Times New Roman"/>
          <w:color w:val="000000"/>
          <w:kern w:val="0"/>
          <w:sz w:val="20"/>
          <w:szCs w:val="20"/>
        </w:rPr>
        <w:t> </w:t>
      </w:r>
    </w:p>
    <w:p w14:paraId="45C4B565" w14:textId="77777777" w:rsidR="004B2A77" w:rsidRPr="004B2A77" w:rsidRDefault="004B2A77" w:rsidP="004B2A77">
      <w:pPr>
        <w:widowControl/>
        <w:spacing w:before="240"/>
        <w:jc w:val="center"/>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79</w:t>
      </w:r>
    </w:p>
    <w:p w14:paraId="266FD0DD" w14:textId="77777777" w:rsidR="004B2A77" w:rsidRPr="004B2A77" w:rsidRDefault="004B2A77" w:rsidP="004B2A77">
      <w:pPr>
        <w:widowControl/>
        <w:jc w:val="left"/>
        <w:rPr>
          <w:rFonts w:ascii="Arial" w:eastAsia="微软雅黑" w:hAnsi="Arial" w:cs="Arial"/>
          <w:color w:val="000000"/>
          <w:kern w:val="0"/>
          <w:sz w:val="18"/>
          <w:szCs w:val="18"/>
        </w:rPr>
      </w:pPr>
      <w:r w:rsidRPr="004B2A77">
        <w:rPr>
          <w:rFonts w:ascii="Arial" w:eastAsia="微软雅黑" w:hAnsi="Arial" w:cs="Arial"/>
          <w:color w:val="000000"/>
          <w:kern w:val="0"/>
          <w:sz w:val="18"/>
          <w:szCs w:val="18"/>
        </w:rPr>
        <w:lastRenderedPageBreak/>
        <w:pict w14:anchorId="7DB5E0C9">
          <v:rect id="_x0000_i1106" style="width:0;height:1.5pt" o:hralign="center" o:hrstd="t" o:hr="t" fillcolor="#a0a0a0" stroked="f"/>
        </w:pict>
      </w:r>
    </w:p>
    <w:p w14:paraId="2AAC7AB7"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
          <w:szCs w:val="2"/>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483"/>
        <w:gridCol w:w="242"/>
        <w:gridCol w:w="171"/>
        <w:gridCol w:w="1824"/>
        <w:gridCol w:w="171"/>
        <w:gridCol w:w="242"/>
        <w:gridCol w:w="171"/>
        <w:gridCol w:w="1940"/>
        <w:gridCol w:w="186"/>
      </w:tblGrid>
      <w:tr w:rsidR="004B2A77" w:rsidRPr="004B2A77" w14:paraId="6CB643DC" w14:textId="77777777" w:rsidTr="004B2A77">
        <w:trPr>
          <w:tblCellSpacing w:w="15" w:type="dxa"/>
        </w:trPr>
        <w:tc>
          <w:tcPr>
            <w:tcW w:w="9460" w:type="dxa"/>
            <w:vAlign w:val="center"/>
            <w:hideMark/>
          </w:tcPr>
          <w:p w14:paraId="35EC7C72"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212" w:type="dxa"/>
            <w:vAlign w:val="center"/>
            <w:hideMark/>
          </w:tcPr>
          <w:p w14:paraId="4C6F039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59E8CFE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97" w:type="dxa"/>
            <w:vAlign w:val="center"/>
            <w:hideMark/>
          </w:tcPr>
          <w:p w14:paraId="537DB9C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94CB2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2" w:type="dxa"/>
            <w:vAlign w:val="center"/>
            <w:hideMark/>
          </w:tcPr>
          <w:p w14:paraId="2E63F7B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4C234EC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14" w:type="dxa"/>
            <w:vAlign w:val="center"/>
            <w:hideMark/>
          </w:tcPr>
          <w:p w14:paraId="0192B2B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73DFD333"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A01B292" w14:textId="77777777" w:rsidTr="004B2A77">
        <w:trPr>
          <w:trHeight w:val="160"/>
          <w:tblCellSpacing w:w="15" w:type="dxa"/>
        </w:trPr>
        <w:tc>
          <w:tcPr>
            <w:tcW w:w="0" w:type="auto"/>
            <w:shd w:val="clear" w:color="auto" w:fill="FFFFFF"/>
            <w:vAlign w:val="bottom"/>
            <w:hideMark/>
          </w:tcPr>
          <w:p w14:paraId="27564FB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SOs</w:t>
            </w:r>
          </w:p>
        </w:tc>
        <w:tc>
          <w:tcPr>
            <w:tcW w:w="0" w:type="auto"/>
            <w:shd w:val="clear" w:color="auto" w:fill="FFFFFF"/>
            <w:vAlign w:val="bottom"/>
            <w:hideMark/>
          </w:tcPr>
          <w:p w14:paraId="353D4F5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C197C0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Number</w:t>
            </w:r>
            <w:r w:rsidRPr="004B2A77">
              <w:rPr>
                <w:rFonts w:ascii="Arial" w:eastAsia="宋体" w:hAnsi="Arial" w:cs="Arial"/>
                <w:b/>
                <w:bCs/>
                <w:color w:val="000000"/>
                <w:kern w:val="0"/>
                <w:sz w:val="16"/>
                <w:szCs w:val="16"/>
              </w:rPr>
              <w:br/>
              <w:t>of options</w:t>
            </w:r>
          </w:p>
        </w:tc>
        <w:tc>
          <w:tcPr>
            <w:tcW w:w="0" w:type="auto"/>
            <w:shd w:val="clear" w:color="auto" w:fill="FFFFFF"/>
            <w:vAlign w:val="bottom"/>
            <w:hideMark/>
          </w:tcPr>
          <w:p w14:paraId="48B6B2B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3F3D2F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BF1A44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Weighted</w:t>
            </w:r>
            <w:r w:rsidRPr="004B2A77">
              <w:rPr>
                <w:rFonts w:ascii="Arial" w:eastAsia="宋体" w:hAnsi="Arial" w:cs="Arial"/>
                <w:b/>
                <w:bCs/>
                <w:color w:val="000000"/>
                <w:kern w:val="0"/>
                <w:sz w:val="16"/>
                <w:szCs w:val="16"/>
              </w:rPr>
              <w:br/>
              <w:t>average</w:t>
            </w:r>
            <w:r w:rsidRPr="004B2A77">
              <w:rPr>
                <w:rFonts w:ascii="Arial" w:eastAsia="宋体" w:hAnsi="Arial" w:cs="Arial"/>
                <w:b/>
                <w:bCs/>
                <w:color w:val="000000"/>
                <w:kern w:val="0"/>
                <w:sz w:val="16"/>
                <w:szCs w:val="16"/>
              </w:rPr>
              <w:br/>
              <w:t>exercise</w:t>
            </w:r>
            <w:r w:rsidRPr="004B2A77">
              <w:rPr>
                <w:rFonts w:ascii="Arial" w:eastAsia="宋体" w:hAnsi="Arial" w:cs="Arial"/>
                <w:b/>
                <w:bCs/>
                <w:color w:val="000000"/>
                <w:kern w:val="0"/>
                <w:sz w:val="16"/>
                <w:szCs w:val="16"/>
              </w:rPr>
              <w:br/>
              <w:t>price</w:t>
            </w:r>
          </w:p>
        </w:tc>
        <w:tc>
          <w:tcPr>
            <w:tcW w:w="0" w:type="auto"/>
            <w:shd w:val="clear" w:color="auto" w:fill="FFFFFF"/>
            <w:vAlign w:val="bottom"/>
            <w:hideMark/>
          </w:tcPr>
          <w:p w14:paraId="6037068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FFD4AB3" w14:textId="77777777" w:rsidTr="004B2A77">
        <w:trPr>
          <w:trHeight w:val="180"/>
          <w:tblCellSpacing w:w="15" w:type="dxa"/>
        </w:trPr>
        <w:tc>
          <w:tcPr>
            <w:tcW w:w="0" w:type="auto"/>
            <w:shd w:val="clear" w:color="auto" w:fill="CFF0FC"/>
            <w:hideMark/>
          </w:tcPr>
          <w:p w14:paraId="6E2C62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December 31, 2019</w:t>
            </w:r>
          </w:p>
        </w:tc>
        <w:tc>
          <w:tcPr>
            <w:tcW w:w="0" w:type="auto"/>
            <w:shd w:val="clear" w:color="auto" w:fill="CFF0FC"/>
            <w:vAlign w:val="bottom"/>
            <w:hideMark/>
          </w:tcPr>
          <w:p w14:paraId="37D940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49BB3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444666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115,875</w:t>
            </w:r>
          </w:p>
        </w:tc>
        <w:tc>
          <w:tcPr>
            <w:tcW w:w="0" w:type="auto"/>
            <w:shd w:val="clear" w:color="auto" w:fill="CFF0FC"/>
            <w:noWrap/>
            <w:vAlign w:val="bottom"/>
            <w:hideMark/>
          </w:tcPr>
          <w:p w14:paraId="4F18E4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8FBD7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07545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DF4E8D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66.70</w:t>
            </w:r>
          </w:p>
        </w:tc>
        <w:tc>
          <w:tcPr>
            <w:tcW w:w="0" w:type="auto"/>
            <w:shd w:val="clear" w:color="auto" w:fill="CFF0FC"/>
            <w:noWrap/>
            <w:vAlign w:val="bottom"/>
            <w:hideMark/>
          </w:tcPr>
          <w:p w14:paraId="679591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26B7006" w14:textId="77777777" w:rsidTr="004B2A77">
        <w:trPr>
          <w:trHeight w:val="180"/>
          <w:tblCellSpacing w:w="15" w:type="dxa"/>
        </w:trPr>
        <w:tc>
          <w:tcPr>
            <w:tcW w:w="0" w:type="auto"/>
            <w:shd w:val="clear" w:color="auto" w:fill="FFFFFF"/>
            <w:hideMark/>
          </w:tcPr>
          <w:p w14:paraId="6327A0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Exercised</w:t>
            </w:r>
          </w:p>
        </w:tc>
        <w:tc>
          <w:tcPr>
            <w:tcW w:w="0" w:type="auto"/>
            <w:shd w:val="clear" w:color="auto" w:fill="FFFFFF"/>
            <w:vAlign w:val="bottom"/>
            <w:hideMark/>
          </w:tcPr>
          <w:p w14:paraId="0249ED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92FA7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430B5F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(14,238</w:t>
            </w:r>
          </w:p>
        </w:tc>
        <w:tc>
          <w:tcPr>
            <w:tcW w:w="0" w:type="auto"/>
            <w:shd w:val="clear" w:color="auto" w:fill="FFFFFF"/>
            <w:noWrap/>
            <w:vAlign w:val="bottom"/>
            <w:hideMark/>
          </w:tcPr>
          <w:p w14:paraId="3BC2BD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8E8A9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0C13C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04CACA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55.55</w:t>
            </w:r>
          </w:p>
        </w:tc>
        <w:tc>
          <w:tcPr>
            <w:tcW w:w="0" w:type="auto"/>
            <w:shd w:val="clear" w:color="auto" w:fill="FFFFFF"/>
            <w:noWrap/>
            <w:vAlign w:val="bottom"/>
            <w:hideMark/>
          </w:tcPr>
          <w:p w14:paraId="3887F2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830DE98" w14:textId="77777777" w:rsidTr="004B2A77">
        <w:trPr>
          <w:trHeight w:val="180"/>
          <w:tblCellSpacing w:w="15" w:type="dxa"/>
        </w:trPr>
        <w:tc>
          <w:tcPr>
            <w:tcW w:w="0" w:type="auto"/>
            <w:shd w:val="clear" w:color="auto" w:fill="CFF0FC"/>
            <w:hideMark/>
          </w:tcPr>
          <w:p w14:paraId="7EB573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 xml:space="preserve">Spin conversion </w:t>
            </w:r>
            <w:r w:rsidRPr="004B2A77">
              <w:rPr>
                <w:rFonts w:ascii="Arial" w:eastAsia="宋体" w:hAnsi="Arial" w:cs="Arial"/>
                <w:color w:val="000000"/>
                <w:kern w:val="0"/>
                <w:sz w:val="12"/>
                <w:szCs w:val="12"/>
              </w:rPr>
              <w:t>1)</w:t>
            </w:r>
          </w:p>
        </w:tc>
        <w:tc>
          <w:tcPr>
            <w:tcW w:w="0" w:type="auto"/>
            <w:shd w:val="clear" w:color="auto" w:fill="CFF0FC"/>
            <w:vAlign w:val="bottom"/>
            <w:hideMark/>
          </w:tcPr>
          <w:p w14:paraId="1226FB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C78E0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442FDD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(11,462</w:t>
            </w:r>
          </w:p>
        </w:tc>
        <w:tc>
          <w:tcPr>
            <w:tcW w:w="0" w:type="auto"/>
            <w:shd w:val="clear" w:color="auto" w:fill="CFF0FC"/>
            <w:noWrap/>
            <w:vAlign w:val="bottom"/>
            <w:hideMark/>
          </w:tcPr>
          <w:p w14:paraId="5910D6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5FD26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0BC2643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B8C4F7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69.25</w:t>
            </w:r>
          </w:p>
        </w:tc>
        <w:tc>
          <w:tcPr>
            <w:tcW w:w="0" w:type="auto"/>
            <w:shd w:val="clear" w:color="auto" w:fill="CFF0FC"/>
            <w:noWrap/>
            <w:vAlign w:val="bottom"/>
            <w:hideMark/>
          </w:tcPr>
          <w:p w14:paraId="10D0E0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CC458A4" w14:textId="77777777" w:rsidTr="004B2A77">
        <w:trPr>
          <w:trHeight w:val="180"/>
          <w:tblCellSpacing w:w="15" w:type="dxa"/>
        </w:trPr>
        <w:tc>
          <w:tcPr>
            <w:tcW w:w="0" w:type="auto"/>
            <w:shd w:val="clear" w:color="auto" w:fill="FFFFFF"/>
            <w:hideMark/>
          </w:tcPr>
          <w:p w14:paraId="45D82E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December 31, 2020</w:t>
            </w:r>
          </w:p>
        </w:tc>
        <w:tc>
          <w:tcPr>
            <w:tcW w:w="0" w:type="auto"/>
            <w:shd w:val="clear" w:color="auto" w:fill="FFFFFF"/>
            <w:vAlign w:val="bottom"/>
            <w:hideMark/>
          </w:tcPr>
          <w:p w14:paraId="1184A6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8E6FC3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06584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90,175</w:t>
            </w:r>
          </w:p>
        </w:tc>
        <w:tc>
          <w:tcPr>
            <w:tcW w:w="0" w:type="auto"/>
            <w:shd w:val="clear" w:color="auto" w:fill="FFFFFF"/>
            <w:noWrap/>
            <w:vAlign w:val="bottom"/>
            <w:hideMark/>
          </w:tcPr>
          <w:p w14:paraId="11ABF0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C23D14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521368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6351AA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68.13</w:t>
            </w:r>
          </w:p>
        </w:tc>
        <w:tc>
          <w:tcPr>
            <w:tcW w:w="0" w:type="auto"/>
            <w:shd w:val="clear" w:color="auto" w:fill="FFFFFF"/>
            <w:noWrap/>
            <w:vAlign w:val="bottom"/>
            <w:hideMark/>
          </w:tcPr>
          <w:p w14:paraId="6E4B60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836DF60" w14:textId="77777777" w:rsidTr="004B2A77">
        <w:trPr>
          <w:trHeight w:val="180"/>
          <w:tblCellSpacing w:w="15" w:type="dxa"/>
        </w:trPr>
        <w:tc>
          <w:tcPr>
            <w:tcW w:w="0" w:type="auto"/>
            <w:shd w:val="clear" w:color="auto" w:fill="CFF0FC"/>
            <w:hideMark/>
          </w:tcPr>
          <w:p w14:paraId="73896D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Exercised</w:t>
            </w:r>
          </w:p>
        </w:tc>
        <w:tc>
          <w:tcPr>
            <w:tcW w:w="0" w:type="auto"/>
            <w:shd w:val="clear" w:color="auto" w:fill="CFF0FC"/>
            <w:vAlign w:val="bottom"/>
            <w:hideMark/>
          </w:tcPr>
          <w:p w14:paraId="7A467D0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D3880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BB1A53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(40,112</w:t>
            </w:r>
          </w:p>
        </w:tc>
        <w:tc>
          <w:tcPr>
            <w:tcW w:w="0" w:type="auto"/>
            <w:shd w:val="clear" w:color="auto" w:fill="CFF0FC"/>
            <w:noWrap/>
            <w:vAlign w:val="bottom"/>
            <w:hideMark/>
          </w:tcPr>
          <w:p w14:paraId="691C15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5629C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32739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2DD42F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67.49</w:t>
            </w:r>
          </w:p>
        </w:tc>
        <w:tc>
          <w:tcPr>
            <w:tcW w:w="0" w:type="auto"/>
            <w:shd w:val="clear" w:color="auto" w:fill="CFF0FC"/>
            <w:noWrap/>
            <w:vAlign w:val="bottom"/>
            <w:hideMark/>
          </w:tcPr>
          <w:p w14:paraId="2D6008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D54F4CD" w14:textId="77777777" w:rsidTr="004B2A77">
        <w:trPr>
          <w:trHeight w:val="180"/>
          <w:tblCellSpacing w:w="15" w:type="dxa"/>
        </w:trPr>
        <w:tc>
          <w:tcPr>
            <w:tcW w:w="0" w:type="auto"/>
            <w:shd w:val="clear" w:color="auto" w:fill="FFFFFF"/>
            <w:hideMark/>
          </w:tcPr>
          <w:p w14:paraId="4C2441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Cancelled/Forfeited/Expired</w:t>
            </w:r>
          </w:p>
        </w:tc>
        <w:tc>
          <w:tcPr>
            <w:tcW w:w="0" w:type="auto"/>
            <w:shd w:val="clear" w:color="auto" w:fill="FFFFFF"/>
            <w:vAlign w:val="bottom"/>
            <w:hideMark/>
          </w:tcPr>
          <w:p w14:paraId="25E3BE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D178A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B2866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(188</w:t>
            </w:r>
          </w:p>
        </w:tc>
        <w:tc>
          <w:tcPr>
            <w:tcW w:w="0" w:type="auto"/>
            <w:shd w:val="clear" w:color="auto" w:fill="FFFFFF"/>
            <w:noWrap/>
            <w:vAlign w:val="bottom"/>
            <w:hideMark/>
          </w:tcPr>
          <w:p w14:paraId="57DEF01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EAE4CC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FC4F3C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1C989B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51.74</w:t>
            </w:r>
          </w:p>
        </w:tc>
        <w:tc>
          <w:tcPr>
            <w:tcW w:w="0" w:type="auto"/>
            <w:shd w:val="clear" w:color="auto" w:fill="FFFFFF"/>
            <w:noWrap/>
            <w:vAlign w:val="bottom"/>
            <w:hideMark/>
          </w:tcPr>
          <w:p w14:paraId="0BB5ED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68ABD21" w14:textId="77777777" w:rsidTr="004B2A77">
        <w:trPr>
          <w:trHeight w:val="180"/>
          <w:tblCellSpacing w:w="15" w:type="dxa"/>
        </w:trPr>
        <w:tc>
          <w:tcPr>
            <w:tcW w:w="0" w:type="auto"/>
            <w:shd w:val="clear" w:color="auto" w:fill="CFF0FC"/>
            <w:hideMark/>
          </w:tcPr>
          <w:p w14:paraId="1F4042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December 31, 2021</w:t>
            </w:r>
          </w:p>
        </w:tc>
        <w:tc>
          <w:tcPr>
            <w:tcW w:w="0" w:type="auto"/>
            <w:shd w:val="clear" w:color="auto" w:fill="CFF0FC"/>
            <w:vAlign w:val="bottom"/>
            <w:hideMark/>
          </w:tcPr>
          <w:p w14:paraId="7F5077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CF755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7951D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49,875</w:t>
            </w:r>
          </w:p>
        </w:tc>
        <w:tc>
          <w:tcPr>
            <w:tcW w:w="0" w:type="auto"/>
            <w:shd w:val="clear" w:color="auto" w:fill="CFF0FC"/>
            <w:noWrap/>
            <w:vAlign w:val="bottom"/>
            <w:hideMark/>
          </w:tcPr>
          <w:p w14:paraId="3E8754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8C6A2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752AF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31202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68.71</w:t>
            </w:r>
          </w:p>
        </w:tc>
        <w:tc>
          <w:tcPr>
            <w:tcW w:w="0" w:type="auto"/>
            <w:shd w:val="clear" w:color="auto" w:fill="CFF0FC"/>
            <w:noWrap/>
            <w:vAlign w:val="bottom"/>
            <w:hideMark/>
          </w:tcPr>
          <w:p w14:paraId="39AA54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7F74389" w14:textId="77777777" w:rsidTr="004B2A77">
        <w:trPr>
          <w:trHeight w:val="180"/>
          <w:tblCellSpacing w:w="15" w:type="dxa"/>
        </w:trPr>
        <w:tc>
          <w:tcPr>
            <w:tcW w:w="0" w:type="auto"/>
            <w:shd w:val="clear" w:color="auto" w:fill="FFFFFF"/>
            <w:hideMark/>
          </w:tcPr>
          <w:p w14:paraId="238691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Exercised</w:t>
            </w:r>
          </w:p>
        </w:tc>
        <w:tc>
          <w:tcPr>
            <w:tcW w:w="0" w:type="auto"/>
            <w:shd w:val="clear" w:color="auto" w:fill="FFFFFF"/>
            <w:vAlign w:val="bottom"/>
            <w:hideMark/>
          </w:tcPr>
          <w:p w14:paraId="7C8F68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4B80B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393C1F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(8,614</w:t>
            </w:r>
          </w:p>
        </w:tc>
        <w:tc>
          <w:tcPr>
            <w:tcW w:w="0" w:type="auto"/>
            <w:shd w:val="clear" w:color="auto" w:fill="FFFFFF"/>
            <w:noWrap/>
            <w:vAlign w:val="bottom"/>
            <w:hideMark/>
          </w:tcPr>
          <w:p w14:paraId="1684A0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91140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5D24CD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D9ECE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59.28</w:t>
            </w:r>
          </w:p>
        </w:tc>
        <w:tc>
          <w:tcPr>
            <w:tcW w:w="0" w:type="auto"/>
            <w:shd w:val="clear" w:color="auto" w:fill="FFFFFF"/>
            <w:noWrap/>
            <w:vAlign w:val="bottom"/>
            <w:hideMark/>
          </w:tcPr>
          <w:p w14:paraId="36633B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8526520" w14:textId="77777777" w:rsidTr="004B2A77">
        <w:trPr>
          <w:trHeight w:val="180"/>
          <w:tblCellSpacing w:w="15" w:type="dxa"/>
        </w:trPr>
        <w:tc>
          <w:tcPr>
            <w:tcW w:w="0" w:type="auto"/>
            <w:shd w:val="clear" w:color="auto" w:fill="CFF0FC"/>
            <w:hideMark/>
          </w:tcPr>
          <w:p w14:paraId="03E6A7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Cancelled/Forfeited/Expired</w:t>
            </w:r>
          </w:p>
        </w:tc>
        <w:tc>
          <w:tcPr>
            <w:tcW w:w="0" w:type="auto"/>
            <w:shd w:val="clear" w:color="auto" w:fill="CFF0FC"/>
            <w:vAlign w:val="bottom"/>
            <w:hideMark/>
          </w:tcPr>
          <w:p w14:paraId="42A188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A0777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B6F170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(10,150</w:t>
            </w:r>
          </w:p>
        </w:tc>
        <w:tc>
          <w:tcPr>
            <w:tcW w:w="0" w:type="auto"/>
            <w:shd w:val="clear" w:color="auto" w:fill="CFF0FC"/>
            <w:noWrap/>
            <w:vAlign w:val="bottom"/>
            <w:hideMark/>
          </w:tcPr>
          <w:p w14:paraId="0FD216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9B002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0596B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171B94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70.40</w:t>
            </w:r>
          </w:p>
        </w:tc>
        <w:tc>
          <w:tcPr>
            <w:tcW w:w="0" w:type="auto"/>
            <w:shd w:val="clear" w:color="auto" w:fill="CFF0FC"/>
            <w:noWrap/>
            <w:vAlign w:val="bottom"/>
            <w:hideMark/>
          </w:tcPr>
          <w:p w14:paraId="42DD8C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23A5B68" w14:textId="77777777" w:rsidTr="004B2A77">
        <w:trPr>
          <w:trHeight w:val="180"/>
          <w:tblCellSpacing w:w="15" w:type="dxa"/>
        </w:trPr>
        <w:tc>
          <w:tcPr>
            <w:tcW w:w="0" w:type="auto"/>
            <w:shd w:val="clear" w:color="auto" w:fill="FFFFFF"/>
            <w:hideMark/>
          </w:tcPr>
          <w:p w14:paraId="1BFE62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Outstanding at December 31, 2022</w:t>
            </w:r>
          </w:p>
        </w:tc>
        <w:tc>
          <w:tcPr>
            <w:tcW w:w="0" w:type="auto"/>
            <w:shd w:val="clear" w:color="auto" w:fill="FFFFFF"/>
            <w:vAlign w:val="bottom"/>
            <w:hideMark/>
          </w:tcPr>
          <w:p w14:paraId="0910F0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9E10F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A2CB42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31,111</w:t>
            </w:r>
          </w:p>
        </w:tc>
        <w:tc>
          <w:tcPr>
            <w:tcW w:w="0" w:type="auto"/>
            <w:shd w:val="clear" w:color="auto" w:fill="FFFFFF"/>
            <w:noWrap/>
            <w:vAlign w:val="bottom"/>
            <w:hideMark/>
          </w:tcPr>
          <w:p w14:paraId="20088A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2B6F3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FA642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84538B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70.77</w:t>
            </w:r>
          </w:p>
        </w:tc>
        <w:tc>
          <w:tcPr>
            <w:tcW w:w="0" w:type="auto"/>
            <w:shd w:val="clear" w:color="auto" w:fill="FFFFFF"/>
            <w:noWrap/>
            <w:vAlign w:val="bottom"/>
            <w:hideMark/>
          </w:tcPr>
          <w:p w14:paraId="429DFE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288E524" w14:textId="77777777" w:rsidTr="004B2A77">
        <w:trPr>
          <w:tblCellSpacing w:w="15" w:type="dxa"/>
        </w:trPr>
        <w:tc>
          <w:tcPr>
            <w:tcW w:w="0" w:type="auto"/>
            <w:shd w:val="clear" w:color="auto" w:fill="CFF0FC"/>
            <w:hideMark/>
          </w:tcPr>
          <w:p w14:paraId="53D180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749A7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4FADC36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2F52C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87E4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3A58C96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B331A6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8A41955" w14:textId="77777777" w:rsidTr="004B2A77">
        <w:trPr>
          <w:trHeight w:val="180"/>
          <w:tblCellSpacing w:w="15" w:type="dxa"/>
        </w:trPr>
        <w:tc>
          <w:tcPr>
            <w:tcW w:w="0" w:type="auto"/>
            <w:shd w:val="clear" w:color="auto" w:fill="FFFFFF"/>
            <w:hideMark/>
          </w:tcPr>
          <w:p w14:paraId="08CB7C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u w:val="single"/>
              </w:rPr>
              <w:t>OPTIONS EXERCISABLE</w:t>
            </w:r>
          </w:p>
        </w:tc>
        <w:tc>
          <w:tcPr>
            <w:tcW w:w="0" w:type="auto"/>
            <w:shd w:val="clear" w:color="auto" w:fill="FFFFFF"/>
            <w:vAlign w:val="bottom"/>
            <w:hideMark/>
          </w:tcPr>
          <w:p w14:paraId="017446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64BD48E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CA20F2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02BEC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3011B16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1D08C5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308D802" w14:textId="77777777" w:rsidTr="004B2A77">
        <w:trPr>
          <w:trHeight w:val="180"/>
          <w:tblCellSpacing w:w="15" w:type="dxa"/>
        </w:trPr>
        <w:tc>
          <w:tcPr>
            <w:tcW w:w="0" w:type="auto"/>
            <w:shd w:val="clear" w:color="auto" w:fill="CFF0FC"/>
            <w:hideMark/>
          </w:tcPr>
          <w:p w14:paraId="3A6C88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At December 31, 2020</w:t>
            </w:r>
          </w:p>
        </w:tc>
        <w:tc>
          <w:tcPr>
            <w:tcW w:w="0" w:type="auto"/>
            <w:shd w:val="clear" w:color="auto" w:fill="CFF0FC"/>
            <w:vAlign w:val="bottom"/>
            <w:hideMark/>
          </w:tcPr>
          <w:p w14:paraId="70C8FF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A0977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83257C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90,175</w:t>
            </w:r>
          </w:p>
        </w:tc>
        <w:tc>
          <w:tcPr>
            <w:tcW w:w="0" w:type="auto"/>
            <w:shd w:val="clear" w:color="auto" w:fill="CFF0FC"/>
            <w:noWrap/>
            <w:vAlign w:val="bottom"/>
            <w:hideMark/>
          </w:tcPr>
          <w:p w14:paraId="0E5E5DD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542ADD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A13D5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5F01CB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68.13</w:t>
            </w:r>
          </w:p>
        </w:tc>
        <w:tc>
          <w:tcPr>
            <w:tcW w:w="0" w:type="auto"/>
            <w:shd w:val="clear" w:color="auto" w:fill="CFF0FC"/>
            <w:noWrap/>
            <w:vAlign w:val="bottom"/>
            <w:hideMark/>
          </w:tcPr>
          <w:p w14:paraId="4789F8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8E7CEB8" w14:textId="77777777" w:rsidTr="004B2A77">
        <w:trPr>
          <w:trHeight w:val="180"/>
          <w:tblCellSpacing w:w="15" w:type="dxa"/>
        </w:trPr>
        <w:tc>
          <w:tcPr>
            <w:tcW w:w="0" w:type="auto"/>
            <w:shd w:val="clear" w:color="auto" w:fill="FFFFFF"/>
            <w:hideMark/>
          </w:tcPr>
          <w:p w14:paraId="555373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At December 31, 2021</w:t>
            </w:r>
          </w:p>
        </w:tc>
        <w:tc>
          <w:tcPr>
            <w:tcW w:w="0" w:type="auto"/>
            <w:shd w:val="clear" w:color="auto" w:fill="FFFFFF"/>
            <w:vAlign w:val="bottom"/>
            <w:hideMark/>
          </w:tcPr>
          <w:p w14:paraId="7D797D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8C104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FE6874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49,875</w:t>
            </w:r>
          </w:p>
        </w:tc>
        <w:tc>
          <w:tcPr>
            <w:tcW w:w="0" w:type="auto"/>
            <w:shd w:val="clear" w:color="auto" w:fill="FFFFFF"/>
            <w:noWrap/>
            <w:vAlign w:val="bottom"/>
            <w:hideMark/>
          </w:tcPr>
          <w:p w14:paraId="29E1B6A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2997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D9ACB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77581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68.71</w:t>
            </w:r>
          </w:p>
        </w:tc>
        <w:tc>
          <w:tcPr>
            <w:tcW w:w="0" w:type="auto"/>
            <w:shd w:val="clear" w:color="auto" w:fill="FFFFFF"/>
            <w:noWrap/>
            <w:vAlign w:val="bottom"/>
            <w:hideMark/>
          </w:tcPr>
          <w:p w14:paraId="1B7C41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F0B85C2" w14:textId="77777777" w:rsidTr="004B2A77">
        <w:trPr>
          <w:trHeight w:val="180"/>
          <w:tblCellSpacing w:w="15" w:type="dxa"/>
        </w:trPr>
        <w:tc>
          <w:tcPr>
            <w:tcW w:w="0" w:type="auto"/>
            <w:shd w:val="clear" w:color="auto" w:fill="CFF0FC"/>
            <w:hideMark/>
          </w:tcPr>
          <w:p w14:paraId="3FF218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At December 31, 2022</w:t>
            </w:r>
          </w:p>
        </w:tc>
        <w:tc>
          <w:tcPr>
            <w:tcW w:w="0" w:type="auto"/>
            <w:shd w:val="clear" w:color="auto" w:fill="CFF0FC"/>
            <w:vAlign w:val="bottom"/>
            <w:hideMark/>
          </w:tcPr>
          <w:p w14:paraId="45A58DE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B42A4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B62F1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31,111</w:t>
            </w:r>
          </w:p>
        </w:tc>
        <w:tc>
          <w:tcPr>
            <w:tcW w:w="0" w:type="auto"/>
            <w:shd w:val="clear" w:color="auto" w:fill="CFF0FC"/>
            <w:noWrap/>
            <w:vAlign w:val="bottom"/>
            <w:hideMark/>
          </w:tcPr>
          <w:p w14:paraId="56385B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B1513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293B8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812A86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70.77</w:t>
            </w:r>
          </w:p>
        </w:tc>
        <w:tc>
          <w:tcPr>
            <w:tcW w:w="0" w:type="auto"/>
            <w:shd w:val="clear" w:color="auto" w:fill="CFF0FC"/>
            <w:noWrap/>
            <w:vAlign w:val="bottom"/>
            <w:hideMark/>
          </w:tcPr>
          <w:p w14:paraId="7ED290D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281754D8"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4"/>
          <w:szCs w:val="24"/>
        </w:rPr>
        <w:t> </w:t>
      </w:r>
    </w:p>
    <w:p w14:paraId="221EB591"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1"/>
          <w:szCs w:val="11"/>
          <w:vertAlign w:val="superscript"/>
        </w:rPr>
        <w:t xml:space="preserve">1) </w:t>
      </w:r>
      <w:r w:rsidRPr="004B2A77">
        <w:rPr>
          <w:rFonts w:ascii="Arial" w:eastAsia="微软雅黑" w:hAnsi="Arial" w:cs="Arial"/>
          <w:color w:val="000000"/>
          <w:kern w:val="0"/>
          <w:sz w:val="16"/>
          <w:szCs w:val="16"/>
        </w:rPr>
        <w:t>Reflects the cancellation of SOs outstanding as of the effective date of the Veoneer spin-off, and the conversion to new awards in accordance with the conversion factor (1.41). The weighted average exercise price reflects the exercise price of the shares cancelled due to the Veoneer spin-off.</w:t>
      </w:r>
    </w:p>
    <w:p w14:paraId="0F284004" w14:textId="77777777" w:rsidR="004B2A77" w:rsidRPr="004B2A77" w:rsidRDefault="004B2A77" w:rsidP="004B2A77">
      <w:pPr>
        <w:widowControl/>
        <w:spacing w:before="120"/>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following summarizes information about SOs outstanding and exercisable at December 31, 2022:</w:t>
      </w:r>
    </w:p>
    <w:p w14:paraId="162C7FBF"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146"/>
        <w:gridCol w:w="188"/>
        <w:gridCol w:w="190"/>
        <w:gridCol w:w="1824"/>
        <w:gridCol w:w="190"/>
        <w:gridCol w:w="191"/>
        <w:gridCol w:w="190"/>
        <w:gridCol w:w="1823"/>
        <w:gridCol w:w="190"/>
        <w:gridCol w:w="269"/>
        <w:gridCol w:w="190"/>
        <w:gridCol w:w="1894"/>
        <w:gridCol w:w="206"/>
      </w:tblGrid>
      <w:tr w:rsidR="004B2A77" w:rsidRPr="004B2A77" w14:paraId="2B36A4C4" w14:textId="77777777" w:rsidTr="004B2A77">
        <w:trPr>
          <w:tblCellSpacing w:w="15" w:type="dxa"/>
        </w:trPr>
        <w:tc>
          <w:tcPr>
            <w:tcW w:w="9121" w:type="dxa"/>
            <w:vAlign w:val="center"/>
            <w:hideMark/>
          </w:tcPr>
          <w:p w14:paraId="442D6EE5" w14:textId="77777777" w:rsidR="004B2A77" w:rsidRPr="004B2A77" w:rsidRDefault="004B2A77" w:rsidP="004B2A77">
            <w:pPr>
              <w:widowControl/>
              <w:jc w:val="left"/>
              <w:rPr>
                <w:rFonts w:ascii="Times New Roman" w:eastAsia="微软雅黑" w:hAnsi="Times New Roman" w:cs="Times New Roman"/>
                <w:color w:val="000000"/>
                <w:kern w:val="0"/>
                <w:sz w:val="20"/>
                <w:szCs w:val="20"/>
              </w:rPr>
            </w:pPr>
          </w:p>
        </w:tc>
        <w:tc>
          <w:tcPr>
            <w:tcW w:w="158" w:type="dxa"/>
            <w:vAlign w:val="center"/>
            <w:hideMark/>
          </w:tcPr>
          <w:p w14:paraId="1E041CF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ED8C89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96" w:type="dxa"/>
            <w:vAlign w:val="center"/>
            <w:hideMark/>
          </w:tcPr>
          <w:p w14:paraId="7D930E0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D8F35C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4A10107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5540C3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96" w:type="dxa"/>
            <w:vAlign w:val="center"/>
            <w:hideMark/>
          </w:tcPr>
          <w:p w14:paraId="64650D7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3C281A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9" w:type="dxa"/>
            <w:vAlign w:val="center"/>
            <w:hideMark/>
          </w:tcPr>
          <w:p w14:paraId="27F3801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38699B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67" w:type="dxa"/>
            <w:vAlign w:val="center"/>
            <w:hideMark/>
          </w:tcPr>
          <w:p w14:paraId="1DC4291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09696439"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76747D4" w14:textId="77777777" w:rsidTr="004B2A77">
        <w:trPr>
          <w:trHeight w:val="160"/>
          <w:tblCellSpacing w:w="15" w:type="dxa"/>
        </w:trPr>
        <w:tc>
          <w:tcPr>
            <w:tcW w:w="0" w:type="auto"/>
            <w:shd w:val="clear" w:color="auto" w:fill="FFFFFF"/>
            <w:vAlign w:val="bottom"/>
            <w:hideMark/>
          </w:tcPr>
          <w:p w14:paraId="6A5BC6AC"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EXERCISE PRICE</w:t>
            </w:r>
          </w:p>
        </w:tc>
        <w:tc>
          <w:tcPr>
            <w:tcW w:w="0" w:type="auto"/>
            <w:shd w:val="clear" w:color="auto" w:fill="FFFFFF"/>
            <w:vAlign w:val="bottom"/>
            <w:hideMark/>
          </w:tcPr>
          <w:p w14:paraId="5DE19BA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31D80C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Number</w:t>
            </w:r>
            <w:r w:rsidRPr="004B2A77">
              <w:rPr>
                <w:rFonts w:ascii="Arial" w:eastAsia="宋体" w:hAnsi="Arial" w:cs="Arial"/>
                <w:b/>
                <w:bCs/>
                <w:color w:val="000000"/>
                <w:kern w:val="0"/>
                <w:sz w:val="16"/>
                <w:szCs w:val="16"/>
              </w:rPr>
              <w:br/>
              <w:t>outstanding &amp;</w:t>
            </w:r>
            <w:r w:rsidRPr="004B2A77">
              <w:rPr>
                <w:rFonts w:ascii="Arial" w:eastAsia="宋体" w:hAnsi="Arial" w:cs="Arial"/>
                <w:b/>
                <w:bCs/>
                <w:color w:val="000000"/>
                <w:kern w:val="0"/>
                <w:sz w:val="16"/>
                <w:szCs w:val="16"/>
              </w:rPr>
              <w:br/>
              <w:t>exercisable</w:t>
            </w:r>
          </w:p>
        </w:tc>
        <w:tc>
          <w:tcPr>
            <w:tcW w:w="0" w:type="auto"/>
            <w:shd w:val="clear" w:color="auto" w:fill="FFFFFF"/>
            <w:vAlign w:val="bottom"/>
            <w:hideMark/>
          </w:tcPr>
          <w:p w14:paraId="0DE3339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03E9F5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D72A52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Remaining</w:t>
            </w:r>
            <w:r w:rsidRPr="004B2A77">
              <w:rPr>
                <w:rFonts w:ascii="Arial" w:eastAsia="宋体" w:hAnsi="Arial" w:cs="Arial"/>
                <w:b/>
                <w:bCs/>
                <w:color w:val="000000"/>
                <w:kern w:val="0"/>
                <w:sz w:val="16"/>
                <w:szCs w:val="16"/>
              </w:rPr>
              <w:br/>
              <w:t>contract life</w:t>
            </w:r>
            <w:r w:rsidRPr="004B2A77">
              <w:rPr>
                <w:rFonts w:ascii="Arial" w:eastAsia="宋体" w:hAnsi="Arial" w:cs="Arial"/>
                <w:b/>
                <w:bCs/>
                <w:color w:val="000000"/>
                <w:kern w:val="0"/>
                <w:sz w:val="16"/>
                <w:szCs w:val="16"/>
              </w:rPr>
              <w:br/>
              <w:t>(in years)</w:t>
            </w:r>
          </w:p>
        </w:tc>
        <w:tc>
          <w:tcPr>
            <w:tcW w:w="0" w:type="auto"/>
            <w:shd w:val="clear" w:color="auto" w:fill="FFFFFF"/>
            <w:vAlign w:val="bottom"/>
            <w:hideMark/>
          </w:tcPr>
          <w:p w14:paraId="1236313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409F9D8"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DC2B38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Weighted</w:t>
            </w:r>
            <w:r w:rsidRPr="004B2A77">
              <w:rPr>
                <w:rFonts w:ascii="Arial" w:eastAsia="宋体" w:hAnsi="Arial" w:cs="Arial"/>
                <w:b/>
                <w:bCs/>
                <w:color w:val="000000"/>
                <w:kern w:val="0"/>
                <w:sz w:val="16"/>
                <w:szCs w:val="16"/>
              </w:rPr>
              <w:br/>
              <w:t>average</w:t>
            </w:r>
            <w:r w:rsidRPr="004B2A77">
              <w:rPr>
                <w:rFonts w:ascii="Arial" w:eastAsia="宋体" w:hAnsi="Arial" w:cs="Arial"/>
                <w:b/>
                <w:bCs/>
                <w:color w:val="000000"/>
                <w:kern w:val="0"/>
                <w:sz w:val="16"/>
                <w:szCs w:val="16"/>
              </w:rPr>
              <w:br/>
              <w:t>exercise</w:t>
            </w:r>
            <w:r w:rsidRPr="004B2A77">
              <w:rPr>
                <w:rFonts w:ascii="Arial" w:eastAsia="宋体" w:hAnsi="Arial" w:cs="Arial"/>
                <w:b/>
                <w:bCs/>
                <w:color w:val="000000"/>
                <w:kern w:val="0"/>
                <w:sz w:val="16"/>
                <w:szCs w:val="16"/>
              </w:rPr>
              <w:br/>
              <w:t>price</w:t>
            </w:r>
          </w:p>
        </w:tc>
        <w:tc>
          <w:tcPr>
            <w:tcW w:w="0" w:type="auto"/>
            <w:shd w:val="clear" w:color="auto" w:fill="FFFFFF"/>
            <w:vAlign w:val="bottom"/>
            <w:hideMark/>
          </w:tcPr>
          <w:p w14:paraId="416E16A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5E235E7C" w14:textId="77777777" w:rsidTr="004B2A77">
        <w:trPr>
          <w:trHeight w:val="180"/>
          <w:tblCellSpacing w:w="15" w:type="dxa"/>
        </w:trPr>
        <w:tc>
          <w:tcPr>
            <w:tcW w:w="0" w:type="auto"/>
            <w:shd w:val="clear" w:color="auto" w:fill="CFF0FC"/>
            <w:hideMark/>
          </w:tcPr>
          <w:p w14:paraId="103B56FA"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$49.07</w:t>
            </w:r>
          </w:p>
        </w:tc>
        <w:tc>
          <w:tcPr>
            <w:tcW w:w="0" w:type="auto"/>
            <w:shd w:val="clear" w:color="auto" w:fill="CFF0FC"/>
            <w:vAlign w:val="bottom"/>
            <w:hideMark/>
          </w:tcPr>
          <w:p w14:paraId="4F8468D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5B61C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66B71C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5,203</w:t>
            </w:r>
          </w:p>
        </w:tc>
        <w:tc>
          <w:tcPr>
            <w:tcW w:w="0" w:type="auto"/>
            <w:shd w:val="clear" w:color="auto" w:fill="CFF0FC"/>
            <w:noWrap/>
            <w:vAlign w:val="bottom"/>
            <w:hideMark/>
          </w:tcPr>
          <w:p w14:paraId="72F8D6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F49EC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1FC27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191F87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0.14</w:t>
            </w:r>
          </w:p>
        </w:tc>
        <w:tc>
          <w:tcPr>
            <w:tcW w:w="0" w:type="auto"/>
            <w:shd w:val="clear" w:color="auto" w:fill="CFF0FC"/>
            <w:noWrap/>
            <w:vAlign w:val="bottom"/>
            <w:hideMark/>
          </w:tcPr>
          <w:p w14:paraId="77F6BD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FDF65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83AA7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D462AD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49.07</w:t>
            </w:r>
          </w:p>
        </w:tc>
        <w:tc>
          <w:tcPr>
            <w:tcW w:w="0" w:type="auto"/>
            <w:shd w:val="clear" w:color="auto" w:fill="CFF0FC"/>
            <w:noWrap/>
            <w:vAlign w:val="bottom"/>
            <w:hideMark/>
          </w:tcPr>
          <w:p w14:paraId="57E743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908F573" w14:textId="77777777" w:rsidTr="004B2A77">
        <w:trPr>
          <w:trHeight w:val="180"/>
          <w:tblCellSpacing w:w="15" w:type="dxa"/>
        </w:trPr>
        <w:tc>
          <w:tcPr>
            <w:tcW w:w="0" w:type="auto"/>
            <w:shd w:val="clear" w:color="auto" w:fill="FFFFFF"/>
            <w:hideMark/>
          </w:tcPr>
          <w:p w14:paraId="0DEC95CA"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$67.29</w:t>
            </w:r>
          </w:p>
        </w:tc>
        <w:tc>
          <w:tcPr>
            <w:tcW w:w="0" w:type="auto"/>
            <w:shd w:val="clear" w:color="auto" w:fill="FFFFFF"/>
            <w:vAlign w:val="bottom"/>
            <w:hideMark/>
          </w:tcPr>
          <w:p w14:paraId="483B189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E2B00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2CA3E7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10,424</w:t>
            </w:r>
          </w:p>
        </w:tc>
        <w:tc>
          <w:tcPr>
            <w:tcW w:w="0" w:type="auto"/>
            <w:shd w:val="clear" w:color="auto" w:fill="FFFFFF"/>
            <w:noWrap/>
            <w:vAlign w:val="bottom"/>
            <w:hideMark/>
          </w:tcPr>
          <w:p w14:paraId="53CB49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8CDA21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3D0E4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FCCF5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1.14</w:t>
            </w:r>
          </w:p>
        </w:tc>
        <w:tc>
          <w:tcPr>
            <w:tcW w:w="0" w:type="auto"/>
            <w:shd w:val="clear" w:color="auto" w:fill="FFFFFF"/>
            <w:noWrap/>
            <w:vAlign w:val="bottom"/>
            <w:hideMark/>
          </w:tcPr>
          <w:p w14:paraId="350604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2F93C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E9643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5B8912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67.29</w:t>
            </w:r>
          </w:p>
        </w:tc>
        <w:tc>
          <w:tcPr>
            <w:tcW w:w="0" w:type="auto"/>
            <w:shd w:val="clear" w:color="auto" w:fill="FFFFFF"/>
            <w:noWrap/>
            <w:vAlign w:val="bottom"/>
            <w:hideMark/>
          </w:tcPr>
          <w:p w14:paraId="64A42A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ADBBDC5" w14:textId="77777777" w:rsidTr="004B2A77">
        <w:trPr>
          <w:trHeight w:val="180"/>
          <w:tblCellSpacing w:w="15" w:type="dxa"/>
        </w:trPr>
        <w:tc>
          <w:tcPr>
            <w:tcW w:w="0" w:type="auto"/>
            <w:shd w:val="clear" w:color="auto" w:fill="CFF0FC"/>
            <w:hideMark/>
          </w:tcPr>
          <w:p w14:paraId="37BCED42"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$80.40</w:t>
            </w:r>
          </w:p>
        </w:tc>
        <w:tc>
          <w:tcPr>
            <w:tcW w:w="0" w:type="auto"/>
            <w:shd w:val="clear" w:color="auto" w:fill="CFF0FC"/>
            <w:vAlign w:val="bottom"/>
            <w:hideMark/>
          </w:tcPr>
          <w:p w14:paraId="65E6C47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10BA1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6372CC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15,484</w:t>
            </w:r>
          </w:p>
        </w:tc>
        <w:tc>
          <w:tcPr>
            <w:tcW w:w="0" w:type="auto"/>
            <w:shd w:val="clear" w:color="auto" w:fill="CFF0FC"/>
            <w:noWrap/>
            <w:vAlign w:val="bottom"/>
            <w:hideMark/>
          </w:tcPr>
          <w:p w14:paraId="5DBCF4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4E9A8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30248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9A0ECD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2.13</w:t>
            </w:r>
          </w:p>
        </w:tc>
        <w:tc>
          <w:tcPr>
            <w:tcW w:w="0" w:type="auto"/>
            <w:shd w:val="clear" w:color="auto" w:fill="CFF0FC"/>
            <w:noWrap/>
            <w:vAlign w:val="bottom"/>
            <w:hideMark/>
          </w:tcPr>
          <w:p w14:paraId="7DA9CD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63960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233BC9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5D7963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80.40</w:t>
            </w:r>
          </w:p>
        </w:tc>
        <w:tc>
          <w:tcPr>
            <w:tcW w:w="0" w:type="auto"/>
            <w:shd w:val="clear" w:color="auto" w:fill="CFF0FC"/>
            <w:noWrap/>
            <w:vAlign w:val="bottom"/>
            <w:hideMark/>
          </w:tcPr>
          <w:p w14:paraId="1AABC6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0EFD2DE" w14:textId="77777777" w:rsidTr="004B2A77">
        <w:trPr>
          <w:trHeight w:val="180"/>
          <w:tblCellSpacing w:w="15" w:type="dxa"/>
        </w:trPr>
        <w:tc>
          <w:tcPr>
            <w:tcW w:w="0" w:type="auto"/>
            <w:shd w:val="clear" w:color="auto" w:fill="FFFFFF"/>
            <w:hideMark/>
          </w:tcPr>
          <w:p w14:paraId="6B0BFE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63880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09892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8411B5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31,111</w:t>
            </w:r>
          </w:p>
        </w:tc>
        <w:tc>
          <w:tcPr>
            <w:tcW w:w="0" w:type="auto"/>
            <w:shd w:val="clear" w:color="auto" w:fill="FFFFFF"/>
            <w:noWrap/>
            <w:vAlign w:val="bottom"/>
            <w:hideMark/>
          </w:tcPr>
          <w:p w14:paraId="74C2E6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420C2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7C5E9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EAA12C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1.46</w:t>
            </w:r>
          </w:p>
        </w:tc>
        <w:tc>
          <w:tcPr>
            <w:tcW w:w="0" w:type="auto"/>
            <w:shd w:val="clear" w:color="auto" w:fill="FFFFFF"/>
            <w:noWrap/>
            <w:vAlign w:val="bottom"/>
            <w:hideMark/>
          </w:tcPr>
          <w:p w14:paraId="0D9E9B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8B6F3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DA22B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6E472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70.77</w:t>
            </w:r>
          </w:p>
        </w:tc>
        <w:tc>
          <w:tcPr>
            <w:tcW w:w="0" w:type="auto"/>
            <w:shd w:val="clear" w:color="auto" w:fill="FFFFFF"/>
            <w:noWrap/>
            <w:vAlign w:val="bottom"/>
            <w:hideMark/>
          </w:tcPr>
          <w:p w14:paraId="4EAC3E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4B79724D"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24"/>
          <w:szCs w:val="24"/>
        </w:rPr>
        <w:t> </w:t>
      </w:r>
    </w:p>
    <w:p w14:paraId="0D22E425" w14:textId="77777777" w:rsidR="004B2A77" w:rsidRPr="004B2A77" w:rsidRDefault="004B2A77" w:rsidP="004B2A77">
      <w:pPr>
        <w:widowControl/>
        <w:rPr>
          <w:rFonts w:ascii="Times New Roman" w:eastAsia="微软雅黑" w:hAnsi="Times New Roman" w:cs="Times New Roman"/>
          <w:color w:val="000000"/>
          <w:kern w:val="0"/>
          <w:sz w:val="20"/>
          <w:szCs w:val="20"/>
        </w:rPr>
      </w:pPr>
      <w:r w:rsidRPr="004B2A77">
        <w:rPr>
          <w:rFonts w:ascii="Arial" w:eastAsia="微软雅黑" w:hAnsi="Arial" w:cs="Arial"/>
          <w:color w:val="000000"/>
          <w:kern w:val="0"/>
          <w:sz w:val="18"/>
          <w:szCs w:val="18"/>
        </w:rPr>
        <w:t>The total aggregate intrinsic value, which is the difference between the exercise price and $76.58 (closing price per share at December 31, 2022), for all “in the money” SOs, both outstanding and exercisable as of December 31, 2022, was immaterial.</w:t>
      </w:r>
    </w:p>
    <w:p w14:paraId="0E970FB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lastRenderedPageBreak/>
        <w:t> </w:t>
      </w:r>
    </w:p>
    <w:p w14:paraId="5441F89A"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80</w:t>
      </w:r>
    </w:p>
    <w:p w14:paraId="01EB1D1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57D8CDC">
          <v:rect id="_x0000_i1107" style="width:0;height:1.5pt" o:hralign="center" o:hrstd="t" o:hrnoshade="t" o:hr="t" fillcolor="black" stroked="f"/>
        </w:pict>
      </w:r>
    </w:p>
    <w:p w14:paraId="33C7B97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102320B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17. Contingent Liabilities</w:t>
      </w:r>
    </w:p>
    <w:p w14:paraId="2EA9E69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470002D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LEGAL PROCEEDINGS</w:t>
      </w:r>
    </w:p>
    <w:p w14:paraId="667A306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Various claims, lawsuits and proceedings are pending or threatened against the Company or its subsidiaries, covering a range of matters that arise in the ordinary course of its business activities with respect to commercial, product liability and other matters. Litigation is subject to many uncertainties, and the outcome of any litigation cannot be assured. After discussions with counsel, and with the exception of losses resulting from the antitrust proceedings described below, it is the opinion of management that the various legal proceedings and investigations to which the Company currently is a party will not have a material adverse impact on the consolidated financial position of Autoliv, but the Company cannot provide assurance that Autoliv will not experience material litigation, product liability or other losses in the future.</w:t>
      </w:r>
    </w:p>
    <w:p w14:paraId="78A08728"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ANTITRUST MATTERS</w:t>
      </w:r>
    </w:p>
    <w:p w14:paraId="416E074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Authorities in several jurisdictions have conducted broad, and in some cases, long-running investigations of suspected anti-competitive behavior among parts suppliers in the global automotive vehicle industry. These investigations included, but are not limited to, the products that the Company sells. In addition to concluded matters, authorities of other countries with significant light vehicle manufacturing or sales may initiate similar investigations. </w:t>
      </w:r>
    </w:p>
    <w:p w14:paraId="35196763"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PRODUCT WARRANTY, RECALLS AND INTELLECTUAL PROPERTY</w:t>
      </w:r>
    </w:p>
    <w:p w14:paraId="2AA016D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Autoliv is exposed to various claims for damages and compensation if its products fail to perform as expected. Such claims can be made, and result in costs and other losses to the Company, even where the product is eventually found to have functioned properly. Where a product (actually or allegedly) fails to perform as expected or is defective, the Company may face warranty and recall claims. Where such (actual or alleged) failure or defect results, or is alleged to result, in bodily injury and/or property damage, the Company may also face product liability and other claims. There can be no assurance that the Company will not experience material warranty, recall or product (or other) liability claims or losses in the future, or that the Company will not incur significant costs to defend against such claims. The Company may be required to participate in a recall involving its products. Each vehicle manufacturer has its own practices regarding product recalls and other product liability actions relating to its suppliers. As suppliers become more integrally involved in the vehicle design process and assume more of the vehicle assembly functions, vehicle manufacturers are increasingly looking to their suppliers for contribution when faced with recalls and product liability claims. Government safety regulators may also play a role in warranty and recall practices. Recall decisions regarding the Company’s products may require a significant amount of judgment by us, our customers and safety regulators and are influenced by a variety of factors. Once a recall has been made, the cost of a recall is also subject to a significant amount of judgment and discussions between the Company and its customers. A warranty, recall or product-liability claim brought against the Company in excess of its insurance may have a material adverse effect on the Company’s </w:t>
      </w:r>
      <w:r w:rsidRPr="004B2A77">
        <w:rPr>
          <w:rFonts w:ascii="Arial" w:eastAsia="宋体" w:hAnsi="Arial" w:cs="Arial"/>
          <w:color w:val="000000"/>
          <w:kern w:val="0"/>
          <w:sz w:val="18"/>
          <w:szCs w:val="18"/>
        </w:rPr>
        <w:lastRenderedPageBreak/>
        <w:t>business. Vehicle manufacturers are also increasingly requiring their outside suppliers to guarantee or warrant their products and bear the costs of repair and replacement of such products under new vehicle warranties. A vehicle manufacturer may attempt to hold the Company responsible for some, or all, of the repair or replacement costs of products when the product supplied did not perform as represented by us or expected by the customer in either a warranty or a recall situation. Accordingly, the future costs of warranty or recall claims by the customers may be material. However, the Company believes its established reserves are adequate. Autoliv’s warranty reserves are based upon the Company’s best estimates of amounts necessary to settle future and existing claims. The Company regularly evaluates the adequacy of these reserves, and adjusts them when appropriate. However, the final amounts actually due related to these matters could differ materially from the Company’s recorded estimates.</w:t>
      </w:r>
    </w:p>
    <w:p w14:paraId="5A98C95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addition, as vehicle manufacturers increasingly use global platforms and procedures, quality performance evaluations are also conducted on a global basis. Any one or more quality, warranty or other recall issue(s) (including those affecting few units and/or having a small financial impact) may cause a vehicle manufacturer to implement measures such as a temporary or prolonged suspension of new orders, which may have a material impact on the Company’s results of operations.</w:t>
      </w:r>
    </w:p>
    <w:p w14:paraId="3271C26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maintains a program of insurance, which may include commercial insurance, self-insurance, or a combination of both approaches, for potential recall and product liability claims in amounts and on terms that it believes are reasonable and prudent based on our prior claims experience. The Company’s insurance policies generally include coverage of the costs of a recall, although costs related to replacement parts are generally not covered. In addition, a number of the agreements entered into by the Company, including the Spin-off Agreements, require Autoliv to indemnify the other parties for certain claims. Autoliv cannot assure that the level of coverage will be sufficient to cover every possible claim that can arise in our businesses or with respect to other obligations, now or in the future, or that such coverage always will be available should we, now or in the future, wish to extend, increase or otherwise adjust our insurance.</w:t>
      </w:r>
    </w:p>
    <w:p w14:paraId="513C16E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noted in Note 12 above, as of December 31, 2022, the Company has accrued $145 million for total product related liabilities. The majority of the total product liability accrual as of December 31, 2022, relates to recalls, which are generally covered by insurance. Insurance receivables for such recall related liabilities total $124 million as of December 31, 2022.</w:t>
      </w:r>
      <w:r w:rsidRPr="004B2A77">
        <w:rPr>
          <w:rFonts w:ascii="Arial" w:eastAsia="宋体" w:hAnsi="Arial" w:cs="Arial"/>
          <w:b/>
          <w:bCs/>
          <w:color w:val="000000"/>
          <w:kern w:val="0"/>
          <w:sz w:val="18"/>
          <w:szCs w:val="18"/>
        </w:rPr>
        <w:t xml:space="preserve"> </w:t>
      </w:r>
    </w:p>
    <w:p w14:paraId="09467C5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701C33A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81</w:t>
      </w:r>
    </w:p>
    <w:p w14:paraId="04F73E2E" w14:textId="77777777" w:rsidR="004B2A77" w:rsidRPr="004B2A77" w:rsidRDefault="004B2A77" w:rsidP="004B2A77">
      <w:pPr>
        <w:widowControl/>
        <w:jc w:val="left"/>
        <w:rPr>
          <w:rFonts w:ascii="Arial" w:eastAsia="宋体" w:hAnsi="Arial" w:cs="Arial"/>
          <w:color w:val="000000"/>
          <w:kern w:val="0"/>
          <w:sz w:val="22"/>
        </w:rPr>
      </w:pPr>
      <w:r w:rsidRPr="004B2A77">
        <w:rPr>
          <w:rFonts w:ascii="Arial" w:eastAsia="宋体" w:hAnsi="Arial" w:cs="Arial"/>
          <w:color w:val="000000"/>
          <w:kern w:val="0"/>
          <w:sz w:val="22"/>
        </w:rPr>
        <w:pict w14:anchorId="7C91A7EA">
          <v:rect id="_x0000_i1108" style="width:0;height:1.5pt" o:hralign="center" o:hrstd="t" o:hr="t" fillcolor="#a0a0a0" stroked="f"/>
        </w:pict>
      </w:r>
    </w:p>
    <w:p w14:paraId="1C19256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0BBBDCB3"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Product Liability</w:t>
      </w:r>
      <w:r w:rsidRPr="004B2A77">
        <w:rPr>
          <w:rFonts w:ascii="Arial" w:eastAsia="宋体" w:hAnsi="Arial" w:cs="Arial"/>
          <w:color w:val="000000"/>
          <w:kern w:val="0"/>
          <w:sz w:val="18"/>
          <w:szCs w:val="18"/>
        </w:rPr>
        <w:t>:</w:t>
      </w:r>
    </w:p>
    <w:p w14:paraId="410E661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On September 18, 2014, Jamie Andrews filed a wrongful death products liability suit against several Autoliv entities stemming from a fatal car accident in 2013 where the plaintiff’s husband was fatally injured. The lawsuit alleges that Autoliv should be liable for a defectively-designed driver seatbelt. The case was removed to the United States District Court for the Northern District of Georgia. The suit originally included Bosch and Mazda entities as well, but these entities were dismissed pursuant to confidential settlement agreements with the plaintiff, and all of the Autoliv entities except Autoliv Japan Ltd. were also dismissed. On January 10, 2017, the District Court entered an order granting summary judgment in favor of Autoliv, </w:t>
      </w:r>
      <w:r w:rsidRPr="004B2A77">
        <w:rPr>
          <w:rFonts w:ascii="Arial" w:eastAsia="宋体" w:hAnsi="Arial" w:cs="Arial"/>
          <w:color w:val="000000"/>
          <w:kern w:val="0"/>
          <w:sz w:val="18"/>
          <w:szCs w:val="18"/>
        </w:rPr>
        <w:lastRenderedPageBreak/>
        <w:t>concluding that Autoliv was not actively involved in the design of Mr. Andrews’s seatbelt and, therefore, should not be liable for plaintiff’s claims as a matter of law. However, on appeal, the Eleventh Circuit Court of Appeals reversed the decision, holding that, under Georgia’s products liability statute, Autoliv could be liable for a design defect associated with the seatbelt, regardless of its level of involvement in the seatbelt’s ultimate design, because Autoliv manufactured it. On October 4, 2021, the case proceeded to a bench trial before the United States District Court for the Northern District of Georgia. On December 31, 2021, the District Court entered a Final Order and Judgment concluding that Mr. Andrews’s seatbelt was defectively designed and Autoliv was strictly liable for the design. In doing so, the District Court concluded that Mr. Andrews had incurred $27,019,343 in compensatory damages, but only ordered Autoliv to pay 50 percent of that amount, $13,509,671 after finding that 50 percent of the fault for Mr. Andrews’s damages should be apportioned to Mazda. The Court declined to apportion any fault for Mr. Andrews’s damages to Mr. Andrews or Bosch. The District Court also entered an award of punitive damages against Autoliv in the amount of $100,000,000. Subsequently, on September 30, 2022, the District Court awarded pre-judgement interest on the compensatory damages award of approximately $4,734,350.</w:t>
      </w:r>
    </w:p>
    <w:p w14:paraId="606E660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believes the District Court’s verdict was in error, including the grossly high punitive damages award, and appealed the verdict.</w:t>
      </w:r>
    </w:p>
    <w:p w14:paraId="064C075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determined that a loss with respect to this litigation is probable and has in the fourth quarter of 2021 accrued $14 million pursuant to ASC 450. The Company accrued an additional $5 million for the pre-judgement interest in the third quarter of 2022. The accrual is reflected in the total product liability accrual. This amount reflects the low end of the range of a probable loss of $18 million to $118 million. The accrual reflects the Company’s best estimate of the probable loss based on currently available information and does not include any amount for the punitive damages. It is reasonably possible that the Company may have to pay the entire damages awarded by the District Court. The Company believes that its insurance should cover all of the types of damages awarded by the District Court, and has therefore recognized a receivable, included within Other non-current assets on the Consolidated Balance Sheet at December 31, 2021, for the expected insurance proceeds. However, the extent of the Company's insurance coverage for punitive damages in this matter is uncertain and may be less than all of such punitive damages ultimately awarded. In the event all or a portion of the punitive damages award survives the Company's appeal, the Company will continue to engage with our insurance carriers and aggressively pursue all potential recoveries. The ultimate loss to the Company of the litigation matter could be materially different from the amount the Company has accrued. The Company cannot predict or estimate the duration or ultimate outcome of this matter.</w:t>
      </w:r>
    </w:p>
    <w:p w14:paraId="2DC13E7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98609C2"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82</w:t>
      </w:r>
    </w:p>
    <w:p w14:paraId="56314FF6" w14:textId="77777777" w:rsidR="004B2A77" w:rsidRPr="004B2A77" w:rsidRDefault="004B2A77" w:rsidP="004B2A77">
      <w:pPr>
        <w:widowControl/>
        <w:jc w:val="left"/>
        <w:rPr>
          <w:rFonts w:ascii="Arial" w:eastAsia="宋体" w:hAnsi="Arial" w:cs="Arial"/>
          <w:color w:val="000000"/>
          <w:kern w:val="0"/>
          <w:sz w:val="22"/>
        </w:rPr>
      </w:pPr>
      <w:r w:rsidRPr="004B2A77">
        <w:rPr>
          <w:rFonts w:ascii="Arial" w:eastAsia="宋体" w:hAnsi="Arial" w:cs="Arial"/>
          <w:color w:val="000000"/>
          <w:kern w:val="0"/>
          <w:sz w:val="22"/>
        </w:rPr>
        <w:pict w14:anchorId="7AE3AD99">
          <v:rect id="_x0000_i1109" style="width:0;height:1.5pt" o:hralign="center" o:hrstd="t" o:hr="t" fillcolor="#a0a0a0" stroked="f"/>
        </w:pict>
      </w:r>
    </w:p>
    <w:p w14:paraId="3CD56D34"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62CB3FC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Specific Recalls:</w:t>
      </w:r>
    </w:p>
    <w:p w14:paraId="2A599D1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In the fourth quarter of 2020, the Company was made aware of a potential recall by one of its customers (the “Unannounced Recall”). The Company continues to evaluate this matter with its customer. The Company determined pursuant to ASC 450 that a loss with respect to the Unannounced Recall is probable and accrued an amount that is reflected in the total product liability accrual in the fourth quarter of 2020 and increased the accrual in the fourth quarter of 2021. The amount by which the product liability accrual </w:t>
      </w:r>
      <w:r w:rsidRPr="004B2A77">
        <w:rPr>
          <w:rFonts w:ascii="Arial" w:eastAsia="宋体" w:hAnsi="Arial" w:cs="Arial"/>
          <w:color w:val="000000"/>
          <w:kern w:val="0"/>
          <w:sz w:val="18"/>
          <w:szCs w:val="18"/>
        </w:rPr>
        <w:lastRenderedPageBreak/>
        <w:t>exceeds the product liability insurance receivable with respect to the Unannounced Recall is $27 million and includes self-insurance retention costs and deductibles. The ultimate loss to the Company of the Unannounced Recall could be materially different from the amount the Company has accrued.</w:t>
      </w:r>
    </w:p>
    <w:p w14:paraId="4AED3EB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Volvo Car USA, LLC (together with its affiliates, “Volvo”) has recalled approximately 762,000 vehicles relating to the malfunction of inflators produced by ZF (the “ZF Inflator Recall”). The recalled ZF inflators were included in airbag modules supplied by the Company only to Volvo. The recall commenced in November 2020 and later expanded in September 2021. Because the Company’s airbags were involved with the ZF Inflator Recall, the Company has determined pursuant to ASC 450 that a loss is reasonably possible with respect to the ZF Inflator Recall. The Company continues to evaluate this matter with Volvo and ZF and no accrual has been made. Although the Company currently estimates a range of $0 to $43 million with respect to this potential loss, the Company anticipates that any losses net of insurance claims and claims against ZF will be immaterial.</w:t>
      </w:r>
    </w:p>
    <w:p w14:paraId="0A8CFDB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u w:val="single"/>
        </w:rPr>
        <w:t>Intellectual property:</w:t>
      </w:r>
    </w:p>
    <w:p w14:paraId="5DEEA85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its products, the Company utilizes technologies which may be subject to intellectual property rights of third parties. While the Company does seek to procure the necessary rights to utilize intellectual property rights associated with its products, it may fail to do so. Where the Company so fails, the Company may be exposed to material claims from the owners of such rights. Where the Company has sold products which infringe upon such rights, its customers may be entitled to be indemnified by the Company for the claims they suffer as a result thereof. Such claims could be material.</w:t>
      </w:r>
    </w:p>
    <w:p w14:paraId="27BC7D9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table in Note 12 above summarizes the change in the balance sheet position of the product related liabilities for the fiscal year ended December 31, 2022.</w:t>
      </w:r>
    </w:p>
    <w:p w14:paraId="052B43A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7D02FA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83</w:t>
      </w:r>
    </w:p>
    <w:p w14:paraId="38C19B92"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B87AE83">
          <v:rect id="_x0000_i1110" style="width:0;height:1.5pt" o:hralign="center" o:hrstd="t" o:hrnoshade="t" o:hr="t" fillcolor="black" stroked="f"/>
        </w:pict>
      </w:r>
    </w:p>
    <w:p w14:paraId="767A11D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40A80B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18. Retirement Plans</w:t>
      </w:r>
    </w:p>
    <w:p w14:paraId="61F843F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DEFINED CONTRIBUTION PLANS</w:t>
      </w:r>
    </w:p>
    <w:p w14:paraId="0C536A7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Many of the Company’s employees are covered by government sponsored pension and welfare programs. Under the terms of these programs, the Company makes periodic payments to various government agencies. In addition, in some countries the Company sponsors or participates in certain non-governmental defined contribution plans. Contributions to defined contribution plans for the years ended December 31, 2022, 2021 and 2020 were $29 million, $18 million and $15 million, respectively.</w:t>
      </w:r>
    </w:p>
    <w:p w14:paraId="7729138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MULTIEMPLOYER PLANS</w:t>
      </w:r>
    </w:p>
    <w:p w14:paraId="7DDE0A6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participates in a multiemployer plan in Sweden. This ITP-2 plan is funded through Alecta and covers employees born before 1979, for whom it provides a final pay pension benefit based on all service with participating employers. The Company must pay for wage increases in excess of inflation on service earned with previous employers. The plan also provides disability and family benefits and is more than 100% funded. The Company´s contributions to this multiemployer plan for the years ended December 31, 2022, 2021 and 2020 were $6 million, $5 million and $4 million, respectively.</w:t>
      </w:r>
    </w:p>
    <w:p w14:paraId="4A415F9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lastRenderedPageBreak/>
        <w:t>DEFINED BENEFIT PLANS</w:t>
      </w:r>
    </w:p>
    <w:p w14:paraId="48FD05C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a number of defined benefit pension plans, both contributory and non-contributory, in the U.S., France, Germany, India, Japan, Mexico, Philippines, Poland, Sweden, South Korea, Thailand, Turkey and the United Kingdom. There are funded as well as unfunded plan arrangements which provide retirement benefits to both U.S. and non-U.S. participants.</w:t>
      </w:r>
    </w:p>
    <w:p w14:paraId="2DD3D95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main plan is the U.S. plan for which the benefits are based on an average of the employee’s earnings in the years preceding retirement and on credited service. In a prior year, the Company closed participation in the Autoliv ASP, Inc. Pension Plan to exclude those employees hired after December 31, 2003. Within the U.S. there is also a non-qualified restoration plan that provides benefits to employees whose benefits in the primary U.S. plan are restricted by limitations on the compensation that can be considered in calculating their benefits. During December 2017 the Company amended the U.S. defined benefit pension plan, communicating a benefits freeze that will begin on December 31, 2021. Settlement accounting has been recognized each quarter in 2022 for the U.S. plans because the lump-sum payments made to plan participants during 2022 exceeded the sum of service cost and interest cost.</w:t>
      </w:r>
    </w:p>
    <w:p w14:paraId="3346D3D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For the Company’s non-U.S. defined benefit plans the most significant individual plan is in the U.K. The Company has closed participation in the U.K. defined benefit plan to exclude all employees hired after April 30, 2003 with few members currently accruing benefits.</w:t>
      </w:r>
    </w:p>
    <w:p w14:paraId="3F3915FA"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CHANGES IN BENEFIT OBLIGATIONS AND PLAN ASSETS FOR THE YEARS ENDED DECEMBER 31</w:t>
      </w:r>
    </w:p>
    <w:p w14:paraId="0C0CE6E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8995"/>
        <w:gridCol w:w="266"/>
        <w:gridCol w:w="210"/>
        <w:gridCol w:w="1683"/>
        <w:gridCol w:w="210"/>
        <w:gridCol w:w="265"/>
        <w:gridCol w:w="210"/>
        <w:gridCol w:w="1718"/>
        <w:gridCol w:w="210"/>
        <w:gridCol w:w="265"/>
        <w:gridCol w:w="210"/>
        <w:gridCol w:w="1683"/>
        <w:gridCol w:w="210"/>
        <w:gridCol w:w="265"/>
        <w:gridCol w:w="210"/>
        <w:gridCol w:w="1718"/>
        <w:gridCol w:w="225"/>
      </w:tblGrid>
      <w:tr w:rsidR="004B2A77" w:rsidRPr="004B2A77" w14:paraId="5A6E5D83" w14:textId="77777777" w:rsidTr="004B2A77">
        <w:trPr>
          <w:tblCellSpacing w:w="15" w:type="dxa"/>
        </w:trPr>
        <w:tc>
          <w:tcPr>
            <w:tcW w:w="8967" w:type="dxa"/>
            <w:vAlign w:val="center"/>
            <w:hideMark/>
          </w:tcPr>
          <w:p w14:paraId="6601C4B0"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37" w:type="dxa"/>
            <w:vAlign w:val="center"/>
            <w:hideMark/>
          </w:tcPr>
          <w:p w14:paraId="6CE37F4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6E97DEB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56" w:type="dxa"/>
            <w:vAlign w:val="center"/>
            <w:hideMark/>
          </w:tcPr>
          <w:p w14:paraId="5347738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7728280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5" w:type="dxa"/>
            <w:vAlign w:val="center"/>
            <w:hideMark/>
          </w:tcPr>
          <w:p w14:paraId="5A93BB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70884C6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91" w:type="dxa"/>
            <w:vAlign w:val="center"/>
            <w:hideMark/>
          </w:tcPr>
          <w:p w14:paraId="37E724C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397A530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5" w:type="dxa"/>
            <w:vAlign w:val="center"/>
            <w:hideMark/>
          </w:tcPr>
          <w:p w14:paraId="24D0665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69F240C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56" w:type="dxa"/>
            <w:vAlign w:val="center"/>
            <w:hideMark/>
          </w:tcPr>
          <w:p w14:paraId="0DAB650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034FEF3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5" w:type="dxa"/>
            <w:vAlign w:val="center"/>
            <w:hideMark/>
          </w:tcPr>
          <w:p w14:paraId="2C9844B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68908AA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91" w:type="dxa"/>
            <w:vAlign w:val="center"/>
            <w:hideMark/>
          </w:tcPr>
          <w:p w14:paraId="0C25052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0343C878"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186C2AC" w14:textId="77777777" w:rsidTr="004B2A77">
        <w:trPr>
          <w:trHeight w:val="160"/>
          <w:tblCellSpacing w:w="15" w:type="dxa"/>
        </w:trPr>
        <w:tc>
          <w:tcPr>
            <w:tcW w:w="0" w:type="auto"/>
            <w:shd w:val="clear" w:color="auto" w:fill="FFFFFF"/>
            <w:vAlign w:val="bottom"/>
            <w:hideMark/>
          </w:tcPr>
          <w:p w14:paraId="5706541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8D4DD9C"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094668B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6D2AF88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48E70E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078CFCA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p>
        </w:tc>
        <w:tc>
          <w:tcPr>
            <w:tcW w:w="0" w:type="auto"/>
            <w:shd w:val="clear" w:color="auto" w:fill="FFFFFF"/>
            <w:vAlign w:val="bottom"/>
            <w:hideMark/>
          </w:tcPr>
          <w:p w14:paraId="46C5136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EA7D9A0" w14:textId="77777777" w:rsidTr="004B2A77">
        <w:trPr>
          <w:trHeight w:val="160"/>
          <w:tblCellSpacing w:w="15" w:type="dxa"/>
        </w:trPr>
        <w:tc>
          <w:tcPr>
            <w:tcW w:w="0" w:type="auto"/>
            <w:shd w:val="clear" w:color="auto" w:fill="FFFFFF"/>
            <w:vAlign w:val="bottom"/>
            <w:hideMark/>
          </w:tcPr>
          <w:p w14:paraId="79E6E8F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2A83690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E61E92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D3B017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BB4332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B1C5CB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5A1D3BE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E9111C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E648E0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42A8C6D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FE0A6A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86552B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72241E3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4B41ACF3" w14:textId="77777777" w:rsidTr="004B2A77">
        <w:trPr>
          <w:trHeight w:val="180"/>
          <w:tblCellSpacing w:w="15" w:type="dxa"/>
        </w:trPr>
        <w:tc>
          <w:tcPr>
            <w:tcW w:w="0" w:type="auto"/>
            <w:shd w:val="clear" w:color="auto" w:fill="CFF0FC"/>
            <w:hideMark/>
          </w:tcPr>
          <w:p w14:paraId="3854D1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Benefit obligation at beginning of year</w:t>
            </w:r>
          </w:p>
        </w:tc>
        <w:tc>
          <w:tcPr>
            <w:tcW w:w="0" w:type="auto"/>
            <w:shd w:val="clear" w:color="auto" w:fill="CFF0FC"/>
            <w:vAlign w:val="bottom"/>
            <w:hideMark/>
          </w:tcPr>
          <w:p w14:paraId="28F317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0DECE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EAA17C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381</w:t>
            </w:r>
          </w:p>
        </w:tc>
        <w:tc>
          <w:tcPr>
            <w:tcW w:w="0" w:type="auto"/>
            <w:shd w:val="clear" w:color="auto" w:fill="CFF0FC"/>
            <w:noWrap/>
            <w:vAlign w:val="bottom"/>
            <w:hideMark/>
          </w:tcPr>
          <w:p w14:paraId="6E603C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D09BE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9DECE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3AEA53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426</w:t>
            </w:r>
          </w:p>
        </w:tc>
        <w:tc>
          <w:tcPr>
            <w:tcW w:w="0" w:type="auto"/>
            <w:shd w:val="clear" w:color="auto" w:fill="CFF0FC"/>
            <w:noWrap/>
            <w:vAlign w:val="bottom"/>
            <w:hideMark/>
          </w:tcPr>
          <w:p w14:paraId="0E0621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C3A4DD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3C90A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29BD8C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260</w:t>
            </w:r>
          </w:p>
        </w:tc>
        <w:tc>
          <w:tcPr>
            <w:tcW w:w="0" w:type="auto"/>
            <w:shd w:val="clear" w:color="auto" w:fill="CFF0FC"/>
            <w:noWrap/>
            <w:vAlign w:val="bottom"/>
            <w:hideMark/>
          </w:tcPr>
          <w:p w14:paraId="3FD715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96EB0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67609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96874E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279</w:t>
            </w:r>
          </w:p>
        </w:tc>
        <w:tc>
          <w:tcPr>
            <w:tcW w:w="0" w:type="auto"/>
            <w:shd w:val="clear" w:color="auto" w:fill="CFF0FC"/>
            <w:noWrap/>
            <w:vAlign w:val="bottom"/>
            <w:hideMark/>
          </w:tcPr>
          <w:p w14:paraId="1758F87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0D295E3" w14:textId="77777777" w:rsidTr="004B2A77">
        <w:trPr>
          <w:trHeight w:val="180"/>
          <w:tblCellSpacing w:w="15" w:type="dxa"/>
        </w:trPr>
        <w:tc>
          <w:tcPr>
            <w:tcW w:w="0" w:type="auto"/>
            <w:shd w:val="clear" w:color="auto" w:fill="FFFFFF"/>
            <w:hideMark/>
          </w:tcPr>
          <w:p w14:paraId="3194C2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Service cost</w:t>
            </w:r>
          </w:p>
        </w:tc>
        <w:tc>
          <w:tcPr>
            <w:tcW w:w="0" w:type="auto"/>
            <w:shd w:val="clear" w:color="auto" w:fill="FFFFFF"/>
            <w:vAlign w:val="bottom"/>
            <w:hideMark/>
          </w:tcPr>
          <w:p w14:paraId="32F42C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C5E5D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24227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244B4D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7EDF2E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E8B6FF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653227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FFFFFF"/>
            <w:noWrap/>
            <w:vAlign w:val="bottom"/>
            <w:hideMark/>
          </w:tcPr>
          <w:p w14:paraId="7E5EBB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33C95F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650C2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33D9A7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w:t>
            </w:r>
          </w:p>
        </w:tc>
        <w:tc>
          <w:tcPr>
            <w:tcW w:w="0" w:type="auto"/>
            <w:shd w:val="clear" w:color="auto" w:fill="FFFFFF"/>
            <w:noWrap/>
            <w:vAlign w:val="bottom"/>
            <w:hideMark/>
          </w:tcPr>
          <w:p w14:paraId="5D5BAC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1052C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E93A8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1BCF0F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FFFFFF"/>
            <w:noWrap/>
            <w:vAlign w:val="bottom"/>
            <w:hideMark/>
          </w:tcPr>
          <w:p w14:paraId="2875F8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C18C3B6" w14:textId="77777777" w:rsidTr="004B2A77">
        <w:trPr>
          <w:trHeight w:val="180"/>
          <w:tblCellSpacing w:w="15" w:type="dxa"/>
        </w:trPr>
        <w:tc>
          <w:tcPr>
            <w:tcW w:w="0" w:type="auto"/>
            <w:shd w:val="clear" w:color="auto" w:fill="CFF0FC"/>
            <w:hideMark/>
          </w:tcPr>
          <w:p w14:paraId="39CCFB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Interest cost</w:t>
            </w:r>
          </w:p>
        </w:tc>
        <w:tc>
          <w:tcPr>
            <w:tcW w:w="0" w:type="auto"/>
            <w:shd w:val="clear" w:color="auto" w:fill="CFF0FC"/>
            <w:vAlign w:val="bottom"/>
            <w:hideMark/>
          </w:tcPr>
          <w:p w14:paraId="07D5AB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B2A14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86CDD9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CFF0FC"/>
            <w:noWrap/>
            <w:vAlign w:val="bottom"/>
            <w:hideMark/>
          </w:tcPr>
          <w:p w14:paraId="537D603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BE001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B964E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05B10C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CFF0FC"/>
            <w:noWrap/>
            <w:vAlign w:val="bottom"/>
            <w:hideMark/>
          </w:tcPr>
          <w:p w14:paraId="00A076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701C50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9F0F7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C542AA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CFF0FC"/>
            <w:noWrap/>
            <w:vAlign w:val="bottom"/>
            <w:hideMark/>
          </w:tcPr>
          <w:p w14:paraId="43F430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9E259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B9333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9301EB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CFF0FC"/>
            <w:noWrap/>
            <w:vAlign w:val="bottom"/>
            <w:hideMark/>
          </w:tcPr>
          <w:p w14:paraId="76176F6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72BC8C3" w14:textId="77777777" w:rsidTr="004B2A77">
        <w:trPr>
          <w:trHeight w:val="180"/>
          <w:tblCellSpacing w:w="15" w:type="dxa"/>
        </w:trPr>
        <w:tc>
          <w:tcPr>
            <w:tcW w:w="0" w:type="auto"/>
            <w:shd w:val="clear" w:color="auto" w:fill="FFFFFF"/>
            <w:hideMark/>
          </w:tcPr>
          <w:p w14:paraId="5D1917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Actuarial (gain) loss due to:</w:t>
            </w:r>
          </w:p>
        </w:tc>
        <w:tc>
          <w:tcPr>
            <w:tcW w:w="0" w:type="auto"/>
            <w:shd w:val="clear" w:color="auto" w:fill="FFFFFF"/>
            <w:vAlign w:val="bottom"/>
            <w:hideMark/>
          </w:tcPr>
          <w:p w14:paraId="26A66E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59EEB8A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2ED84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E2BEE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3658C69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6C73C1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459F34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29D70DB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A34EE6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BABD5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2A29187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59C45B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574D11C" w14:textId="77777777" w:rsidTr="004B2A77">
        <w:trPr>
          <w:trHeight w:val="180"/>
          <w:tblCellSpacing w:w="15" w:type="dxa"/>
        </w:trPr>
        <w:tc>
          <w:tcPr>
            <w:tcW w:w="0" w:type="auto"/>
            <w:shd w:val="clear" w:color="auto" w:fill="CFF0FC"/>
            <w:hideMark/>
          </w:tcPr>
          <w:p w14:paraId="45C1B2A9"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Change in discount rate</w:t>
            </w:r>
          </w:p>
        </w:tc>
        <w:tc>
          <w:tcPr>
            <w:tcW w:w="0" w:type="auto"/>
            <w:shd w:val="clear" w:color="auto" w:fill="CFF0FC"/>
            <w:vAlign w:val="bottom"/>
            <w:hideMark/>
          </w:tcPr>
          <w:p w14:paraId="32EFE4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826533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1524B4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(111</w:t>
            </w:r>
          </w:p>
        </w:tc>
        <w:tc>
          <w:tcPr>
            <w:tcW w:w="0" w:type="auto"/>
            <w:shd w:val="clear" w:color="auto" w:fill="CFF0FC"/>
            <w:noWrap/>
            <w:vAlign w:val="bottom"/>
            <w:hideMark/>
          </w:tcPr>
          <w:p w14:paraId="3D1FB44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45399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62552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0E2E8E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CFF0FC"/>
            <w:noWrap/>
            <w:vAlign w:val="bottom"/>
            <w:hideMark/>
          </w:tcPr>
          <w:p w14:paraId="0C0DEF7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DA954C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425D2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0B1B8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(65</w:t>
            </w:r>
          </w:p>
        </w:tc>
        <w:tc>
          <w:tcPr>
            <w:tcW w:w="0" w:type="auto"/>
            <w:shd w:val="clear" w:color="auto" w:fill="CFF0FC"/>
            <w:noWrap/>
            <w:vAlign w:val="bottom"/>
            <w:hideMark/>
          </w:tcPr>
          <w:p w14:paraId="072CD0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D396F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F6484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E3F0E5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w:t>
            </w:r>
          </w:p>
        </w:tc>
        <w:tc>
          <w:tcPr>
            <w:tcW w:w="0" w:type="auto"/>
            <w:shd w:val="clear" w:color="auto" w:fill="CFF0FC"/>
            <w:noWrap/>
            <w:vAlign w:val="bottom"/>
            <w:hideMark/>
          </w:tcPr>
          <w:p w14:paraId="6415DA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90A5DF0" w14:textId="77777777" w:rsidTr="004B2A77">
        <w:trPr>
          <w:trHeight w:val="180"/>
          <w:tblCellSpacing w:w="15" w:type="dxa"/>
        </w:trPr>
        <w:tc>
          <w:tcPr>
            <w:tcW w:w="0" w:type="auto"/>
            <w:shd w:val="clear" w:color="auto" w:fill="FFFFFF"/>
            <w:hideMark/>
          </w:tcPr>
          <w:p w14:paraId="5D86FA35"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Experience</w:t>
            </w:r>
          </w:p>
        </w:tc>
        <w:tc>
          <w:tcPr>
            <w:tcW w:w="0" w:type="auto"/>
            <w:shd w:val="clear" w:color="auto" w:fill="FFFFFF"/>
            <w:vAlign w:val="bottom"/>
            <w:hideMark/>
          </w:tcPr>
          <w:p w14:paraId="1E39B7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748E5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9873E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w:t>
            </w:r>
          </w:p>
        </w:tc>
        <w:tc>
          <w:tcPr>
            <w:tcW w:w="0" w:type="auto"/>
            <w:shd w:val="clear" w:color="auto" w:fill="FFFFFF"/>
            <w:noWrap/>
            <w:vAlign w:val="bottom"/>
            <w:hideMark/>
          </w:tcPr>
          <w:p w14:paraId="1DA3450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B9CDF4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C2ECC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A55566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FFFFFF"/>
            <w:noWrap/>
            <w:vAlign w:val="bottom"/>
            <w:hideMark/>
          </w:tcPr>
          <w:p w14:paraId="16E1441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AFD7AB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95AD62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CD6EED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1C9653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E0C41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73362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966DA0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w:t>
            </w:r>
          </w:p>
        </w:tc>
        <w:tc>
          <w:tcPr>
            <w:tcW w:w="0" w:type="auto"/>
            <w:shd w:val="clear" w:color="auto" w:fill="FFFFFF"/>
            <w:noWrap/>
            <w:vAlign w:val="bottom"/>
            <w:hideMark/>
          </w:tcPr>
          <w:p w14:paraId="19C797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2DE3836" w14:textId="77777777" w:rsidTr="004B2A77">
        <w:trPr>
          <w:trHeight w:val="180"/>
          <w:tblCellSpacing w:w="15" w:type="dxa"/>
        </w:trPr>
        <w:tc>
          <w:tcPr>
            <w:tcW w:w="0" w:type="auto"/>
            <w:shd w:val="clear" w:color="auto" w:fill="CFF0FC"/>
            <w:hideMark/>
          </w:tcPr>
          <w:p w14:paraId="3DC29262"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 assumption changes</w:t>
            </w:r>
          </w:p>
        </w:tc>
        <w:tc>
          <w:tcPr>
            <w:tcW w:w="0" w:type="auto"/>
            <w:shd w:val="clear" w:color="auto" w:fill="CFF0FC"/>
            <w:vAlign w:val="bottom"/>
            <w:hideMark/>
          </w:tcPr>
          <w:p w14:paraId="6C769D6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D8176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ACC12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2079EF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0EB72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3A483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950EA3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703549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75DC5F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3809C6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7FDD99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w:t>
            </w:r>
          </w:p>
        </w:tc>
        <w:tc>
          <w:tcPr>
            <w:tcW w:w="0" w:type="auto"/>
            <w:shd w:val="clear" w:color="auto" w:fill="CFF0FC"/>
            <w:noWrap/>
            <w:vAlign w:val="bottom"/>
            <w:hideMark/>
          </w:tcPr>
          <w:p w14:paraId="50904C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ADCF0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8FB03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0C21D5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61EB81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8F98564" w14:textId="77777777" w:rsidTr="004B2A77">
        <w:trPr>
          <w:trHeight w:val="180"/>
          <w:tblCellSpacing w:w="15" w:type="dxa"/>
        </w:trPr>
        <w:tc>
          <w:tcPr>
            <w:tcW w:w="0" w:type="auto"/>
            <w:shd w:val="clear" w:color="auto" w:fill="FFFFFF"/>
            <w:hideMark/>
          </w:tcPr>
          <w:p w14:paraId="421F3A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Benefits paid</w:t>
            </w:r>
          </w:p>
        </w:tc>
        <w:tc>
          <w:tcPr>
            <w:tcW w:w="0" w:type="auto"/>
            <w:shd w:val="clear" w:color="auto" w:fill="FFFFFF"/>
            <w:vAlign w:val="bottom"/>
            <w:hideMark/>
          </w:tcPr>
          <w:p w14:paraId="431B98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4BC1E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E25AF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79C79E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A1965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B6166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29F1D1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4D2C22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1380B3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E14243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5BD170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w:t>
            </w:r>
          </w:p>
        </w:tc>
        <w:tc>
          <w:tcPr>
            <w:tcW w:w="0" w:type="auto"/>
            <w:shd w:val="clear" w:color="auto" w:fill="FFFFFF"/>
            <w:noWrap/>
            <w:vAlign w:val="bottom"/>
            <w:hideMark/>
          </w:tcPr>
          <w:p w14:paraId="722986B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E2106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408D9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96BDF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FFFFFF"/>
            <w:noWrap/>
            <w:vAlign w:val="bottom"/>
            <w:hideMark/>
          </w:tcPr>
          <w:p w14:paraId="5C01B7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703D80A1" w14:textId="77777777" w:rsidTr="004B2A77">
        <w:trPr>
          <w:trHeight w:val="180"/>
          <w:tblCellSpacing w:w="15" w:type="dxa"/>
        </w:trPr>
        <w:tc>
          <w:tcPr>
            <w:tcW w:w="0" w:type="auto"/>
            <w:shd w:val="clear" w:color="auto" w:fill="CFF0FC"/>
            <w:hideMark/>
          </w:tcPr>
          <w:p w14:paraId="277F310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Plan settlements/curtailments</w:t>
            </w:r>
          </w:p>
        </w:tc>
        <w:tc>
          <w:tcPr>
            <w:tcW w:w="0" w:type="auto"/>
            <w:shd w:val="clear" w:color="auto" w:fill="CFF0FC"/>
            <w:vAlign w:val="bottom"/>
            <w:hideMark/>
          </w:tcPr>
          <w:p w14:paraId="5589DD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4F8A6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20CF23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(66</w:t>
            </w:r>
          </w:p>
        </w:tc>
        <w:tc>
          <w:tcPr>
            <w:tcW w:w="0" w:type="auto"/>
            <w:shd w:val="clear" w:color="auto" w:fill="CFF0FC"/>
            <w:noWrap/>
            <w:vAlign w:val="bottom"/>
            <w:hideMark/>
          </w:tcPr>
          <w:p w14:paraId="75B4A2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DCB4B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B1DBF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F531C8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(48</w:t>
            </w:r>
          </w:p>
        </w:tc>
        <w:tc>
          <w:tcPr>
            <w:tcW w:w="0" w:type="auto"/>
            <w:shd w:val="clear" w:color="auto" w:fill="CFF0FC"/>
            <w:noWrap/>
            <w:vAlign w:val="bottom"/>
            <w:hideMark/>
          </w:tcPr>
          <w:p w14:paraId="627AE6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FD752D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290DF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CFF8C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0788B6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2D4DB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AF195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106C0A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7B1859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78B370A0" w14:textId="77777777" w:rsidTr="004B2A77">
        <w:trPr>
          <w:trHeight w:val="180"/>
          <w:tblCellSpacing w:w="15" w:type="dxa"/>
        </w:trPr>
        <w:tc>
          <w:tcPr>
            <w:tcW w:w="0" w:type="auto"/>
            <w:shd w:val="clear" w:color="auto" w:fill="FFFFFF"/>
            <w:hideMark/>
          </w:tcPr>
          <w:p w14:paraId="027C8F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Plan amendments</w:t>
            </w:r>
          </w:p>
        </w:tc>
        <w:tc>
          <w:tcPr>
            <w:tcW w:w="0" w:type="auto"/>
            <w:shd w:val="clear" w:color="auto" w:fill="FFFFFF"/>
            <w:vAlign w:val="bottom"/>
            <w:hideMark/>
          </w:tcPr>
          <w:p w14:paraId="7F8CD6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9067A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88ED89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4B1782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FEBCA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3C2A6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D83C8B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13B84B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02AF11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A701D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A2F6EA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78B40F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EB7E2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F88AD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985608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2CD4BF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8CE819C" w14:textId="77777777" w:rsidTr="004B2A77">
        <w:trPr>
          <w:trHeight w:val="180"/>
          <w:tblCellSpacing w:w="15" w:type="dxa"/>
        </w:trPr>
        <w:tc>
          <w:tcPr>
            <w:tcW w:w="0" w:type="auto"/>
            <w:shd w:val="clear" w:color="auto" w:fill="CFF0FC"/>
            <w:hideMark/>
          </w:tcPr>
          <w:p w14:paraId="16F4AE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w:t>
            </w:r>
          </w:p>
        </w:tc>
        <w:tc>
          <w:tcPr>
            <w:tcW w:w="0" w:type="auto"/>
            <w:shd w:val="clear" w:color="auto" w:fill="CFF0FC"/>
            <w:vAlign w:val="bottom"/>
            <w:hideMark/>
          </w:tcPr>
          <w:p w14:paraId="43E3A28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EDDFE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56B654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419F3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2A3DA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30336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D5359D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1AA4C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D34320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66F8C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05FD5B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779572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B57FB6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954ED4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2043A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12CFCB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B115AF4" w14:textId="77777777" w:rsidTr="004B2A77">
        <w:trPr>
          <w:trHeight w:val="180"/>
          <w:tblCellSpacing w:w="15" w:type="dxa"/>
        </w:trPr>
        <w:tc>
          <w:tcPr>
            <w:tcW w:w="0" w:type="auto"/>
            <w:shd w:val="clear" w:color="auto" w:fill="FFFFFF"/>
            <w:hideMark/>
          </w:tcPr>
          <w:p w14:paraId="354F20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FFFFFF"/>
            <w:vAlign w:val="bottom"/>
            <w:hideMark/>
          </w:tcPr>
          <w:p w14:paraId="37AFFD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5AED7F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4F9F82B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356636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D3D9B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F792B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67E44D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4524DF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8EC15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99C97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772A21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w:t>
            </w:r>
          </w:p>
        </w:tc>
        <w:tc>
          <w:tcPr>
            <w:tcW w:w="0" w:type="auto"/>
            <w:shd w:val="clear" w:color="auto" w:fill="FFFFFF"/>
            <w:noWrap/>
            <w:vAlign w:val="bottom"/>
            <w:hideMark/>
          </w:tcPr>
          <w:p w14:paraId="03C1C7B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C1887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40320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6F9E9A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(16</w:t>
            </w:r>
          </w:p>
        </w:tc>
        <w:tc>
          <w:tcPr>
            <w:tcW w:w="0" w:type="auto"/>
            <w:shd w:val="clear" w:color="auto" w:fill="FFFFFF"/>
            <w:noWrap/>
            <w:vAlign w:val="bottom"/>
            <w:hideMark/>
          </w:tcPr>
          <w:p w14:paraId="4C84BB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2B451D93" w14:textId="77777777" w:rsidTr="004B2A77">
        <w:trPr>
          <w:trHeight w:val="180"/>
          <w:tblCellSpacing w:w="15" w:type="dxa"/>
        </w:trPr>
        <w:tc>
          <w:tcPr>
            <w:tcW w:w="0" w:type="auto"/>
            <w:shd w:val="clear" w:color="auto" w:fill="CFF0FC"/>
            <w:hideMark/>
          </w:tcPr>
          <w:p w14:paraId="03DAF3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Benefit obligation at end of year</w:t>
            </w:r>
          </w:p>
        </w:tc>
        <w:tc>
          <w:tcPr>
            <w:tcW w:w="0" w:type="auto"/>
            <w:shd w:val="clear" w:color="auto" w:fill="CFF0FC"/>
            <w:vAlign w:val="bottom"/>
            <w:hideMark/>
          </w:tcPr>
          <w:p w14:paraId="01AAD3E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18EFA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353CA1E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227</w:t>
            </w:r>
          </w:p>
        </w:tc>
        <w:tc>
          <w:tcPr>
            <w:tcW w:w="0" w:type="auto"/>
            <w:shd w:val="clear" w:color="auto" w:fill="CFF0FC"/>
            <w:noWrap/>
            <w:vAlign w:val="bottom"/>
            <w:hideMark/>
          </w:tcPr>
          <w:p w14:paraId="721AE8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D4597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1E1A74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08DB1C4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381</w:t>
            </w:r>
          </w:p>
        </w:tc>
        <w:tc>
          <w:tcPr>
            <w:tcW w:w="0" w:type="auto"/>
            <w:shd w:val="clear" w:color="auto" w:fill="CFF0FC"/>
            <w:noWrap/>
            <w:vAlign w:val="bottom"/>
            <w:hideMark/>
          </w:tcPr>
          <w:p w14:paraId="58D855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E62CE1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F89E5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82ED92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192</w:t>
            </w:r>
          </w:p>
        </w:tc>
        <w:tc>
          <w:tcPr>
            <w:tcW w:w="0" w:type="auto"/>
            <w:shd w:val="clear" w:color="auto" w:fill="CFF0FC"/>
            <w:noWrap/>
            <w:vAlign w:val="bottom"/>
            <w:hideMark/>
          </w:tcPr>
          <w:p w14:paraId="184D4B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84E30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AA65C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B3ABD0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260</w:t>
            </w:r>
          </w:p>
        </w:tc>
        <w:tc>
          <w:tcPr>
            <w:tcW w:w="0" w:type="auto"/>
            <w:shd w:val="clear" w:color="auto" w:fill="CFF0FC"/>
            <w:noWrap/>
            <w:vAlign w:val="bottom"/>
            <w:hideMark/>
          </w:tcPr>
          <w:p w14:paraId="1772D43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A8A4F6F" w14:textId="77777777" w:rsidTr="004B2A77">
        <w:trPr>
          <w:tblCellSpacing w:w="15" w:type="dxa"/>
        </w:trPr>
        <w:tc>
          <w:tcPr>
            <w:tcW w:w="0" w:type="auto"/>
            <w:shd w:val="clear" w:color="auto" w:fill="FFFFFF"/>
            <w:hideMark/>
          </w:tcPr>
          <w:p w14:paraId="158C5C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4B556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7BC9903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EAE887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8B6FC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6F07530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70934D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73E164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73E924F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23AFD2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C0EA5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18F59B0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14977E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7EFF16E" w14:textId="77777777" w:rsidTr="004B2A77">
        <w:trPr>
          <w:trHeight w:val="180"/>
          <w:tblCellSpacing w:w="15" w:type="dxa"/>
        </w:trPr>
        <w:tc>
          <w:tcPr>
            <w:tcW w:w="0" w:type="auto"/>
            <w:shd w:val="clear" w:color="auto" w:fill="CFF0FC"/>
            <w:hideMark/>
          </w:tcPr>
          <w:p w14:paraId="47161F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Fair value of plan assets at beginning of year</w:t>
            </w:r>
          </w:p>
        </w:tc>
        <w:tc>
          <w:tcPr>
            <w:tcW w:w="0" w:type="auto"/>
            <w:shd w:val="clear" w:color="auto" w:fill="CFF0FC"/>
            <w:vAlign w:val="bottom"/>
            <w:hideMark/>
          </w:tcPr>
          <w:p w14:paraId="36CC0A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CBE61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3EAA6D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343</w:t>
            </w:r>
          </w:p>
        </w:tc>
        <w:tc>
          <w:tcPr>
            <w:tcW w:w="0" w:type="auto"/>
            <w:shd w:val="clear" w:color="auto" w:fill="CFF0FC"/>
            <w:noWrap/>
            <w:vAlign w:val="bottom"/>
            <w:hideMark/>
          </w:tcPr>
          <w:p w14:paraId="2B3D67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DCAA0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16F23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FB2DBC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355</w:t>
            </w:r>
          </w:p>
        </w:tc>
        <w:tc>
          <w:tcPr>
            <w:tcW w:w="0" w:type="auto"/>
            <w:shd w:val="clear" w:color="auto" w:fill="CFF0FC"/>
            <w:noWrap/>
            <w:vAlign w:val="bottom"/>
            <w:hideMark/>
          </w:tcPr>
          <w:p w14:paraId="3BA5D3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3AA2C4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271F1B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3853DE3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101</w:t>
            </w:r>
          </w:p>
        </w:tc>
        <w:tc>
          <w:tcPr>
            <w:tcW w:w="0" w:type="auto"/>
            <w:shd w:val="clear" w:color="auto" w:fill="CFF0FC"/>
            <w:noWrap/>
            <w:vAlign w:val="bottom"/>
            <w:hideMark/>
          </w:tcPr>
          <w:p w14:paraId="0480B5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CB60C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D4D5E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C2D7B0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103</w:t>
            </w:r>
          </w:p>
        </w:tc>
        <w:tc>
          <w:tcPr>
            <w:tcW w:w="0" w:type="auto"/>
            <w:shd w:val="clear" w:color="auto" w:fill="CFF0FC"/>
            <w:noWrap/>
            <w:vAlign w:val="bottom"/>
            <w:hideMark/>
          </w:tcPr>
          <w:p w14:paraId="27D4C0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C58757B" w14:textId="77777777" w:rsidTr="004B2A77">
        <w:trPr>
          <w:trHeight w:val="180"/>
          <w:tblCellSpacing w:w="15" w:type="dxa"/>
        </w:trPr>
        <w:tc>
          <w:tcPr>
            <w:tcW w:w="0" w:type="auto"/>
            <w:shd w:val="clear" w:color="auto" w:fill="FFFFFF"/>
            <w:hideMark/>
          </w:tcPr>
          <w:p w14:paraId="3B0DE1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Actual return on plan assets</w:t>
            </w:r>
          </w:p>
        </w:tc>
        <w:tc>
          <w:tcPr>
            <w:tcW w:w="0" w:type="auto"/>
            <w:shd w:val="clear" w:color="auto" w:fill="FFFFFF"/>
            <w:vAlign w:val="bottom"/>
            <w:hideMark/>
          </w:tcPr>
          <w:p w14:paraId="1E8646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059492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C573D5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(75</w:t>
            </w:r>
          </w:p>
        </w:tc>
        <w:tc>
          <w:tcPr>
            <w:tcW w:w="0" w:type="auto"/>
            <w:shd w:val="clear" w:color="auto" w:fill="FFFFFF"/>
            <w:noWrap/>
            <w:vAlign w:val="bottom"/>
            <w:hideMark/>
          </w:tcPr>
          <w:p w14:paraId="59D9485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FB7FB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041FB0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E47DBD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25</w:t>
            </w:r>
          </w:p>
        </w:tc>
        <w:tc>
          <w:tcPr>
            <w:tcW w:w="0" w:type="auto"/>
            <w:shd w:val="clear" w:color="auto" w:fill="FFFFFF"/>
            <w:noWrap/>
            <w:vAlign w:val="bottom"/>
            <w:hideMark/>
          </w:tcPr>
          <w:p w14:paraId="75C985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F1704C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11F9A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484F62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w:t>
            </w:r>
          </w:p>
        </w:tc>
        <w:tc>
          <w:tcPr>
            <w:tcW w:w="0" w:type="auto"/>
            <w:shd w:val="clear" w:color="auto" w:fill="FFFFFF"/>
            <w:noWrap/>
            <w:vAlign w:val="bottom"/>
            <w:hideMark/>
          </w:tcPr>
          <w:p w14:paraId="2BE56A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B3298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F101E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8782F2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25B498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0A43E8B" w14:textId="77777777" w:rsidTr="004B2A77">
        <w:trPr>
          <w:trHeight w:val="180"/>
          <w:tblCellSpacing w:w="15" w:type="dxa"/>
        </w:trPr>
        <w:tc>
          <w:tcPr>
            <w:tcW w:w="0" w:type="auto"/>
            <w:shd w:val="clear" w:color="auto" w:fill="CFF0FC"/>
            <w:hideMark/>
          </w:tcPr>
          <w:p w14:paraId="089FAF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lastRenderedPageBreak/>
              <w:t>Company contributions</w:t>
            </w:r>
          </w:p>
        </w:tc>
        <w:tc>
          <w:tcPr>
            <w:tcW w:w="0" w:type="auto"/>
            <w:shd w:val="clear" w:color="auto" w:fill="CFF0FC"/>
            <w:vAlign w:val="bottom"/>
            <w:hideMark/>
          </w:tcPr>
          <w:p w14:paraId="711A98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453C3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C71D4B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CFF0FC"/>
            <w:noWrap/>
            <w:vAlign w:val="bottom"/>
            <w:hideMark/>
          </w:tcPr>
          <w:p w14:paraId="75FADA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39F64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4DFB0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490B56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w:t>
            </w:r>
          </w:p>
        </w:tc>
        <w:tc>
          <w:tcPr>
            <w:tcW w:w="0" w:type="auto"/>
            <w:shd w:val="clear" w:color="auto" w:fill="CFF0FC"/>
            <w:noWrap/>
            <w:vAlign w:val="bottom"/>
            <w:hideMark/>
          </w:tcPr>
          <w:p w14:paraId="0E8BDC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6A4660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BEAAA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4AD240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w:t>
            </w:r>
          </w:p>
        </w:tc>
        <w:tc>
          <w:tcPr>
            <w:tcW w:w="0" w:type="auto"/>
            <w:shd w:val="clear" w:color="auto" w:fill="CFF0FC"/>
            <w:noWrap/>
            <w:vAlign w:val="bottom"/>
            <w:hideMark/>
          </w:tcPr>
          <w:p w14:paraId="414B6A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5538A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100CB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7C0B6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CFF0FC"/>
            <w:noWrap/>
            <w:vAlign w:val="bottom"/>
            <w:hideMark/>
          </w:tcPr>
          <w:p w14:paraId="1FCEEE9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5BC2840" w14:textId="77777777" w:rsidTr="004B2A77">
        <w:trPr>
          <w:trHeight w:val="180"/>
          <w:tblCellSpacing w:w="15" w:type="dxa"/>
        </w:trPr>
        <w:tc>
          <w:tcPr>
            <w:tcW w:w="0" w:type="auto"/>
            <w:shd w:val="clear" w:color="auto" w:fill="FFFFFF"/>
            <w:hideMark/>
          </w:tcPr>
          <w:p w14:paraId="180047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Benefits paid</w:t>
            </w:r>
          </w:p>
        </w:tc>
        <w:tc>
          <w:tcPr>
            <w:tcW w:w="0" w:type="auto"/>
            <w:shd w:val="clear" w:color="auto" w:fill="FFFFFF"/>
            <w:vAlign w:val="bottom"/>
            <w:hideMark/>
          </w:tcPr>
          <w:p w14:paraId="5DD5B7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ADB81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20D866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5BEA0D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D1DC9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AD597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F31150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090018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3C0EB4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B0F42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36FB50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w:t>
            </w:r>
          </w:p>
        </w:tc>
        <w:tc>
          <w:tcPr>
            <w:tcW w:w="0" w:type="auto"/>
            <w:shd w:val="clear" w:color="auto" w:fill="FFFFFF"/>
            <w:noWrap/>
            <w:vAlign w:val="bottom"/>
            <w:hideMark/>
          </w:tcPr>
          <w:p w14:paraId="3F80AFC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46E41DC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857A6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59E273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FFFFFF"/>
            <w:noWrap/>
            <w:vAlign w:val="bottom"/>
            <w:hideMark/>
          </w:tcPr>
          <w:p w14:paraId="6F539D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37DD845" w14:textId="77777777" w:rsidTr="004B2A77">
        <w:trPr>
          <w:trHeight w:val="180"/>
          <w:tblCellSpacing w:w="15" w:type="dxa"/>
        </w:trPr>
        <w:tc>
          <w:tcPr>
            <w:tcW w:w="0" w:type="auto"/>
            <w:shd w:val="clear" w:color="auto" w:fill="CFF0FC"/>
            <w:hideMark/>
          </w:tcPr>
          <w:p w14:paraId="4E6112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Plan settlements</w:t>
            </w:r>
          </w:p>
        </w:tc>
        <w:tc>
          <w:tcPr>
            <w:tcW w:w="0" w:type="auto"/>
            <w:shd w:val="clear" w:color="auto" w:fill="CFF0FC"/>
            <w:vAlign w:val="bottom"/>
            <w:hideMark/>
          </w:tcPr>
          <w:p w14:paraId="7D068D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F74F6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510BF3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(66</w:t>
            </w:r>
          </w:p>
        </w:tc>
        <w:tc>
          <w:tcPr>
            <w:tcW w:w="0" w:type="auto"/>
            <w:shd w:val="clear" w:color="auto" w:fill="CFF0FC"/>
            <w:noWrap/>
            <w:vAlign w:val="bottom"/>
            <w:hideMark/>
          </w:tcPr>
          <w:p w14:paraId="2E84A7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219CE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3228C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F786A8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(48</w:t>
            </w:r>
          </w:p>
        </w:tc>
        <w:tc>
          <w:tcPr>
            <w:tcW w:w="0" w:type="auto"/>
            <w:shd w:val="clear" w:color="auto" w:fill="CFF0FC"/>
            <w:noWrap/>
            <w:vAlign w:val="bottom"/>
            <w:hideMark/>
          </w:tcPr>
          <w:p w14:paraId="499C7A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303A5B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DF9E2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7A0EB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539282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699DF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8307B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7001AF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2A16B0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6C9314BE" w14:textId="77777777" w:rsidTr="004B2A77">
        <w:trPr>
          <w:trHeight w:val="180"/>
          <w:tblCellSpacing w:w="15" w:type="dxa"/>
        </w:trPr>
        <w:tc>
          <w:tcPr>
            <w:tcW w:w="0" w:type="auto"/>
            <w:shd w:val="clear" w:color="auto" w:fill="FFFFFF"/>
            <w:hideMark/>
          </w:tcPr>
          <w:p w14:paraId="4DDEAA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FFFFFF"/>
            <w:vAlign w:val="bottom"/>
            <w:hideMark/>
          </w:tcPr>
          <w:p w14:paraId="7244BA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1C5F6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28EFCC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3284E5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F68B6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F334A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4DBC29A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469763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8D7ECE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EA7C9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5DC032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FFFFFF"/>
            <w:noWrap/>
            <w:vAlign w:val="bottom"/>
            <w:hideMark/>
          </w:tcPr>
          <w:p w14:paraId="3472CF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399FD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5AC780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4846FB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57BF9A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6CBB27D6" w14:textId="77777777" w:rsidTr="004B2A77">
        <w:trPr>
          <w:trHeight w:val="180"/>
          <w:tblCellSpacing w:w="15" w:type="dxa"/>
        </w:trPr>
        <w:tc>
          <w:tcPr>
            <w:tcW w:w="0" w:type="auto"/>
            <w:shd w:val="clear" w:color="auto" w:fill="CFF0FC"/>
            <w:hideMark/>
          </w:tcPr>
          <w:p w14:paraId="618FA71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Fair value of plan assets at end of year</w:t>
            </w:r>
          </w:p>
        </w:tc>
        <w:tc>
          <w:tcPr>
            <w:tcW w:w="0" w:type="auto"/>
            <w:shd w:val="clear" w:color="auto" w:fill="CFF0FC"/>
            <w:vAlign w:val="bottom"/>
            <w:hideMark/>
          </w:tcPr>
          <w:p w14:paraId="5F0B31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B85EBA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6BAED1E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201</w:t>
            </w:r>
          </w:p>
        </w:tc>
        <w:tc>
          <w:tcPr>
            <w:tcW w:w="0" w:type="auto"/>
            <w:shd w:val="clear" w:color="auto" w:fill="CFF0FC"/>
            <w:noWrap/>
            <w:vAlign w:val="bottom"/>
            <w:hideMark/>
          </w:tcPr>
          <w:p w14:paraId="2CB7F3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7F9A24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ED435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1E0F54D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343</w:t>
            </w:r>
          </w:p>
        </w:tc>
        <w:tc>
          <w:tcPr>
            <w:tcW w:w="0" w:type="auto"/>
            <w:shd w:val="clear" w:color="auto" w:fill="CFF0FC"/>
            <w:noWrap/>
            <w:vAlign w:val="bottom"/>
            <w:hideMark/>
          </w:tcPr>
          <w:p w14:paraId="4D36E7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E5D89C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57A64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737A662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63</w:t>
            </w:r>
          </w:p>
        </w:tc>
        <w:tc>
          <w:tcPr>
            <w:tcW w:w="0" w:type="auto"/>
            <w:shd w:val="clear" w:color="auto" w:fill="CFF0FC"/>
            <w:noWrap/>
            <w:vAlign w:val="bottom"/>
            <w:hideMark/>
          </w:tcPr>
          <w:p w14:paraId="39AD402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83FB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5044FED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01F17B9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101</w:t>
            </w:r>
          </w:p>
        </w:tc>
        <w:tc>
          <w:tcPr>
            <w:tcW w:w="0" w:type="auto"/>
            <w:shd w:val="clear" w:color="auto" w:fill="CFF0FC"/>
            <w:noWrap/>
            <w:vAlign w:val="bottom"/>
            <w:hideMark/>
          </w:tcPr>
          <w:p w14:paraId="281FF3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B49FA4E" w14:textId="77777777" w:rsidTr="004B2A77">
        <w:trPr>
          <w:trHeight w:val="180"/>
          <w:tblCellSpacing w:w="15" w:type="dxa"/>
        </w:trPr>
        <w:tc>
          <w:tcPr>
            <w:tcW w:w="0" w:type="auto"/>
            <w:shd w:val="clear" w:color="auto" w:fill="FFFFFF"/>
            <w:hideMark/>
          </w:tcPr>
          <w:p w14:paraId="62F43AD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Pension liability recognized in the balance sheet</w:t>
            </w:r>
          </w:p>
        </w:tc>
        <w:tc>
          <w:tcPr>
            <w:tcW w:w="0" w:type="auto"/>
            <w:shd w:val="clear" w:color="auto" w:fill="FFFFFF"/>
            <w:vAlign w:val="bottom"/>
            <w:hideMark/>
          </w:tcPr>
          <w:p w14:paraId="4E8265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B745B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39F3208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26</w:t>
            </w:r>
          </w:p>
        </w:tc>
        <w:tc>
          <w:tcPr>
            <w:tcW w:w="0" w:type="auto"/>
            <w:shd w:val="clear" w:color="auto" w:fill="FFFFFF"/>
            <w:noWrap/>
            <w:vAlign w:val="bottom"/>
            <w:hideMark/>
          </w:tcPr>
          <w:p w14:paraId="3F3430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02A7E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95344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5A7201C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38</w:t>
            </w:r>
          </w:p>
        </w:tc>
        <w:tc>
          <w:tcPr>
            <w:tcW w:w="0" w:type="auto"/>
            <w:shd w:val="clear" w:color="auto" w:fill="FFFFFF"/>
            <w:noWrap/>
            <w:vAlign w:val="bottom"/>
            <w:hideMark/>
          </w:tcPr>
          <w:p w14:paraId="62BAAA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E2E923C"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BACD08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3FC9996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128</w:t>
            </w:r>
          </w:p>
        </w:tc>
        <w:tc>
          <w:tcPr>
            <w:tcW w:w="0" w:type="auto"/>
            <w:shd w:val="clear" w:color="auto" w:fill="FFFFFF"/>
            <w:noWrap/>
            <w:vAlign w:val="bottom"/>
            <w:hideMark/>
          </w:tcPr>
          <w:p w14:paraId="340DBD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E368D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DE149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26D2F63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159</w:t>
            </w:r>
          </w:p>
        </w:tc>
        <w:tc>
          <w:tcPr>
            <w:tcW w:w="0" w:type="auto"/>
            <w:shd w:val="clear" w:color="auto" w:fill="FFFFFF"/>
            <w:noWrap/>
            <w:vAlign w:val="bottom"/>
            <w:hideMark/>
          </w:tcPr>
          <w:p w14:paraId="063D5DF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60148A0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0F002CF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U.S. plan provides that benefits may be paid in the form of a lump sum if so elected by the participant. In order to more accurately reflect a market-derived pension obligation, Autoliv adjusts the assumed lump sum interest rate to reflect market conditions as of each December 31. This methodology is consistent with the approach required under the Pension Protection Act of 2006, which provides the rules for determining minimum funding requirements in the U.S.</w:t>
      </w:r>
    </w:p>
    <w:p w14:paraId="14C92A2A"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84</w:t>
      </w:r>
    </w:p>
    <w:p w14:paraId="04635677" w14:textId="77777777" w:rsidR="004B2A77" w:rsidRPr="004B2A77" w:rsidRDefault="004B2A77" w:rsidP="004B2A77">
      <w:pPr>
        <w:widowControl/>
        <w:jc w:val="left"/>
        <w:rPr>
          <w:rFonts w:ascii="Arial" w:eastAsia="宋体" w:hAnsi="Arial" w:cs="Arial"/>
          <w:color w:val="000000"/>
          <w:kern w:val="0"/>
          <w:sz w:val="24"/>
          <w:szCs w:val="24"/>
        </w:rPr>
      </w:pPr>
      <w:r w:rsidRPr="004B2A77">
        <w:rPr>
          <w:rFonts w:ascii="Arial" w:eastAsia="宋体" w:hAnsi="Arial" w:cs="Arial"/>
          <w:color w:val="000000"/>
          <w:kern w:val="0"/>
          <w:sz w:val="24"/>
          <w:szCs w:val="24"/>
        </w:rPr>
        <w:pict w14:anchorId="6F3E88AA">
          <v:rect id="_x0000_i1111" style="width:0;height:1.5pt" o:hralign="center" o:hrstd="t" o:hr="t" fillcolor="#a0a0a0" stroked="f"/>
        </w:pict>
      </w:r>
    </w:p>
    <w:p w14:paraId="71F8D87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29520C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COMPONENTS OF NET PERIODIC BENEFIT COST ASSOCIATED WITH THE DEFINED BENEFIT RETIREMENT PLANS FOR THE YEARS ENDED DECEMBER 31</w:t>
      </w:r>
    </w:p>
    <w:p w14:paraId="5E173A2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181"/>
        <w:gridCol w:w="253"/>
        <w:gridCol w:w="190"/>
        <w:gridCol w:w="1794"/>
        <w:gridCol w:w="190"/>
        <w:gridCol w:w="252"/>
        <w:gridCol w:w="190"/>
        <w:gridCol w:w="1794"/>
        <w:gridCol w:w="190"/>
        <w:gridCol w:w="252"/>
        <w:gridCol w:w="190"/>
        <w:gridCol w:w="1809"/>
        <w:gridCol w:w="206"/>
      </w:tblGrid>
      <w:tr w:rsidR="004B2A77" w:rsidRPr="004B2A77" w14:paraId="1DBD06FF" w14:textId="77777777" w:rsidTr="004B2A77">
        <w:trPr>
          <w:tblCellSpacing w:w="15" w:type="dxa"/>
        </w:trPr>
        <w:tc>
          <w:tcPr>
            <w:tcW w:w="9154" w:type="dxa"/>
            <w:vAlign w:val="center"/>
            <w:hideMark/>
          </w:tcPr>
          <w:p w14:paraId="3C1EA523"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4" w:type="dxa"/>
            <w:vAlign w:val="center"/>
            <w:hideMark/>
          </w:tcPr>
          <w:p w14:paraId="7EB207A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EDD817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7" w:type="dxa"/>
            <w:vAlign w:val="center"/>
            <w:hideMark/>
          </w:tcPr>
          <w:p w14:paraId="62BD8C2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CB766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2" w:type="dxa"/>
            <w:vAlign w:val="center"/>
            <w:hideMark/>
          </w:tcPr>
          <w:p w14:paraId="42D79F4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506DD0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7" w:type="dxa"/>
            <w:vAlign w:val="center"/>
            <w:hideMark/>
          </w:tcPr>
          <w:p w14:paraId="53596A9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85C27E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2" w:type="dxa"/>
            <w:vAlign w:val="center"/>
            <w:hideMark/>
          </w:tcPr>
          <w:p w14:paraId="7272E5E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CEC040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2" w:type="dxa"/>
            <w:vAlign w:val="center"/>
            <w:hideMark/>
          </w:tcPr>
          <w:p w14:paraId="456434D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304D3A29"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3D1D2FB" w14:textId="77777777" w:rsidTr="004B2A77">
        <w:trPr>
          <w:trHeight w:val="160"/>
          <w:tblCellSpacing w:w="15" w:type="dxa"/>
        </w:trPr>
        <w:tc>
          <w:tcPr>
            <w:tcW w:w="0" w:type="auto"/>
            <w:shd w:val="clear" w:color="auto" w:fill="FFFFFF"/>
            <w:vAlign w:val="bottom"/>
            <w:hideMark/>
          </w:tcPr>
          <w:p w14:paraId="77C21EC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D23B6B2"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10"/>
            <w:tcBorders>
              <w:bottom w:val="single" w:sz="4" w:space="0" w:color="000000"/>
            </w:tcBorders>
            <w:shd w:val="clear" w:color="auto" w:fill="FFFFFF"/>
            <w:vAlign w:val="bottom"/>
            <w:hideMark/>
          </w:tcPr>
          <w:p w14:paraId="0E24B4F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31401E2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58A4621C" w14:textId="77777777" w:rsidTr="004B2A77">
        <w:trPr>
          <w:trHeight w:val="160"/>
          <w:tblCellSpacing w:w="15" w:type="dxa"/>
        </w:trPr>
        <w:tc>
          <w:tcPr>
            <w:tcW w:w="0" w:type="auto"/>
            <w:shd w:val="clear" w:color="auto" w:fill="FFFFFF"/>
            <w:vAlign w:val="bottom"/>
            <w:hideMark/>
          </w:tcPr>
          <w:p w14:paraId="2397909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0893E86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D47533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4504DB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7C2D63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8A13A0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6C3ADE0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965809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60257F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12F4E93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3B361BFA" w14:textId="77777777" w:rsidTr="004B2A77">
        <w:trPr>
          <w:trHeight w:val="180"/>
          <w:tblCellSpacing w:w="15" w:type="dxa"/>
        </w:trPr>
        <w:tc>
          <w:tcPr>
            <w:tcW w:w="0" w:type="auto"/>
            <w:shd w:val="clear" w:color="auto" w:fill="CFF0FC"/>
            <w:hideMark/>
          </w:tcPr>
          <w:p w14:paraId="3554B8A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Service cost</w:t>
            </w:r>
          </w:p>
        </w:tc>
        <w:tc>
          <w:tcPr>
            <w:tcW w:w="0" w:type="auto"/>
            <w:shd w:val="clear" w:color="auto" w:fill="CFF0FC"/>
            <w:vAlign w:val="bottom"/>
            <w:hideMark/>
          </w:tcPr>
          <w:p w14:paraId="0E3D52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1951B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039D42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358C87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B24ED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2B795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7DBEA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CFF0FC"/>
            <w:noWrap/>
            <w:vAlign w:val="bottom"/>
            <w:hideMark/>
          </w:tcPr>
          <w:p w14:paraId="2AC5F7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7BCF9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7B4E64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1F3DDF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CFF0FC"/>
            <w:noWrap/>
            <w:vAlign w:val="bottom"/>
            <w:hideMark/>
          </w:tcPr>
          <w:p w14:paraId="3396CCA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762FE66" w14:textId="77777777" w:rsidTr="004B2A77">
        <w:trPr>
          <w:trHeight w:val="180"/>
          <w:tblCellSpacing w:w="15" w:type="dxa"/>
        </w:trPr>
        <w:tc>
          <w:tcPr>
            <w:tcW w:w="0" w:type="auto"/>
            <w:shd w:val="clear" w:color="auto" w:fill="FFFFFF"/>
            <w:hideMark/>
          </w:tcPr>
          <w:p w14:paraId="25DC229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Interest cost</w:t>
            </w:r>
          </w:p>
        </w:tc>
        <w:tc>
          <w:tcPr>
            <w:tcW w:w="0" w:type="auto"/>
            <w:shd w:val="clear" w:color="auto" w:fill="FFFFFF"/>
            <w:vAlign w:val="bottom"/>
            <w:hideMark/>
          </w:tcPr>
          <w:p w14:paraId="092783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BDA4F4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2119D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FFFFFF"/>
            <w:noWrap/>
            <w:vAlign w:val="bottom"/>
            <w:hideMark/>
          </w:tcPr>
          <w:p w14:paraId="3DE7F6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6D791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701B5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7A7454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FFFFFF"/>
            <w:noWrap/>
            <w:vAlign w:val="bottom"/>
            <w:hideMark/>
          </w:tcPr>
          <w:p w14:paraId="271947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E548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A2441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ED852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FFFFFF"/>
            <w:noWrap/>
            <w:vAlign w:val="bottom"/>
            <w:hideMark/>
          </w:tcPr>
          <w:p w14:paraId="3219EB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8960F6A" w14:textId="77777777" w:rsidTr="004B2A77">
        <w:trPr>
          <w:trHeight w:val="180"/>
          <w:tblCellSpacing w:w="15" w:type="dxa"/>
        </w:trPr>
        <w:tc>
          <w:tcPr>
            <w:tcW w:w="0" w:type="auto"/>
            <w:shd w:val="clear" w:color="auto" w:fill="CFF0FC"/>
            <w:hideMark/>
          </w:tcPr>
          <w:p w14:paraId="1BC644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Expected return on plan assets</w:t>
            </w:r>
          </w:p>
        </w:tc>
        <w:tc>
          <w:tcPr>
            <w:tcW w:w="0" w:type="auto"/>
            <w:shd w:val="clear" w:color="auto" w:fill="CFF0FC"/>
            <w:vAlign w:val="bottom"/>
            <w:hideMark/>
          </w:tcPr>
          <w:p w14:paraId="202F8A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ADBE1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0615C8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w:t>
            </w:r>
          </w:p>
        </w:tc>
        <w:tc>
          <w:tcPr>
            <w:tcW w:w="0" w:type="auto"/>
            <w:shd w:val="clear" w:color="auto" w:fill="CFF0FC"/>
            <w:noWrap/>
            <w:vAlign w:val="bottom"/>
            <w:hideMark/>
          </w:tcPr>
          <w:p w14:paraId="722702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D96E9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199CAD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407A9D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w:t>
            </w:r>
          </w:p>
        </w:tc>
        <w:tc>
          <w:tcPr>
            <w:tcW w:w="0" w:type="auto"/>
            <w:shd w:val="clear" w:color="auto" w:fill="CFF0FC"/>
            <w:noWrap/>
            <w:vAlign w:val="bottom"/>
            <w:hideMark/>
          </w:tcPr>
          <w:p w14:paraId="350A9F9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399B2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A6BDF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760C55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(16</w:t>
            </w:r>
          </w:p>
        </w:tc>
        <w:tc>
          <w:tcPr>
            <w:tcW w:w="0" w:type="auto"/>
            <w:shd w:val="clear" w:color="auto" w:fill="CFF0FC"/>
            <w:noWrap/>
            <w:vAlign w:val="bottom"/>
            <w:hideMark/>
          </w:tcPr>
          <w:p w14:paraId="667E5BD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E2D78E8" w14:textId="77777777" w:rsidTr="004B2A77">
        <w:trPr>
          <w:trHeight w:val="180"/>
          <w:tblCellSpacing w:w="15" w:type="dxa"/>
        </w:trPr>
        <w:tc>
          <w:tcPr>
            <w:tcW w:w="0" w:type="auto"/>
            <w:shd w:val="clear" w:color="auto" w:fill="FFFFFF"/>
            <w:hideMark/>
          </w:tcPr>
          <w:p w14:paraId="4FDA13D9"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Amortization of actuarial loss</w:t>
            </w:r>
          </w:p>
        </w:tc>
        <w:tc>
          <w:tcPr>
            <w:tcW w:w="0" w:type="auto"/>
            <w:shd w:val="clear" w:color="auto" w:fill="FFFFFF"/>
            <w:vAlign w:val="bottom"/>
            <w:hideMark/>
          </w:tcPr>
          <w:p w14:paraId="7C384A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68DA0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261B61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0992C4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E900F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7B01FA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ABB4EA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1EC5B9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266A8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76CF1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98A2E6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FFFFFF"/>
            <w:noWrap/>
            <w:vAlign w:val="bottom"/>
            <w:hideMark/>
          </w:tcPr>
          <w:p w14:paraId="1521D6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B208FEB" w14:textId="77777777" w:rsidTr="004B2A77">
        <w:trPr>
          <w:trHeight w:val="180"/>
          <w:tblCellSpacing w:w="15" w:type="dxa"/>
        </w:trPr>
        <w:tc>
          <w:tcPr>
            <w:tcW w:w="0" w:type="auto"/>
            <w:shd w:val="clear" w:color="auto" w:fill="CFF0FC"/>
            <w:hideMark/>
          </w:tcPr>
          <w:p w14:paraId="418448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Settlement loss</w:t>
            </w:r>
          </w:p>
        </w:tc>
        <w:tc>
          <w:tcPr>
            <w:tcW w:w="0" w:type="auto"/>
            <w:shd w:val="clear" w:color="auto" w:fill="CFF0FC"/>
            <w:vAlign w:val="bottom"/>
            <w:hideMark/>
          </w:tcPr>
          <w:p w14:paraId="0AE8D4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135ECF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CD184B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CFF0FC"/>
            <w:noWrap/>
            <w:vAlign w:val="bottom"/>
            <w:hideMark/>
          </w:tcPr>
          <w:p w14:paraId="7CDC71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009E7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06FF67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F3E40A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CFF0FC"/>
            <w:noWrap/>
            <w:vAlign w:val="bottom"/>
            <w:hideMark/>
          </w:tcPr>
          <w:p w14:paraId="6243E3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17A5C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E3754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BAF9DB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w:t>
            </w:r>
          </w:p>
        </w:tc>
        <w:tc>
          <w:tcPr>
            <w:tcW w:w="0" w:type="auto"/>
            <w:shd w:val="clear" w:color="auto" w:fill="CFF0FC"/>
            <w:noWrap/>
            <w:vAlign w:val="bottom"/>
            <w:hideMark/>
          </w:tcPr>
          <w:p w14:paraId="3B432C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D9B13E5" w14:textId="77777777" w:rsidTr="004B2A77">
        <w:trPr>
          <w:trHeight w:val="180"/>
          <w:tblCellSpacing w:w="15" w:type="dxa"/>
        </w:trPr>
        <w:tc>
          <w:tcPr>
            <w:tcW w:w="0" w:type="auto"/>
            <w:shd w:val="clear" w:color="auto" w:fill="FFFFFF"/>
            <w:hideMark/>
          </w:tcPr>
          <w:p w14:paraId="4B3DE6D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Net periodic benefit cost</w:t>
            </w:r>
          </w:p>
        </w:tc>
        <w:tc>
          <w:tcPr>
            <w:tcW w:w="0" w:type="auto"/>
            <w:shd w:val="clear" w:color="auto" w:fill="FFFFFF"/>
            <w:vAlign w:val="bottom"/>
            <w:hideMark/>
          </w:tcPr>
          <w:p w14:paraId="20CD8FF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91994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3554B12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w:t>
            </w:r>
          </w:p>
        </w:tc>
        <w:tc>
          <w:tcPr>
            <w:tcW w:w="0" w:type="auto"/>
            <w:shd w:val="clear" w:color="auto" w:fill="FFFFFF"/>
            <w:noWrap/>
            <w:vAlign w:val="bottom"/>
            <w:hideMark/>
          </w:tcPr>
          <w:p w14:paraId="0D1DB0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6FB0F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89514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7A5265F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w:t>
            </w:r>
          </w:p>
        </w:tc>
        <w:tc>
          <w:tcPr>
            <w:tcW w:w="0" w:type="auto"/>
            <w:shd w:val="clear" w:color="auto" w:fill="FFFFFF"/>
            <w:noWrap/>
            <w:vAlign w:val="bottom"/>
            <w:hideMark/>
          </w:tcPr>
          <w:p w14:paraId="461F19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2758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A84DC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4609F6A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13</w:t>
            </w:r>
          </w:p>
        </w:tc>
        <w:tc>
          <w:tcPr>
            <w:tcW w:w="0" w:type="auto"/>
            <w:shd w:val="clear" w:color="auto" w:fill="FFFFFF"/>
            <w:noWrap/>
            <w:vAlign w:val="bottom"/>
            <w:hideMark/>
          </w:tcPr>
          <w:p w14:paraId="07492E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6156F61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086"/>
        <w:gridCol w:w="268"/>
        <w:gridCol w:w="190"/>
        <w:gridCol w:w="1817"/>
        <w:gridCol w:w="190"/>
        <w:gridCol w:w="266"/>
        <w:gridCol w:w="190"/>
        <w:gridCol w:w="1815"/>
        <w:gridCol w:w="190"/>
        <w:gridCol w:w="266"/>
        <w:gridCol w:w="190"/>
        <w:gridCol w:w="1817"/>
        <w:gridCol w:w="206"/>
      </w:tblGrid>
      <w:tr w:rsidR="004B2A77" w:rsidRPr="004B2A77" w14:paraId="7AFECAD8" w14:textId="77777777" w:rsidTr="004B2A77">
        <w:trPr>
          <w:tblCellSpacing w:w="15" w:type="dxa"/>
        </w:trPr>
        <w:tc>
          <w:tcPr>
            <w:tcW w:w="9060" w:type="dxa"/>
            <w:vAlign w:val="center"/>
            <w:hideMark/>
          </w:tcPr>
          <w:p w14:paraId="602B5ED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38" w:type="dxa"/>
            <w:vAlign w:val="center"/>
            <w:hideMark/>
          </w:tcPr>
          <w:p w14:paraId="7AE153E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15DFA2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91" w:type="dxa"/>
            <w:vAlign w:val="center"/>
            <w:hideMark/>
          </w:tcPr>
          <w:p w14:paraId="7D5172A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8A8EA2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6" w:type="dxa"/>
            <w:vAlign w:val="center"/>
            <w:hideMark/>
          </w:tcPr>
          <w:p w14:paraId="432CBB7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6203BB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9" w:type="dxa"/>
            <w:vAlign w:val="center"/>
            <w:hideMark/>
          </w:tcPr>
          <w:p w14:paraId="3D9EB40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C6CD89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36" w:type="dxa"/>
            <w:vAlign w:val="center"/>
            <w:hideMark/>
          </w:tcPr>
          <w:p w14:paraId="46BD07B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CDDFDE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91" w:type="dxa"/>
            <w:vAlign w:val="center"/>
            <w:hideMark/>
          </w:tcPr>
          <w:p w14:paraId="4B625B8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175D8D3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82D531B" w14:textId="77777777" w:rsidTr="004B2A77">
        <w:trPr>
          <w:trHeight w:val="160"/>
          <w:tblCellSpacing w:w="15" w:type="dxa"/>
        </w:trPr>
        <w:tc>
          <w:tcPr>
            <w:tcW w:w="0" w:type="auto"/>
            <w:shd w:val="clear" w:color="auto" w:fill="FFFFFF"/>
            <w:vAlign w:val="bottom"/>
            <w:hideMark/>
          </w:tcPr>
          <w:p w14:paraId="1BB8C13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9D8776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10"/>
            <w:tcBorders>
              <w:bottom w:val="single" w:sz="4" w:space="0" w:color="000000"/>
            </w:tcBorders>
            <w:shd w:val="clear" w:color="auto" w:fill="FFFFFF"/>
            <w:vAlign w:val="bottom"/>
            <w:hideMark/>
          </w:tcPr>
          <w:p w14:paraId="206974E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p>
        </w:tc>
        <w:tc>
          <w:tcPr>
            <w:tcW w:w="0" w:type="auto"/>
            <w:shd w:val="clear" w:color="auto" w:fill="FFFFFF"/>
            <w:vAlign w:val="bottom"/>
            <w:hideMark/>
          </w:tcPr>
          <w:p w14:paraId="08B6642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050BD31D" w14:textId="77777777" w:rsidTr="004B2A77">
        <w:trPr>
          <w:trHeight w:val="160"/>
          <w:tblCellSpacing w:w="15" w:type="dxa"/>
        </w:trPr>
        <w:tc>
          <w:tcPr>
            <w:tcW w:w="0" w:type="auto"/>
            <w:shd w:val="clear" w:color="auto" w:fill="FFFFFF"/>
            <w:vAlign w:val="bottom"/>
            <w:hideMark/>
          </w:tcPr>
          <w:p w14:paraId="5DDA2752"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15235FF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9244A4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042B30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9DAEB9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E8C9D6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37E5B7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186E9A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FBE58D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54636AF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7CC7AB1B" w14:textId="77777777" w:rsidTr="004B2A77">
        <w:trPr>
          <w:trHeight w:val="180"/>
          <w:tblCellSpacing w:w="15" w:type="dxa"/>
        </w:trPr>
        <w:tc>
          <w:tcPr>
            <w:tcW w:w="0" w:type="auto"/>
            <w:shd w:val="clear" w:color="auto" w:fill="CFF0FC"/>
            <w:hideMark/>
          </w:tcPr>
          <w:p w14:paraId="31AEAE4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Service cost</w:t>
            </w:r>
          </w:p>
        </w:tc>
        <w:tc>
          <w:tcPr>
            <w:tcW w:w="0" w:type="auto"/>
            <w:shd w:val="clear" w:color="auto" w:fill="CFF0FC"/>
            <w:vAlign w:val="bottom"/>
            <w:hideMark/>
          </w:tcPr>
          <w:p w14:paraId="156133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D1142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A2255E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w:t>
            </w:r>
          </w:p>
        </w:tc>
        <w:tc>
          <w:tcPr>
            <w:tcW w:w="0" w:type="auto"/>
            <w:shd w:val="clear" w:color="auto" w:fill="CFF0FC"/>
            <w:noWrap/>
            <w:vAlign w:val="bottom"/>
            <w:hideMark/>
          </w:tcPr>
          <w:p w14:paraId="0245A8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56D6B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1C8A9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A27528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CFF0FC"/>
            <w:noWrap/>
            <w:vAlign w:val="bottom"/>
            <w:hideMark/>
          </w:tcPr>
          <w:p w14:paraId="3194CC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4702F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EDFD6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C453F1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CFF0FC"/>
            <w:noWrap/>
            <w:vAlign w:val="bottom"/>
            <w:hideMark/>
          </w:tcPr>
          <w:p w14:paraId="0791BB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C5BEF1F" w14:textId="77777777" w:rsidTr="004B2A77">
        <w:trPr>
          <w:trHeight w:val="180"/>
          <w:tblCellSpacing w:w="15" w:type="dxa"/>
        </w:trPr>
        <w:tc>
          <w:tcPr>
            <w:tcW w:w="0" w:type="auto"/>
            <w:shd w:val="clear" w:color="auto" w:fill="FFFFFF"/>
            <w:hideMark/>
          </w:tcPr>
          <w:p w14:paraId="12FC16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Interest cost</w:t>
            </w:r>
          </w:p>
        </w:tc>
        <w:tc>
          <w:tcPr>
            <w:tcW w:w="0" w:type="auto"/>
            <w:shd w:val="clear" w:color="auto" w:fill="FFFFFF"/>
            <w:vAlign w:val="bottom"/>
            <w:hideMark/>
          </w:tcPr>
          <w:p w14:paraId="6BEEA7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DA5B5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927766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FFFFFF"/>
            <w:noWrap/>
            <w:vAlign w:val="bottom"/>
            <w:hideMark/>
          </w:tcPr>
          <w:p w14:paraId="19F6F8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298183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FE5E6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1DAB50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FFFFFF"/>
            <w:noWrap/>
            <w:vAlign w:val="bottom"/>
            <w:hideMark/>
          </w:tcPr>
          <w:p w14:paraId="3E5E92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D3929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4F483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58CCC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FFFFFF"/>
            <w:noWrap/>
            <w:vAlign w:val="bottom"/>
            <w:hideMark/>
          </w:tcPr>
          <w:p w14:paraId="10B5DF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3BA3E53" w14:textId="77777777" w:rsidTr="004B2A77">
        <w:trPr>
          <w:trHeight w:val="180"/>
          <w:tblCellSpacing w:w="15" w:type="dxa"/>
        </w:trPr>
        <w:tc>
          <w:tcPr>
            <w:tcW w:w="0" w:type="auto"/>
            <w:shd w:val="clear" w:color="auto" w:fill="CFF0FC"/>
            <w:hideMark/>
          </w:tcPr>
          <w:p w14:paraId="5DF14D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Expected return on plan assets</w:t>
            </w:r>
          </w:p>
        </w:tc>
        <w:tc>
          <w:tcPr>
            <w:tcW w:w="0" w:type="auto"/>
            <w:shd w:val="clear" w:color="auto" w:fill="CFF0FC"/>
            <w:vAlign w:val="bottom"/>
            <w:hideMark/>
          </w:tcPr>
          <w:p w14:paraId="0D2F89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3B6BC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462192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026AF45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C2B551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56B22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A26CB7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3D585C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1CEB9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2B053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170C4D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0E3D60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03E36117" w14:textId="77777777" w:rsidTr="004B2A77">
        <w:trPr>
          <w:trHeight w:val="180"/>
          <w:tblCellSpacing w:w="15" w:type="dxa"/>
        </w:trPr>
        <w:tc>
          <w:tcPr>
            <w:tcW w:w="0" w:type="auto"/>
            <w:shd w:val="clear" w:color="auto" w:fill="FFFFFF"/>
            <w:hideMark/>
          </w:tcPr>
          <w:p w14:paraId="7AF5E4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Amortization of prior service costs</w:t>
            </w:r>
          </w:p>
        </w:tc>
        <w:tc>
          <w:tcPr>
            <w:tcW w:w="0" w:type="auto"/>
            <w:shd w:val="clear" w:color="auto" w:fill="FFFFFF"/>
            <w:vAlign w:val="bottom"/>
            <w:hideMark/>
          </w:tcPr>
          <w:p w14:paraId="465B10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EA2C8E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01040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FFFFFF"/>
            <w:noWrap/>
            <w:vAlign w:val="bottom"/>
            <w:hideMark/>
          </w:tcPr>
          <w:p w14:paraId="600370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F0F46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806FA8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EC557C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43C4F4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5EFA3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552EA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903E09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04CB3C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F18E290" w14:textId="77777777" w:rsidTr="004B2A77">
        <w:trPr>
          <w:trHeight w:val="180"/>
          <w:tblCellSpacing w:w="15" w:type="dxa"/>
        </w:trPr>
        <w:tc>
          <w:tcPr>
            <w:tcW w:w="0" w:type="auto"/>
            <w:shd w:val="clear" w:color="auto" w:fill="CFF0FC"/>
            <w:hideMark/>
          </w:tcPr>
          <w:p w14:paraId="45105139" w14:textId="77777777" w:rsidR="004B2A77" w:rsidRPr="004B2A77" w:rsidRDefault="004B2A77" w:rsidP="004B2A77">
            <w:pPr>
              <w:widowControl/>
              <w:jc w:val="lef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Amortization of actuarial loss</w:t>
            </w:r>
          </w:p>
        </w:tc>
        <w:tc>
          <w:tcPr>
            <w:tcW w:w="0" w:type="auto"/>
            <w:shd w:val="clear" w:color="auto" w:fill="CFF0FC"/>
            <w:vAlign w:val="bottom"/>
            <w:hideMark/>
          </w:tcPr>
          <w:p w14:paraId="1E08D57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3F132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736F21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41F2FD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20275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3565A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2E446F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7A82B1E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2EF5AF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3814E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2BA157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37D5C5F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F770505" w14:textId="77777777" w:rsidTr="004B2A77">
        <w:trPr>
          <w:trHeight w:val="180"/>
          <w:tblCellSpacing w:w="15" w:type="dxa"/>
        </w:trPr>
        <w:tc>
          <w:tcPr>
            <w:tcW w:w="0" w:type="auto"/>
            <w:shd w:val="clear" w:color="auto" w:fill="FFFFFF"/>
            <w:hideMark/>
          </w:tcPr>
          <w:p w14:paraId="18B8778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Settlement/curtailment (gain) loss</w:t>
            </w:r>
          </w:p>
        </w:tc>
        <w:tc>
          <w:tcPr>
            <w:tcW w:w="0" w:type="auto"/>
            <w:shd w:val="clear" w:color="auto" w:fill="FFFFFF"/>
            <w:vAlign w:val="bottom"/>
            <w:hideMark/>
          </w:tcPr>
          <w:p w14:paraId="77CDEE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2456A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2C1DCF6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FFFFFF"/>
            <w:noWrap/>
            <w:vAlign w:val="bottom"/>
            <w:hideMark/>
          </w:tcPr>
          <w:p w14:paraId="0EAB43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5B4909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C08B1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14A0440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635F48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976665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E40A5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115D75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FFFFFF"/>
            <w:noWrap/>
            <w:vAlign w:val="bottom"/>
            <w:hideMark/>
          </w:tcPr>
          <w:p w14:paraId="3DF3725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880E366" w14:textId="77777777" w:rsidTr="004B2A77">
        <w:trPr>
          <w:trHeight w:val="180"/>
          <w:tblCellSpacing w:w="15" w:type="dxa"/>
        </w:trPr>
        <w:tc>
          <w:tcPr>
            <w:tcW w:w="0" w:type="auto"/>
            <w:shd w:val="clear" w:color="auto" w:fill="CFF0FC"/>
            <w:hideMark/>
          </w:tcPr>
          <w:p w14:paraId="54086E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Net periodic benefit cost</w:t>
            </w:r>
          </w:p>
        </w:tc>
        <w:tc>
          <w:tcPr>
            <w:tcW w:w="0" w:type="auto"/>
            <w:shd w:val="clear" w:color="auto" w:fill="CFF0FC"/>
            <w:vAlign w:val="bottom"/>
            <w:hideMark/>
          </w:tcPr>
          <w:p w14:paraId="628BB9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560A8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083B7BD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w:t>
            </w:r>
          </w:p>
        </w:tc>
        <w:tc>
          <w:tcPr>
            <w:tcW w:w="0" w:type="auto"/>
            <w:shd w:val="clear" w:color="auto" w:fill="CFF0FC"/>
            <w:noWrap/>
            <w:vAlign w:val="bottom"/>
            <w:hideMark/>
          </w:tcPr>
          <w:p w14:paraId="6D0A67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33C2F7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6F67AF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8D93F0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17</w:t>
            </w:r>
          </w:p>
        </w:tc>
        <w:tc>
          <w:tcPr>
            <w:tcW w:w="0" w:type="auto"/>
            <w:shd w:val="clear" w:color="auto" w:fill="CFF0FC"/>
            <w:noWrap/>
            <w:vAlign w:val="bottom"/>
            <w:hideMark/>
          </w:tcPr>
          <w:p w14:paraId="715411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1290A1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E761C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41D3CE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19</w:t>
            </w:r>
          </w:p>
        </w:tc>
        <w:tc>
          <w:tcPr>
            <w:tcW w:w="0" w:type="auto"/>
            <w:shd w:val="clear" w:color="auto" w:fill="CFF0FC"/>
            <w:noWrap/>
            <w:vAlign w:val="bottom"/>
            <w:hideMark/>
          </w:tcPr>
          <w:p w14:paraId="20B69B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23A075B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5DD0565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The service cost and amortization of prior service cost components are reported among other employee compensation costs in the Consolidated Statements of Income. The remaining components, interest cost, expected returns on plan assets and amortization of actuarial loss, are reported as Other non-operating items, net in the Consolidated Statements of Income.</w:t>
      </w:r>
    </w:p>
    <w:p w14:paraId="1C8CA97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Amortization of the net actuarial loss from accumulated other comprehensive income is made over the estimated average remaining lifetime of the plan participants (28 to 32 years) for the U.S. plans, and the estimated average remaining service lives or lifetimes of the plan participants for the non-U.S. plans, the periods varying over a wide range between the different countries depending on the age of the population concerned.</w:t>
      </w:r>
    </w:p>
    <w:p w14:paraId="5B4ED32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COMPONENTS OF ACCUMULATED OTHER COMPREHENSIVE LOSS BEFORE TAX AS OF DECEMBER 31</w:t>
      </w:r>
    </w:p>
    <w:p w14:paraId="7A06BE6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9058"/>
        <w:gridCol w:w="239"/>
        <w:gridCol w:w="209"/>
        <w:gridCol w:w="1680"/>
        <w:gridCol w:w="210"/>
        <w:gridCol w:w="242"/>
        <w:gridCol w:w="210"/>
        <w:gridCol w:w="1736"/>
        <w:gridCol w:w="210"/>
        <w:gridCol w:w="242"/>
        <w:gridCol w:w="210"/>
        <w:gridCol w:w="1684"/>
        <w:gridCol w:w="210"/>
        <w:gridCol w:w="242"/>
        <w:gridCol w:w="210"/>
        <w:gridCol w:w="1736"/>
        <w:gridCol w:w="225"/>
      </w:tblGrid>
      <w:tr w:rsidR="004B2A77" w:rsidRPr="004B2A77" w14:paraId="20240C10" w14:textId="77777777" w:rsidTr="004B2A77">
        <w:trPr>
          <w:tblCellSpacing w:w="15" w:type="dxa"/>
        </w:trPr>
        <w:tc>
          <w:tcPr>
            <w:tcW w:w="9031" w:type="dxa"/>
            <w:vAlign w:val="center"/>
            <w:hideMark/>
          </w:tcPr>
          <w:p w14:paraId="6FC45E3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10" w:type="dxa"/>
            <w:vAlign w:val="center"/>
            <w:hideMark/>
          </w:tcPr>
          <w:p w14:paraId="5B5E951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568A164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53" w:type="dxa"/>
            <w:vAlign w:val="center"/>
            <w:hideMark/>
          </w:tcPr>
          <w:p w14:paraId="0A857ED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3E6061F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2" w:type="dxa"/>
            <w:vAlign w:val="center"/>
            <w:hideMark/>
          </w:tcPr>
          <w:p w14:paraId="129B025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5FB6AE7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09" w:type="dxa"/>
            <w:vAlign w:val="center"/>
            <w:hideMark/>
          </w:tcPr>
          <w:p w14:paraId="7E5098D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75039EF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2" w:type="dxa"/>
            <w:vAlign w:val="center"/>
            <w:hideMark/>
          </w:tcPr>
          <w:p w14:paraId="26F601C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46AF3B5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57" w:type="dxa"/>
            <w:vAlign w:val="center"/>
            <w:hideMark/>
          </w:tcPr>
          <w:p w14:paraId="4B84186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25A7F55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2" w:type="dxa"/>
            <w:vAlign w:val="center"/>
            <w:hideMark/>
          </w:tcPr>
          <w:p w14:paraId="377AE11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001B1AB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09" w:type="dxa"/>
            <w:vAlign w:val="center"/>
            <w:hideMark/>
          </w:tcPr>
          <w:p w14:paraId="2ADB7CC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414F740E"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D7CD628" w14:textId="77777777" w:rsidTr="004B2A77">
        <w:trPr>
          <w:trHeight w:val="160"/>
          <w:tblCellSpacing w:w="15" w:type="dxa"/>
        </w:trPr>
        <w:tc>
          <w:tcPr>
            <w:tcW w:w="0" w:type="auto"/>
            <w:shd w:val="clear" w:color="auto" w:fill="FFFFFF"/>
            <w:vAlign w:val="bottom"/>
            <w:hideMark/>
          </w:tcPr>
          <w:p w14:paraId="21EF868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D088BC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4BE868D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2E0A64C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FC834D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1EA068E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p>
        </w:tc>
        <w:tc>
          <w:tcPr>
            <w:tcW w:w="0" w:type="auto"/>
            <w:shd w:val="clear" w:color="auto" w:fill="FFFFFF"/>
            <w:vAlign w:val="bottom"/>
            <w:hideMark/>
          </w:tcPr>
          <w:p w14:paraId="0AE4903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8FA4705" w14:textId="77777777" w:rsidTr="004B2A77">
        <w:trPr>
          <w:trHeight w:val="160"/>
          <w:tblCellSpacing w:w="15" w:type="dxa"/>
        </w:trPr>
        <w:tc>
          <w:tcPr>
            <w:tcW w:w="0" w:type="auto"/>
            <w:shd w:val="clear" w:color="auto" w:fill="FFFFFF"/>
            <w:vAlign w:val="bottom"/>
            <w:hideMark/>
          </w:tcPr>
          <w:p w14:paraId="3930B05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1BEAFF7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157084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2E4ED9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37BD8B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1354E3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7506E2E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43CB8D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88B5F7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5DAA99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0A87FE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B40E69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33DBF95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B1B5441" w14:textId="77777777" w:rsidTr="004B2A77">
        <w:trPr>
          <w:trHeight w:val="180"/>
          <w:tblCellSpacing w:w="15" w:type="dxa"/>
        </w:trPr>
        <w:tc>
          <w:tcPr>
            <w:tcW w:w="0" w:type="auto"/>
            <w:shd w:val="clear" w:color="auto" w:fill="CFF0FC"/>
            <w:hideMark/>
          </w:tcPr>
          <w:p w14:paraId="5483435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Net actuarial loss</w:t>
            </w:r>
          </w:p>
        </w:tc>
        <w:tc>
          <w:tcPr>
            <w:tcW w:w="0" w:type="auto"/>
            <w:shd w:val="clear" w:color="auto" w:fill="CFF0FC"/>
            <w:vAlign w:val="bottom"/>
            <w:hideMark/>
          </w:tcPr>
          <w:p w14:paraId="4ABA2C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3408B6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E3208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w:t>
            </w:r>
          </w:p>
        </w:tc>
        <w:tc>
          <w:tcPr>
            <w:tcW w:w="0" w:type="auto"/>
            <w:shd w:val="clear" w:color="auto" w:fill="CFF0FC"/>
            <w:noWrap/>
            <w:vAlign w:val="bottom"/>
            <w:hideMark/>
          </w:tcPr>
          <w:p w14:paraId="2082B4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15937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6A657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687B06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35</w:t>
            </w:r>
          </w:p>
        </w:tc>
        <w:tc>
          <w:tcPr>
            <w:tcW w:w="0" w:type="auto"/>
            <w:shd w:val="clear" w:color="auto" w:fill="CFF0FC"/>
            <w:noWrap/>
            <w:vAlign w:val="bottom"/>
            <w:hideMark/>
          </w:tcPr>
          <w:p w14:paraId="6E875E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A2FCB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691541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0539D5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w:t>
            </w:r>
          </w:p>
        </w:tc>
        <w:tc>
          <w:tcPr>
            <w:tcW w:w="0" w:type="auto"/>
            <w:shd w:val="clear" w:color="auto" w:fill="CFF0FC"/>
            <w:noWrap/>
            <w:vAlign w:val="bottom"/>
            <w:hideMark/>
          </w:tcPr>
          <w:p w14:paraId="62C717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E3126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444A2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82A29F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30</w:t>
            </w:r>
          </w:p>
        </w:tc>
        <w:tc>
          <w:tcPr>
            <w:tcW w:w="0" w:type="auto"/>
            <w:shd w:val="clear" w:color="auto" w:fill="CFF0FC"/>
            <w:noWrap/>
            <w:vAlign w:val="bottom"/>
            <w:hideMark/>
          </w:tcPr>
          <w:p w14:paraId="2498F5D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8351FBF" w14:textId="77777777" w:rsidTr="004B2A77">
        <w:trPr>
          <w:trHeight w:val="180"/>
          <w:tblCellSpacing w:w="15" w:type="dxa"/>
        </w:trPr>
        <w:tc>
          <w:tcPr>
            <w:tcW w:w="0" w:type="auto"/>
            <w:shd w:val="clear" w:color="auto" w:fill="FFFFFF"/>
            <w:hideMark/>
          </w:tcPr>
          <w:p w14:paraId="027C08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Prior service cost</w:t>
            </w:r>
          </w:p>
        </w:tc>
        <w:tc>
          <w:tcPr>
            <w:tcW w:w="0" w:type="auto"/>
            <w:shd w:val="clear" w:color="auto" w:fill="FFFFFF"/>
            <w:vAlign w:val="bottom"/>
            <w:hideMark/>
          </w:tcPr>
          <w:p w14:paraId="6B6763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85356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022292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29928A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5D9151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40AE8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176F1B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FFFFFF"/>
            <w:noWrap/>
            <w:vAlign w:val="bottom"/>
            <w:hideMark/>
          </w:tcPr>
          <w:p w14:paraId="5B23727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9EA09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2822D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71D56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FFFFFF"/>
            <w:noWrap/>
            <w:vAlign w:val="bottom"/>
            <w:hideMark/>
          </w:tcPr>
          <w:p w14:paraId="3B7A0A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F2E2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27D683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B773F5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w:t>
            </w:r>
          </w:p>
        </w:tc>
        <w:tc>
          <w:tcPr>
            <w:tcW w:w="0" w:type="auto"/>
            <w:shd w:val="clear" w:color="auto" w:fill="FFFFFF"/>
            <w:noWrap/>
            <w:vAlign w:val="bottom"/>
            <w:hideMark/>
          </w:tcPr>
          <w:p w14:paraId="58C5D2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ED21FE2" w14:textId="77777777" w:rsidTr="004B2A77">
        <w:trPr>
          <w:trHeight w:val="180"/>
          <w:tblCellSpacing w:w="15" w:type="dxa"/>
        </w:trPr>
        <w:tc>
          <w:tcPr>
            <w:tcW w:w="0" w:type="auto"/>
            <w:shd w:val="clear" w:color="auto" w:fill="CFF0FC"/>
            <w:hideMark/>
          </w:tcPr>
          <w:p w14:paraId="690FC6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accumulated other comprehensive loss</w:t>
            </w:r>
            <w:r w:rsidRPr="004B2A77">
              <w:rPr>
                <w:rFonts w:ascii="Arial" w:eastAsia="宋体" w:hAnsi="Arial" w:cs="Arial"/>
                <w:b/>
                <w:bCs/>
                <w:color w:val="000000"/>
                <w:kern w:val="0"/>
                <w:sz w:val="18"/>
                <w:szCs w:val="18"/>
              </w:rPr>
              <w:br/>
              <w:t>   recognized in the balance sheet</w:t>
            </w:r>
          </w:p>
        </w:tc>
        <w:tc>
          <w:tcPr>
            <w:tcW w:w="0" w:type="auto"/>
            <w:shd w:val="clear" w:color="auto" w:fill="CFF0FC"/>
            <w:vAlign w:val="bottom"/>
            <w:hideMark/>
          </w:tcPr>
          <w:p w14:paraId="1D38DD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98DFF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795841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22</w:t>
            </w:r>
          </w:p>
        </w:tc>
        <w:tc>
          <w:tcPr>
            <w:tcW w:w="0" w:type="auto"/>
            <w:shd w:val="clear" w:color="auto" w:fill="CFF0FC"/>
            <w:noWrap/>
            <w:vAlign w:val="bottom"/>
            <w:hideMark/>
          </w:tcPr>
          <w:p w14:paraId="4DF9E2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68117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15EDE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F94B4C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35</w:t>
            </w:r>
          </w:p>
        </w:tc>
        <w:tc>
          <w:tcPr>
            <w:tcW w:w="0" w:type="auto"/>
            <w:shd w:val="clear" w:color="auto" w:fill="CFF0FC"/>
            <w:noWrap/>
            <w:vAlign w:val="bottom"/>
            <w:hideMark/>
          </w:tcPr>
          <w:p w14:paraId="16E843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77681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8467C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32157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22</w:t>
            </w:r>
          </w:p>
        </w:tc>
        <w:tc>
          <w:tcPr>
            <w:tcW w:w="0" w:type="auto"/>
            <w:shd w:val="clear" w:color="auto" w:fill="CFF0FC"/>
            <w:noWrap/>
            <w:vAlign w:val="bottom"/>
            <w:hideMark/>
          </w:tcPr>
          <w:p w14:paraId="41291E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19569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BF1E5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A050C5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33</w:t>
            </w:r>
          </w:p>
        </w:tc>
        <w:tc>
          <w:tcPr>
            <w:tcW w:w="0" w:type="auto"/>
            <w:shd w:val="clear" w:color="auto" w:fill="CFF0FC"/>
            <w:noWrap/>
            <w:vAlign w:val="bottom"/>
            <w:hideMark/>
          </w:tcPr>
          <w:p w14:paraId="3EB848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1E1E0A0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0172873B"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CHANGES IN ACCUMULATED OTHER COMPREHENSIVE LOSS BEFORE TAX FOR THE YEARS ENDED DECEMBER 31</w:t>
      </w:r>
    </w:p>
    <w:p w14:paraId="21BAA51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9058"/>
        <w:gridCol w:w="237"/>
        <w:gridCol w:w="209"/>
        <w:gridCol w:w="1692"/>
        <w:gridCol w:w="210"/>
        <w:gridCol w:w="242"/>
        <w:gridCol w:w="210"/>
        <w:gridCol w:w="1726"/>
        <w:gridCol w:w="210"/>
        <w:gridCol w:w="242"/>
        <w:gridCol w:w="210"/>
        <w:gridCol w:w="1693"/>
        <w:gridCol w:w="210"/>
        <w:gridCol w:w="242"/>
        <w:gridCol w:w="210"/>
        <w:gridCol w:w="1726"/>
        <w:gridCol w:w="226"/>
      </w:tblGrid>
      <w:tr w:rsidR="004B2A77" w:rsidRPr="004B2A77" w14:paraId="46CAC00F" w14:textId="77777777" w:rsidTr="004B2A77">
        <w:trPr>
          <w:tblCellSpacing w:w="15" w:type="dxa"/>
        </w:trPr>
        <w:tc>
          <w:tcPr>
            <w:tcW w:w="9032" w:type="dxa"/>
            <w:vAlign w:val="center"/>
            <w:hideMark/>
          </w:tcPr>
          <w:p w14:paraId="105D631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8" w:type="dxa"/>
            <w:vAlign w:val="center"/>
            <w:hideMark/>
          </w:tcPr>
          <w:p w14:paraId="69AE491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5E38067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5" w:type="dxa"/>
            <w:vAlign w:val="center"/>
            <w:hideMark/>
          </w:tcPr>
          <w:p w14:paraId="265CB71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4DE86EC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2" w:type="dxa"/>
            <w:vAlign w:val="center"/>
            <w:hideMark/>
          </w:tcPr>
          <w:p w14:paraId="68EEB37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2866C62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99" w:type="dxa"/>
            <w:vAlign w:val="center"/>
            <w:hideMark/>
          </w:tcPr>
          <w:p w14:paraId="09CC805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0563551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2" w:type="dxa"/>
            <w:vAlign w:val="center"/>
            <w:hideMark/>
          </w:tcPr>
          <w:p w14:paraId="4EC4B0B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6ABB65D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6" w:type="dxa"/>
            <w:vAlign w:val="center"/>
            <w:hideMark/>
          </w:tcPr>
          <w:p w14:paraId="323FE13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57B1016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12" w:type="dxa"/>
            <w:vAlign w:val="center"/>
            <w:hideMark/>
          </w:tcPr>
          <w:p w14:paraId="3C90C71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1933311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99" w:type="dxa"/>
            <w:vAlign w:val="center"/>
            <w:hideMark/>
          </w:tcPr>
          <w:p w14:paraId="5BEF613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1" w:type="dxa"/>
            <w:vAlign w:val="center"/>
            <w:hideMark/>
          </w:tcPr>
          <w:p w14:paraId="0970C88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210353F" w14:textId="77777777" w:rsidTr="004B2A77">
        <w:trPr>
          <w:trHeight w:val="160"/>
          <w:tblCellSpacing w:w="15" w:type="dxa"/>
        </w:trPr>
        <w:tc>
          <w:tcPr>
            <w:tcW w:w="0" w:type="auto"/>
            <w:shd w:val="clear" w:color="auto" w:fill="FFFFFF"/>
            <w:vAlign w:val="bottom"/>
            <w:hideMark/>
          </w:tcPr>
          <w:p w14:paraId="6B36DC6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2B3782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2A14296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6284728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E2BCF9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41C8709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p>
        </w:tc>
        <w:tc>
          <w:tcPr>
            <w:tcW w:w="0" w:type="auto"/>
            <w:shd w:val="clear" w:color="auto" w:fill="FFFFFF"/>
            <w:vAlign w:val="bottom"/>
            <w:hideMark/>
          </w:tcPr>
          <w:p w14:paraId="4193E6F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53D9459D" w14:textId="77777777" w:rsidTr="004B2A77">
        <w:trPr>
          <w:trHeight w:val="160"/>
          <w:tblCellSpacing w:w="15" w:type="dxa"/>
        </w:trPr>
        <w:tc>
          <w:tcPr>
            <w:tcW w:w="0" w:type="auto"/>
            <w:shd w:val="clear" w:color="auto" w:fill="FFFFFF"/>
            <w:vAlign w:val="bottom"/>
            <w:hideMark/>
          </w:tcPr>
          <w:p w14:paraId="22D78F7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42A7E9C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EC0427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70C1F05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B2F47F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FE9F99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E19350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81339B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499C67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6A60C5C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D908D1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D81290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6F0FFFE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0123E508" w14:textId="77777777" w:rsidTr="004B2A77">
        <w:trPr>
          <w:trHeight w:val="180"/>
          <w:tblCellSpacing w:w="15" w:type="dxa"/>
        </w:trPr>
        <w:tc>
          <w:tcPr>
            <w:tcW w:w="0" w:type="auto"/>
            <w:shd w:val="clear" w:color="auto" w:fill="CFF0FC"/>
            <w:hideMark/>
          </w:tcPr>
          <w:p w14:paraId="51508C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retirement benefit recognized in accumulated</w:t>
            </w:r>
            <w:r w:rsidRPr="004B2A77">
              <w:rPr>
                <w:rFonts w:ascii="Arial" w:eastAsia="宋体" w:hAnsi="Arial" w:cs="Arial"/>
                <w:b/>
                <w:bCs/>
                <w:color w:val="000000"/>
                <w:kern w:val="0"/>
                <w:sz w:val="18"/>
                <w:szCs w:val="18"/>
              </w:rPr>
              <w:br/>
              <w:t>   other comprehensive loss at beginning of year</w:t>
            </w:r>
          </w:p>
        </w:tc>
        <w:tc>
          <w:tcPr>
            <w:tcW w:w="0" w:type="auto"/>
            <w:shd w:val="clear" w:color="auto" w:fill="CFF0FC"/>
            <w:vAlign w:val="bottom"/>
            <w:hideMark/>
          </w:tcPr>
          <w:p w14:paraId="1A21428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901EF4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2A44BC5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35</w:t>
            </w:r>
          </w:p>
        </w:tc>
        <w:tc>
          <w:tcPr>
            <w:tcW w:w="0" w:type="auto"/>
            <w:shd w:val="clear" w:color="auto" w:fill="CFF0FC"/>
            <w:noWrap/>
            <w:vAlign w:val="bottom"/>
            <w:hideMark/>
          </w:tcPr>
          <w:p w14:paraId="29FA887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B51E0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F1C5D7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E3B69B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62</w:t>
            </w:r>
          </w:p>
        </w:tc>
        <w:tc>
          <w:tcPr>
            <w:tcW w:w="0" w:type="auto"/>
            <w:shd w:val="clear" w:color="auto" w:fill="CFF0FC"/>
            <w:noWrap/>
            <w:vAlign w:val="bottom"/>
            <w:hideMark/>
          </w:tcPr>
          <w:p w14:paraId="28535B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0DC16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65401E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4FD8B86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33</w:t>
            </w:r>
          </w:p>
        </w:tc>
        <w:tc>
          <w:tcPr>
            <w:tcW w:w="0" w:type="auto"/>
            <w:shd w:val="clear" w:color="auto" w:fill="CFF0FC"/>
            <w:noWrap/>
            <w:vAlign w:val="bottom"/>
            <w:hideMark/>
          </w:tcPr>
          <w:p w14:paraId="482732F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2DA142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34301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5CAC61B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45</w:t>
            </w:r>
          </w:p>
        </w:tc>
        <w:tc>
          <w:tcPr>
            <w:tcW w:w="0" w:type="auto"/>
            <w:shd w:val="clear" w:color="auto" w:fill="CFF0FC"/>
            <w:noWrap/>
            <w:vAlign w:val="bottom"/>
            <w:hideMark/>
          </w:tcPr>
          <w:p w14:paraId="5C2E8E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A642519" w14:textId="77777777" w:rsidTr="004B2A77">
        <w:trPr>
          <w:trHeight w:val="180"/>
          <w:tblCellSpacing w:w="15" w:type="dxa"/>
        </w:trPr>
        <w:tc>
          <w:tcPr>
            <w:tcW w:w="0" w:type="auto"/>
            <w:shd w:val="clear" w:color="auto" w:fill="FFFFFF"/>
            <w:hideMark/>
          </w:tcPr>
          <w:p w14:paraId="59160C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Net actuarial loss (gain)</w:t>
            </w:r>
          </w:p>
        </w:tc>
        <w:tc>
          <w:tcPr>
            <w:tcW w:w="0" w:type="auto"/>
            <w:shd w:val="clear" w:color="auto" w:fill="FFFFFF"/>
            <w:vAlign w:val="bottom"/>
            <w:hideMark/>
          </w:tcPr>
          <w:p w14:paraId="3DDCAF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64C42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6A70E5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w:t>
            </w:r>
          </w:p>
        </w:tc>
        <w:tc>
          <w:tcPr>
            <w:tcW w:w="0" w:type="auto"/>
            <w:shd w:val="clear" w:color="auto" w:fill="FFFFFF"/>
            <w:noWrap/>
            <w:vAlign w:val="bottom"/>
            <w:hideMark/>
          </w:tcPr>
          <w:p w14:paraId="11DCEB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63484D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7DD11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6E600A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w:t>
            </w:r>
          </w:p>
        </w:tc>
        <w:tc>
          <w:tcPr>
            <w:tcW w:w="0" w:type="auto"/>
            <w:shd w:val="clear" w:color="auto" w:fill="FFFFFF"/>
            <w:noWrap/>
            <w:vAlign w:val="bottom"/>
            <w:hideMark/>
          </w:tcPr>
          <w:p w14:paraId="60B45B0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21479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68418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4A069A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w:t>
            </w:r>
          </w:p>
        </w:tc>
        <w:tc>
          <w:tcPr>
            <w:tcW w:w="0" w:type="auto"/>
            <w:shd w:val="clear" w:color="auto" w:fill="FFFFFF"/>
            <w:noWrap/>
            <w:vAlign w:val="bottom"/>
            <w:hideMark/>
          </w:tcPr>
          <w:p w14:paraId="49027E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FAE0D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352AD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5E1B77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FFFFFF"/>
            <w:noWrap/>
            <w:vAlign w:val="bottom"/>
            <w:hideMark/>
          </w:tcPr>
          <w:p w14:paraId="5F48E4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4BE439F8" w14:textId="77777777" w:rsidTr="004B2A77">
        <w:trPr>
          <w:trHeight w:val="180"/>
          <w:tblCellSpacing w:w="15" w:type="dxa"/>
        </w:trPr>
        <w:tc>
          <w:tcPr>
            <w:tcW w:w="0" w:type="auto"/>
            <w:shd w:val="clear" w:color="auto" w:fill="CFF0FC"/>
            <w:hideMark/>
          </w:tcPr>
          <w:p w14:paraId="3EEFED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Amortization or curtailment recognition of prior service credit (cost)</w:t>
            </w:r>
          </w:p>
        </w:tc>
        <w:tc>
          <w:tcPr>
            <w:tcW w:w="0" w:type="auto"/>
            <w:shd w:val="clear" w:color="auto" w:fill="CFF0FC"/>
            <w:vAlign w:val="bottom"/>
            <w:hideMark/>
          </w:tcPr>
          <w:p w14:paraId="1578056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874CE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427105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19AB838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3E166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93745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87BCFE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00E3EC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2F394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59D9B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A5BEEA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13E05F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1CC00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A488B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C232A5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2C1C11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C899F3F" w14:textId="77777777" w:rsidTr="004B2A77">
        <w:trPr>
          <w:trHeight w:val="180"/>
          <w:tblCellSpacing w:w="15" w:type="dxa"/>
        </w:trPr>
        <w:tc>
          <w:tcPr>
            <w:tcW w:w="0" w:type="auto"/>
            <w:shd w:val="clear" w:color="auto" w:fill="FFFFFF"/>
            <w:hideMark/>
          </w:tcPr>
          <w:p w14:paraId="0D90BE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Amortization or settlement recognition of net gain (loss)</w:t>
            </w:r>
          </w:p>
        </w:tc>
        <w:tc>
          <w:tcPr>
            <w:tcW w:w="0" w:type="auto"/>
            <w:shd w:val="clear" w:color="auto" w:fill="FFFFFF"/>
            <w:vAlign w:val="bottom"/>
            <w:hideMark/>
          </w:tcPr>
          <w:p w14:paraId="04D6F1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50354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BDDE0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w:t>
            </w:r>
          </w:p>
        </w:tc>
        <w:tc>
          <w:tcPr>
            <w:tcW w:w="0" w:type="auto"/>
            <w:shd w:val="clear" w:color="auto" w:fill="FFFFFF"/>
            <w:noWrap/>
            <w:vAlign w:val="bottom"/>
            <w:hideMark/>
          </w:tcPr>
          <w:p w14:paraId="2DFCA7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50C273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EE552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E8B08C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w:t>
            </w:r>
          </w:p>
        </w:tc>
        <w:tc>
          <w:tcPr>
            <w:tcW w:w="0" w:type="auto"/>
            <w:shd w:val="clear" w:color="auto" w:fill="FFFFFF"/>
            <w:noWrap/>
            <w:vAlign w:val="bottom"/>
            <w:hideMark/>
          </w:tcPr>
          <w:p w14:paraId="46DCC4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E7DD9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D15A6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298F47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w:t>
            </w:r>
          </w:p>
        </w:tc>
        <w:tc>
          <w:tcPr>
            <w:tcW w:w="0" w:type="auto"/>
            <w:shd w:val="clear" w:color="auto" w:fill="FFFFFF"/>
            <w:noWrap/>
            <w:vAlign w:val="bottom"/>
            <w:hideMark/>
          </w:tcPr>
          <w:p w14:paraId="60E771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9E877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63C844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AAB3C0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FFFFFF"/>
            <w:noWrap/>
            <w:vAlign w:val="bottom"/>
            <w:hideMark/>
          </w:tcPr>
          <w:p w14:paraId="462BE1F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3385B6C" w14:textId="77777777" w:rsidTr="004B2A77">
        <w:trPr>
          <w:trHeight w:val="180"/>
          <w:tblCellSpacing w:w="15" w:type="dxa"/>
        </w:trPr>
        <w:tc>
          <w:tcPr>
            <w:tcW w:w="0" w:type="auto"/>
            <w:shd w:val="clear" w:color="auto" w:fill="CFF0FC"/>
            <w:hideMark/>
          </w:tcPr>
          <w:p w14:paraId="66AF02C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Translation difference</w:t>
            </w:r>
          </w:p>
        </w:tc>
        <w:tc>
          <w:tcPr>
            <w:tcW w:w="0" w:type="auto"/>
            <w:shd w:val="clear" w:color="auto" w:fill="CFF0FC"/>
            <w:vAlign w:val="bottom"/>
            <w:hideMark/>
          </w:tcPr>
          <w:p w14:paraId="630ABD1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E0641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11A12A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204985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F9A19D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5DEE8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39814E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1C6647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AE1DB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59EB7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4E81CE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27AA059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0A632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2E28F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08A4273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1C80C5F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r>
      <w:tr w:rsidR="004B2A77" w:rsidRPr="004B2A77" w14:paraId="12DF5822" w14:textId="77777777" w:rsidTr="004B2A77">
        <w:trPr>
          <w:trHeight w:val="180"/>
          <w:tblCellSpacing w:w="15" w:type="dxa"/>
        </w:trPr>
        <w:tc>
          <w:tcPr>
            <w:tcW w:w="0" w:type="auto"/>
            <w:shd w:val="clear" w:color="auto" w:fill="FFFFFF"/>
            <w:hideMark/>
          </w:tcPr>
          <w:p w14:paraId="7417EF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retirement benefit recognized in accumulated</w:t>
            </w:r>
            <w:r w:rsidRPr="004B2A77">
              <w:rPr>
                <w:rFonts w:ascii="Arial" w:eastAsia="宋体" w:hAnsi="Arial" w:cs="Arial"/>
                <w:b/>
                <w:bCs/>
                <w:color w:val="000000"/>
                <w:kern w:val="0"/>
                <w:sz w:val="18"/>
                <w:szCs w:val="18"/>
              </w:rPr>
              <w:br/>
              <w:t>   other comprehensive loss at end of year</w:t>
            </w:r>
          </w:p>
        </w:tc>
        <w:tc>
          <w:tcPr>
            <w:tcW w:w="0" w:type="auto"/>
            <w:shd w:val="clear" w:color="auto" w:fill="FFFFFF"/>
            <w:vAlign w:val="bottom"/>
            <w:hideMark/>
          </w:tcPr>
          <w:p w14:paraId="555BA7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844C5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415B5F0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22</w:t>
            </w:r>
          </w:p>
        </w:tc>
        <w:tc>
          <w:tcPr>
            <w:tcW w:w="0" w:type="auto"/>
            <w:shd w:val="clear" w:color="auto" w:fill="FFFFFF"/>
            <w:noWrap/>
            <w:vAlign w:val="bottom"/>
            <w:hideMark/>
          </w:tcPr>
          <w:p w14:paraId="6959813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9BEBD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56B2E0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4BD27AF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35</w:t>
            </w:r>
          </w:p>
        </w:tc>
        <w:tc>
          <w:tcPr>
            <w:tcW w:w="0" w:type="auto"/>
            <w:shd w:val="clear" w:color="auto" w:fill="FFFFFF"/>
            <w:noWrap/>
            <w:vAlign w:val="bottom"/>
            <w:hideMark/>
          </w:tcPr>
          <w:p w14:paraId="64C54D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02998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6DEA3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3643DDF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22</w:t>
            </w:r>
          </w:p>
        </w:tc>
        <w:tc>
          <w:tcPr>
            <w:tcW w:w="0" w:type="auto"/>
            <w:shd w:val="clear" w:color="auto" w:fill="FFFFFF"/>
            <w:noWrap/>
            <w:vAlign w:val="bottom"/>
            <w:hideMark/>
          </w:tcPr>
          <w:p w14:paraId="64A83D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53EDF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81F84F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FFFFFF"/>
            <w:vAlign w:val="bottom"/>
            <w:hideMark/>
          </w:tcPr>
          <w:p w14:paraId="6C3DDE5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33</w:t>
            </w:r>
          </w:p>
        </w:tc>
        <w:tc>
          <w:tcPr>
            <w:tcW w:w="0" w:type="auto"/>
            <w:shd w:val="clear" w:color="auto" w:fill="FFFFFF"/>
            <w:noWrap/>
            <w:vAlign w:val="bottom"/>
            <w:hideMark/>
          </w:tcPr>
          <w:p w14:paraId="1C876F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1D44DE6E"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7615DFC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accumulated benefit obligation for the U.S. non-contributory defined benefit pension plans was $227 million and $381 million at December 31, 2022 and 2021, respectively. The accumulated benefit obligation for the non-U.S. defined benefit pension plans was $154 million and $223 million at December 31, 2022 and 2021, respectively.</w:t>
      </w:r>
    </w:p>
    <w:p w14:paraId="4036A98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Pension plans for which the accumulated benefit obligation (ABO) is notably in excess of the plan assets reside in the following countries: U.S., Mexico, France, Germany, Japan, South Korea, Sweden, Thailand and Turkey.</w:t>
      </w:r>
    </w:p>
    <w:p w14:paraId="0C11E6BA"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85</w:t>
      </w:r>
    </w:p>
    <w:p w14:paraId="25CD22C5" w14:textId="77777777" w:rsidR="004B2A77" w:rsidRPr="004B2A77" w:rsidRDefault="004B2A77" w:rsidP="004B2A77">
      <w:pPr>
        <w:widowControl/>
        <w:jc w:val="left"/>
        <w:rPr>
          <w:rFonts w:ascii="Arial" w:eastAsia="宋体" w:hAnsi="Arial" w:cs="Arial"/>
          <w:color w:val="000000"/>
          <w:kern w:val="0"/>
          <w:sz w:val="24"/>
          <w:szCs w:val="24"/>
        </w:rPr>
      </w:pPr>
      <w:r w:rsidRPr="004B2A77">
        <w:rPr>
          <w:rFonts w:ascii="Arial" w:eastAsia="宋体" w:hAnsi="Arial" w:cs="Arial"/>
          <w:color w:val="000000"/>
          <w:kern w:val="0"/>
          <w:sz w:val="24"/>
          <w:szCs w:val="24"/>
        </w:rPr>
        <w:pict w14:anchorId="4D0DE0FC">
          <v:rect id="_x0000_i1112" style="width:0;height:1.5pt" o:hralign="center" o:hrstd="t" o:hr="t" fillcolor="#a0a0a0" stroked="f"/>
        </w:pict>
      </w:r>
    </w:p>
    <w:p w14:paraId="49BBB80E"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4190DEC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PENSION PLANS FOR WHICH ABO EXCEEDS THE FAIR VALUE OF PLAN ASSETS AS OF DECEMBER 31</w:t>
      </w:r>
    </w:p>
    <w:p w14:paraId="6DBF757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9372"/>
        <w:gridCol w:w="254"/>
        <w:gridCol w:w="210"/>
        <w:gridCol w:w="1733"/>
        <w:gridCol w:w="210"/>
        <w:gridCol w:w="210"/>
        <w:gridCol w:w="1792"/>
        <w:gridCol w:w="210"/>
        <w:gridCol w:w="256"/>
        <w:gridCol w:w="210"/>
        <w:gridCol w:w="1657"/>
        <w:gridCol w:w="210"/>
        <w:gridCol w:w="210"/>
        <w:gridCol w:w="1792"/>
        <w:gridCol w:w="227"/>
      </w:tblGrid>
      <w:tr w:rsidR="004B2A77" w:rsidRPr="004B2A77" w14:paraId="32FEE0AE" w14:textId="77777777" w:rsidTr="004B2A77">
        <w:trPr>
          <w:tblCellSpacing w:w="15" w:type="dxa"/>
        </w:trPr>
        <w:tc>
          <w:tcPr>
            <w:tcW w:w="9344" w:type="dxa"/>
            <w:vAlign w:val="center"/>
            <w:hideMark/>
          </w:tcPr>
          <w:p w14:paraId="650B76FB"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4" w:type="dxa"/>
            <w:vAlign w:val="center"/>
            <w:hideMark/>
          </w:tcPr>
          <w:p w14:paraId="03E0601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51D405B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06" w:type="dxa"/>
            <w:vAlign w:val="center"/>
            <w:hideMark/>
          </w:tcPr>
          <w:p w14:paraId="4DEBF46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700BF2B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156BA53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5" w:type="dxa"/>
            <w:vAlign w:val="center"/>
            <w:hideMark/>
          </w:tcPr>
          <w:p w14:paraId="5DADC1C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6DF02C8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6" w:type="dxa"/>
            <w:vAlign w:val="center"/>
            <w:hideMark/>
          </w:tcPr>
          <w:p w14:paraId="31EA636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07F4778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30" w:type="dxa"/>
            <w:vAlign w:val="center"/>
            <w:hideMark/>
          </w:tcPr>
          <w:p w14:paraId="489B563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0A46FE0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 w:type="dxa"/>
            <w:vAlign w:val="center"/>
            <w:hideMark/>
          </w:tcPr>
          <w:p w14:paraId="608B428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5" w:type="dxa"/>
            <w:vAlign w:val="center"/>
            <w:hideMark/>
          </w:tcPr>
          <w:p w14:paraId="598430E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2" w:type="dxa"/>
            <w:vAlign w:val="center"/>
            <w:hideMark/>
          </w:tcPr>
          <w:p w14:paraId="3F54CB0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F94073B" w14:textId="77777777" w:rsidTr="004B2A77">
        <w:trPr>
          <w:trHeight w:val="160"/>
          <w:tblCellSpacing w:w="15" w:type="dxa"/>
        </w:trPr>
        <w:tc>
          <w:tcPr>
            <w:tcW w:w="0" w:type="auto"/>
            <w:shd w:val="clear" w:color="auto" w:fill="FFFFFF"/>
            <w:vAlign w:val="bottom"/>
            <w:hideMark/>
          </w:tcPr>
          <w:p w14:paraId="76FE521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59F54B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5"/>
            <w:tcBorders>
              <w:bottom w:val="single" w:sz="4" w:space="0" w:color="000000"/>
            </w:tcBorders>
            <w:shd w:val="clear" w:color="auto" w:fill="FFFFFF"/>
            <w:vAlign w:val="bottom"/>
            <w:hideMark/>
          </w:tcPr>
          <w:p w14:paraId="1C825BD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5009C24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17038E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5"/>
            <w:tcBorders>
              <w:bottom w:val="single" w:sz="4" w:space="0" w:color="000000"/>
            </w:tcBorders>
            <w:shd w:val="clear" w:color="auto" w:fill="FFFFFF"/>
            <w:vAlign w:val="bottom"/>
            <w:hideMark/>
          </w:tcPr>
          <w:p w14:paraId="6944A8F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p>
        </w:tc>
        <w:tc>
          <w:tcPr>
            <w:tcW w:w="0" w:type="auto"/>
            <w:shd w:val="clear" w:color="auto" w:fill="FFFFFF"/>
            <w:vAlign w:val="bottom"/>
            <w:hideMark/>
          </w:tcPr>
          <w:p w14:paraId="0A13403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77E29103" w14:textId="77777777" w:rsidTr="004B2A77">
        <w:trPr>
          <w:trHeight w:val="160"/>
          <w:tblCellSpacing w:w="15" w:type="dxa"/>
        </w:trPr>
        <w:tc>
          <w:tcPr>
            <w:tcW w:w="0" w:type="auto"/>
            <w:shd w:val="clear" w:color="auto" w:fill="FFFFFF"/>
            <w:vAlign w:val="bottom"/>
            <w:hideMark/>
          </w:tcPr>
          <w:p w14:paraId="0CE6163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(Dollars in millions)</w:t>
            </w:r>
          </w:p>
        </w:tc>
        <w:tc>
          <w:tcPr>
            <w:tcW w:w="0" w:type="auto"/>
            <w:shd w:val="clear" w:color="auto" w:fill="FFFFFF"/>
            <w:vAlign w:val="bottom"/>
            <w:hideMark/>
          </w:tcPr>
          <w:p w14:paraId="71EEDCC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3996D6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6005F20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F232E5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63B5AF1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C0B36B6"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53EBBC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32B6D56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B26946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218438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AC0CB93" w14:textId="77777777" w:rsidTr="004B2A77">
        <w:trPr>
          <w:trHeight w:val="180"/>
          <w:tblCellSpacing w:w="15" w:type="dxa"/>
        </w:trPr>
        <w:tc>
          <w:tcPr>
            <w:tcW w:w="0" w:type="auto"/>
            <w:shd w:val="clear" w:color="auto" w:fill="CFF0FC"/>
            <w:hideMark/>
          </w:tcPr>
          <w:p w14:paraId="49E228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Projected Benefit Obligation (PBO)</w:t>
            </w:r>
          </w:p>
        </w:tc>
        <w:tc>
          <w:tcPr>
            <w:tcW w:w="0" w:type="auto"/>
            <w:shd w:val="clear" w:color="auto" w:fill="CFF0FC"/>
            <w:vAlign w:val="bottom"/>
            <w:hideMark/>
          </w:tcPr>
          <w:p w14:paraId="0439F7B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EE03F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BDEE7C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227</w:t>
            </w:r>
          </w:p>
        </w:tc>
        <w:tc>
          <w:tcPr>
            <w:tcW w:w="0" w:type="auto"/>
            <w:shd w:val="clear" w:color="auto" w:fill="CFF0FC"/>
            <w:noWrap/>
            <w:vAlign w:val="bottom"/>
            <w:hideMark/>
          </w:tcPr>
          <w:p w14:paraId="716F91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037F4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DA8ECE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381</w:t>
            </w:r>
          </w:p>
        </w:tc>
        <w:tc>
          <w:tcPr>
            <w:tcW w:w="0" w:type="auto"/>
            <w:shd w:val="clear" w:color="auto" w:fill="CFF0FC"/>
            <w:noWrap/>
            <w:vAlign w:val="bottom"/>
            <w:hideMark/>
          </w:tcPr>
          <w:p w14:paraId="349595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990E2A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65361B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77D9069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134</w:t>
            </w:r>
          </w:p>
        </w:tc>
        <w:tc>
          <w:tcPr>
            <w:tcW w:w="0" w:type="auto"/>
            <w:shd w:val="clear" w:color="auto" w:fill="CFF0FC"/>
            <w:noWrap/>
            <w:vAlign w:val="bottom"/>
            <w:hideMark/>
          </w:tcPr>
          <w:p w14:paraId="5BDECF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DDCC2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924093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164</w:t>
            </w:r>
          </w:p>
        </w:tc>
        <w:tc>
          <w:tcPr>
            <w:tcW w:w="0" w:type="auto"/>
            <w:shd w:val="clear" w:color="auto" w:fill="CFF0FC"/>
            <w:noWrap/>
            <w:vAlign w:val="bottom"/>
            <w:hideMark/>
          </w:tcPr>
          <w:p w14:paraId="26822B3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8655B34" w14:textId="77777777" w:rsidTr="004B2A77">
        <w:trPr>
          <w:trHeight w:val="180"/>
          <w:tblCellSpacing w:w="15" w:type="dxa"/>
        </w:trPr>
        <w:tc>
          <w:tcPr>
            <w:tcW w:w="0" w:type="auto"/>
            <w:shd w:val="clear" w:color="auto" w:fill="FFFFFF"/>
            <w:hideMark/>
          </w:tcPr>
          <w:p w14:paraId="014EA4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Accumulated Benefit Obligation (ABO)</w:t>
            </w:r>
          </w:p>
        </w:tc>
        <w:tc>
          <w:tcPr>
            <w:tcW w:w="0" w:type="auto"/>
            <w:shd w:val="clear" w:color="auto" w:fill="FFFFFF"/>
            <w:vAlign w:val="bottom"/>
            <w:hideMark/>
          </w:tcPr>
          <w:p w14:paraId="40FBB57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36DA5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08122D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227</w:t>
            </w:r>
          </w:p>
        </w:tc>
        <w:tc>
          <w:tcPr>
            <w:tcW w:w="0" w:type="auto"/>
            <w:shd w:val="clear" w:color="auto" w:fill="FFFFFF"/>
            <w:noWrap/>
            <w:vAlign w:val="bottom"/>
            <w:hideMark/>
          </w:tcPr>
          <w:p w14:paraId="25219E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5D2B6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FBC055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381</w:t>
            </w:r>
          </w:p>
        </w:tc>
        <w:tc>
          <w:tcPr>
            <w:tcW w:w="0" w:type="auto"/>
            <w:shd w:val="clear" w:color="auto" w:fill="FFFFFF"/>
            <w:noWrap/>
            <w:vAlign w:val="bottom"/>
            <w:hideMark/>
          </w:tcPr>
          <w:p w14:paraId="7B264BF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73C85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7DDC3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19A4BD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102</w:t>
            </w:r>
          </w:p>
        </w:tc>
        <w:tc>
          <w:tcPr>
            <w:tcW w:w="0" w:type="auto"/>
            <w:shd w:val="clear" w:color="auto" w:fill="FFFFFF"/>
            <w:noWrap/>
            <w:vAlign w:val="bottom"/>
            <w:hideMark/>
          </w:tcPr>
          <w:p w14:paraId="275B91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EF82F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23DFFB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132</w:t>
            </w:r>
          </w:p>
        </w:tc>
        <w:tc>
          <w:tcPr>
            <w:tcW w:w="0" w:type="auto"/>
            <w:shd w:val="clear" w:color="auto" w:fill="FFFFFF"/>
            <w:noWrap/>
            <w:vAlign w:val="bottom"/>
            <w:hideMark/>
          </w:tcPr>
          <w:p w14:paraId="6F86FB5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C9E5C0E" w14:textId="77777777" w:rsidTr="004B2A77">
        <w:trPr>
          <w:trHeight w:val="180"/>
          <w:tblCellSpacing w:w="15" w:type="dxa"/>
        </w:trPr>
        <w:tc>
          <w:tcPr>
            <w:tcW w:w="0" w:type="auto"/>
            <w:shd w:val="clear" w:color="auto" w:fill="CFF0FC"/>
            <w:hideMark/>
          </w:tcPr>
          <w:p w14:paraId="536893A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Fair value of plan assets</w:t>
            </w:r>
          </w:p>
        </w:tc>
        <w:tc>
          <w:tcPr>
            <w:tcW w:w="0" w:type="auto"/>
            <w:shd w:val="clear" w:color="auto" w:fill="CFF0FC"/>
            <w:vAlign w:val="bottom"/>
            <w:hideMark/>
          </w:tcPr>
          <w:p w14:paraId="6DF595F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186B0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72DBF8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201</w:t>
            </w:r>
          </w:p>
        </w:tc>
        <w:tc>
          <w:tcPr>
            <w:tcW w:w="0" w:type="auto"/>
            <w:shd w:val="clear" w:color="auto" w:fill="CFF0FC"/>
            <w:noWrap/>
            <w:vAlign w:val="bottom"/>
            <w:hideMark/>
          </w:tcPr>
          <w:p w14:paraId="211A15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0B0469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58FCFC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343</w:t>
            </w:r>
          </w:p>
        </w:tc>
        <w:tc>
          <w:tcPr>
            <w:tcW w:w="0" w:type="auto"/>
            <w:shd w:val="clear" w:color="auto" w:fill="CFF0FC"/>
            <w:noWrap/>
            <w:vAlign w:val="bottom"/>
            <w:hideMark/>
          </w:tcPr>
          <w:p w14:paraId="7921DB3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2E4C9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E0335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C15ED7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w:t>
            </w:r>
          </w:p>
        </w:tc>
        <w:tc>
          <w:tcPr>
            <w:tcW w:w="0" w:type="auto"/>
            <w:shd w:val="clear" w:color="auto" w:fill="CFF0FC"/>
            <w:noWrap/>
            <w:vAlign w:val="bottom"/>
            <w:hideMark/>
          </w:tcPr>
          <w:p w14:paraId="1043B03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FCD15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9B863C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w:t>
            </w:r>
          </w:p>
        </w:tc>
        <w:tc>
          <w:tcPr>
            <w:tcW w:w="0" w:type="auto"/>
            <w:shd w:val="clear" w:color="auto" w:fill="CFF0FC"/>
            <w:noWrap/>
            <w:vAlign w:val="bottom"/>
            <w:hideMark/>
          </w:tcPr>
          <w:p w14:paraId="41D893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523E496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3A9380E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in consultation with its actuarial advisors, determines certain key assumptions to be used in calculating the projected benefit obligation and annual net periodic benefit cost.</w:t>
      </w:r>
    </w:p>
    <w:p w14:paraId="47C4575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ASSUMPTIONS USED TO DETERMINE THE BENEFIT OBLIGATIONS AS OF DECEMBER 31</w:t>
      </w:r>
    </w:p>
    <w:p w14:paraId="52575409"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8553" w:type="dxa"/>
        <w:tblCellSpacing w:w="15" w:type="dxa"/>
        <w:tblCellMar>
          <w:top w:w="15" w:type="dxa"/>
          <w:left w:w="15" w:type="dxa"/>
          <w:bottom w:w="15" w:type="dxa"/>
          <w:right w:w="15" w:type="dxa"/>
        </w:tblCellMar>
        <w:tblLook w:val="04A0" w:firstRow="1" w:lastRow="0" w:firstColumn="1" w:lastColumn="0" w:noHBand="0" w:noVBand="1"/>
      </w:tblPr>
      <w:tblGrid>
        <w:gridCol w:w="9175"/>
        <w:gridCol w:w="213"/>
        <w:gridCol w:w="211"/>
        <w:gridCol w:w="1651"/>
        <w:gridCol w:w="211"/>
        <w:gridCol w:w="212"/>
        <w:gridCol w:w="211"/>
        <w:gridCol w:w="1742"/>
        <w:gridCol w:w="211"/>
        <w:gridCol w:w="271"/>
        <w:gridCol w:w="2079"/>
        <w:gridCol w:w="271"/>
        <w:gridCol w:w="2095"/>
      </w:tblGrid>
      <w:tr w:rsidR="004B2A77" w:rsidRPr="004B2A77" w14:paraId="3221CE5C" w14:textId="77777777" w:rsidTr="004B2A77">
        <w:trPr>
          <w:tblCellSpacing w:w="15" w:type="dxa"/>
        </w:trPr>
        <w:tc>
          <w:tcPr>
            <w:tcW w:w="9147" w:type="dxa"/>
            <w:vAlign w:val="center"/>
            <w:hideMark/>
          </w:tcPr>
          <w:p w14:paraId="7B3FB648"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84" w:type="dxa"/>
            <w:vAlign w:val="center"/>
            <w:hideMark/>
          </w:tcPr>
          <w:p w14:paraId="5640E04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1" w:type="dxa"/>
            <w:vAlign w:val="center"/>
            <w:hideMark/>
          </w:tcPr>
          <w:p w14:paraId="11E8712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24" w:type="dxa"/>
            <w:vAlign w:val="center"/>
            <w:hideMark/>
          </w:tcPr>
          <w:p w14:paraId="1D491CC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1" w:type="dxa"/>
            <w:vAlign w:val="center"/>
            <w:hideMark/>
          </w:tcPr>
          <w:p w14:paraId="18E2396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2" w:type="dxa"/>
            <w:vAlign w:val="center"/>
            <w:hideMark/>
          </w:tcPr>
          <w:p w14:paraId="39C07A2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1" w:type="dxa"/>
            <w:vAlign w:val="center"/>
            <w:hideMark/>
          </w:tcPr>
          <w:p w14:paraId="281B3FA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15" w:type="dxa"/>
            <w:vAlign w:val="center"/>
            <w:hideMark/>
          </w:tcPr>
          <w:p w14:paraId="3865AB7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1" w:type="dxa"/>
            <w:vAlign w:val="center"/>
            <w:hideMark/>
          </w:tcPr>
          <w:p w14:paraId="2F6F6D6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1" w:type="dxa"/>
            <w:vAlign w:val="center"/>
            <w:hideMark/>
          </w:tcPr>
          <w:p w14:paraId="60C5410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52" w:type="dxa"/>
            <w:vAlign w:val="center"/>
            <w:hideMark/>
          </w:tcPr>
          <w:p w14:paraId="0A5D0C0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41" w:type="dxa"/>
            <w:vAlign w:val="center"/>
            <w:hideMark/>
          </w:tcPr>
          <w:p w14:paraId="2EA42C6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53" w:type="dxa"/>
            <w:vAlign w:val="center"/>
            <w:hideMark/>
          </w:tcPr>
          <w:p w14:paraId="6B478763"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EA1AF70" w14:textId="77777777" w:rsidTr="004B2A77">
        <w:trPr>
          <w:trHeight w:val="160"/>
          <w:tblCellSpacing w:w="15" w:type="dxa"/>
        </w:trPr>
        <w:tc>
          <w:tcPr>
            <w:tcW w:w="0" w:type="auto"/>
            <w:shd w:val="clear" w:color="auto" w:fill="FFFFFF"/>
            <w:vAlign w:val="bottom"/>
            <w:hideMark/>
          </w:tcPr>
          <w:p w14:paraId="55F680C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CB6441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6"/>
            <w:tcBorders>
              <w:bottom w:val="single" w:sz="4" w:space="0" w:color="000000"/>
            </w:tcBorders>
            <w:shd w:val="clear" w:color="auto" w:fill="FFFFFF"/>
            <w:vAlign w:val="bottom"/>
            <w:hideMark/>
          </w:tcPr>
          <w:p w14:paraId="275E968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72C2464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20E442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3"/>
            <w:tcBorders>
              <w:bottom w:val="single" w:sz="4" w:space="0" w:color="000000"/>
            </w:tcBorders>
            <w:shd w:val="clear" w:color="auto" w:fill="FFFFFF"/>
            <w:vAlign w:val="bottom"/>
            <w:hideMark/>
          </w:tcPr>
          <w:p w14:paraId="1859F89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r w:rsidRPr="004B2A77">
              <w:rPr>
                <w:rFonts w:ascii="Arial" w:eastAsia="宋体" w:hAnsi="Arial" w:cs="Arial"/>
                <w:b/>
                <w:bCs/>
                <w:color w:val="000000"/>
                <w:kern w:val="0"/>
                <w:sz w:val="11"/>
                <w:szCs w:val="11"/>
              </w:rPr>
              <w:t>1)</w:t>
            </w:r>
          </w:p>
        </w:tc>
      </w:tr>
      <w:tr w:rsidR="004B2A77" w:rsidRPr="004B2A77" w14:paraId="50CC17D0" w14:textId="77777777" w:rsidTr="004B2A77">
        <w:trPr>
          <w:trHeight w:val="160"/>
          <w:tblCellSpacing w:w="15" w:type="dxa"/>
        </w:trPr>
        <w:tc>
          <w:tcPr>
            <w:tcW w:w="0" w:type="auto"/>
            <w:shd w:val="clear" w:color="auto" w:fill="FFFFFF"/>
            <w:vAlign w:val="bottom"/>
            <w:hideMark/>
          </w:tcPr>
          <w:p w14:paraId="2BD4309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 Weighted average / % Range)</w:t>
            </w:r>
          </w:p>
        </w:tc>
        <w:tc>
          <w:tcPr>
            <w:tcW w:w="0" w:type="auto"/>
            <w:shd w:val="clear" w:color="auto" w:fill="FFFFFF"/>
            <w:vAlign w:val="bottom"/>
            <w:hideMark/>
          </w:tcPr>
          <w:p w14:paraId="0658964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F88F21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13BC11D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105CC8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685672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6D3683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7752A58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tcBorders>
              <w:bottom w:val="single" w:sz="4" w:space="0" w:color="000000"/>
            </w:tcBorders>
            <w:shd w:val="clear" w:color="auto" w:fill="FFFFFF"/>
            <w:vAlign w:val="bottom"/>
            <w:hideMark/>
          </w:tcPr>
          <w:p w14:paraId="38A617A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6E6E84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tcBorders>
              <w:bottom w:val="single" w:sz="4" w:space="0" w:color="000000"/>
            </w:tcBorders>
            <w:shd w:val="clear" w:color="auto" w:fill="FFFFFF"/>
            <w:vAlign w:val="bottom"/>
            <w:hideMark/>
          </w:tcPr>
          <w:p w14:paraId="736A51A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r>
      <w:tr w:rsidR="004B2A77" w:rsidRPr="004B2A77" w14:paraId="325DC5F0" w14:textId="77777777" w:rsidTr="004B2A77">
        <w:trPr>
          <w:trHeight w:val="180"/>
          <w:tblCellSpacing w:w="15" w:type="dxa"/>
        </w:trPr>
        <w:tc>
          <w:tcPr>
            <w:tcW w:w="0" w:type="auto"/>
            <w:shd w:val="clear" w:color="auto" w:fill="CFF0FC"/>
            <w:hideMark/>
          </w:tcPr>
          <w:p w14:paraId="40BA68C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Discount rate</w:t>
            </w:r>
          </w:p>
        </w:tc>
        <w:tc>
          <w:tcPr>
            <w:tcW w:w="0" w:type="auto"/>
            <w:shd w:val="clear" w:color="auto" w:fill="CFF0FC"/>
            <w:vAlign w:val="bottom"/>
            <w:hideMark/>
          </w:tcPr>
          <w:p w14:paraId="4A5312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FFD9C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F69AC5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5.41</w:t>
            </w:r>
          </w:p>
        </w:tc>
        <w:tc>
          <w:tcPr>
            <w:tcW w:w="0" w:type="auto"/>
            <w:shd w:val="clear" w:color="auto" w:fill="CFF0FC"/>
            <w:noWrap/>
            <w:vAlign w:val="bottom"/>
            <w:hideMark/>
          </w:tcPr>
          <w:p w14:paraId="4404AD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2721DF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EF413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49BF02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2.77</w:t>
            </w:r>
          </w:p>
        </w:tc>
        <w:tc>
          <w:tcPr>
            <w:tcW w:w="0" w:type="auto"/>
            <w:shd w:val="clear" w:color="auto" w:fill="CFF0FC"/>
            <w:noWrap/>
            <w:vAlign w:val="bottom"/>
            <w:hideMark/>
          </w:tcPr>
          <w:p w14:paraId="0D583D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D4653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E0CCA1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0.75-5.40</w:t>
            </w:r>
          </w:p>
        </w:tc>
        <w:tc>
          <w:tcPr>
            <w:tcW w:w="0" w:type="auto"/>
            <w:shd w:val="clear" w:color="auto" w:fill="CFF0FC"/>
            <w:vAlign w:val="bottom"/>
            <w:hideMark/>
          </w:tcPr>
          <w:p w14:paraId="2BB279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8DF877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0.25-3.20</w:t>
            </w:r>
          </w:p>
        </w:tc>
      </w:tr>
      <w:tr w:rsidR="004B2A77" w:rsidRPr="004B2A77" w14:paraId="7A82628A" w14:textId="77777777" w:rsidTr="004B2A77">
        <w:trPr>
          <w:trHeight w:val="180"/>
          <w:tblCellSpacing w:w="15" w:type="dxa"/>
        </w:trPr>
        <w:tc>
          <w:tcPr>
            <w:tcW w:w="0" w:type="auto"/>
            <w:shd w:val="clear" w:color="auto" w:fill="FFFFFF"/>
            <w:hideMark/>
          </w:tcPr>
          <w:p w14:paraId="527F680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Rate of increases in compensation level</w:t>
            </w:r>
          </w:p>
        </w:tc>
        <w:tc>
          <w:tcPr>
            <w:tcW w:w="0" w:type="auto"/>
            <w:shd w:val="clear" w:color="auto" w:fill="FFFFFF"/>
            <w:vAlign w:val="bottom"/>
            <w:hideMark/>
          </w:tcPr>
          <w:p w14:paraId="7CC66D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6371C69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n/a</w:t>
            </w:r>
          </w:p>
        </w:tc>
        <w:tc>
          <w:tcPr>
            <w:tcW w:w="0" w:type="auto"/>
            <w:shd w:val="clear" w:color="auto" w:fill="FFFFFF"/>
            <w:vAlign w:val="bottom"/>
            <w:hideMark/>
          </w:tcPr>
          <w:p w14:paraId="1EDDAE0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96A54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3F442BE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n/a</w:t>
            </w:r>
          </w:p>
        </w:tc>
        <w:tc>
          <w:tcPr>
            <w:tcW w:w="0" w:type="auto"/>
            <w:shd w:val="clear" w:color="auto" w:fill="FFFFFF"/>
            <w:vAlign w:val="bottom"/>
            <w:hideMark/>
          </w:tcPr>
          <w:p w14:paraId="3554A77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AA423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DBA65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2.00-5.00</w:t>
            </w:r>
          </w:p>
        </w:tc>
        <w:tc>
          <w:tcPr>
            <w:tcW w:w="0" w:type="auto"/>
            <w:shd w:val="clear" w:color="auto" w:fill="FFFFFF"/>
            <w:vAlign w:val="bottom"/>
            <w:hideMark/>
          </w:tcPr>
          <w:p w14:paraId="12D700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D32A21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1.80-4.00</w:t>
            </w:r>
          </w:p>
        </w:tc>
      </w:tr>
    </w:tbl>
    <w:p w14:paraId="770B3BD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0502D284"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ASSUMPTIONS USED TO DETERMINE THE NET PERIODIC BENEFIT COST FOR THE YEARS ENDED DECEMBER 31</w:t>
      </w:r>
    </w:p>
    <w:p w14:paraId="5852C2B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351"/>
        <w:gridCol w:w="193"/>
        <w:gridCol w:w="190"/>
        <w:gridCol w:w="1787"/>
        <w:gridCol w:w="190"/>
        <w:gridCol w:w="195"/>
        <w:gridCol w:w="190"/>
        <w:gridCol w:w="1787"/>
        <w:gridCol w:w="190"/>
        <w:gridCol w:w="195"/>
        <w:gridCol w:w="190"/>
        <w:gridCol w:w="1827"/>
        <w:gridCol w:w="206"/>
      </w:tblGrid>
      <w:tr w:rsidR="004B2A77" w:rsidRPr="004B2A77" w14:paraId="194831D3" w14:textId="77777777" w:rsidTr="004B2A77">
        <w:trPr>
          <w:tblCellSpacing w:w="15" w:type="dxa"/>
        </w:trPr>
        <w:tc>
          <w:tcPr>
            <w:tcW w:w="9325" w:type="dxa"/>
            <w:vAlign w:val="center"/>
            <w:hideMark/>
          </w:tcPr>
          <w:p w14:paraId="7A056349"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163" w:type="dxa"/>
            <w:vAlign w:val="center"/>
            <w:hideMark/>
          </w:tcPr>
          <w:p w14:paraId="3BBEE22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4F7BF8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0" w:type="dxa"/>
            <w:vAlign w:val="center"/>
            <w:hideMark/>
          </w:tcPr>
          <w:p w14:paraId="4F7B561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9A2851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5" w:type="dxa"/>
            <w:vAlign w:val="center"/>
            <w:hideMark/>
          </w:tcPr>
          <w:p w14:paraId="7AD8FAA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113D79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60" w:type="dxa"/>
            <w:vAlign w:val="center"/>
            <w:hideMark/>
          </w:tcPr>
          <w:p w14:paraId="2141B0D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02AEA5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5" w:type="dxa"/>
            <w:vAlign w:val="center"/>
            <w:hideMark/>
          </w:tcPr>
          <w:p w14:paraId="396E216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5104D6B8"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00" w:type="dxa"/>
            <w:vAlign w:val="center"/>
            <w:hideMark/>
          </w:tcPr>
          <w:p w14:paraId="41AE2A4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5199EDE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709C671" w14:textId="77777777" w:rsidTr="004B2A77">
        <w:trPr>
          <w:trHeight w:val="160"/>
          <w:tblCellSpacing w:w="15" w:type="dxa"/>
        </w:trPr>
        <w:tc>
          <w:tcPr>
            <w:tcW w:w="0" w:type="auto"/>
            <w:shd w:val="clear" w:color="auto" w:fill="FFFFFF"/>
            <w:vAlign w:val="bottom"/>
            <w:hideMark/>
          </w:tcPr>
          <w:p w14:paraId="01AC380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6ED5BB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10"/>
            <w:tcBorders>
              <w:bottom w:val="single" w:sz="4" w:space="0" w:color="000000"/>
            </w:tcBorders>
            <w:shd w:val="clear" w:color="auto" w:fill="FFFFFF"/>
            <w:vAlign w:val="bottom"/>
            <w:hideMark/>
          </w:tcPr>
          <w:p w14:paraId="1AE4AE7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5206B99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FF37C54" w14:textId="77777777" w:rsidTr="004B2A77">
        <w:trPr>
          <w:trHeight w:val="160"/>
          <w:tblCellSpacing w:w="15" w:type="dxa"/>
        </w:trPr>
        <w:tc>
          <w:tcPr>
            <w:tcW w:w="0" w:type="auto"/>
            <w:shd w:val="clear" w:color="auto" w:fill="FFFFFF"/>
            <w:vAlign w:val="bottom"/>
            <w:hideMark/>
          </w:tcPr>
          <w:p w14:paraId="7D0EC3E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 Weighted average)</w:t>
            </w:r>
          </w:p>
        </w:tc>
        <w:tc>
          <w:tcPr>
            <w:tcW w:w="0" w:type="auto"/>
            <w:shd w:val="clear" w:color="auto" w:fill="FFFFFF"/>
            <w:vAlign w:val="bottom"/>
            <w:hideMark/>
          </w:tcPr>
          <w:p w14:paraId="3A7F43F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F6072D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7223715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54BFBD0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AC42FE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336D9F4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0F837C9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250AAD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2BB6D41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4D5B53C" w14:textId="77777777" w:rsidTr="004B2A77">
        <w:trPr>
          <w:trHeight w:val="180"/>
          <w:tblCellSpacing w:w="15" w:type="dxa"/>
        </w:trPr>
        <w:tc>
          <w:tcPr>
            <w:tcW w:w="0" w:type="auto"/>
            <w:shd w:val="clear" w:color="auto" w:fill="CFF0FC"/>
            <w:hideMark/>
          </w:tcPr>
          <w:p w14:paraId="5AF573A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Discount rate</w:t>
            </w:r>
          </w:p>
        </w:tc>
        <w:tc>
          <w:tcPr>
            <w:tcW w:w="0" w:type="auto"/>
            <w:shd w:val="clear" w:color="auto" w:fill="CFF0FC"/>
            <w:vAlign w:val="bottom"/>
            <w:hideMark/>
          </w:tcPr>
          <w:p w14:paraId="15630F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45F64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8C69D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2.77</w:t>
            </w:r>
          </w:p>
        </w:tc>
        <w:tc>
          <w:tcPr>
            <w:tcW w:w="0" w:type="auto"/>
            <w:shd w:val="clear" w:color="auto" w:fill="CFF0FC"/>
            <w:noWrap/>
            <w:vAlign w:val="bottom"/>
            <w:hideMark/>
          </w:tcPr>
          <w:p w14:paraId="67C5DB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C7698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CB60B3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ED91AC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2.37</w:t>
            </w:r>
          </w:p>
        </w:tc>
        <w:tc>
          <w:tcPr>
            <w:tcW w:w="0" w:type="auto"/>
            <w:shd w:val="clear" w:color="auto" w:fill="CFF0FC"/>
            <w:noWrap/>
            <w:vAlign w:val="bottom"/>
            <w:hideMark/>
          </w:tcPr>
          <w:p w14:paraId="79E5A1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9626D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021589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A50C48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3.25</w:t>
            </w:r>
          </w:p>
        </w:tc>
        <w:tc>
          <w:tcPr>
            <w:tcW w:w="0" w:type="auto"/>
            <w:shd w:val="clear" w:color="auto" w:fill="CFF0FC"/>
            <w:noWrap/>
            <w:vAlign w:val="bottom"/>
            <w:hideMark/>
          </w:tcPr>
          <w:p w14:paraId="778FDB1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DD7CAEC" w14:textId="77777777" w:rsidTr="004B2A77">
        <w:trPr>
          <w:trHeight w:val="180"/>
          <w:tblCellSpacing w:w="15" w:type="dxa"/>
        </w:trPr>
        <w:tc>
          <w:tcPr>
            <w:tcW w:w="0" w:type="auto"/>
            <w:shd w:val="clear" w:color="auto" w:fill="FFFFFF"/>
            <w:hideMark/>
          </w:tcPr>
          <w:p w14:paraId="7596A6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Rate of increases in compensation level</w:t>
            </w:r>
          </w:p>
        </w:tc>
        <w:tc>
          <w:tcPr>
            <w:tcW w:w="0" w:type="auto"/>
            <w:shd w:val="clear" w:color="auto" w:fill="FFFFFF"/>
            <w:vAlign w:val="bottom"/>
            <w:hideMark/>
          </w:tcPr>
          <w:p w14:paraId="2F811E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0788AB8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n/a</w:t>
            </w:r>
          </w:p>
        </w:tc>
        <w:tc>
          <w:tcPr>
            <w:tcW w:w="0" w:type="auto"/>
            <w:shd w:val="clear" w:color="auto" w:fill="FFFFFF"/>
            <w:vAlign w:val="bottom"/>
            <w:hideMark/>
          </w:tcPr>
          <w:p w14:paraId="2128D48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66CFB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DF594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14EFCE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2.65</w:t>
            </w:r>
          </w:p>
        </w:tc>
        <w:tc>
          <w:tcPr>
            <w:tcW w:w="0" w:type="auto"/>
            <w:shd w:val="clear" w:color="auto" w:fill="FFFFFF"/>
            <w:noWrap/>
            <w:vAlign w:val="bottom"/>
            <w:hideMark/>
          </w:tcPr>
          <w:p w14:paraId="6E48A3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3B441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53B34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6429C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2.65</w:t>
            </w:r>
          </w:p>
        </w:tc>
        <w:tc>
          <w:tcPr>
            <w:tcW w:w="0" w:type="auto"/>
            <w:shd w:val="clear" w:color="auto" w:fill="FFFFFF"/>
            <w:noWrap/>
            <w:vAlign w:val="bottom"/>
            <w:hideMark/>
          </w:tcPr>
          <w:p w14:paraId="3CA3AAA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D5635A9" w14:textId="77777777" w:rsidTr="004B2A77">
        <w:trPr>
          <w:trHeight w:val="180"/>
          <w:tblCellSpacing w:w="15" w:type="dxa"/>
        </w:trPr>
        <w:tc>
          <w:tcPr>
            <w:tcW w:w="0" w:type="auto"/>
            <w:shd w:val="clear" w:color="auto" w:fill="CFF0FC"/>
            <w:hideMark/>
          </w:tcPr>
          <w:p w14:paraId="0A90A74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Expected long-term rate of return on assets</w:t>
            </w:r>
          </w:p>
        </w:tc>
        <w:tc>
          <w:tcPr>
            <w:tcW w:w="0" w:type="auto"/>
            <w:shd w:val="clear" w:color="auto" w:fill="CFF0FC"/>
            <w:vAlign w:val="bottom"/>
            <w:hideMark/>
          </w:tcPr>
          <w:p w14:paraId="6A6E76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AC71A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33E3C5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5.05</w:t>
            </w:r>
          </w:p>
        </w:tc>
        <w:tc>
          <w:tcPr>
            <w:tcW w:w="0" w:type="auto"/>
            <w:shd w:val="clear" w:color="auto" w:fill="CFF0FC"/>
            <w:noWrap/>
            <w:vAlign w:val="bottom"/>
            <w:hideMark/>
          </w:tcPr>
          <w:p w14:paraId="759E69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94798B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ABA59C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A12209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5.05</w:t>
            </w:r>
          </w:p>
        </w:tc>
        <w:tc>
          <w:tcPr>
            <w:tcW w:w="0" w:type="auto"/>
            <w:shd w:val="clear" w:color="auto" w:fill="CFF0FC"/>
            <w:noWrap/>
            <w:vAlign w:val="bottom"/>
            <w:hideMark/>
          </w:tcPr>
          <w:p w14:paraId="34786A9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9EE0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C0DE1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B93949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5.05</w:t>
            </w:r>
          </w:p>
        </w:tc>
        <w:tc>
          <w:tcPr>
            <w:tcW w:w="0" w:type="auto"/>
            <w:shd w:val="clear" w:color="auto" w:fill="CFF0FC"/>
            <w:noWrap/>
            <w:vAlign w:val="bottom"/>
            <w:hideMark/>
          </w:tcPr>
          <w:p w14:paraId="37B7B2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0F5558A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394"/>
        <w:gridCol w:w="254"/>
        <w:gridCol w:w="2103"/>
        <w:gridCol w:w="254"/>
        <w:gridCol w:w="2103"/>
        <w:gridCol w:w="254"/>
        <w:gridCol w:w="2129"/>
      </w:tblGrid>
      <w:tr w:rsidR="004B2A77" w:rsidRPr="004B2A77" w14:paraId="56214963" w14:textId="77777777" w:rsidTr="004B2A77">
        <w:trPr>
          <w:tblCellSpacing w:w="15" w:type="dxa"/>
        </w:trPr>
        <w:tc>
          <w:tcPr>
            <w:tcW w:w="9369" w:type="dxa"/>
            <w:vAlign w:val="center"/>
            <w:hideMark/>
          </w:tcPr>
          <w:p w14:paraId="5836EAB7"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4" w:type="dxa"/>
            <w:vAlign w:val="center"/>
            <w:hideMark/>
          </w:tcPr>
          <w:p w14:paraId="4DD7457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77" w:type="dxa"/>
            <w:vAlign w:val="center"/>
            <w:hideMark/>
          </w:tcPr>
          <w:p w14:paraId="5691086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4" w:type="dxa"/>
            <w:vAlign w:val="center"/>
            <w:hideMark/>
          </w:tcPr>
          <w:p w14:paraId="14FB276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77" w:type="dxa"/>
            <w:vAlign w:val="center"/>
            <w:hideMark/>
          </w:tcPr>
          <w:p w14:paraId="0223CD8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4" w:type="dxa"/>
            <w:vAlign w:val="center"/>
            <w:hideMark/>
          </w:tcPr>
          <w:p w14:paraId="328F5F9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88" w:type="dxa"/>
            <w:vAlign w:val="center"/>
            <w:hideMark/>
          </w:tcPr>
          <w:p w14:paraId="4154327A"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388DA84" w14:textId="77777777" w:rsidTr="004B2A77">
        <w:trPr>
          <w:trHeight w:val="160"/>
          <w:tblCellSpacing w:w="15" w:type="dxa"/>
        </w:trPr>
        <w:tc>
          <w:tcPr>
            <w:tcW w:w="0" w:type="auto"/>
            <w:shd w:val="clear" w:color="auto" w:fill="FFFFFF"/>
            <w:vAlign w:val="bottom"/>
            <w:hideMark/>
          </w:tcPr>
          <w:p w14:paraId="5609375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A9D501D"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5"/>
            <w:tcBorders>
              <w:bottom w:val="single" w:sz="4" w:space="0" w:color="000000"/>
            </w:tcBorders>
            <w:shd w:val="clear" w:color="auto" w:fill="FFFFFF"/>
            <w:vAlign w:val="bottom"/>
            <w:hideMark/>
          </w:tcPr>
          <w:p w14:paraId="401728E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r w:rsidRPr="004B2A77">
              <w:rPr>
                <w:rFonts w:ascii="Arial" w:eastAsia="宋体" w:hAnsi="Arial" w:cs="Arial"/>
                <w:b/>
                <w:bCs/>
                <w:color w:val="000000"/>
                <w:kern w:val="0"/>
                <w:sz w:val="11"/>
                <w:szCs w:val="11"/>
              </w:rPr>
              <w:t>1)</w:t>
            </w:r>
          </w:p>
        </w:tc>
      </w:tr>
      <w:tr w:rsidR="004B2A77" w:rsidRPr="004B2A77" w14:paraId="31AFCC51" w14:textId="77777777" w:rsidTr="004B2A77">
        <w:trPr>
          <w:trHeight w:val="160"/>
          <w:tblCellSpacing w:w="15" w:type="dxa"/>
        </w:trPr>
        <w:tc>
          <w:tcPr>
            <w:tcW w:w="0" w:type="auto"/>
            <w:shd w:val="clear" w:color="auto" w:fill="FFFFFF"/>
            <w:vAlign w:val="bottom"/>
            <w:hideMark/>
          </w:tcPr>
          <w:p w14:paraId="4433E76C"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rPr>
              <w:t>(% Range)</w:t>
            </w:r>
          </w:p>
        </w:tc>
        <w:tc>
          <w:tcPr>
            <w:tcW w:w="0" w:type="auto"/>
            <w:shd w:val="clear" w:color="auto" w:fill="FFFFFF"/>
            <w:vAlign w:val="bottom"/>
            <w:hideMark/>
          </w:tcPr>
          <w:p w14:paraId="1642028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tcBorders>
              <w:bottom w:val="single" w:sz="4" w:space="0" w:color="000000"/>
            </w:tcBorders>
            <w:shd w:val="clear" w:color="auto" w:fill="FFFFFF"/>
            <w:vAlign w:val="bottom"/>
            <w:hideMark/>
          </w:tcPr>
          <w:p w14:paraId="7D68159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1D120BB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tcBorders>
              <w:bottom w:val="single" w:sz="4" w:space="0" w:color="000000"/>
            </w:tcBorders>
            <w:shd w:val="clear" w:color="auto" w:fill="FFFFFF"/>
            <w:vAlign w:val="bottom"/>
            <w:hideMark/>
          </w:tcPr>
          <w:p w14:paraId="58574F4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2888552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tcBorders>
              <w:bottom w:val="single" w:sz="4" w:space="0" w:color="000000"/>
            </w:tcBorders>
            <w:shd w:val="clear" w:color="auto" w:fill="FFFFFF"/>
            <w:vAlign w:val="bottom"/>
            <w:hideMark/>
          </w:tcPr>
          <w:p w14:paraId="1138235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r>
      <w:tr w:rsidR="004B2A77" w:rsidRPr="004B2A77" w14:paraId="61CA681C" w14:textId="77777777" w:rsidTr="004B2A77">
        <w:trPr>
          <w:trHeight w:val="180"/>
          <w:tblCellSpacing w:w="15" w:type="dxa"/>
        </w:trPr>
        <w:tc>
          <w:tcPr>
            <w:tcW w:w="0" w:type="auto"/>
            <w:shd w:val="clear" w:color="auto" w:fill="CFF0FC"/>
            <w:hideMark/>
          </w:tcPr>
          <w:p w14:paraId="403E1C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Discount rate</w:t>
            </w:r>
          </w:p>
        </w:tc>
        <w:tc>
          <w:tcPr>
            <w:tcW w:w="0" w:type="auto"/>
            <w:shd w:val="clear" w:color="auto" w:fill="CFF0FC"/>
            <w:vAlign w:val="bottom"/>
            <w:hideMark/>
          </w:tcPr>
          <w:p w14:paraId="29E611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A2D720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0.25-3.20</w:t>
            </w:r>
          </w:p>
        </w:tc>
        <w:tc>
          <w:tcPr>
            <w:tcW w:w="0" w:type="auto"/>
            <w:shd w:val="clear" w:color="auto" w:fill="CFF0FC"/>
            <w:vAlign w:val="bottom"/>
            <w:hideMark/>
          </w:tcPr>
          <w:p w14:paraId="3C7BE3A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7D9ACE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0.25-2.70</w:t>
            </w:r>
          </w:p>
        </w:tc>
        <w:tc>
          <w:tcPr>
            <w:tcW w:w="0" w:type="auto"/>
            <w:shd w:val="clear" w:color="auto" w:fill="CFF0FC"/>
            <w:vAlign w:val="bottom"/>
            <w:hideMark/>
          </w:tcPr>
          <w:p w14:paraId="74CBD4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AA2C77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0.25-2.70</w:t>
            </w:r>
          </w:p>
        </w:tc>
      </w:tr>
      <w:tr w:rsidR="004B2A77" w:rsidRPr="004B2A77" w14:paraId="6D0E9B92" w14:textId="77777777" w:rsidTr="004B2A77">
        <w:trPr>
          <w:trHeight w:val="180"/>
          <w:tblCellSpacing w:w="15" w:type="dxa"/>
        </w:trPr>
        <w:tc>
          <w:tcPr>
            <w:tcW w:w="0" w:type="auto"/>
            <w:shd w:val="clear" w:color="auto" w:fill="FFFFFF"/>
            <w:hideMark/>
          </w:tcPr>
          <w:p w14:paraId="2D08D2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lastRenderedPageBreak/>
              <w:t>Rate of increases in compensation level</w:t>
            </w:r>
          </w:p>
        </w:tc>
        <w:tc>
          <w:tcPr>
            <w:tcW w:w="0" w:type="auto"/>
            <w:shd w:val="clear" w:color="auto" w:fill="FFFFFF"/>
            <w:vAlign w:val="bottom"/>
            <w:hideMark/>
          </w:tcPr>
          <w:p w14:paraId="46726BF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EA5E2F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1.80-4.00</w:t>
            </w:r>
          </w:p>
        </w:tc>
        <w:tc>
          <w:tcPr>
            <w:tcW w:w="0" w:type="auto"/>
            <w:shd w:val="clear" w:color="auto" w:fill="FFFFFF"/>
            <w:vAlign w:val="bottom"/>
            <w:hideMark/>
          </w:tcPr>
          <w:p w14:paraId="2D00E2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60191E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1.80-4.00</w:t>
            </w:r>
          </w:p>
        </w:tc>
        <w:tc>
          <w:tcPr>
            <w:tcW w:w="0" w:type="auto"/>
            <w:shd w:val="clear" w:color="auto" w:fill="FFFFFF"/>
            <w:vAlign w:val="bottom"/>
            <w:hideMark/>
          </w:tcPr>
          <w:p w14:paraId="5547E71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27A68A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2.00-5.00</w:t>
            </w:r>
          </w:p>
        </w:tc>
      </w:tr>
      <w:tr w:rsidR="004B2A77" w:rsidRPr="004B2A77" w14:paraId="0FCD5EF3" w14:textId="77777777" w:rsidTr="004B2A77">
        <w:trPr>
          <w:trHeight w:val="180"/>
          <w:tblCellSpacing w:w="15" w:type="dxa"/>
        </w:trPr>
        <w:tc>
          <w:tcPr>
            <w:tcW w:w="0" w:type="auto"/>
            <w:shd w:val="clear" w:color="auto" w:fill="CFF0FC"/>
            <w:hideMark/>
          </w:tcPr>
          <w:p w14:paraId="647331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Expected long-term rate of return on assets</w:t>
            </w:r>
          </w:p>
        </w:tc>
        <w:tc>
          <w:tcPr>
            <w:tcW w:w="0" w:type="auto"/>
            <w:shd w:val="clear" w:color="auto" w:fill="CFF0FC"/>
            <w:vAlign w:val="bottom"/>
            <w:hideMark/>
          </w:tcPr>
          <w:p w14:paraId="3239AA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94B27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1.70-2.20</w:t>
            </w:r>
          </w:p>
        </w:tc>
        <w:tc>
          <w:tcPr>
            <w:tcW w:w="0" w:type="auto"/>
            <w:shd w:val="clear" w:color="auto" w:fill="CFF0FC"/>
            <w:vAlign w:val="bottom"/>
            <w:hideMark/>
          </w:tcPr>
          <w:p w14:paraId="033D23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B8CE24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1.40-2.25</w:t>
            </w:r>
          </w:p>
        </w:tc>
        <w:tc>
          <w:tcPr>
            <w:tcW w:w="0" w:type="auto"/>
            <w:shd w:val="clear" w:color="auto" w:fill="CFF0FC"/>
            <w:vAlign w:val="bottom"/>
            <w:hideMark/>
          </w:tcPr>
          <w:p w14:paraId="46D0C0B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17EFD6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1.50-2.25</w:t>
            </w:r>
          </w:p>
        </w:tc>
      </w:tr>
    </w:tbl>
    <w:p w14:paraId="54C038A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6D4AA7E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The Non-U.S. weighted average plan ranges in the tables above represent significant plans only.</w:t>
      </w:r>
    </w:p>
    <w:p w14:paraId="64190497"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discount rate for the U.S. plans has been set based on the rates of return on high-quality fixed-income investments currently available at the measurement date and expected to be available during the period the benefits will be paid. The expected timing of cash flows from the plan has also been considered in selecting the discount rate. In particular, the yields on bonds rated AA or better on the measurement date have been used to set the discount rate. The discount rate for the U.K. plan has been set based on the weighted average yields on long-term high-grade corporate bonds and is determined by reference to financial markets on the measurement date.</w:t>
      </w:r>
    </w:p>
    <w:p w14:paraId="2ED1F87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expected rate of increase in compensation levels and long-term rate of return on plan assets are determined based on a number of factors and must take into account long-term expectations and reflect the financial environment in the respective local market. The expected return on assets for the U.S. and U.K. plans are based on the fair value of the assets as of December 31.</w:t>
      </w:r>
    </w:p>
    <w:p w14:paraId="4834A38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level of equity exposure is currently targeted at approximately 40% for the primary U.S. plan. The investment objective is to provide an attractive risk-adjusted return that will ensure the payment of benefits while protecting against the risk of substantial investment losses. Correlations among the asset classes are used to identify an asset mix that Autoliv believes will provide the most attractive returns. Long-term return forecasts for each asset class using historical data and other qualitative considerations to adjust for projected economic forecasts are used to set the expected rate of return for the entire portfolio. The Company has assumed a long-term rate of return on the U.S. plan assets of 5.05% for calculating the 2022 expense and 5.05% for calculating the 2023 expense.</w:t>
      </w:r>
    </w:p>
    <w:p w14:paraId="2672266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assumed a long-term rate of return on the non-U.S. plan assets in a range of 1.70-2.20% for 2022. The closed U.K. plan, which has a targeted and actual allocation of almost 100% debt instruments, accounts for approximately 74% of the total non-U.S. plan assets.</w:t>
      </w:r>
    </w:p>
    <w:p w14:paraId="0438AF7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Autoliv made contributions to the U.S. plan during 2022 and 2021 amounting to $3 million and $15 million, respectively. Contributions to the U.K. plan during 2022 and 2021 amounted to $2 million and $2 million, respectively. The Company expects to contribute $1 million to its U.S. pension plan in 2023 and is currently projecting a yearly funding at the same level in the years thereafter. For the UK pension plan, which is the most significant non-U.S. pension plan, the Company expects to contribute $2 million in 2023 and in the years thereafter.</w:t>
      </w:r>
    </w:p>
    <w:p w14:paraId="0DAF29F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86</w:t>
      </w:r>
    </w:p>
    <w:p w14:paraId="13EAA1A2" w14:textId="77777777" w:rsidR="004B2A77" w:rsidRPr="004B2A77" w:rsidRDefault="004B2A77" w:rsidP="004B2A77">
      <w:pPr>
        <w:widowControl/>
        <w:jc w:val="left"/>
        <w:rPr>
          <w:rFonts w:ascii="Arial" w:eastAsia="宋体" w:hAnsi="Arial" w:cs="Arial"/>
          <w:color w:val="000000"/>
          <w:kern w:val="0"/>
          <w:sz w:val="24"/>
          <w:szCs w:val="24"/>
        </w:rPr>
      </w:pPr>
      <w:r w:rsidRPr="004B2A77">
        <w:rPr>
          <w:rFonts w:ascii="Arial" w:eastAsia="宋体" w:hAnsi="Arial" w:cs="Arial"/>
          <w:color w:val="000000"/>
          <w:kern w:val="0"/>
          <w:sz w:val="24"/>
          <w:szCs w:val="24"/>
        </w:rPr>
        <w:pict w14:anchorId="287D0DDF">
          <v:rect id="_x0000_i1113" style="width:0;height:1.5pt" o:hralign="center" o:hrstd="t" o:hr="t" fillcolor="#a0a0a0" stroked="f"/>
        </w:pict>
      </w:r>
    </w:p>
    <w:p w14:paraId="2B478BB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2C7800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FAIR VALUE OF TOTAL PLAN ASSETS FOR THE YEARS ENDED DECEMBER 31</w:t>
      </w:r>
    </w:p>
    <w:p w14:paraId="6A86C41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9431"/>
        <w:gridCol w:w="232"/>
        <w:gridCol w:w="229"/>
        <w:gridCol w:w="1692"/>
        <w:gridCol w:w="230"/>
        <w:gridCol w:w="233"/>
        <w:gridCol w:w="230"/>
        <w:gridCol w:w="1507"/>
        <w:gridCol w:w="230"/>
        <w:gridCol w:w="230"/>
        <w:gridCol w:w="1696"/>
        <w:gridCol w:w="230"/>
        <w:gridCol w:w="235"/>
        <w:gridCol w:w="230"/>
        <w:gridCol w:w="1507"/>
        <w:gridCol w:w="230"/>
        <w:gridCol w:w="230"/>
        <w:gridCol w:w="1766"/>
        <w:gridCol w:w="246"/>
      </w:tblGrid>
      <w:tr w:rsidR="004B2A77" w:rsidRPr="004B2A77" w14:paraId="5DDBFB2B" w14:textId="77777777" w:rsidTr="004B2A77">
        <w:trPr>
          <w:tblCellSpacing w:w="15" w:type="dxa"/>
        </w:trPr>
        <w:tc>
          <w:tcPr>
            <w:tcW w:w="9405" w:type="dxa"/>
            <w:vAlign w:val="center"/>
            <w:hideMark/>
          </w:tcPr>
          <w:p w14:paraId="4F1D6778"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3" w:type="dxa"/>
            <w:vAlign w:val="center"/>
            <w:hideMark/>
          </w:tcPr>
          <w:p w14:paraId="36173A8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42C9E3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5" w:type="dxa"/>
            <w:vAlign w:val="center"/>
            <w:hideMark/>
          </w:tcPr>
          <w:p w14:paraId="2EBE69A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59E875C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45FA1C2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27177A2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79" w:type="dxa"/>
            <w:vAlign w:val="center"/>
            <w:hideMark/>
          </w:tcPr>
          <w:p w14:paraId="4AB636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4B645A9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63F4083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69" w:type="dxa"/>
            <w:vAlign w:val="center"/>
            <w:hideMark/>
          </w:tcPr>
          <w:p w14:paraId="23EB995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20659D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5" w:type="dxa"/>
            <w:vAlign w:val="center"/>
            <w:hideMark/>
          </w:tcPr>
          <w:p w14:paraId="75669854"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7BEEB55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79" w:type="dxa"/>
            <w:vAlign w:val="center"/>
            <w:hideMark/>
          </w:tcPr>
          <w:p w14:paraId="0FAEC65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3EFC7A7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0" w:type="dxa"/>
            <w:vAlign w:val="center"/>
            <w:hideMark/>
          </w:tcPr>
          <w:p w14:paraId="76F3B05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39" w:type="dxa"/>
            <w:vAlign w:val="center"/>
            <w:hideMark/>
          </w:tcPr>
          <w:p w14:paraId="7DC052B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1" w:type="dxa"/>
            <w:vAlign w:val="center"/>
            <w:hideMark/>
          </w:tcPr>
          <w:p w14:paraId="56322C57"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5607C4B" w14:textId="77777777" w:rsidTr="004B2A77">
        <w:trPr>
          <w:trHeight w:val="160"/>
          <w:tblCellSpacing w:w="15" w:type="dxa"/>
        </w:trPr>
        <w:tc>
          <w:tcPr>
            <w:tcW w:w="0" w:type="auto"/>
            <w:shd w:val="clear" w:color="auto" w:fill="FFFFFF"/>
            <w:vAlign w:val="bottom"/>
            <w:hideMark/>
          </w:tcPr>
          <w:p w14:paraId="5B3F7A3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D4132E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94B93D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2373DF4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F4A3CE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5"/>
            <w:tcBorders>
              <w:bottom w:val="single" w:sz="4" w:space="0" w:color="000000"/>
            </w:tcBorders>
            <w:shd w:val="clear" w:color="auto" w:fill="FFFFFF"/>
            <w:vAlign w:val="bottom"/>
            <w:hideMark/>
          </w:tcPr>
          <w:p w14:paraId="4E10338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5E959D4E"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CC09C51"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5"/>
            <w:tcBorders>
              <w:bottom w:val="single" w:sz="4" w:space="0" w:color="000000"/>
            </w:tcBorders>
            <w:shd w:val="clear" w:color="auto" w:fill="FFFFFF"/>
            <w:vAlign w:val="bottom"/>
            <w:hideMark/>
          </w:tcPr>
          <w:p w14:paraId="7439A73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p>
        </w:tc>
        <w:tc>
          <w:tcPr>
            <w:tcW w:w="0" w:type="auto"/>
            <w:shd w:val="clear" w:color="auto" w:fill="FFFFFF"/>
            <w:vAlign w:val="bottom"/>
            <w:hideMark/>
          </w:tcPr>
          <w:p w14:paraId="62D1CAD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E2D8B06" w14:textId="77777777" w:rsidTr="004B2A77">
        <w:trPr>
          <w:trHeight w:val="160"/>
          <w:tblCellSpacing w:w="15" w:type="dxa"/>
        </w:trPr>
        <w:tc>
          <w:tcPr>
            <w:tcW w:w="0" w:type="auto"/>
            <w:shd w:val="clear" w:color="auto" w:fill="FFFFFF"/>
            <w:vAlign w:val="bottom"/>
            <w:hideMark/>
          </w:tcPr>
          <w:p w14:paraId="018D1454"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lastRenderedPageBreak/>
              <w:t xml:space="preserve">ASSETS CATEGORY </w:t>
            </w:r>
            <w:r w:rsidRPr="004B2A77">
              <w:rPr>
                <w:rFonts w:ascii="Arial" w:eastAsia="宋体" w:hAnsi="Arial" w:cs="Arial"/>
                <w:color w:val="000000"/>
                <w:kern w:val="0"/>
                <w:sz w:val="16"/>
                <w:szCs w:val="16"/>
              </w:rPr>
              <w:t>(% Weighted average)</w:t>
            </w:r>
          </w:p>
        </w:tc>
        <w:tc>
          <w:tcPr>
            <w:tcW w:w="0" w:type="auto"/>
            <w:shd w:val="clear" w:color="auto" w:fill="FFFFFF"/>
            <w:vAlign w:val="bottom"/>
            <w:hideMark/>
          </w:tcPr>
          <w:p w14:paraId="1C518E2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FC6DAA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Target</w:t>
            </w:r>
            <w:r w:rsidRPr="004B2A77">
              <w:rPr>
                <w:rFonts w:ascii="Arial" w:eastAsia="宋体" w:hAnsi="Arial" w:cs="Arial"/>
                <w:b/>
                <w:bCs/>
                <w:color w:val="000000"/>
                <w:kern w:val="0"/>
                <w:sz w:val="16"/>
                <w:szCs w:val="16"/>
              </w:rPr>
              <w:br/>
              <w:t>allocation</w:t>
            </w:r>
          </w:p>
        </w:tc>
        <w:tc>
          <w:tcPr>
            <w:tcW w:w="0" w:type="auto"/>
            <w:shd w:val="clear" w:color="auto" w:fill="FFFFFF"/>
            <w:vAlign w:val="bottom"/>
            <w:hideMark/>
          </w:tcPr>
          <w:p w14:paraId="0AC06E9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35F4E3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A48E9D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6A3F2CE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4AB61C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DD3F04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16B5C8D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6E6629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5F60A16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191BE95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5ED4A0E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3773BD1B" w14:textId="77777777" w:rsidTr="004B2A77">
        <w:trPr>
          <w:trHeight w:val="180"/>
          <w:tblCellSpacing w:w="15" w:type="dxa"/>
        </w:trPr>
        <w:tc>
          <w:tcPr>
            <w:tcW w:w="0" w:type="auto"/>
            <w:shd w:val="clear" w:color="auto" w:fill="CFF0FC"/>
            <w:hideMark/>
          </w:tcPr>
          <w:p w14:paraId="543B15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Equity securities %</w:t>
            </w:r>
          </w:p>
        </w:tc>
        <w:tc>
          <w:tcPr>
            <w:tcW w:w="0" w:type="auto"/>
            <w:shd w:val="clear" w:color="auto" w:fill="CFF0FC"/>
            <w:vAlign w:val="bottom"/>
            <w:hideMark/>
          </w:tcPr>
          <w:p w14:paraId="79A69CC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7D97F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E0D3D8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40</w:t>
            </w:r>
          </w:p>
        </w:tc>
        <w:tc>
          <w:tcPr>
            <w:tcW w:w="0" w:type="auto"/>
            <w:shd w:val="clear" w:color="auto" w:fill="CFF0FC"/>
            <w:noWrap/>
            <w:vAlign w:val="bottom"/>
            <w:hideMark/>
          </w:tcPr>
          <w:p w14:paraId="1CFD3D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A23B3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6B249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0C5FA8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23</w:t>
            </w:r>
          </w:p>
        </w:tc>
        <w:tc>
          <w:tcPr>
            <w:tcW w:w="0" w:type="auto"/>
            <w:shd w:val="clear" w:color="auto" w:fill="CFF0FC"/>
            <w:noWrap/>
            <w:vAlign w:val="bottom"/>
            <w:hideMark/>
          </w:tcPr>
          <w:p w14:paraId="46295B6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BA414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0B9EDC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42</w:t>
            </w:r>
          </w:p>
        </w:tc>
        <w:tc>
          <w:tcPr>
            <w:tcW w:w="0" w:type="auto"/>
            <w:shd w:val="clear" w:color="auto" w:fill="CFF0FC"/>
            <w:noWrap/>
            <w:vAlign w:val="bottom"/>
            <w:hideMark/>
          </w:tcPr>
          <w:p w14:paraId="17E345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4EF374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82802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1FF1BF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12E0380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ED357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CDCA18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w:t>
            </w:r>
          </w:p>
        </w:tc>
        <w:tc>
          <w:tcPr>
            <w:tcW w:w="0" w:type="auto"/>
            <w:shd w:val="clear" w:color="auto" w:fill="CFF0FC"/>
            <w:noWrap/>
            <w:vAlign w:val="bottom"/>
            <w:hideMark/>
          </w:tcPr>
          <w:p w14:paraId="472D7F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7DAB163" w14:textId="77777777" w:rsidTr="004B2A77">
        <w:trPr>
          <w:trHeight w:val="180"/>
          <w:tblCellSpacing w:w="15" w:type="dxa"/>
        </w:trPr>
        <w:tc>
          <w:tcPr>
            <w:tcW w:w="0" w:type="auto"/>
            <w:shd w:val="clear" w:color="auto" w:fill="FFFFFF"/>
            <w:hideMark/>
          </w:tcPr>
          <w:p w14:paraId="6E2A88A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Debt instruments %</w:t>
            </w:r>
          </w:p>
        </w:tc>
        <w:tc>
          <w:tcPr>
            <w:tcW w:w="0" w:type="auto"/>
            <w:shd w:val="clear" w:color="auto" w:fill="FFFFFF"/>
            <w:vAlign w:val="bottom"/>
            <w:hideMark/>
          </w:tcPr>
          <w:p w14:paraId="70C952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66804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F72647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60</w:t>
            </w:r>
          </w:p>
        </w:tc>
        <w:tc>
          <w:tcPr>
            <w:tcW w:w="0" w:type="auto"/>
            <w:shd w:val="clear" w:color="auto" w:fill="FFFFFF"/>
            <w:noWrap/>
            <w:vAlign w:val="bottom"/>
            <w:hideMark/>
          </w:tcPr>
          <w:p w14:paraId="3283F46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44EE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E7832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446BE9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76</w:t>
            </w:r>
          </w:p>
        </w:tc>
        <w:tc>
          <w:tcPr>
            <w:tcW w:w="0" w:type="auto"/>
            <w:shd w:val="clear" w:color="auto" w:fill="FFFFFF"/>
            <w:noWrap/>
            <w:vAlign w:val="bottom"/>
            <w:hideMark/>
          </w:tcPr>
          <w:p w14:paraId="790955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625029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4E1C74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57</w:t>
            </w:r>
          </w:p>
        </w:tc>
        <w:tc>
          <w:tcPr>
            <w:tcW w:w="0" w:type="auto"/>
            <w:shd w:val="clear" w:color="auto" w:fill="FFFFFF"/>
            <w:noWrap/>
            <w:vAlign w:val="bottom"/>
            <w:hideMark/>
          </w:tcPr>
          <w:p w14:paraId="64A5E57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B6048A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7CF89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FDDCFF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60</w:t>
            </w:r>
          </w:p>
        </w:tc>
        <w:tc>
          <w:tcPr>
            <w:tcW w:w="0" w:type="auto"/>
            <w:shd w:val="clear" w:color="auto" w:fill="FFFFFF"/>
            <w:noWrap/>
            <w:vAlign w:val="bottom"/>
            <w:hideMark/>
          </w:tcPr>
          <w:p w14:paraId="7B8082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C0E3E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9894BB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76</w:t>
            </w:r>
          </w:p>
        </w:tc>
        <w:tc>
          <w:tcPr>
            <w:tcW w:w="0" w:type="auto"/>
            <w:shd w:val="clear" w:color="auto" w:fill="FFFFFF"/>
            <w:noWrap/>
            <w:vAlign w:val="bottom"/>
            <w:hideMark/>
          </w:tcPr>
          <w:p w14:paraId="4329DB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5078495" w14:textId="77777777" w:rsidTr="004B2A77">
        <w:trPr>
          <w:trHeight w:val="180"/>
          <w:tblCellSpacing w:w="15" w:type="dxa"/>
        </w:trPr>
        <w:tc>
          <w:tcPr>
            <w:tcW w:w="0" w:type="auto"/>
            <w:shd w:val="clear" w:color="auto" w:fill="CFF0FC"/>
            <w:hideMark/>
          </w:tcPr>
          <w:p w14:paraId="5BD3E1E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 assets %</w:t>
            </w:r>
          </w:p>
        </w:tc>
        <w:tc>
          <w:tcPr>
            <w:tcW w:w="0" w:type="auto"/>
            <w:shd w:val="clear" w:color="auto" w:fill="CFF0FC"/>
            <w:vAlign w:val="bottom"/>
            <w:hideMark/>
          </w:tcPr>
          <w:p w14:paraId="6A8E4A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FDDA1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497A2D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noWrap/>
            <w:vAlign w:val="bottom"/>
            <w:hideMark/>
          </w:tcPr>
          <w:p w14:paraId="684E8F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8E354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4210A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2A84D1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3DA327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73F999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DF3542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1AF0150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763F5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0C66E8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78C006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40</w:t>
            </w:r>
          </w:p>
        </w:tc>
        <w:tc>
          <w:tcPr>
            <w:tcW w:w="0" w:type="auto"/>
            <w:shd w:val="clear" w:color="auto" w:fill="CFF0FC"/>
            <w:noWrap/>
            <w:vAlign w:val="bottom"/>
            <w:hideMark/>
          </w:tcPr>
          <w:p w14:paraId="50F909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D006E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48C8A5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24</w:t>
            </w:r>
          </w:p>
        </w:tc>
        <w:tc>
          <w:tcPr>
            <w:tcW w:w="0" w:type="auto"/>
            <w:shd w:val="clear" w:color="auto" w:fill="CFF0FC"/>
            <w:noWrap/>
            <w:vAlign w:val="bottom"/>
            <w:hideMark/>
          </w:tcPr>
          <w:p w14:paraId="6EA46D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8C5DE32" w14:textId="77777777" w:rsidTr="004B2A77">
        <w:trPr>
          <w:trHeight w:val="180"/>
          <w:tblCellSpacing w:w="15" w:type="dxa"/>
        </w:trPr>
        <w:tc>
          <w:tcPr>
            <w:tcW w:w="0" w:type="auto"/>
            <w:shd w:val="clear" w:color="auto" w:fill="FFFFFF"/>
            <w:hideMark/>
          </w:tcPr>
          <w:p w14:paraId="7C761D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 %</w:t>
            </w:r>
          </w:p>
        </w:tc>
        <w:tc>
          <w:tcPr>
            <w:tcW w:w="0" w:type="auto"/>
            <w:shd w:val="clear" w:color="auto" w:fill="FFFFFF"/>
            <w:vAlign w:val="bottom"/>
            <w:hideMark/>
          </w:tcPr>
          <w:p w14:paraId="5A61000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64A26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75C1D9D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100</w:t>
            </w:r>
          </w:p>
        </w:tc>
        <w:tc>
          <w:tcPr>
            <w:tcW w:w="0" w:type="auto"/>
            <w:shd w:val="clear" w:color="auto" w:fill="FFFFFF"/>
            <w:noWrap/>
            <w:vAlign w:val="bottom"/>
            <w:hideMark/>
          </w:tcPr>
          <w:p w14:paraId="28CE89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675855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35885F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4BC19AC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100</w:t>
            </w:r>
          </w:p>
        </w:tc>
        <w:tc>
          <w:tcPr>
            <w:tcW w:w="0" w:type="auto"/>
            <w:shd w:val="clear" w:color="auto" w:fill="FFFFFF"/>
            <w:noWrap/>
            <w:vAlign w:val="bottom"/>
            <w:hideMark/>
          </w:tcPr>
          <w:p w14:paraId="5D5AED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044BA1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47A37B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100</w:t>
            </w:r>
          </w:p>
        </w:tc>
        <w:tc>
          <w:tcPr>
            <w:tcW w:w="0" w:type="auto"/>
            <w:shd w:val="clear" w:color="auto" w:fill="FFFFFF"/>
            <w:noWrap/>
            <w:vAlign w:val="bottom"/>
            <w:hideMark/>
          </w:tcPr>
          <w:p w14:paraId="3FB8338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89DD0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794B445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578AECE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100</w:t>
            </w:r>
          </w:p>
        </w:tc>
        <w:tc>
          <w:tcPr>
            <w:tcW w:w="0" w:type="auto"/>
            <w:shd w:val="clear" w:color="auto" w:fill="FFFFFF"/>
            <w:noWrap/>
            <w:vAlign w:val="bottom"/>
            <w:hideMark/>
          </w:tcPr>
          <w:p w14:paraId="07AED4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9248F2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6A93ECD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100</w:t>
            </w:r>
          </w:p>
        </w:tc>
        <w:tc>
          <w:tcPr>
            <w:tcW w:w="0" w:type="auto"/>
            <w:shd w:val="clear" w:color="auto" w:fill="FFFFFF"/>
            <w:noWrap/>
            <w:vAlign w:val="bottom"/>
            <w:hideMark/>
          </w:tcPr>
          <w:p w14:paraId="47F18D4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79E9F23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1EFEF25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following table summarizes the fair value of the Company’s U.S. and non-U.S. defined benefit pension plan assets:</w:t>
      </w:r>
    </w:p>
    <w:p w14:paraId="35A3C7E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7753"/>
        <w:gridCol w:w="292"/>
        <w:gridCol w:w="171"/>
        <w:gridCol w:w="2692"/>
        <w:gridCol w:w="171"/>
        <w:gridCol w:w="292"/>
        <w:gridCol w:w="171"/>
        <w:gridCol w:w="2702"/>
        <w:gridCol w:w="186"/>
      </w:tblGrid>
      <w:tr w:rsidR="004B2A77" w:rsidRPr="004B2A77" w14:paraId="6F40C43B" w14:textId="77777777" w:rsidTr="004B2A77">
        <w:trPr>
          <w:tblCellSpacing w:w="15" w:type="dxa"/>
        </w:trPr>
        <w:tc>
          <w:tcPr>
            <w:tcW w:w="7726" w:type="dxa"/>
            <w:vAlign w:val="center"/>
            <w:hideMark/>
          </w:tcPr>
          <w:p w14:paraId="6738A9A7"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62" w:type="dxa"/>
            <w:vAlign w:val="center"/>
            <w:hideMark/>
          </w:tcPr>
          <w:p w14:paraId="03D1697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3C81FD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68" w:type="dxa"/>
            <w:vAlign w:val="center"/>
            <w:hideMark/>
          </w:tcPr>
          <w:p w14:paraId="7F79A57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78CD887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2" w:type="dxa"/>
            <w:vAlign w:val="center"/>
            <w:hideMark/>
          </w:tcPr>
          <w:p w14:paraId="7FF92CF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53E398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678" w:type="dxa"/>
            <w:vAlign w:val="center"/>
            <w:hideMark/>
          </w:tcPr>
          <w:p w14:paraId="0F319C0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7D3B83EB"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1C63DA7" w14:textId="77777777" w:rsidTr="004B2A77">
        <w:trPr>
          <w:trHeight w:val="160"/>
          <w:tblCellSpacing w:w="15" w:type="dxa"/>
        </w:trPr>
        <w:tc>
          <w:tcPr>
            <w:tcW w:w="0" w:type="auto"/>
            <w:shd w:val="clear" w:color="auto" w:fill="FFFFFF"/>
            <w:vAlign w:val="bottom"/>
            <w:hideMark/>
          </w:tcPr>
          <w:p w14:paraId="22B50100"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shd w:val="clear" w:color="auto" w:fill="FFFFFF"/>
            <w:vAlign w:val="bottom"/>
            <w:hideMark/>
          </w:tcPr>
          <w:p w14:paraId="14F41054" w14:textId="77777777" w:rsidR="004B2A77" w:rsidRPr="004B2A77" w:rsidRDefault="004B2A77" w:rsidP="004B2A77">
            <w:pPr>
              <w:widowControl/>
              <w:jc w:val="righ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gridSpan w:val="6"/>
            <w:tcBorders>
              <w:bottom w:val="single" w:sz="4" w:space="0" w:color="000000"/>
            </w:tcBorders>
            <w:shd w:val="clear" w:color="auto" w:fill="FFFFFF"/>
            <w:vAlign w:val="bottom"/>
            <w:hideMark/>
          </w:tcPr>
          <w:p w14:paraId="72232A4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Fair value measurement at December 31,</w:t>
            </w:r>
          </w:p>
        </w:tc>
        <w:tc>
          <w:tcPr>
            <w:tcW w:w="0" w:type="auto"/>
            <w:shd w:val="clear" w:color="auto" w:fill="FFFFFF"/>
            <w:vAlign w:val="bottom"/>
            <w:hideMark/>
          </w:tcPr>
          <w:p w14:paraId="4A18BAE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52686625" w14:textId="77777777" w:rsidTr="004B2A77">
        <w:trPr>
          <w:trHeight w:val="160"/>
          <w:tblCellSpacing w:w="15" w:type="dxa"/>
        </w:trPr>
        <w:tc>
          <w:tcPr>
            <w:tcW w:w="0" w:type="auto"/>
            <w:shd w:val="clear" w:color="auto" w:fill="FFFFFF"/>
            <w:vAlign w:val="bottom"/>
            <w:hideMark/>
          </w:tcPr>
          <w:p w14:paraId="1D38096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09CEB208" w14:textId="77777777" w:rsidR="004B2A77" w:rsidRPr="004B2A77" w:rsidRDefault="004B2A77" w:rsidP="004B2A77">
            <w:pPr>
              <w:widowControl/>
              <w:jc w:val="righ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990940D"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1A8CAAF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21868877" w14:textId="77777777" w:rsidR="004B2A77" w:rsidRPr="004B2A77" w:rsidRDefault="004B2A77" w:rsidP="004B2A77">
            <w:pPr>
              <w:widowControl/>
              <w:jc w:val="righ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12DF773"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1B7AD5C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3C0ED8B9" w14:textId="77777777" w:rsidTr="004B2A77">
        <w:trPr>
          <w:trHeight w:val="180"/>
          <w:tblCellSpacing w:w="15" w:type="dxa"/>
        </w:trPr>
        <w:tc>
          <w:tcPr>
            <w:tcW w:w="0" w:type="auto"/>
            <w:shd w:val="clear" w:color="auto" w:fill="CFF0FC"/>
            <w:hideMark/>
          </w:tcPr>
          <w:p w14:paraId="0A2389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Assets</w:t>
            </w:r>
          </w:p>
        </w:tc>
        <w:tc>
          <w:tcPr>
            <w:tcW w:w="0" w:type="auto"/>
            <w:shd w:val="clear" w:color="auto" w:fill="CFF0FC"/>
            <w:vAlign w:val="bottom"/>
            <w:hideMark/>
          </w:tcPr>
          <w:p w14:paraId="105A5CA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75A23E2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C3727D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AFF926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9A0880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E8E819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A7A2890" w14:textId="77777777" w:rsidTr="004B2A77">
        <w:trPr>
          <w:trHeight w:val="180"/>
          <w:tblCellSpacing w:w="15" w:type="dxa"/>
        </w:trPr>
        <w:tc>
          <w:tcPr>
            <w:tcW w:w="0" w:type="auto"/>
            <w:shd w:val="clear" w:color="auto" w:fill="FFFFFF"/>
            <w:hideMark/>
          </w:tcPr>
          <w:p w14:paraId="209CFAB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Non-U.S. Bonds</w:t>
            </w:r>
          </w:p>
        </w:tc>
        <w:tc>
          <w:tcPr>
            <w:tcW w:w="0" w:type="auto"/>
            <w:shd w:val="clear" w:color="auto" w:fill="FFFFFF"/>
            <w:vAlign w:val="bottom"/>
            <w:hideMark/>
          </w:tcPr>
          <w:p w14:paraId="414AF93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7447E92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5C786A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284C13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FFFFFF"/>
            <w:vAlign w:val="bottom"/>
            <w:hideMark/>
          </w:tcPr>
          <w:p w14:paraId="49F4C54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E400E8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2B4EA2D" w14:textId="77777777" w:rsidTr="004B2A77">
        <w:trPr>
          <w:trHeight w:val="180"/>
          <w:tblCellSpacing w:w="15" w:type="dxa"/>
        </w:trPr>
        <w:tc>
          <w:tcPr>
            <w:tcW w:w="0" w:type="auto"/>
            <w:shd w:val="clear" w:color="auto" w:fill="CFF0FC"/>
            <w:hideMark/>
          </w:tcPr>
          <w:p w14:paraId="0B72D5C9"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Corporate</w:t>
            </w:r>
          </w:p>
        </w:tc>
        <w:tc>
          <w:tcPr>
            <w:tcW w:w="0" w:type="auto"/>
            <w:shd w:val="clear" w:color="auto" w:fill="CFF0FC"/>
            <w:vAlign w:val="bottom"/>
            <w:hideMark/>
          </w:tcPr>
          <w:p w14:paraId="4F803FB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618EB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5182AC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38</w:t>
            </w:r>
          </w:p>
        </w:tc>
        <w:tc>
          <w:tcPr>
            <w:tcW w:w="0" w:type="auto"/>
            <w:shd w:val="clear" w:color="auto" w:fill="CFF0FC"/>
            <w:noWrap/>
            <w:vAlign w:val="bottom"/>
            <w:hideMark/>
          </w:tcPr>
          <w:p w14:paraId="0B2D86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C7F938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54B7F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C6098E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77</w:t>
            </w:r>
          </w:p>
        </w:tc>
        <w:tc>
          <w:tcPr>
            <w:tcW w:w="0" w:type="auto"/>
            <w:shd w:val="clear" w:color="auto" w:fill="CFF0FC"/>
            <w:noWrap/>
            <w:vAlign w:val="bottom"/>
            <w:hideMark/>
          </w:tcPr>
          <w:p w14:paraId="50D692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822CA2D" w14:textId="77777777" w:rsidTr="004B2A77">
        <w:trPr>
          <w:trHeight w:val="180"/>
          <w:tblCellSpacing w:w="15" w:type="dxa"/>
        </w:trPr>
        <w:tc>
          <w:tcPr>
            <w:tcW w:w="0" w:type="auto"/>
            <w:shd w:val="clear" w:color="auto" w:fill="FFFFFF"/>
            <w:hideMark/>
          </w:tcPr>
          <w:p w14:paraId="0188AD26"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Insurance Contracts</w:t>
            </w:r>
          </w:p>
        </w:tc>
        <w:tc>
          <w:tcPr>
            <w:tcW w:w="0" w:type="auto"/>
            <w:shd w:val="clear" w:color="auto" w:fill="FFFFFF"/>
            <w:vAlign w:val="bottom"/>
            <w:hideMark/>
          </w:tcPr>
          <w:p w14:paraId="7367346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951B2E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E490D6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w:t>
            </w:r>
          </w:p>
        </w:tc>
        <w:tc>
          <w:tcPr>
            <w:tcW w:w="0" w:type="auto"/>
            <w:shd w:val="clear" w:color="auto" w:fill="FFFFFF"/>
            <w:noWrap/>
            <w:vAlign w:val="bottom"/>
            <w:hideMark/>
          </w:tcPr>
          <w:p w14:paraId="439304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A19C5E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9CB3D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4F917B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16</w:t>
            </w:r>
          </w:p>
        </w:tc>
        <w:tc>
          <w:tcPr>
            <w:tcW w:w="0" w:type="auto"/>
            <w:shd w:val="clear" w:color="auto" w:fill="FFFFFF"/>
            <w:noWrap/>
            <w:vAlign w:val="bottom"/>
            <w:hideMark/>
          </w:tcPr>
          <w:p w14:paraId="330F970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09F2985" w14:textId="77777777" w:rsidTr="004B2A77">
        <w:trPr>
          <w:trHeight w:val="180"/>
          <w:tblCellSpacing w:w="15" w:type="dxa"/>
        </w:trPr>
        <w:tc>
          <w:tcPr>
            <w:tcW w:w="0" w:type="auto"/>
            <w:shd w:val="clear" w:color="auto" w:fill="CFF0FC"/>
            <w:hideMark/>
          </w:tcPr>
          <w:p w14:paraId="69B315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Other Investments</w:t>
            </w:r>
          </w:p>
        </w:tc>
        <w:tc>
          <w:tcPr>
            <w:tcW w:w="0" w:type="auto"/>
            <w:shd w:val="clear" w:color="auto" w:fill="CFF0FC"/>
            <w:vAlign w:val="bottom"/>
            <w:hideMark/>
          </w:tcPr>
          <w:p w14:paraId="1642866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12BBF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564EB7B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CFF0FC"/>
            <w:noWrap/>
            <w:vAlign w:val="bottom"/>
            <w:hideMark/>
          </w:tcPr>
          <w:p w14:paraId="24EB94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C9D2CA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4C76EB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1EE5CB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w:t>
            </w:r>
          </w:p>
        </w:tc>
        <w:tc>
          <w:tcPr>
            <w:tcW w:w="0" w:type="auto"/>
            <w:shd w:val="clear" w:color="auto" w:fill="CFF0FC"/>
            <w:noWrap/>
            <w:vAlign w:val="bottom"/>
            <w:hideMark/>
          </w:tcPr>
          <w:p w14:paraId="1068695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B25D198" w14:textId="77777777" w:rsidTr="004B2A77">
        <w:trPr>
          <w:trHeight w:val="180"/>
          <w:tblCellSpacing w:w="15" w:type="dxa"/>
        </w:trPr>
        <w:tc>
          <w:tcPr>
            <w:tcW w:w="0" w:type="auto"/>
            <w:shd w:val="clear" w:color="auto" w:fill="FFFFFF"/>
            <w:hideMark/>
          </w:tcPr>
          <w:p w14:paraId="45089C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Assets at fair value Level 2</w:t>
            </w:r>
          </w:p>
        </w:tc>
        <w:tc>
          <w:tcPr>
            <w:tcW w:w="0" w:type="auto"/>
            <w:shd w:val="clear" w:color="auto" w:fill="FFFFFF"/>
            <w:vAlign w:val="bottom"/>
            <w:hideMark/>
          </w:tcPr>
          <w:p w14:paraId="765B268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1E324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1ECBF8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63</w:t>
            </w:r>
          </w:p>
        </w:tc>
        <w:tc>
          <w:tcPr>
            <w:tcW w:w="0" w:type="auto"/>
            <w:shd w:val="clear" w:color="auto" w:fill="FFFFFF"/>
            <w:noWrap/>
            <w:vAlign w:val="bottom"/>
            <w:hideMark/>
          </w:tcPr>
          <w:p w14:paraId="127B8B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89D230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F56AE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7112E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101</w:t>
            </w:r>
          </w:p>
        </w:tc>
        <w:tc>
          <w:tcPr>
            <w:tcW w:w="0" w:type="auto"/>
            <w:shd w:val="clear" w:color="auto" w:fill="FFFFFF"/>
            <w:noWrap/>
            <w:vAlign w:val="bottom"/>
            <w:hideMark/>
          </w:tcPr>
          <w:p w14:paraId="2BEE2C4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094C9F6" w14:textId="77777777" w:rsidTr="004B2A77">
        <w:trPr>
          <w:trHeight w:val="180"/>
          <w:tblCellSpacing w:w="15" w:type="dxa"/>
        </w:trPr>
        <w:tc>
          <w:tcPr>
            <w:tcW w:w="0" w:type="auto"/>
            <w:shd w:val="clear" w:color="auto" w:fill="CFF0FC"/>
            <w:hideMark/>
          </w:tcPr>
          <w:p w14:paraId="24E6B5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Investments measured at net asset value</w:t>
            </w:r>
            <w:r w:rsidRPr="004B2A77">
              <w:rPr>
                <w:rFonts w:ascii="Arial" w:eastAsia="宋体" w:hAnsi="Arial" w:cs="Arial"/>
                <w:b/>
                <w:bCs/>
                <w:color w:val="000000"/>
                <w:kern w:val="0"/>
                <w:sz w:val="18"/>
                <w:szCs w:val="18"/>
              </w:rPr>
              <w:br/>
              <w:t>   (NAV):</w:t>
            </w:r>
          </w:p>
        </w:tc>
        <w:tc>
          <w:tcPr>
            <w:tcW w:w="0" w:type="auto"/>
            <w:shd w:val="clear" w:color="auto" w:fill="CFF0FC"/>
            <w:vAlign w:val="bottom"/>
            <w:hideMark/>
          </w:tcPr>
          <w:p w14:paraId="41D542B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2D6CF9D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8B8752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7735C2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4FA2BE6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16F296B"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1B5A793" w14:textId="77777777" w:rsidTr="004B2A77">
        <w:trPr>
          <w:trHeight w:val="180"/>
          <w:tblCellSpacing w:w="15" w:type="dxa"/>
        </w:trPr>
        <w:tc>
          <w:tcPr>
            <w:tcW w:w="0" w:type="auto"/>
            <w:shd w:val="clear" w:color="auto" w:fill="FFFFFF"/>
            <w:hideMark/>
          </w:tcPr>
          <w:p w14:paraId="37149EE9" w14:textId="77777777" w:rsidR="004B2A77" w:rsidRPr="004B2A77" w:rsidRDefault="004B2A77" w:rsidP="004B2A77">
            <w:pPr>
              <w:widowControl/>
              <w:ind w:left="2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Common collective trusts</w:t>
            </w:r>
          </w:p>
        </w:tc>
        <w:tc>
          <w:tcPr>
            <w:tcW w:w="0" w:type="auto"/>
            <w:shd w:val="clear" w:color="auto" w:fill="FFFFFF"/>
            <w:vAlign w:val="bottom"/>
            <w:hideMark/>
          </w:tcPr>
          <w:p w14:paraId="2D21217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B0EB83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2EBED15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201</w:t>
            </w:r>
          </w:p>
        </w:tc>
        <w:tc>
          <w:tcPr>
            <w:tcW w:w="0" w:type="auto"/>
            <w:shd w:val="clear" w:color="auto" w:fill="FFFFFF"/>
            <w:noWrap/>
            <w:vAlign w:val="bottom"/>
            <w:hideMark/>
          </w:tcPr>
          <w:p w14:paraId="697257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29DCD8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5AE266E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A932C0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343</w:t>
            </w:r>
          </w:p>
        </w:tc>
        <w:tc>
          <w:tcPr>
            <w:tcW w:w="0" w:type="auto"/>
            <w:shd w:val="clear" w:color="auto" w:fill="FFFFFF"/>
            <w:noWrap/>
            <w:vAlign w:val="bottom"/>
            <w:hideMark/>
          </w:tcPr>
          <w:p w14:paraId="3B0CB62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D40F107" w14:textId="77777777" w:rsidTr="004B2A77">
        <w:trPr>
          <w:trHeight w:val="180"/>
          <w:tblCellSpacing w:w="15" w:type="dxa"/>
        </w:trPr>
        <w:tc>
          <w:tcPr>
            <w:tcW w:w="0" w:type="auto"/>
            <w:shd w:val="clear" w:color="auto" w:fill="CFF0FC"/>
            <w:hideMark/>
          </w:tcPr>
          <w:p w14:paraId="60EA9A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CFF0FC"/>
            <w:vAlign w:val="bottom"/>
            <w:hideMark/>
          </w:tcPr>
          <w:p w14:paraId="232F5FF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B8112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1BDB8D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264</w:t>
            </w:r>
          </w:p>
        </w:tc>
        <w:tc>
          <w:tcPr>
            <w:tcW w:w="0" w:type="auto"/>
            <w:shd w:val="clear" w:color="auto" w:fill="CFF0FC"/>
            <w:noWrap/>
            <w:vAlign w:val="bottom"/>
            <w:hideMark/>
          </w:tcPr>
          <w:p w14:paraId="766838F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75E2C0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2CCE4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tcBorders>
              <w:bottom w:val="single" w:sz="4" w:space="0" w:color="000000"/>
            </w:tcBorders>
            <w:shd w:val="clear" w:color="auto" w:fill="CFF0FC"/>
            <w:vAlign w:val="bottom"/>
            <w:hideMark/>
          </w:tcPr>
          <w:p w14:paraId="5958DE6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444</w:t>
            </w:r>
          </w:p>
        </w:tc>
        <w:tc>
          <w:tcPr>
            <w:tcW w:w="0" w:type="auto"/>
            <w:shd w:val="clear" w:color="auto" w:fill="CFF0FC"/>
            <w:noWrap/>
            <w:vAlign w:val="bottom"/>
            <w:hideMark/>
          </w:tcPr>
          <w:p w14:paraId="41588D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3F6B940D"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1D1B8FF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fair value measurement level within the fair value hierarchy is based on the lowest level of any input that is significant to the fair value measurement. Certain assets that are measured at fair value using the NAV per share (or its equivalent) practical expedient have not been classified in the fair value hierarchy. Plan assets not measured using the NAV are classified as Level 2 in the table above. Plan assets measured using the NAV mainly relate to the U.S. defined benefit pension plans and are separately disclosed as Common collective trusts below the Level 2 assets in the table above. </w:t>
      </w:r>
    </w:p>
    <w:p w14:paraId="456EB70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estimated future benefit payments for the pension benefits reflect expected future service, as appropriate. The amount of benefit payments in a given year may vary from the projected amount, especially for the U.S. plan since historically this plan pays the majority of benefits as a lump sum, where the lump sum amounts vary with market interest rates.</w:t>
      </w:r>
    </w:p>
    <w:p w14:paraId="43700ED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361"/>
        <w:gridCol w:w="255"/>
        <w:gridCol w:w="171"/>
        <w:gridCol w:w="1930"/>
        <w:gridCol w:w="171"/>
        <w:gridCol w:w="255"/>
        <w:gridCol w:w="171"/>
        <w:gridCol w:w="1930"/>
        <w:gridCol w:w="186"/>
      </w:tblGrid>
      <w:tr w:rsidR="004B2A77" w:rsidRPr="004B2A77" w14:paraId="2FDEF10C" w14:textId="77777777" w:rsidTr="004B2A77">
        <w:trPr>
          <w:tblCellSpacing w:w="15" w:type="dxa"/>
        </w:trPr>
        <w:tc>
          <w:tcPr>
            <w:tcW w:w="9337" w:type="dxa"/>
            <w:vAlign w:val="center"/>
            <w:hideMark/>
          </w:tcPr>
          <w:p w14:paraId="3CF50CCB"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5" w:type="dxa"/>
            <w:vAlign w:val="center"/>
            <w:hideMark/>
          </w:tcPr>
          <w:p w14:paraId="1FF8895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CB8731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04" w:type="dxa"/>
            <w:vAlign w:val="center"/>
            <w:hideMark/>
          </w:tcPr>
          <w:p w14:paraId="6B23251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3E5211D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5" w:type="dxa"/>
            <w:vAlign w:val="center"/>
            <w:hideMark/>
          </w:tcPr>
          <w:p w14:paraId="6D83009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55BB072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904" w:type="dxa"/>
            <w:vAlign w:val="center"/>
            <w:hideMark/>
          </w:tcPr>
          <w:p w14:paraId="030F7E0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04619D5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634BD6DD" w14:textId="77777777" w:rsidTr="004B2A77">
        <w:trPr>
          <w:trHeight w:val="160"/>
          <w:tblCellSpacing w:w="15" w:type="dxa"/>
        </w:trPr>
        <w:tc>
          <w:tcPr>
            <w:tcW w:w="0" w:type="auto"/>
            <w:shd w:val="clear" w:color="auto" w:fill="FFFFFF"/>
            <w:vAlign w:val="bottom"/>
            <w:hideMark/>
          </w:tcPr>
          <w:p w14:paraId="16D23849"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PENSION BENEFITS EXPECTED PAYMENTS</w:t>
            </w:r>
            <w:r w:rsidRPr="004B2A77">
              <w:rPr>
                <w:rFonts w:ascii="Arial" w:eastAsia="宋体" w:hAnsi="Arial" w:cs="Arial"/>
                <w:color w:val="000000"/>
                <w:kern w:val="0"/>
                <w:sz w:val="16"/>
                <w:szCs w:val="16"/>
                <w:u w:val="single"/>
              </w:rPr>
              <w:t> (dollars in millions)</w:t>
            </w:r>
          </w:p>
        </w:tc>
        <w:tc>
          <w:tcPr>
            <w:tcW w:w="0" w:type="auto"/>
            <w:shd w:val="clear" w:color="auto" w:fill="FFFFFF"/>
            <w:vAlign w:val="bottom"/>
            <w:hideMark/>
          </w:tcPr>
          <w:p w14:paraId="19C6186F" w14:textId="77777777" w:rsidR="004B2A77" w:rsidRPr="004B2A77" w:rsidRDefault="004B2A77" w:rsidP="004B2A77">
            <w:pPr>
              <w:widowControl/>
              <w:jc w:val="righ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FA4163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U.S.</w:t>
            </w:r>
          </w:p>
        </w:tc>
        <w:tc>
          <w:tcPr>
            <w:tcW w:w="0" w:type="auto"/>
            <w:shd w:val="clear" w:color="auto" w:fill="FFFFFF"/>
            <w:vAlign w:val="bottom"/>
            <w:hideMark/>
          </w:tcPr>
          <w:p w14:paraId="34F5A49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EB84491" w14:textId="77777777" w:rsidR="004B2A77" w:rsidRPr="004B2A77" w:rsidRDefault="004B2A77" w:rsidP="004B2A77">
            <w:pPr>
              <w:widowControl/>
              <w:jc w:val="righ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E2B575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Non-U.S.</w:t>
            </w:r>
          </w:p>
        </w:tc>
        <w:tc>
          <w:tcPr>
            <w:tcW w:w="0" w:type="auto"/>
            <w:shd w:val="clear" w:color="auto" w:fill="FFFFFF"/>
            <w:vAlign w:val="bottom"/>
            <w:hideMark/>
          </w:tcPr>
          <w:p w14:paraId="2FC2E805"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6AFA8CCE" w14:textId="77777777" w:rsidTr="004B2A77">
        <w:trPr>
          <w:trHeight w:val="180"/>
          <w:tblCellSpacing w:w="15" w:type="dxa"/>
        </w:trPr>
        <w:tc>
          <w:tcPr>
            <w:tcW w:w="0" w:type="auto"/>
            <w:shd w:val="clear" w:color="auto" w:fill="CFF0FC"/>
            <w:hideMark/>
          </w:tcPr>
          <w:p w14:paraId="6F7ECE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2023</w:t>
            </w:r>
          </w:p>
        </w:tc>
        <w:tc>
          <w:tcPr>
            <w:tcW w:w="0" w:type="auto"/>
            <w:shd w:val="clear" w:color="auto" w:fill="CFF0FC"/>
            <w:vAlign w:val="bottom"/>
            <w:hideMark/>
          </w:tcPr>
          <w:p w14:paraId="6EBE318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17EC6C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79BDBA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14</w:t>
            </w:r>
          </w:p>
        </w:tc>
        <w:tc>
          <w:tcPr>
            <w:tcW w:w="0" w:type="auto"/>
            <w:shd w:val="clear" w:color="auto" w:fill="CFF0FC"/>
            <w:noWrap/>
            <w:vAlign w:val="bottom"/>
            <w:hideMark/>
          </w:tcPr>
          <w:p w14:paraId="4146E4C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7C3358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6E86AD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4D57467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w:t>
            </w:r>
          </w:p>
        </w:tc>
        <w:tc>
          <w:tcPr>
            <w:tcW w:w="0" w:type="auto"/>
            <w:shd w:val="clear" w:color="auto" w:fill="CFF0FC"/>
            <w:noWrap/>
            <w:vAlign w:val="bottom"/>
            <w:hideMark/>
          </w:tcPr>
          <w:p w14:paraId="283742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6AED2C1" w14:textId="77777777" w:rsidTr="004B2A77">
        <w:trPr>
          <w:trHeight w:val="180"/>
          <w:tblCellSpacing w:w="15" w:type="dxa"/>
        </w:trPr>
        <w:tc>
          <w:tcPr>
            <w:tcW w:w="0" w:type="auto"/>
            <w:shd w:val="clear" w:color="auto" w:fill="FFFFFF"/>
            <w:hideMark/>
          </w:tcPr>
          <w:p w14:paraId="28F8A78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2024</w:t>
            </w:r>
          </w:p>
        </w:tc>
        <w:tc>
          <w:tcPr>
            <w:tcW w:w="0" w:type="auto"/>
            <w:shd w:val="clear" w:color="auto" w:fill="FFFFFF"/>
            <w:vAlign w:val="bottom"/>
            <w:hideMark/>
          </w:tcPr>
          <w:p w14:paraId="6640E201"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22B1E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B2BA7F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16</w:t>
            </w:r>
          </w:p>
        </w:tc>
        <w:tc>
          <w:tcPr>
            <w:tcW w:w="0" w:type="auto"/>
            <w:shd w:val="clear" w:color="auto" w:fill="FFFFFF"/>
            <w:noWrap/>
            <w:vAlign w:val="bottom"/>
            <w:hideMark/>
          </w:tcPr>
          <w:p w14:paraId="44D79C2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E8D58F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F9A86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638BB5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FFFFFF"/>
            <w:noWrap/>
            <w:vAlign w:val="bottom"/>
            <w:hideMark/>
          </w:tcPr>
          <w:p w14:paraId="59791F3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4357DD2" w14:textId="77777777" w:rsidTr="004B2A77">
        <w:trPr>
          <w:trHeight w:val="180"/>
          <w:tblCellSpacing w:w="15" w:type="dxa"/>
        </w:trPr>
        <w:tc>
          <w:tcPr>
            <w:tcW w:w="0" w:type="auto"/>
            <w:shd w:val="clear" w:color="auto" w:fill="CFF0FC"/>
            <w:hideMark/>
          </w:tcPr>
          <w:p w14:paraId="4BD7E6D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2025</w:t>
            </w:r>
          </w:p>
        </w:tc>
        <w:tc>
          <w:tcPr>
            <w:tcW w:w="0" w:type="auto"/>
            <w:shd w:val="clear" w:color="auto" w:fill="CFF0FC"/>
            <w:vAlign w:val="bottom"/>
            <w:hideMark/>
          </w:tcPr>
          <w:p w14:paraId="34BEBC5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44B21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1502C0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w:t>
            </w:r>
          </w:p>
        </w:tc>
        <w:tc>
          <w:tcPr>
            <w:tcW w:w="0" w:type="auto"/>
            <w:shd w:val="clear" w:color="auto" w:fill="CFF0FC"/>
            <w:noWrap/>
            <w:vAlign w:val="bottom"/>
            <w:hideMark/>
          </w:tcPr>
          <w:p w14:paraId="1BB6A3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8A46E4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726C2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4F7F1A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CFF0FC"/>
            <w:noWrap/>
            <w:vAlign w:val="bottom"/>
            <w:hideMark/>
          </w:tcPr>
          <w:p w14:paraId="46FDDD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F2A42D9" w14:textId="77777777" w:rsidTr="004B2A77">
        <w:trPr>
          <w:trHeight w:val="180"/>
          <w:tblCellSpacing w:w="15" w:type="dxa"/>
        </w:trPr>
        <w:tc>
          <w:tcPr>
            <w:tcW w:w="0" w:type="auto"/>
            <w:shd w:val="clear" w:color="auto" w:fill="FFFFFF"/>
            <w:hideMark/>
          </w:tcPr>
          <w:p w14:paraId="632891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2026</w:t>
            </w:r>
          </w:p>
        </w:tc>
        <w:tc>
          <w:tcPr>
            <w:tcW w:w="0" w:type="auto"/>
            <w:shd w:val="clear" w:color="auto" w:fill="FFFFFF"/>
            <w:vAlign w:val="bottom"/>
            <w:hideMark/>
          </w:tcPr>
          <w:p w14:paraId="26645A70"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2EE457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9EBCAB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w:t>
            </w:r>
          </w:p>
        </w:tc>
        <w:tc>
          <w:tcPr>
            <w:tcW w:w="0" w:type="auto"/>
            <w:shd w:val="clear" w:color="auto" w:fill="FFFFFF"/>
            <w:noWrap/>
            <w:vAlign w:val="bottom"/>
            <w:hideMark/>
          </w:tcPr>
          <w:p w14:paraId="25CC71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F3B415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F46F2A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FD721F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11</w:t>
            </w:r>
          </w:p>
        </w:tc>
        <w:tc>
          <w:tcPr>
            <w:tcW w:w="0" w:type="auto"/>
            <w:shd w:val="clear" w:color="auto" w:fill="FFFFFF"/>
            <w:noWrap/>
            <w:vAlign w:val="bottom"/>
            <w:hideMark/>
          </w:tcPr>
          <w:p w14:paraId="6B3FF1C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27D2C99" w14:textId="77777777" w:rsidTr="004B2A77">
        <w:trPr>
          <w:trHeight w:val="180"/>
          <w:tblCellSpacing w:w="15" w:type="dxa"/>
        </w:trPr>
        <w:tc>
          <w:tcPr>
            <w:tcW w:w="0" w:type="auto"/>
            <w:shd w:val="clear" w:color="auto" w:fill="CFF0FC"/>
            <w:hideMark/>
          </w:tcPr>
          <w:p w14:paraId="635328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lastRenderedPageBreak/>
              <w:t>2027</w:t>
            </w:r>
          </w:p>
        </w:tc>
        <w:tc>
          <w:tcPr>
            <w:tcW w:w="0" w:type="auto"/>
            <w:shd w:val="clear" w:color="auto" w:fill="CFF0FC"/>
            <w:vAlign w:val="bottom"/>
            <w:hideMark/>
          </w:tcPr>
          <w:p w14:paraId="0836E3F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CD41EC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0AD539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w:t>
            </w:r>
          </w:p>
        </w:tc>
        <w:tc>
          <w:tcPr>
            <w:tcW w:w="0" w:type="auto"/>
            <w:shd w:val="clear" w:color="auto" w:fill="CFF0FC"/>
            <w:noWrap/>
            <w:vAlign w:val="bottom"/>
            <w:hideMark/>
          </w:tcPr>
          <w:p w14:paraId="046BC00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4B200D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BD80CF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A75D15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12</w:t>
            </w:r>
          </w:p>
        </w:tc>
        <w:tc>
          <w:tcPr>
            <w:tcW w:w="0" w:type="auto"/>
            <w:shd w:val="clear" w:color="auto" w:fill="CFF0FC"/>
            <w:noWrap/>
            <w:vAlign w:val="bottom"/>
            <w:hideMark/>
          </w:tcPr>
          <w:p w14:paraId="34ECFB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6A93CD12" w14:textId="77777777" w:rsidTr="004B2A77">
        <w:trPr>
          <w:trHeight w:val="180"/>
          <w:tblCellSpacing w:w="15" w:type="dxa"/>
        </w:trPr>
        <w:tc>
          <w:tcPr>
            <w:tcW w:w="0" w:type="auto"/>
            <w:shd w:val="clear" w:color="auto" w:fill="FFFFFF"/>
            <w:vAlign w:val="bottom"/>
            <w:hideMark/>
          </w:tcPr>
          <w:p w14:paraId="1724A16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Years 2028-2032</w:t>
            </w:r>
          </w:p>
        </w:tc>
        <w:tc>
          <w:tcPr>
            <w:tcW w:w="0" w:type="auto"/>
            <w:shd w:val="clear" w:color="auto" w:fill="FFFFFF"/>
            <w:vAlign w:val="bottom"/>
            <w:hideMark/>
          </w:tcPr>
          <w:p w14:paraId="7350D29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EAD05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EB1A91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94</w:t>
            </w:r>
          </w:p>
        </w:tc>
        <w:tc>
          <w:tcPr>
            <w:tcW w:w="0" w:type="auto"/>
            <w:shd w:val="clear" w:color="auto" w:fill="FFFFFF"/>
            <w:noWrap/>
            <w:vAlign w:val="bottom"/>
            <w:hideMark/>
          </w:tcPr>
          <w:p w14:paraId="10B1189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5096A5D"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54268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FA6197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74</w:t>
            </w:r>
          </w:p>
        </w:tc>
        <w:tc>
          <w:tcPr>
            <w:tcW w:w="0" w:type="auto"/>
            <w:shd w:val="clear" w:color="auto" w:fill="FFFFFF"/>
            <w:noWrap/>
            <w:vAlign w:val="bottom"/>
            <w:hideMark/>
          </w:tcPr>
          <w:p w14:paraId="022BEF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432F1B7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013E3CC4"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POSTRETIREMENT BENEFITS OTHER THAN PENSIONS</w:t>
      </w:r>
    </w:p>
    <w:p w14:paraId="4BADE11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 currently provides postretirement health care and life insurance benefits to a limited group of U.S. retirees. </w:t>
      </w:r>
    </w:p>
    <w:p w14:paraId="68A086B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general, the terms of the plans provide that U.S. employees who retire after attaining age 55, with 15 years of service (5 years before December 31, 2006), are reimbursed for qualified medical expenses up to a maximum annual amount. Spouses for certain retirees are also eligible for reimbursement under the plan. Life insurance coverage is available for those who elect coverage under the retiree health plan. During 2014, the plan was amended to move from a self-insured model where employees were charged an estimated premium based on anticipated plan expenses for continued coverage, to a plan where retirees are provided a fixed contribution to a Health Retirement Account (HRA). Retirees can use the HRA funds to purchase insurance through a private exchange. Employees hired on or after January 1, 2004 are not eligible to participate in the plan.</w:t>
      </w:r>
    </w:p>
    <w:p w14:paraId="715E2174"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As of December 31, 2022 and 2021, the benefit obligation for postretirement benefit plans other than pensions were $15 million and $21 million, respectively. The liability for postretirement benefits other than pensions is classified as other non-current liabilities in the balance sheet. The components of the net periodic benefit costs associated with these plans were immaterial for the years 2022, 2021 and 2020.</w:t>
      </w:r>
    </w:p>
    <w:p w14:paraId="433657B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average discount rate used to determine the U.S. postretirement benefit obligation was 5.39% in 2022 and 2.91% in 2021. The average discount rate used in determining the postretirement benefit cost was 2.91% in 2022, 2.60% in 2021 and 3.50% in 2020.</w:t>
      </w:r>
    </w:p>
    <w:p w14:paraId="16CF51E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accumulated other comprehensive income before tax associated with the postretirement benefit plans other than pensions recognized in the balance sheet as of December 31, 2022 and 2021 were $7 million and $3 million, respectively. The components of the accumulated other comprehensive income were immaterial for the years 2022 and 2021.</w:t>
      </w:r>
    </w:p>
    <w:p w14:paraId="2A860FF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estimated future benefit payments for the postretirement benefits, which reflect expected future service as appropriate, are expected to be immaterial for all the future years 2023-2032.</w:t>
      </w:r>
    </w:p>
    <w:p w14:paraId="74204D8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164B0E1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58690889"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50794ABB"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87</w:t>
      </w:r>
    </w:p>
    <w:p w14:paraId="5834D56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6089F42F">
          <v:rect id="_x0000_i1114" style="width:0;height:1.5pt" o:hralign="center" o:hrstd="t" o:hrnoshade="t" o:hr="t" fillcolor="black" stroked="f"/>
        </w:pict>
      </w:r>
    </w:p>
    <w:p w14:paraId="7DEBB8B7"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71A3EB0"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19. Related Party Transactions</w:t>
      </w:r>
    </w:p>
    <w:p w14:paraId="24E3C9A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Veoneer, Inc., was a related party until April 1, 2022. During the three months period ended March 31, 2022, when Veoneer was a related party, the Company's related party purchases from Veoneer amounted to $17 million. The related party purchases for the full year 2021 amounted to $69 million.</w:t>
      </w:r>
    </w:p>
    <w:p w14:paraId="51BC75E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Amounts due to and due from related parties as of December 31, 2021 are summarized in the below table:</w:t>
      </w:r>
    </w:p>
    <w:p w14:paraId="4603A4B0"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w:t>
      </w:r>
    </w:p>
    <w:tbl>
      <w:tblPr>
        <w:tblW w:w="14636" w:type="dxa"/>
        <w:tblCellSpacing w:w="15" w:type="dxa"/>
        <w:tblCellMar>
          <w:top w:w="15" w:type="dxa"/>
          <w:left w:w="15" w:type="dxa"/>
          <w:bottom w:w="15" w:type="dxa"/>
          <w:right w:w="15" w:type="dxa"/>
        </w:tblCellMar>
        <w:tblLook w:val="04A0" w:firstRow="1" w:lastRow="0" w:firstColumn="1" w:lastColumn="0" w:noHBand="0" w:noVBand="1"/>
      </w:tblPr>
      <w:tblGrid>
        <w:gridCol w:w="11010"/>
        <w:gridCol w:w="317"/>
        <w:gridCol w:w="174"/>
        <w:gridCol w:w="2945"/>
        <w:gridCol w:w="190"/>
      </w:tblGrid>
      <w:tr w:rsidR="004B2A77" w:rsidRPr="004B2A77" w14:paraId="202EA5D6" w14:textId="77777777" w:rsidTr="004B2A77">
        <w:trPr>
          <w:tblCellSpacing w:w="15" w:type="dxa"/>
        </w:trPr>
        <w:tc>
          <w:tcPr>
            <w:tcW w:w="10990" w:type="dxa"/>
            <w:vAlign w:val="center"/>
            <w:hideMark/>
          </w:tcPr>
          <w:p w14:paraId="14D1CD4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87" w:type="dxa"/>
            <w:vAlign w:val="center"/>
            <w:hideMark/>
          </w:tcPr>
          <w:p w14:paraId="4FBBFDD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4" w:type="dxa"/>
            <w:vAlign w:val="center"/>
            <w:hideMark/>
          </w:tcPr>
          <w:p w14:paraId="7A0723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920" w:type="dxa"/>
            <w:vAlign w:val="center"/>
            <w:hideMark/>
          </w:tcPr>
          <w:p w14:paraId="7EF8871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5" w:type="dxa"/>
            <w:vAlign w:val="center"/>
            <w:hideMark/>
          </w:tcPr>
          <w:p w14:paraId="1F627BA8"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D45EA38" w14:textId="77777777" w:rsidTr="004B2A77">
        <w:trPr>
          <w:tblCellSpacing w:w="15" w:type="dxa"/>
        </w:trPr>
        <w:tc>
          <w:tcPr>
            <w:tcW w:w="0" w:type="auto"/>
            <w:shd w:val="clear" w:color="auto" w:fill="FFFFFF"/>
            <w:vAlign w:val="bottom"/>
            <w:hideMark/>
          </w:tcPr>
          <w:p w14:paraId="389CD95C"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shd w:val="clear" w:color="auto" w:fill="FFFFFF"/>
            <w:vAlign w:val="bottom"/>
            <w:hideMark/>
          </w:tcPr>
          <w:p w14:paraId="744B775C" w14:textId="77777777" w:rsidR="004B2A77" w:rsidRPr="004B2A77" w:rsidRDefault="004B2A77" w:rsidP="004B2A77">
            <w:pPr>
              <w:widowControl/>
              <w:jc w:val="left"/>
              <w:rPr>
                <w:rFonts w:ascii="Times New Roman" w:eastAsia="宋体" w:hAnsi="Times New Roman" w:cs="Times New Roman"/>
                <w:kern w:val="0"/>
                <w:sz w:val="22"/>
              </w:rPr>
            </w:pPr>
            <w:r w:rsidRPr="004B2A77">
              <w:rPr>
                <w:rFonts w:ascii="Arial" w:eastAsia="宋体" w:hAnsi="Arial" w:cs="Arial"/>
                <w:kern w:val="0"/>
                <w:sz w:val="22"/>
              </w:rPr>
              <w:t> </w:t>
            </w:r>
          </w:p>
        </w:tc>
        <w:tc>
          <w:tcPr>
            <w:tcW w:w="0" w:type="auto"/>
            <w:gridSpan w:val="2"/>
            <w:tcBorders>
              <w:bottom w:val="single" w:sz="4" w:space="0" w:color="000000"/>
            </w:tcBorders>
            <w:shd w:val="clear" w:color="auto" w:fill="FFFFFF"/>
            <w:vAlign w:val="bottom"/>
            <w:hideMark/>
          </w:tcPr>
          <w:p w14:paraId="0E2EF59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A8F79F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7D13A971" w14:textId="77777777" w:rsidTr="004B2A77">
        <w:trPr>
          <w:trHeight w:val="160"/>
          <w:tblCellSpacing w:w="15" w:type="dxa"/>
        </w:trPr>
        <w:tc>
          <w:tcPr>
            <w:tcW w:w="0" w:type="auto"/>
            <w:shd w:val="clear" w:color="auto" w:fill="FFFFFF"/>
            <w:vAlign w:val="bottom"/>
            <w:hideMark/>
          </w:tcPr>
          <w:p w14:paraId="6E372DBF"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i/>
                <w:iCs/>
                <w:color w:val="000000"/>
                <w:kern w:val="0"/>
                <w:sz w:val="16"/>
                <w:szCs w:val="16"/>
                <w:u w:val="single"/>
              </w:rPr>
              <w:t>(Dollars in millions)</w:t>
            </w:r>
          </w:p>
        </w:tc>
        <w:tc>
          <w:tcPr>
            <w:tcW w:w="0" w:type="auto"/>
            <w:shd w:val="clear" w:color="auto" w:fill="FFFFFF"/>
            <w:vAlign w:val="bottom"/>
            <w:hideMark/>
          </w:tcPr>
          <w:p w14:paraId="55E2FC8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7FFFE3A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As of December 31, 2021</w:t>
            </w:r>
          </w:p>
        </w:tc>
        <w:tc>
          <w:tcPr>
            <w:tcW w:w="0" w:type="auto"/>
            <w:shd w:val="clear" w:color="auto" w:fill="FFFFFF"/>
            <w:vAlign w:val="bottom"/>
            <w:hideMark/>
          </w:tcPr>
          <w:p w14:paraId="16CE22A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1386F299" w14:textId="77777777" w:rsidTr="004B2A77">
        <w:trPr>
          <w:trHeight w:val="180"/>
          <w:tblCellSpacing w:w="15" w:type="dxa"/>
        </w:trPr>
        <w:tc>
          <w:tcPr>
            <w:tcW w:w="0" w:type="auto"/>
            <w:shd w:val="clear" w:color="auto" w:fill="CFF0FC"/>
            <w:hideMark/>
          </w:tcPr>
          <w:p w14:paraId="7658594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Related party receivables</w:t>
            </w:r>
          </w:p>
        </w:tc>
        <w:tc>
          <w:tcPr>
            <w:tcW w:w="0" w:type="auto"/>
            <w:shd w:val="clear" w:color="auto" w:fill="CFF0FC"/>
            <w:vAlign w:val="bottom"/>
            <w:hideMark/>
          </w:tcPr>
          <w:p w14:paraId="3665AAC5"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55527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ED55A1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w:t>
            </w:r>
          </w:p>
        </w:tc>
        <w:tc>
          <w:tcPr>
            <w:tcW w:w="0" w:type="auto"/>
            <w:shd w:val="clear" w:color="auto" w:fill="CFF0FC"/>
            <w:noWrap/>
            <w:vAlign w:val="bottom"/>
            <w:hideMark/>
          </w:tcPr>
          <w:p w14:paraId="39EEA6E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4CCA455" w14:textId="77777777" w:rsidTr="004B2A77">
        <w:trPr>
          <w:trHeight w:val="180"/>
          <w:tblCellSpacing w:w="15" w:type="dxa"/>
        </w:trPr>
        <w:tc>
          <w:tcPr>
            <w:tcW w:w="0" w:type="auto"/>
            <w:shd w:val="clear" w:color="auto" w:fill="FFFFFF"/>
            <w:hideMark/>
          </w:tcPr>
          <w:p w14:paraId="3B158DE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Related party payables</w:t>
            </w:r>
            <w:r w:rsidRPr="004B2A77">
              <w:rPr>
                <w:rFonts w:ascii="Arial" w:eastAsia="宋体" w:hAnsi="Arial" w:cs="Arial"/>
                <w:color w:val="000000"/>
                <w:kern w:val="0"/>
                <w:sz w:val="12"/>
                <w:szCs w:val="12"/>
              </w:rPr>
              <w:t>1)</w:t>
            </w:r>
          </w:p>
        </w:tc>
        <w:tc>
          <w:tcPr>
            <w:tcW w:w="0" w:type="auto"/>
            <w:shd w:val="clear" w:color="auto" w:fill="FFFFFF"/>
            <w:vAlign w:val="bottom"/>
            <w:hideMark/>
          </w:tcPr>
          <w:p w14:paraId="44F1CB35"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B0D86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0ED929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w:t>
            </w:r>
          </w:p>
        </w:tc>
        <w:tc>
          <w:tcPr>
            <w:tcW w:w="0" w:type="auto"/>
            <w:shd w:val="clear" w:color="auto" w:fill="FFFFFF"/>
            <w:noWrap/>
            <w:vAlign w:val="bottom"/>
            <w:hideMark/>
          </w:tcPr>
          <w:p w14:paraId="551DD6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0B856BA" w14:textId="77777777" w:rsidTr="004B2A77">
        <w:trPr>
          <w:trHeight w:val="180"/>
          <w:tblCellSpacing w:w="15" w:type="dxa"/>
        </w:trPr>
        <w:tc>
          <w:tcPr>
            <w:tcW w:w="0" w:type="auto"/>
            <w:shd w:val="clear" w:color="auto" w:fill="CFF0FC"/>
            <w:hideMark/>
          </w:tcPr>
          <w:p w14:paraId="69C952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Related party accrued expenses</w:t>
            </w:r>
            <w:r w:rsidRPr="004B2A77">
              <w:rPr>
                <w:rFonts w:ascii="Arial" w:eastAsia="宋体" w:hAnsi="Arial" w:cs="Arial"/>
                <w:color w:val="000000"/>
                <w:kern w:val="0"/>
                <w:sz w:val="12"/>
                <w:szCs w:val="12"/>
              </w:rPr>
              <w:t>1)</w:t>
            </w:r>
          </w:p>
        </w:tc>
        <w:tc>
          <w:tcPr>
            <w:tcW w:w="0" w:type="auto"/>
            <w:shd w:val="clear" w:color="auto" w:fill="CFF0FC"/>
            <w:vAlign w:val="bottom"/>
            <w:hideMark/>
          </w:tcPr>
          <w:p w14:paraId="6B71E1C9"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AEFDD0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EFFE71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w:t>
            </w:r>
          </w:p>
        </w:tc>
        <w:tc>
          <w:tcPr>
            <w:tcW w:w="0" w:type="auto"/>
            <w:shd w:val="clear" w:color="auto" w:fill="CFF0FC"/>
            <w:noWrap/>
            <w:vAlign w:val="bottom"/>
            <w:hideMark/>
          </w:tcPr>
          <w:p w14:paraId="2A51D7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5AE3E9B2"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7489407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Included in Related party liabilities in the Consolidated Balance Sheet</w:t>
      </w:r>
      <w:r w:rsidRPr="004B2A77">
        <w:rPr>
          <w:rFonts w:ascii="Arial" w:eastAsia="宋体" w:hAnsi="Arial" w:cs="Arial"/>
          <w:color w:val="000000"/>
          <w:kern w:val="0"/>
          <w:sz w:val="18"/>
          <w:szCs w:val="18"/>
        </w:rPr>
        <w:t>.</w:t>
      </w:r>
    </w:p>
    <w:p w14:paraId="507BA15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0"/>
          <w:szCs w:val="20"/>
        </w:rPr>
        <w:t> </w:t>
      </w:r>
    </w:p>
    <w:p w14:paraId="31E8C3B2"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20. Segment Information</w:t>
      </w:r>
    </w:p>
    <w:p w14:paraId="49A855A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one operating segment which includes Autoliv’s airbag and seatbelt products and components. The operating results of the operating segment are regularly reviewed by the Company’s chief operating decision maker to assess the performance of the operating segment and make decisions about resources to be allocated to the operating segment.</w:t>
      </w:r>
    </w:p>
    <w:p w14:paraId="59EA1D1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Company’s customers consist of all major European, U.S. and Asian automobile manufacturers. Sales to individual customers representing 10% or more of net sales were: </w:t>
      </w:r>
    </w:p>
    <w:p w14:paraId="056BC5A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2022: Renault 11% (including Nissan and Mitsubishi), Stellantis 11% and VW 10%.</w:t>
      </w:r>
    </w:p>
    <w:p w14:paraId="1289F1D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2021: Renault 13% (including Nissan and Mitsubishi), Stellantis 11% and VW 10%.</w:t>
      </w:r>
    </w:p>
    <w:p w14:paraId="510F364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2020: Renault 13% (including Nissan and Mitsubishi) and VW 11% and Honda 10%.</w:t>
      </w:r>
    </w:p>
    <w:p w14:paraId="4FA1D04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159"/>
        <w:gridCol w:w="250"/>
        <w:gridCol w:w="189"/>
        <w:gridCol w:w="1807"/>
        <w:gridCol w:w="190"/>
        <w:gridCol w:w="253"/>
        <w:gridCol w:w="190"/>
        <w:gridCol w:w="1807"/>
        <w:gridCol w:w="190"/>
        <w:gridCol w:w="253"/>
        <w:gridCol w:w="190"/>
        <w:gridCol w:w="1807"/>
        <w:gridCol w:w="206"/>
      </w:tblGrid>
      <w:tr w:rsidR="004B2A77" w:rsidRPr="004B2A77" w14:paraId="20B9BFC3" w14:textId="77777777" w:rsidTr="004B2A77">
        <w:trPr>
          <w:tblCellSpacing w:w="15" w:type="dxa"/>
        </w:trPr>
        <w:tc>
          <w:tcPr>
            <w:tcW w:w="9134" w:type="dxa"/>
            <w:vAlign w:val="center"/>
            <w:hideMark/>
          </w:tcPr>
          <w:p w14:paraId="0DBF29A1"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1" w:type="dxa"/>
            <w:vAlign w:val="center"/>
            <w:hideMark/>
          </w:tcPr>
          <w:p w14:paraId="79ACBB0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29129C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45FCB6E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B0155E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3" w:type="dxa"/>
            <w:vAlign w:val="center"/>
            <w:hideMark/>
          </w:tcPr>
          <w:p w14:paraId="4D49F35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2908F15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571FCBA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9D3D9B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3" w:type="dxa"/>
            <w:vAlign w:val="center"/>
            <w:hideMark/>
          </w:tcPr>
          <w:p w14:paraId="4F53655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D62C4B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6122919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0637AB78"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12F7463A" w14:textId="77777777" w:rsidTr="004B2A77">
        <w:trPr>
          <w:trHeight w:val="160"/>
          <w:tblCellSpacing w:w="15" w:type="dxa"/>
        </w:trPr>
        <w:tc>
          <w:tcPr>
            <w:tcW w:w="0" w:type="auto"/>
            <w:shd w:val="clear" w:color="auto" w:fill="FFFFFF"/>
            <w:vAlign w:val="bottom"/>
            <w:hideMark/>
          </w:tcPr>
          <w:p w14:paraId="10FE52E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NET SALES BY REGION</w:t>
            </w:r>
            <w:r w:rsidRPr="004B2A77">
              <w:rPr>
                <w:rFonts w:ascii="Arial" w:eastAsia="宋体" w:hAnsi="Arial" w:cs="Arial"/>
                <w:color w:val="000000"/>
                <w:kern w:val="0"/>
                <w:sz w:val="16"/>
                <w:szCs w:val="16"/>
                <w:u w:val="single"/>
              </w:rPr>
              <w:t> (Dollars in millions)</w:t>
            </w:r>
          </w:p>
        </w:tc>
        <w:tc>
          <w:tcPr>
            <w:tcW w:w="0" w:type="auto"/>
            <w:shd w:val="clear" w:color="auto" w:fill="FFFFFF"/>
            <w:vAlign w:val="bottom"/>
            <w:hideMark/>
          </w:tcPr>
          <w:p w14:paraId="07BFA1E5"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DB27B39"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232E19E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AA5088A"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68456A8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4A139E9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DB71A5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47B14A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20D47E2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3CE2740F" w14:textId="77777777" w:rsidTr="004B2A77">
        <w:trPr>
          <w:trHeight w:val="180"/>
          <w:tblCellSpacing w:w="15" w:type="dxa"/>
        </w:trPr>
        <w:tc>
          <w:tcPr>
            <w:tcW w:w="0" w:type="auto"/>
            <w:shd w:val="clear" w:color="auto" w:fill="CFF0FC"/>
            <w:hideMark/>
          </w:tcPr>
          <w:p w14:paraId="334DE62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China</w:t>
            </w:r>
          </w:p>
        </w:tc>
        <w:tc>
          <w:tcPr>
            <w:tcW w:w="0" w:type="auto"/>
            <w:shd w:val="clear" w:color="auto" w:fill="CFF0FC"/>
            <w:vAlign w:val="bottom"/>
            <w:hideMark/>
          </w:tcPr>
          <w:p w14:paraId="4E8434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40E498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CADCD7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1,883</w:t>
            </w:r>
          </w:p>
        </w:tc>
        <w:tc>
          <w:tcPr>
            <w:tcW w:w="0" w:type="auto"/>
            <w:shd w:val="clear" w:color="auto" w:fill="CFF0FC"/>
            <w:noWrap/>
            <w:vAlign w:val="bottom"/>
            <w:hideMark/>
          </w:tcPr>
          <w:p w14:paraId="52AFF1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2D72A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377006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756A0B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1,766</w:t>
            </w:r>
          </w:p>
        </w:tc>
        <w:tc>
          <w:tcPr>
            <w:tcW w:w="0" w:type="auto"/>
            <w:shd w:val="clear" w:color="auto" w:fill="CFF0FC"/>
            <w:noWrap/>
            <w:vAlign w:val="bottom"/>
            <w:hideMark/>
          </w:tcPr>
          <w:p w14:paraId="71617D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41887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C16A1D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0B4C9EB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1,541</w:t>
            </w:r>
          </w:p>
        </w:tc>
        <w:tc>
          <w:tcPr>
            <w:tcW w:w="0" w:type="auto"/>
            <w:shd w:val="clear" w:color="auto" w:fill="CFF0FC"/>
            <w:noWrap/>
            <w:vAlign w:val="bottom"/>
            <w:hideMark/>
          </w:tcPr>
          <w:p w14:paraId="157176A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E214B03" w14:textId="77777777" w:rsidTr="004B2A77">
        <w:trPr>
          <w:trHeight w:val="180"/>
          <w:tblCellSpacing w:w="15" w:type="dxa"/>
        </w:trPr>
        <w:tc>
          <w:tcPr>
            <w:tcW w:w="0" w:type="auto"/>
            <w:shd w:val="clear" w:color="auto" w:fill="FFFFFF"/>
            <w:hideMark/>
          </w:tcPr>
          <w:p w14:paraId="568B39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Japan</w:t>
            </w:r>
          </w:p>
        </w:tc>
        <w:tc>
          <w:tcPr>
            <w:tcW w:w="0" w:type="auto"/>
            <w:shd w:val="clear" w:color="auto" w:fill="FFFFFF"/>
            <w:vAlign w:val="bottom"/>
            <w:hideMark/>
          </w:tcPr>
          <w:p w14:paraId="362B580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7DC9F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5DD93E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686</w:t>
            </w:r>
          </w:p>
        </w:tc>
        <w:tc>
          <w:tcPr>
            <w:tcW w:w="0" w:type="auto"/>
            <w:shd w:val="clear" w:color="auto" w:fill="FFFFFF"/>
            <w:noWrap/>
            <w:vAlign w:val="bottom"/>
            <w:hideMark/>
          </w:tcPr>
          <w:p w14:paraId="40800DA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B98F9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69C9CC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136445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733</w:t>
            </w:r>
          </w:p>
        </w:tc>
        <w:tc>
          <w:tcPr>
            <w:tcW w:w="0" w:type="auto"/>
            <w:shd w:val="clear" w:color="auto" w:fill="FFFFFF"/>
            <w:noWrap/>
            <w:vAlign w:val="bottom"/>
            <w:hideMark/>
          </w:tcPr>
          <w:p w14:paraId="59E7DE1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F3F420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8D549E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9802B2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733</w:t>
            </w:r>
          </w:p>
        </w:tc>
        <w:tc>
          <w:tcPr>
            <w:tcW w:w="0" w:type="auto"/>
            <w:shd w:val="clear" w:color="auto" w:fill="FFFFFF"/>
            <w:noWrap/>
            <w:vAlign w:val="bottom"/>
            <w:hideMark/>
          </w:tcPr>
          <w:p w14:paraId="650579D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0F54A8D" w14:textId="77777777" w:rsidTr="004B2A77">
        <w:trPr>
          <w:trHeight w:val="180"/>
          <w:tblCellSpacing w:w="15" w:type="dxa"/>
        </w:trPr>
        <w:tc>
          <w:tcPr>
            <w:tcW w:w="0" w:type="auto"/>
            <w:shd w:val="clear" w:color="auto" w:fill="CFF0FC"/>
            <w:hideMark/>
          </w:tcPr>
          <w:p w14:paraId="7E47744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Rest of Asia</w:t>
            </w:r>
          </w:p>
        </w:tc>
        <w:tc>
          <w:tcPr>
            <w:tcW w:w="0" w:type="auto"/>
            <w:shd w:val="clear" w:color="auto" w:fill="CFF0FC"/>
            <w:vAlign w:val="bottom"/>
            <w:hideMark/>
          </w:tcPr>
          <w:p w14:paraId="1643A4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BF76B7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DE1A6E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952</w:t>
            </w:r>
          </w:p>
        </w:tc>
        <w:tc>
          <w:tcPr>
            <w:tcW w:w="0" w:type="auto"/>
            <w:shd w:val="clear" w:color="auto" w:fill="CFF0FC"/>
            <w:noWrap/>
            <w:vAlign w:val="bottom"/>
            <w:hideMark/>
          </w:tcPr>
          <w:p w14:paraId="74CD492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27D525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CCB906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8702C0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908</w:t>
            </w:r>
          </w:p>
        </w:tc>
        <w:tc>
          <w:tcPr>
            <w:tcW w:w="0" w:type="auto"/>
            <w:shd w:val="clear" w:color="auto" w:fill="CFF0FC"/>
            <w:noWrap/>
            <w:vAlign w:val="bottom"/>
            <w:hideMark/>
          </w:tcPr>
          <w:p w14:paraId="1256844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C1E63C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4E783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0AE3DB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769</w:t>
            </w:r>
          </w:p>
        </w:tc>
        <w:tc>
          <w:tcPr>
            <w:tcW w:w="0" w:type="auto"/>
            <w:shd w:val="clear" w:color="auto" w:fill="CFF0FC"/>
            <w:noWrap/>
            <w:vAlign w:val="bottom"/>
            <w:hideMark/>
          </w:tcPr>
          <w:p w14:paraId="4781931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426D00C" w14:textId="77777777" w:rsidTr="004B2A77">
        <w:trPr>
          <w:trHeight w:val="180"/>
          <w:tblCellSpacing w:w="15" w:type="dxa"/>
        </w:trPr>
        <w:tc>
          <w:tcPr>
            <w:tcW w:w="0" w:type="auto"/>
            <w:shd w:val="clear" w:color="auto" w:fill="FFFFFF"/>
            <w:hideMark/>
          </w:tcPr>
          <w:p w14:paraId="6D39D19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Americas</w:t>
            </w:r>
          </w:p>
        </w:tc>
        <w:tc>
          <w:tcPr>
            <w:tcW w:w="0" w:type="auto"/>
            <w:shd w:val="clear" w:color="auto" w:fill="FFFFFF"/>
            <w:vAlign w:val="bottom"/>
            <w:hideMark/>
          </w:tcPr>
          <w:p w14:paraId="5E2AB44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752A53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899FDC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2,967</w:t>
            </w:r>
          </w:p>
        </w:tc>
        <w:tc>
          <w:tcPr>
            <w:tcW w:w="0" w:type="auto"/>
            <w:shd w:val="clear" w:color="auto" w:fill="FFFFFF"/>
            <w:noWrap/>
            <w:vAlign w:val="bottom"/>
            <w:hideMark/>
          </w:tcPr>
          <w:p w14:paraId="36A8EB3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953B0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AA09E8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EEF296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2,535</w:t>
            </w:r>
          </w:p>
        </w:tc>
        <w:tc>
          <w:tcPr>
            <w:tcW w:w="0" w:type="auto"/>
            <w:shd w:val="clear" w:color="auto" w:fill="FFFFFF"/>
            <w:noWrap/>
            <w:vAlign w:val="bottom"/>
            <w:hideMark/>
          </w:tcPr>
          <w:p w14:paraId="2813B49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7033DA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261DA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EFEE99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2,337</w:t>
            </w:r>
          </w:p>
        </w:tc>
        <w:tc>
          <w:tcPr>
            <w:tcW w:w="0" w:type="auto"/>
            <w:shd w:val="clear" w:color="auto" w:fill="FFFFFF"/>
            <w:noWrap/>
            <w:vAlign w:val="bottom"/>
            <w:hideMark/>
          </w:tcPr>
          <w:p w14:paraId="0454615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396427F9" w14:textId="77777777" w:rsidTr="004B2A77">
        <w:trPr>
          <w:trHeight w:val="180"/>
          <w:tblCellSpacing w:w="15" w:type="dxa"/>
        </w:trPr>
        <w:tc>
          <w:tcPr>
            <w:tcW w:w="0" w:type="auto"/>
            <w:shd w:val="clear" w:color="auto" w:fill="CFF0FC"/>
            <w:hideMark/>
          </w:tcPr>
          <w:p w14:paraId="500831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Europe</w:t>
            </w:r>
          </w:p>
        </w:tc>
        <w:tc>
          <w:tcPr>
            <w:tcW w:w="0" w:type="auto"/>
            <w:shd w:val="clear" w:color="auto" w:fill="CFF0FC"/>
            <w:vAlign w:val="bottom"/>
            <w:hideMark/>
          </w:tcPr>
          <w:p w14:paraId="656D5B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F63C44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16CF6D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2,355</w:t>
            </w:r>
          </w:p>
        </w:tc>
        <w:tc>
          <w:tcPr>
            <w:tcW w:w="0" w:type="auto"/>
            <w:shd w:val="clear" w:color="auto" w:fill="CFF0FC"/>
            <w:noWrap/>
            <w:vAlign w:val="bottom"/>
            <w:hideMark/>
          </w:tcPr>
          <w:p w14:paraId="6C4647E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F426DA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12753A4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36492F0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2,289</w:t>
            </w:r>
          </w:p>
        </w:tc>
        <w:tc>
          <w:tcPr>
            <w:tcW w:w="0" w:type="auto"/>
            <w:shd w:val="clear" w:color="auto" w:fill="CFF0FC"/>
            <w:noWrap/>
            <w:vAlign w:val="bottom"/>
            <w:hideMark/>
          </w:tcPr>
          <w:p w14:paraId="309ED23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7F3C00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3D19C46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2090555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2,067</w:t>
            </w:r>
          </w:p>
        </w:tc>
        <w:tc>
          <w:tcPr>
            <w:tcW w:w="0" w:type="auto"/>
            <w:shd w:val="clear" w:color="auto" w:fill="CFF0FC"/>
            <w:noWrap/>
            <w:vAlign w:val="bottom"/>
            <w:hideMark/>
          </w:tcPr>
          <w:p w14:paraId="5C2603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DC19AEA" w14:textId="77777777" w:rsidTr="004B2A77">
        <w:trPr>
          <w:trHeight w:val="180"/>
          <w:tblCellSpacing w:w="15" w:type="dxa"/>
        </w:trPr>
        <w:tc>
          <w:tcPr>
            <w:tcW w:w="0" w:type="auto"/>
            <w:shd w:val="clear" w:color="auto" w:fill="FFFFFF"/>
            <w:hideMark/>
          </w:tcPr>
          <w:p w14:paraId="525E41D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FFFFFF"/>
            <w:vAlign w:val="bottom"/>
            <w:hideMark/>
          </w:tcPr>
          <w:p w14:paraId="050FB7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70F15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28CAD15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8,842</w:t>
            </w:r>
          </w:p>
        </w:tc>
        <w:tc>
          <w:tcPr>
            <w:tcW w:w="0" w:type="auto"/>
            <w:shd w:val="clear" w:color="auto" w:fill="FFFFFF"/>
            <w:noWrap/>
            <w:vAlign w:val="bottom"/>
            <w:hideMark/>
          </w:tcPr>
          <w:p w14:paraId="07CEC9C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320C8B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BBFF4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4E1400A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8,230</w:t>
            </w:r>
          </w:p>
        </w:tc>
        <w:tc>
          <w:tcPr>
            <w:tcW w:w="0" w:type="auto"/>
            <w:shd w:val="clear" w:color="auto" w:fill="FFFFFF"/>
            <w:noWrap/>
            <w:vAlign w:val="bottom"/>
            <w:hideMark/>
          </w:tcPr>
          <w:p w14:paraId="706925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0CDB6F2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5945058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47F3349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7,447</w:t>
            </w:r>
          </w:p>
        </w:tc>
        <w:tc>
          <w:tcPr>
            <w:tcW w:w="0" w:type="auto"/>
            <w:shd w:val="clear" w:color="auto" w:fill="FFFFFF"/>
            <w:noWrap/>
            <w:vAlign w:val="bottom"/>
            <w:hideMark/>
          </w:tcPr>
          <w:p w14:paraId="58353F1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5760C2C5"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361CEF8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Company has attributed net sales to the geographic area based on the location of the entity selling the final product.</w:t>
      </w:r>
    </w:p>
    <w:p w14:paraId="0F1D364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External sales in the U.S. amounted to $2,029 million, $1,724 million and $1,647 million in 2022, 2021 and 2020, respectively. Of the external sales, exports from the U.S. to other regions amounted to approximately $298 million, $280 million and $348 million in 2022, 2021 and 2020, respectively.</w:t>
      </w:r>
    </w:p>
    <w:p w14:paraId="6EB90D4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332"/>
        <w:gridCol w:w="236"/>
        <w:gridCol w:w="190"/>
        <w:gridCol w:w="1764"/>
        <w:gridCol w:w="190"/>
        <w:gridCol w:w="234"/>
        <w:gridCol w:w="190"/>
        <w:gridCol w:w="1764"/>
        <w:gridCol w:w="190"/>
        <w:gridCol w:w="234"/>
        <w:gridCol w:w="190"/>
        <w:gridCol w:w="1771"/>
        <w:gridCol w:w="206"/>
      </w:tblGrid>
      <w:tr w:rsidR="004B2A77" w:rsidRPr="004B2A77" w14:paraId="1CED1DED" w14:textId="77777777" w:rsidTr="004B2A77">
        <w:trPr>
          <w:tblCellSpacing w:w="15" w:type="dxa"/>
        </w:trPr>
        <w:tc>
          <w:tcPr>
            <w:tcW w:w="9307" w:type="dxa"/>
            <w:vAlign w:val="center"/>
            <w:hideMark/>
          </w:tcPr>
          <w:p w14:paraId="4C3F267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6" w:type="dxa"/>
            <w:vAlign w:val="center"/>
            <w:hideMark/>
          </w:tcPr>
          <w:p w14:paraId="2DB2D28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4043938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37" w:type="dxa"/>
            <w:vAlign w:val="center"/>
            <w:hideMark/>
          </w:tcPr>
          <w:p w14:paraId="7B809AD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0FC1AF7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1474E49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3711F9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37" w:type="dxa"/>
            <w:vAlign w:val="center"/>
            <w:hideMark/>
          </w:tcPr>
          <w:p w14:paraId="05D67F7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0E498E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4" w:type="dxa"/>
            <w:vAlign w:val="center"/>
            <w:hideMark/>
          </w:tcPr>
          <w:p w14:paraId="2CCA90E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2252C6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44" w:type="dxa"/>
            <w:vAlign w:val="center"/>
            <w:hideMark/>
          </w:tcPr>
          <w:p w14:paraId="17265B3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358726ED"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4C4CD6B5" w14:textId="77777777" w:rsidTr="004B2A77">
        <w:trPr>
          <w:trHeight w:val="160"/>
          <w:tblCellSpacing w:w="15" w:type="dxa"/>
        </w:trPr>
        <w:tc>
          <w:tcPr>
            <w:tcW w:w="0" w:type="auto"/>
            <w:shd w:val="clear" w:color="auto" w:fill="FFFFFF"/>
            <w:vAlign w:val="bottom"/>
            <w:hideMark/>
          </w:tcPr>
          <w:p w14:paraId="4FA1E00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NET SALES BY PRODUCT</w:t>
            </w:r>
            <w:r w:rsidRPr="004B2A77">
              <w:rPr>
                <w:rFonts w:ascii="Arial" w:eastAsia="宋体" w:hAnsi="Arial" w:cs="Arial"/>
                <w:color w:val="000000"/>
                <w:kern w:val="0"/>
                <w:sz w:val="16"/>
                <w:szCs w:val="16"/>
                <w:u w:val="single"/>
              </w:rPr>
              <w:t> (Dollars in millions)</w:t>
            </w:r>
          </w:p>
        </w:tc>
        <w:tc>
          <w:tcPr>
            <w:tcW w:w="0" w:type="auto"/>
            <w:shd w:val="clear" w:color="auto" w:fill="FFFFFF"/>
            <w:vAlign w:val="bottom"/>
            <w:hideMark/>
          </w:tcPr>
          <w:p w14:paraId="101CE2C3"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F34015F"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49256BA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B9F02B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5E36F5CC"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7D808778"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46DA0A2B"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5C4EBF6"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5E9D1C20"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4A7173C7" w14:textId="77777777" w:rsidTr="004B2A77">
        <w:trPr>
          <w:trHeight w:val="180"/>
          <w:tblCellSpacing w:w="15" w:type="dxa"/>
        </w:trPr>
        <w:tc>
          <w:tcPr>
            <w:tcW w:w="0" w:type="auto"/>
            <w:shd w:val="clear" w:color="auto" w:fill="CFF0FC"/>
            <w:hideMark/>
          </w:tcPr>
          <w:p w14:paraId="3AD5CAD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Airbag, Steering Wheels and Other</w:t>
            </w:r>
            <w:r w:rsidRPr="004B2A77">
              <w:rPr>
                <w:rFonts w:ascii="Arial" w:eastAsia="宋体" w:hAnsi="Arial" w:cs="Arial"/>
                <w:color w:val="000000"/>
                <w:kern w:val="0"/>
                <w:sz w:val="12"/>
                <w:szCs w:val="12"/>
              </w:rPr>
              <w:t>1)</w:t>
            </w:r>
          </w:p>
        </w:tc>
        <w:tc>
          <w:tcPr>
            <w:tcW w:w="0" w:type="auto"/>
            <w:shd w:val="clear" w:color="auto" w:fill="CFF0FC"/>
            <w:vAlign w:val="bottom"/>
            <w:hideMark/>
          </w:tcPr>
          <w:p w14:paraId="36D3D2A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7745391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5AD15A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5,807</w:t>
            </w:r>
          </w:p>
        </w:tc>
        <w:tc>
          <w:tcPr>
            <w:tcW w:w="0" w:type="auto"/>
            <w:shd w:val="clear" w:color="auto" w:fill="CFF0FC"/>
            <w:noWrap/>
            <w:vAlign w:val="bottom"/>
            <w:hideMark/>
          </w:tcPr>
          <w:p w14:paraId="4C258FB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06978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FF0C7A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3290E5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5,380</w:t>
            </w:r>
          </w:p>
        </w:tc>
        <w:tc>
          <w:tcPr>
            <w:tcW w:w="0" w:type="auto"/>
            <w:shd w:val="clear" w:color="auto" w:fill="CFF0FC"/>
            <w:noWrap/>
            <w:vAlign w:val="bottom"/>
            <w:hideMark/>
          </w:tcPr>
          <w:p w14:paraId="7917046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311C2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5B71FAE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3EB3B3C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4,824</w:t>
            </w:r>
          </w:p>
        </w:tc>
        <w:tc>
          <w:tcPr>
            <w:tcW w:w="0" w:type="auto"/>
            <w:shd w:val="clear" w:color="auto" w:fill="CFF0FC"/>
            <w:noWrap/>
            <w:vAlign w:val="bottom"/>
            <w:hideMark/>
          </w:tcPr>
          <w:p w14:paraId="0F04E92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4E43E33" w14:textId="77777777" w:rsidTr="004B2A77">
        <w:trPr>
          <w:trHeight w:val="180"/>
          <w:tblCellSpacing w:w="15" w:type="dxa"/>
        </w:trPr>
        <w:tc>
          <w:tcPr>
            <w:tcW w:w="0" w:type="auto"/>
            <w:shd w:val="clear" w:color="auto" w:fill="FFFFFF"/>
            <w:hideMark/>
          </w:tcPr>
          <w:p w14:paraId="7D7387B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Seatbelt Products</w:t>
            </w:r>
            <w:r w:rsidRPr="004B2A77">
              <w:rPr>
                <w:rFonts w:ascii="Arial" w:eastAsia="宋体" w:hAnsi="Arial" w:cs="Arial"/>
                <w:color w:val="000000"/>
                <w:kern w:val="0"/>
                <w:sz w:val="12"/>
                <w:szCs w:val="12"/>
              </w:rPr>
              <w:t>1)</w:t>
            </w:r>
          </w:p>
        </w:tc>
        <w:tc>
          <w:tcPr>
            <w:tcW w:w="0" w:type="auto"/>
            <w:shd w:val="clear" w:color="auto" w:fill="FFFFFF"/>
            <w:vAlign w:val="bottom"/>
            <w:hideMark/>
          </w:tcPr>
          <w:p w14:paraId="542B2D7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177BCC9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36412E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3,035</w:t>
            </w:r>
          </w:p>
        </w:tc>
        <w:tc>
          <w:tcPr>
            <w:tcW w:w="0" w:type="auto"/>
            <w:shd w:val="clear" w:color="auto" w:fill="FFFFFF"/>
            <w:noWrap/>
            <w:vAlign w:val="bottom"/>
            <w:hideMark/>
          </w:tcPr>
          <w:p w14:paraId="3135BFD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60CB2F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603A286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322D2208"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2,850</w:t>
            </w:r>
          </w:p>
        </w:tc>
        <w:tc>
          <w:tcPr>
            <w:tcW w:w="0" w:type="auto"/>
            <w:shd w:val="clear" w:color="auto" w:fill="FFFFFF"/>
            <w:noWrap/>
            <w:vAlign w:val="bottom"/>
            <w:hideMark/>
          </w:tcPr>
          <w:p w14:paraId="087F57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84279D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noWrap/>
            <w:vAlign w:val="bottom"/>
            <w:hideMark/>
          </w:tcPr>
          <w:p w14:paraId="49489C7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FFFFFF"/>
            <w:vAlign w:val="bottom"/>
            <w:hideMark/>
          </w:tcPr>
          <w:p w14:paraId="01A79B5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2,623</w:t>
            </w:r>
          </w:p>
        </w:tc>
        <w:tc>
          <w:tcPr>
            <w:tcW w:w="0" w:type="auto"/>
            <w:shd w:val="clear" w:color="auto" w:fill="FFFFFF"/>
            <w:noWrap/>
            <w:vAlign w:val="bottom"/>
            <w:hideMark/>
          </w:tcPr>
          <w:p w14:paraId="15FFE4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F0864B8" w14:textId="77777777" w:rsidTr="004B2A77">
        <w:trPr>
          <w:trHeight w:val="180"/>
          <w:tblCellSpacing w:w="15" w:type="dxa"/>
        </w:trPr>
        <w:tc>
          <w:tcPr>
            <w:tcW w:w="0" w:type="auto"/>
            <w:shd w:val="clear" w:color="auto" w:fill="CFF0FC"/>
            <w:hideMark/>
          </w:tcPr>
          <w:p w14:paraId="1332EC6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lastRenderedPageBreak/>
              <w:t>Total net sales</w:t>
            </w:r>
          </w:p>
        </w:tc>
        <w:tc>
          <w:tcPr>
            <w:tcW w:w="0" w:type="auto"/>
            <w:shd w:val="clear" w:color="auto" w:fill="CFF0FC"/>
            <w:vAlign w:val="bottom"/>
            <w:hideMark/>
          </w:tcPr>
          <w:p w14:paraId="23A4F5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A5D38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3551A8A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8,842</w:t>
            </w:r>
          </w:p>
        </w:tc>
        <w:tc>
          <w:tcPr>
            <w:tcW w:w="0" w:type="auto"/>
            <w:shd w:val="clear" w:color="auto" w:fill="CFF0FC"/>
            <w:noWrap/>
            <w:vAlign w:val="bottom"/>
            <w:hideMark/>
          </w:tcPr>
          <w:p w14:paraId="18BFE7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50F876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FCB041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7A683A2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8,230</w:t>
            </w:r>
          </w:p>
        </w:tc>
        <w:tc>
          <w:tcPr>
            <w:tcW w:w="0" w:type="auto"/>
            <w:shd w:val="clear" w:color="auto" w:fill="CFF0FC"/>
            <w:noWrap/>
            <w:vAlign w:val="bottom"/>
            <w:hideMark/>
          </w:tcPr>
          <w:p w14:paraId="0B8D072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C5794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6F129D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CFF0FC"/>
            <w:vAlign w:val="bottom"/>
            <w:hideMark/>
          </w:tcPr>
          <w:p w14:paraId="6CDFE703"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7,447</w:t>
            </w:r>
          </w:p>
        </w:tc>
        <w:tc>
          <w:tcPr>
            <w:tcW w:w="0" w:type="auto"/>
            <w:shd w:val="clear" w:color="auto" w:fill="CFF0FC"/>
            <w:noWrap/>
            <w:vAlign w:val="bottom"/>
            <w:hideMark/>
          </w:tcPr>
          <w:p w14:paraId="64AE55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500CA7B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108B965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Including Corporate and other sales.</w:t>
      </w:r>
    </w:p>
    <w:p w14:paraId="56124BA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tbl>
      <w:tblPr>
        <w:tblW w:w="14430" w:type="dxa"/>
        <w:tblCellSpacing w:w="15" w:type="dxa"/>
        <w:tblCellMar>
          <w:top w:w="15" w:type="dxa"/>
          <w:left w:w="15" w:type="dxa"/>
          <w:bottom w:w="15" w:type="dxa"/>
          <w:right w:w="15" w:type="dxa"/>
        </w:tblCellMar>
        <w:tblLook w:val="04A0" w:firstRow="1" w:lastRow="0" w:firstColumn="1" w:lastColumn="0" w:noHBand="0" w:noVBand="1"/>
      </w:tblPr>
      <w:tblGrid>
        <w:gridCol w:w="9387"/>
        <w:gridCol w:w="256"/>
        <w:gridCol w:w="171"/>
        <w:gridCol w:w="1916"/>
        <w:gridCol w:w="171"/>
        <w:gridCol w:w="256"/>
        <w:gridCol w:w="171"/>
        <w:gridCol w:w="1916"/>
        <w:gridCol w:w="186"/>
      </w:tblGrid>
      <w:tr w:rsidR="004B2A77" w:rsidRPr="004B2A77" w14:paraId="453B9ED4" w14:textId="77777777" w:rsidTr="004B2A77">
        <w:trPr>
          <w:tblCellSpacing w:w="15" w:type="dxa"/>
        </w:trPr>
        <w:tc>
          <w:tcPr>
            <w:tcW w:w="9364" w:type="dxa"/>
            <w:vAlign w:val="center"/>
            <w:hideMark/>
          </w:tcPr>
          <w:p w14:paraId="16EE6380"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6" w:type="dxa"/>
            <w:vAlign w:val="center"/>
            <w:hideMark/>
          </w:tcPr>
          <w:p w14:paraId="526BE0B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0F97D3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90" w:type="dxa"/>
            <w:vAlign w:val="center"/>
            <w:hideMark/>
          </w:tcPr>
          <w:p w14:paraId="4E8D15E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58E0D5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6" w:type="dxa"/>
            <w:vAlign w:val="center"/>
            <w:hideMark/>
          </w:tcPr>
          <w:p w14:paraId="05A3AFC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739C57CF"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90" w:type="dxa"/>
            <w:vAlign w:val="center"/>
            <w:hideMark/>
          </w:tcPr>
          <w:p w14:paraId="4FE1A89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41" w:type="dxa"/>
            <w:vAlign w:val="center"/>
            <w:hideMark/>
          </w:tcPr>
          <w:p w14:paraId="1F0CB2FF"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A74BFC0" w14:textId="77777777" w:rsidTr="004B2A77">
        <w:trPr>
          <w:trHeight w:val="160"/>
          <w:tblCellSpacing w:w="15" w:type="dxa"/>
        </w:trPr>
        <w:tc>
          <w:tcPr>
            <w:tcW w:w="0" w:type="auto"/>
            <w:shd w:val="clear" w:color="auto" w:fill="FFFFFF"/>
            <w:vAlign w:val="bottom"/>
            <w:hideMark/>
          </w:tcPr>
          <w:p w14:paraId="1B48FBB7"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u w:val="single"/>
              </w:rPr>
              <w:t xml:space="preserve">LONG-LIVED ASSETS </w:t>
            </w:r>
            <w:r w:rsidRPr="004B2A77">
              <w:rPr>
                <w:rFonts w:ascii="Arial" w:eastAsia="宋体" w:hAnsi="Arial" w:cs="Arial"/>
                <w:color w:val="000000"/>
                <w:kern w:val="0"/>
                <w:sz w:val="16"/>
                <w:szCs w:val="16"/>
                <w:u w:val="single"/>
              </w:rPr>
              <w:t>(Dollars in millions)</w:t>
            </w:r>
          </w:p>
        </w:tc>
        <w:tc>
          <w:tcPr>
            <w:tcW w:w="0" w:type="auto"/>
            <w:shd w:val="clear" w:color="auto" w:fill="FFFFFF"/>
            <w:vAlign w:val="bottom"/>
            <w:hideMark/>
          </w:tcPr>
          <w:p w14:paraId="59ED670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395952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1C883324"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01EBF7A"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26A4652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0BC9DEC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78F0E8C4" w14:textId="77777777" w:rsidTr="004B2A77">
        <w:trPr>
          <w:trHeight w:val="180"/>
          <w:tblCellSpacing w:w="15" w:type="dxa"/>
        </w:trPr>
        <w:tc>
          <w:tcPr>
            <w:tcW w:w="0" w:type="auto"/>
            <w:shd w:val="clear" w:color="auto" w:fill="CFF0FC"/>
            <w:hideMark/>
          </w:tcPr>
          <w:p w14:paraId="4BED16D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China</w:t>
            </w:r>
          </w:p>
        </w:tc>
        <w:tc>
          <w:tcPr>
            <w:tcW w:w="0" w:type="auto"/>
            <w:shd w:val="clear" w:color="auto" w:fill="CFF0FC"/>
            <w:vAlign w:val="bottom"/>
            <w:hideMark/>
          </w:tcPr>
          <w:p w14:paraId="619149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DC1BE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2CC5D74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581</w:t>
            </w:r>
          </w:p>
        </w:tc>
        <w:tc>
          <w:tcPr>
            <w:tcW w:w="0" w:type="auto"/>
            <w:shd w:val="clear" w:color="auto" w:fill="CFF0FC"/>
            <w:noWrap/>
            <w:vAlign w:val="bottom"/>
            <w:hideMark/>
          </w:tcPr>
          <w:p w14:paraId="3CE1529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B2ACF8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2468A2B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5D365E0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521</w:t>
            </w:r>
          </w:p>
        </w:tc>
        <w:tc>
          <w:tcPr>
            <w:tcW w:w="0" w:type="auto"/>
            <w:shd w:val="clear" w:color="auto" w:fill="CFF0FC"/>
            <w:noWrap/>
            <w:vAlign w:val="bottom"/>
            <w:hideMark/>
          </w:tcPr>
          <w:p w14:paraId="09C22A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31DF3E8" w14:textId="77777777" w:rsidTr="004B2A77">
        <w:trPr>
          <w:trHeight w:val="180"/>
          <w:tblCellSpacing w:w="15" w:type="dxa"/>
        </w:trPr>
        <w:tc>
          <w:tcPr>
            <w:tcW w:w="0" w:type="auto"/>
            <w:shd w:val="clear" w:color="auto" w:fill="FFFFFF"/>
            <w:hideMark/>
          </w:tcPr>
          <w:p w14:paraId="4D1E8F6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Japan</w:t>
            </w:r>
          </w:p>
        </w:tc>
        <w:tc>
          <w:tcPr>
            <w:tcW w:w="0" w:type="auto"/>
            <w:shd w:val="clear" w:color="auto" w:fill="FFFFFF"/>
            <w:vAlign w:val="bottom"/>
            <w:hideMark/>
          </w:tcPr>
          <w:p w14:paraId="28713BE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B1448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429E9A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134</w:t>
            </w:r>
          </w:p>
        </w:tc>
        <w:tc>
          <w:tcPr>
            <w:tcW w:w="0" w:type="auto"/>
            <w:shd w:val="clear" w:color="auto" w:fill="FFFFFF"/>
            <w:noWrap/>
            <w:vAlign w:val="bottom"/>
            <w:hideMark/>
          </w:tcPr>
          <w:p w14:paraId="06F4ECB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7D2A859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353F2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269999D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178</w:t>
            </w:r>
          </w:p>
        </w:tc>
        <w:tc>
          <w:tcPr>
            <w:tcW w:w="0" w:type="auto"/>
            <w:shd w:val="clear" w:color="auto" w:fill="FFFFFF"/>
            <w:noWrap/>
            <w:vAlign w:val="bottom"/>
            <w:hideMark/>
          </w:tcPr>
          <w:p w14:paraId="6DAFFA3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D98FE72" w14:textId="77777777" w:rsidTr="004B2A77">
        <w:trPr>
          <w:trHeight w:val="180"/>
          <w:tblCellSpacing w:w="15" w:type="dxa"/>
        </w:trPr>
        <w:tc>
          <w:tcPr>
            <w:tcW w:w="0" w:type="auto"/>
            <w:shd w:val="clear" w:color="auto" w:fill="CFF0FC"/>
            <w:hideMark/>
          </w:tcPr>
          <w:p w14:paraId="7F22D77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Rest of Asia</w:t>
            </w:r>
          </w:p>
        </w:tc>
        <w:tc>
          <w:tcPr>
            <w:tcW w:w="0" w:type="auto"/>
            <w:shd w:val="clear" w:color="auto" w:fill="CFF0FC"/>
            <w:vAlign w:val="bottom"/>
            <w:hideMark/>
          </w:tcPr>
          <w:p w14:paraId="76B17F7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2740D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927E86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283</w:t>
            </w:r>
          </w:p>
        </w:tc>
        <w:tc>
          <w:tcPr>
            <w:tcW w:w="0" w:type="auto"/>
            <w:shd w:val="clear" w:color="auto" w:fill="CFF0FC"/>
            <w:noWrap/>
            <w:vAlign w:val="bottom"/>
            <w:hideMark/>
          </w:tcPr>
          <w:p w14:paraId="5B0A98B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091AF9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300B4C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C7D7150"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293</w:t>
            </w:r>
          </w:p>
        </w:tc>
        <w:tc>
          <w:tcPr>
            <w:tcW w:w="0" w:type="auto"/>
            <w:shd w:val="clear" w:color="auto" w:fill="CFF0FC"/>
            <w:noWrap/>
            <w:vAlign w:val="bottom"/>
            <w:hideMark/>
          </w:tcPr>
          <w:p w14:paraId="3370E8A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C9C3BBA" w14:textId="77777777" w:rsidTr="004B2A77">
        <w:trPr>
          <w:trHeight w:val="180"/>
          <w:tblCellSpacing w:w="15" w:type="dxa"/>
        </w:trPr>
        <w:tc>
          <w:tcPr>
            <w:tcW w:w="0" w:type="auto"/>
            <w:shd w:val="clear" w:color="auto" w:fill="FFFFFF"/>
            <w:hideMark/>
          </w:tcPr>
          <w:p w14:paraId="416617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Americas</w:t>
            </w:r>
          </w:p>
        </w:tc>
        <w:tc>
          <w:tcPr>
            <w:tcW w:w="0" w:type="auto"/>
            <w:shd w:val="clear" w:color="auto" w:fill="FFFFFF"/>
            <w:vAlign w:val="bottom"/>
            <w:hideMark/>
          </w:tcPr>
          <w:p w14:paraId="049AE3E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5254F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3690CF7"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1,962</w:t>
            </w:r>
          </w:p>
        </w:tc>
        <w:tc>
          <w:tcPr>
            <w:tcW w:w="0" w:type="auto"/>
            <w:shd w:val="clear" w:color="auto" w:fill="FFFFFF"/>
            <w:noWrap/>
            <w:vAlign w:val="bottom"/>
            <w:hideMark/>
          </w:tcPr>
          <w:p w14:paraId="302343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E2B6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B808DF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DD3166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1,838</w:t>
            </w:r>
          </w:p>
        </w:tc>
        <w:tc>
          <w:tcPr>
            <w:tcW w:w="0" w:type="auto"/>
            <w:shd w:val="clear" w:color="auto" w:fill="FFFFFF"/>
            <w:noWrap/>
            <w:vAlign w:val="bottom"/>
            <w:hideMark/>
          </w:tcPr>
          <w:p w14:paraId="360FF0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7D10EDB4" w14:textId="77777777" w:rsidTr="004B2A77">
        <w:trPr>
          <w:trHeight w:val="180"/>
          <w:tblCellSpacing w:w="15" w:type="dxa"/>
        </w:trPr>
        <w:tc>
          <w:tcPr>
            <w:tcW w:w="0" w:type="auto"/>
            <w:shd w:val="clear" w:color="auto" w:fill="CFF0FC"/>
            <w:hideMark/>
          </w:tcPr>
          <w:p w14:paraId="30AC1C0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Europe</w:t>
            </w:r>
          </w:p>
        </w:tc>
        <w:tc>
          <w:tcPr>
            <w:tcW w:w="0" w:type="auto"/>
            <w:shd w:val="clear" w:color="auto" w:fill="CFF0FC"/>
            <w:vAlign w:val="bottom"/>
            <w:hideMark/>
          </w:tcPr>
          <w:p w14:paraId="55BCCB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46CA8C5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3775C31"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1,043</w:t>
            </w:r>
          </w:p>
        </w:tc>
        <w:tc>
          <w:tcPr>
            <w:tcW w:w="0" w:type="auto"/>
            <w:shd w:val="clear" w:color="auto" w:fill="CFF0FC"/>
            <w:noWrap/>
            <w:vAlign w:val="bottom"/>
            <w:hideMark/>
          </w:tcPr>
          <w:p w14:paraId="7518BB8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0DF5A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23A5711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1CF0509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1,032</w:t>
            </w:r>
          </w:p>
        </w:tc>
        <w:tc>
          <w:tcPr>
            <w:tcW w:w="0" w:type="auto"/>
            <w:shd w:val="clear" w:color="auto" w:fill="CFF0FC"/>
            <w:noWrap/>
            <w:vAlign w:val="bottom"/>
            <w:hideMark/>
          </w:tcPr>
          <w:p w14:paraId="4A5013B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CDCB208" w14:textId="77777777" w:rsidTr="004B2A77">
        <w:trPr>
          <w:trHeight w:val="180"/>
          <w:tblCellSpacing w:w="15" w:type="dxa"/>
        </w:trPr>
        <w:tc>
          <w:tcPr>
            <w:tcW w:w="0" w:type="auto"/>
            <w:shd w:val="clear" w:color="auto" w:fill="FFFFFF"/>
            <w:hideMark/>
          </w:tcPr>
          <w:p w14:paraId="0D7C024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Total</w:t>
            </w:r>
          </w:p>
        </w:tc>
        <w:tc>
          <w:tcPr>
            <w:tcW w:w="0" w:type="auto"/>
            <w:shd w:val="clear" w:color="auto" w:fill="FFFFFF"/>
            <w:vAlign w:val="bottom"/>
            <w:hideMark/>
          </w:tcPr>
          <w:p w14:paraId="696F7F2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56E11E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1AB2764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4,003</w:t>
            </w:r>
          </w:p>
        </w:tc>
        <w:tc>
          <w:tcPr>
            <w:tcW w:w="0" w:type="auto"/>
            <w:shd w:val="clear" w:color="auto" w:fill="FFFFFF"/>
            <w:noWrap/>
            <w:vAlign w:val="bottom"/>
            <w:hideMark/>
          </w:tcPr>
          <w:p w14:paraId="4B6F8EA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BF895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C0564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w:t>
            </w:r>
          </w:p>
        </w:tc>
        <w:tc>
          <w:tcPr>
            <w:tcW w:w="0" w:type="auto"/>
            <w:shd w:val="clear" w:color="auto" w:fill="FFFFFF"/>
            <w:vAlign w:val="bottom"/>
            <w:hideMark/>
          </w:tcPr>
          <w:p w14:paraId="75E26AFE"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b/>
                <w:bCs/>
                <w:color w:val="000000"/>
                <w:kern w:val="0"/>
                <w:sz w:val="18"/>
                <w:szCs w:val="18"/>
              </w:rPr>
              <w:t>3,862</w:t>
            </w:r>
          </w:p>
        </w:tc>
        <w:tc>
          <w:tcPr>
            <w:tcW w:w="0" w:type="auto"/>
            <w:shd w:val="clear" w:color="auto" w:fill="FFFFFF"/>
            <w:noWrap/>
            <w:vAlign w:val="bottom"/>
            <w:hideMark/>
          </w:tcPr>
          <w:p w14:paraId="0A2F8A6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19A6D45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302CFBF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Long-lived assets in the U.S. amounted to $1,626 million and $1,604 million for 2022 and 2021, respectively. For 2022 and 2021, $1,226 million and $1,227 million, respectively, of the long-lived assets in the U.S. refers to intangible assets, principally from acquisition goodwill.</w:t>
      </w:r>
    </w:p>
    <w:p w14:paraId="48CB6EA7"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88</w:t>
      </w:r>
    </w:p>
    <w:p w14:paraId="3F60C56C"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769968D">
          <v:rect id="_x0000_i1115" style="width:0;height:1.5pt" o:hralign="center" o:hrstd="t" o:hrnoshade="t" o:hr="t" fillcolor="black" stroked="f"/>
        </w:pict>
      </w:r>
    </w:p>
    <w:p w14:paraId="7E82A862"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582A3D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21. Earnings Per Share</w:t>
      </w:r>
    </w:p>
    <w:p w14:paraId="2FD58DF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computation of basic and diluted EPS under the two-class method were as follows (dollars and shares in millions):</w:t>
      </w:r>
    </w:p>
    <w:p w14:paraId="2EB4CCA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6491" w:type="dxa"/>
        <w:tblCellSpacing w:w="15" w:type="dxa"/>
        <w:tblCellMar>
          <w:top w:w="15" w:type="dxa"/>
          <w:left w:w="15" w:type="dxa"/>
          <w:bottom w:w="15" w:type="dxa"/>
          <w:right w:w="15" w:type="dxa"/>
        </w:tblCellMar>
        <w:tblLook w:val="04A0" w:firstRow="1" w:lastRow="0" w:firstColumn="1" w:lastColumn="0" w:noHBand="0" w:noVBand="1"/>
      </w:tblPr>
      <w:tblGrid>
        <w:gridCol w:w="9159"/>
        <w:gridCol w:w="250"/>
        <w:gridCol w:w="189"/>
        <w:gridCol w:w="1807"/>
        <w:gridCol w:w="190"/>
        <w:gridCol w:w="253"/>
        <w:gridCol w:w="190"/>
        <w:gridCol w:w="1807"/>
        <w:gridCol w:w="190"/>
        <w:gridCol w:w="253"/>
        <w:gridCol w:w="190"/>
        <w:gridCol w:w="1807"/>
        <w:gridCol w:w="206"/>
      </w:tblGrid>
      <w:tr w:rsidR="004B2A77" w:rsidRPr="004B2A77" w14:paraId="6C591424" w14:textId="77777777" w:rsidTr="004B2A77">
        <w:trPr>
          <w:tblCellSpacing w:w="15" w:type="dxa"/>
        </w:trPr>
        <w:tc>
          <w:tcPr>
            <w:tcW w:w="9134" w:type="dxa"/>
            <w:vAlign w:val="center"/>
            <w:hideMark/>
          </w:tcPr>
          <w:p w14:paraId="691BB67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21" w:type="dxa"/>
            <w:vAlign w:val="center"/>
            <w:hideMark/>
          </w:tcPr>
          <w:p w14:paraId="673331D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20B092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6C6BCC8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7E9328D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3" w:type="dxa"/>
            <w:vAlign w:val="center"/>
            <w:hideMark/>
          </w:tcPr>
          <w:p w14:paraId="6E91D3D5"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6B788099"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08EA4EE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1FE23F0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23" w:type="dxa"/>
            <w:vAlign w:val="center"/>
            <w:hideMark/>
          </w:tcPr>
          <w:p w14:paraId="4599999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0" w:type="dxa"/>
            <w:vAlign w:val="center"/>
            <w:hideMark/>
          </w:tcPr>
          <w:p w14:paraId="30A6BEE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780" w:type="dxa"/>
            <w:vAlign w:val="center"/>
            <w:hideMark/>
          </w:tcPr>
          <w:p w14:paraId="07F582F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61" w:type="dxa"/>
            <w:vAlign w:val="center"/>
            <w:hideMark/>
          </w:tcPr>
          <w:p w14:paraId="70AE5E00"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2890858E" w14:textId="77777777" w:rsidTr="004B2A77">
        <w:trPr>
          <w:trHeight w:val="160"/>
          <w:tblCellSpacing w:w="15" w:type="dxa"/>
        </w:trPr>
        <w:tc>
          <w:tcPr>
            <w:tcW w:w="0" w:type="auto"/>
            <w:shd w:val="clear" w:color="auto" w:fill="FFFFFF"/>
            <w:vAlign w:val="bottom"/>
            <w:hideMark/>
          </w:tcPr>
          <w:p w14:paraId="3066A9E2"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D8FFFD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4857CD6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2022</w:t>
            </w:r>
          </w:p>
        </w:tc>
        <w:tc>
          <w:tcPr>
            <w:tcW w:w="0" w:type="auto"/>
            <w:shd w:val="clear" w:color="auto" w:fill="FFFFFF"/>
            <w:vAlign w:val="bottom"/>
            <w:hideMark/>
          </w:tcPr>
          <w:p w14:paraId="6B6FB5A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37994560"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0E074F37"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2021</w:t>
            </w:r>
          </w:p>
        </w:tc>
        <w:tc>
          <w:tcPr>
            <w:tcW w:w="0" w:type="auto"/>
            <w:shd w:val="clear" w:color="auto" w:fill="FFFFFF"/>
            <w:vAlign w:val="bottom"/>
            <w:hideMark/>
          </w:tcPr>
          <w:p w14:paraId="4976B491"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shd w:val="clear" w:color="auto" w:fill="FFFFFF"/>
            <w:vAlign w:val="bottom"/>
            <w:hideMark/>
          </w:tcPr>
          <w:p w14:paraId="69F9F25E" w14:textId="77777777" w:rsidR="004B2A77" w:rsidRPr="004B2A77" w:rsidRDefault="004B2A77" w:rsidP="004B2A77">
            <w:pPr>
              <w:widowControl/>
              <w:jc w:val="left"/>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c>
          <w:tcPr>
            <w:tcW w:w="0" w:type="auto"/>
            <w:gridSpan w:val="2"/>
            <w:tcBorders>
              <w:bottom w:val="single" w:sz="4" w:space="0" w:color="000000"/>
            </w:tcBorders>
            <w:shd w:val="clear" w:color="auto" w:fill="FFFFFF"/>
            <w:vAlign w:val="bottom"/>
            <w:hideMark/>
          </w:tcPr>
          <w:p w14:paraId="34D3FC3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b/>
                <w:bCs/>
                <w:color w:val="000000"/>
                <w:kern w:val="0"/>
                <w:sz w:val="16"/>
                <w:szCs w:val="16"/>
              </w:rPr>
              <w:t>2020</w:t>
            </w:r>
          </w:p>
        </w:tc>
        <w:tc>
          <w:tcPr>
            <w:tcW w:w="0" w:type="auto"/>
            <w:shd w:val="clear" w:color="auto" w:fill="FFFFFF"/>
            <w:vAlign w:val="bottom"/>
            <w:hideMark/>
          </w:tcPr>
          <w:p w14:paraId="4380357B" w14:textId="77777777" w:rsidR="004B2A77" w:rsidRPr="004B2A77" w:rsidRDefault="004B2A77" w:rsidP="004B2A77">
            <w:pPr>
              <w:widowControl/>
              <w:jc w:val="center"/>
              <w:rPr>
                <w:rFonts w:ascii="Times New Roman" w:eastAsia="宋体" w:hAnsi="Times New Roman" w:cs="Times New Roman"/>
                <w:kern w:val="0"/>
                <w:sz w:val="16"/>
                <w:szCs w:val="16"/>
              </w:rPr>
            </w:pPr>
            <w:r w:rsidRPr="004B2A77">
              <w:rPr>
                <w:rFonts w:ascii="Arial" w:eastAsia="宋体" w:hAnsi="Arial" w:cs="Arial"/>
                <w:kern w:val="0"/>
                <w:sz w:val="16"/>
                <w:szCs w:val="16"/>
              </w:rPr>
              <w:t> </w:t>
            </w:r>
          </w:p>
        </w:tc>
      </w:tr>
      <w:tr w:rsidR="004B2A77" w:rsidRPr="004B2A77" w14:paraId="4D71B036" w14:textId="77777777" w:rsidTr="004B2A77">
        <w:trPr>
          <w:trHeight w:val="180"/>
          <w:tblCellSpacing w:w="15" w:type="dxa"/>
        </w:trPr>
        <w:tc>
          <w:tcPr>
            <w:tcW w:w="0" w:type="auto"/>
            <w:shd w:val="clear" w:color="auto" w:fill="CFF0FC"/>
            <w:hideMark/>
          </w:tcPr>
          <w:p w14:paraId="4B60523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 xml:space="preserve">Numerator: </w:t>
            </w:r>
            <w:r w:rsidRPr="004B2A77">
              <w:rPr>
                <w:rFonts w:ascii="Arial" w:eastAsia="宋体" w:hAnsi="Arial" w:cs="Arial"/>
                <w:b/>
                <w:bCs/>
                <w:color w:val="000000"/>
                <w:kern w:val="0"/>
                <w:sz w:val="12"/>
                <w:szCs w:val="12"/>
              </w:rPr>
              <w:t>1)</w:t>
            </w:r>
          </w:p>
        </w:tc>
        <w:tc>
          <w:tcPr>
            <w:tcW w:w="0" w:type="auto"/>
            <w:shd w:val="clear" w:color="auto" w:fill="CFF0FC"/>
            <w:vAlign w:val="bottom"/>
            <w:hideMark/>
          </w:tcPr>
          <w:p w14:paraId="493E88E1"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7F160078"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A1CE88B"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211D42C"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1054DE3"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389D641"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9ED5ED1"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25B64A5"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1730FD4A"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56237427" w14:textId="77777777" w:rsidTr="004B2A77">
        <w:trPr>
          <w:trHeight w:val="180"/>
          <w:tblCellSpacing w:w="15" w:type="dxa"/>
        </w:trPr>
        <w:tc>
          <w:tcPr>
            <w:tcW w:w="0" w:type="auto"/>
            <w:shd w:val="clear" w:color="auto" w:fill="FFFFFF"/>
            <w:vAlign w:val="bottom"/>
            <w:hideMark/>
          </w:tcPr>
          <w:p w14:paraId="1D81E787" w14:textId="77777777" w:rsidR="004B2A77" w:rsidRPr="004B2A77" w:rsidRDefault="004B2A77" w:rsidP="004B2A77">
            <w:pPr>
              <w:widowControl/>
              <w:ind w:left="1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Net income attributable to common shareholders</w:t>
            </w:r>
          </w:p>
        </w:tc>
        <w:tc>
          <w:tcPr>
            <w:tcW w:w="0" w:type="auto"/>
            <w:shd w:val="clear" w:color="auto" w:fill="FFFFFF"/>
            <w:vAlign w:val="bottom"/>
            <w:hideMark/>
          </w:tcPr>
          <w:p w14:paraId="1B9BECB4" w14:textId="77777777" w:rsidR="004B2A77" w:rsidRPr="004B2A77" w:rsidRDefault="004B2A77" w:rsidP="004B2A77">
            <w:pPr>
              <w:widowControl/>
              <w:jc w:val="center"/>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7D473E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3C6E6B4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423</w:t>
            </w:r>
          </w:p>
        </w:tc>
        <w:tc>
          <w:tcPr>
            <w:tcW w:w="0" w:type="auto"/>
            <w:shd w:val="clear" w:color="auto" w:fill="FFFFFF"/>
            <w:noWrap/>
            <w:vAlign w:val="bottom"/>
            <w:hideMark/>
          </w:tcPr>
          <w:p w14:paraId="7317971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B0CC5BE"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40AE94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11A35DB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435</w:t>
            </w:r>
          </w:p>
        </w:tc>
        <w:tc>
          <w:tcPr>
            <w:tcW w:w="0" w:type="auto"/>
            <w:shd w:val="clear" w:color="auto" w:fill="FFFFFF"/>
            <w:noWrap/>
            <w:vAlign w:val="bottom"/>
            <w:hideMark/>
          </w:tcPr>
          <w:p w14:paraId="434F466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34C4F68"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18F23E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5B60DD3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187</w:t>
            </w:r>
          </w:p>
        </w:tc>
        <w:tc>
          <w:tcPr>
            <w:tcW w:w="0" w:type="auto"/>
            <w:shd w:val="clear" w:color="auto" w:fill="FFFFFF"/>
            <w:noWrap/>
            <w:vAlign w:val="bottom"/>
            <w:hideMark/>
          </w:tcPr>
          <w:p w14:paraId="2E1426D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055DD4F7" w14:textId="77777777" w:rsidTr="004B2A77">
        <w:trPr>
          <w:trHeight w:val="180"/>
          <w:tblCellSpacing w:w="15" w:type="dxa"/>
        </w:trPr>
        <w:tc>
          <w:tcPr>
            <w:tcW w:w="0" w:type="auto"/>
            <w:shd w:val="clear" w:color="auto" w:fill="CFF0FC"/>
            <w:hideMark/>
          </w:tcPr>
          <w:p w14:paraId="292BD8C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b/>
                <w:bCs/>
                <w:color w:val="000000"/>
                <w:kern w:val="0"/>
                <w:sz w:val="18"/>
                <w:szCs w:val="18"/>
              </w:rPr>
              <w:t xml:space="preserve">Denominator: </w:t>
            </w:r>
            <w:r w:rsidRPr="004B2A77">
              <w:rPr>
                <w:rFonts w:ascii="Arial" w:eastAsia="宋体" w:hAnsi="Arial" w:cs="Arial"/>
                <w:b/>
                <w:bCs/>
                <w:color w:val="000000"/>
                <w:kern w:val="0"/>
                <w:sz w:val="12"/>
                <w:szCs w:val="12"/>
              </w:rPr>
              <w:t>1)</w:t>
            </w:r>
          </w:p>
        </w:tc>
        <w:tc>
          <w:tcPr>
            <w:tcW w:w="0" w:type="auto"/>
            <w:shd w:val="clear" w:color="auto" w:fill="CFF0FC"/>
            <w:vAlign w:val="bottom"/>
            <w:hideMark/>
          </w:tcPr>
          <w:p w14:paraId="1228379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2BEA5C6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58E79124"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6B7F4F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1A3E3866"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0065427"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DD757B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794D423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3F1913F"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455E07F" w14:textId="77777777" w:rsidTr="004B2A77">
        <w:trPr>
          <w:trHeight w:val="180"/>
          <w:tblCellSpacing w:w="15" w:type="dxa"/>
        </w:trPr>
        <w:tc>
          <w:tcPr>
            <w:tcW w:w="0" w:type="auto"/>
            <w:shd w:val="clear" w:color="auto" w:fill="FFFFFF"/>
            <w:vAlign w:val="bottom"/>
            <w:hideMark/>
          </w:tcPr>
          <w:p w14:paraId="7BBFA83F" w14:textId="77777777" w:rsidR="004B2A77" w:rsidRPr="004B2A77" w:rsidRDefault="004B2A77" w:rsidP="004B2A77">
            <w:pPr>
              <w:widowControl/>
              <w:ind w:left="1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Basic weighted average common stock</w:t>
            </w:r>
          </w:p>
        </w:tc>
        <w:tc>
          <w:tcPr>
            <w:tcW w:w="0" w:type="auto"/>
            <w:shd w:val="clear" w:color="auto" w:fill="FFFFFF"/>
            <w:vAlign w:val="bottom"/>
            <w:hideMark/>
          </w:tcPr>
          <w:p w14:paraId="02A672A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68904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173E836"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87.1</w:t>
            </w:r>
          </w:p>
        </w:tc>
        <w:tc>
          <w:tcPr>
            <w:tcW w:w="0" w:type="auto"/>
            <w:shd w:val="clear" w:color="auto" w:fill="FFFFFF"/>
            <w:noWrap/>
            <w:vAlign w:val="bottom"/>
            <w:hideMark/>
          </w:tcPr>
          <w:p w14:paraId="26A0208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80BDA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29C04D2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15C6F5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87.5</w:t>
            </w:r>
          </w:p>
        </w:tc>
        <w:tc>
          <w:tcPr>
            <w:tcW w:w="0" w:type="auto"/>
            <w:shd w:val="clear" w:color="auto" w:fill="FFFFFF"/>
            <w:noWrap/>
            <w:vAlign w:val="bottom"/>
            <w:hideMark/>
          </w:tcPr>
          <w:p w14:paraId="6229245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F640A7A"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1BF2C13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AEC0F9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87.3</w:t>
            </w:r>
          </w:p>
        </w:tc>
        <w:tc>
          <w:tcPr>
            <w:tcW w:w="0" w:type="auto"/>
            <w:shd w:val="clear" w:color="auto" w:fill="FFFFFF"/>
            <w:noWrap/>
            <w:vAlign w:val="bottom"/>
            <w:hideMark/>
          </w:tcPr>
          <w:p w14:paraId="5D1FB45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DEC7138" w14:textId="77777777" w:rsidTr="004B2A77">
        <w:trPr>
          <w:trHeight w:val="180"/>
          <w:tblCellSpacing w:w="15" w:type="dxa"/>
        </w:trPr>
        <w:tc>
          <w:tcPr>
            <w:tcW w:w="0" w:type="auto"/>
            <w:shd w:val="clear" w:color="auto" w:fill="CFF0FC"/>
            <w:vAlign w:val="bottom"/>
            <w:hideMark/>
          </w:tcPr>
          <w:p w14:paraId="0D9223C8" w14:textId="77777777" w:rsidR="004B2A77" w:rsidRPr="004B2A77" w:rsidRDefault="004B2A77" w:rsidP="004B2A77">
            <w:pPr>
              <w:widowControl/>
              <w:ind w:left="1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Added: Weighted average stock options/share awards</w:t>
            </w:r>
          </w:p>
        </w:tc>
        <w:tc>
          <w:tcPr>
            <w:tcW w:w="0" w:type="auto"/>
            <w:shd w:val="clear" w:color="auto" w:fill="CFF0FC"/>
            <w:vAlign w:val="bottom"/>
            <w:hideMark/>
          </w:tcPr>
          <w:p w14:paraId="3A73799C"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7B0D3A3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457F93C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w:t>
            </w:r>
          </w:p>
        </w:tc>
        <w:tc>
          <w:tcPr>
            <w:tcW w:w="0" w:type="auto"/>
            <w:shd w:val="clear" w:color="auto" w:fill="CFF0FC"/>
            <w:noWrap/>
            <w:vAlign w:val="bottom"/>
            <w:hideMark/>
          </w:tcPr>
          <w:p w14:paraId="4A54B82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F2A2E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0034854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79EAD51A"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w:t>
            </w:r>
          </w:p>
        </w:tc>
        <w:tc>
          <w:tcPr>
            <w:tcW w:w="0" w:type="auto"/>
            <w:shd w:val="clear" w:color="auto" w:fill="CFF0FC"/>
            <w:noWrap/>
            <w:vAlign w:val="bottom"/>
            <w:hideMark/>
          </w:tcPr>
          <w:p w14:paraId="40FE497F"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76566985"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noWrap/>
            <w:vAlign w:val="bottom"/>
            <w:hideMark/>
          </w:tcPr>
          <w:p w14:paraId="6C1B121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tcBorders>
              <w:bottom w:val="single" w:sz="4" w:space="0" w:color="000000"/>
            </w:tcBorders>
            <w:shd w:val="clear" w:color="auto" w:fill="CFF0FC"/>
            <w:vAlign w:val="bottom"/>
            <w:hideMark/>
          </w:tcPr>
          <w:p w14:paraId="65920972"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0.2</w:t>
            </w:r>
          </w:p>
        </w:tc>
        <w:tc>
          <w:tcPr>
            <w:tcW w:w="0" w:type="auto"/>
            <w:shd w:val="clear" w:color="auto" w:fill="CFF0FC"/>
            <w:noWrap/>
            <w:vAlign w:val="bottom"/>
            <w:hideMark/>
          </w:tcPr>
          <w:p w14:paraId="2E81357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399AEBD" w14:textId="77777777" w:rsidTr="004B2A77">
        <w:trPr>
          <w:trHeight w:val="180"/>
          <w:tblCellSpacing w:w="15" w:type="dxa"/>
        </w:trPr>
        <w:tc>
          <w:tcPr>
            <w:tcW w:w="0" w:type="auto"/>
            <w:shd w:val="clear" w:color="auto" w:fill="FFFFFF"/>
            <w:vAlign w:val="bottom"/>
            <w:hideMark/>
          </w:tcPr>
          <w:p w14:paraId="62C02F28" w14:textId="77777777" w:rsidR="004B2A77" w:rsidRPr="004B2A77" w:rsidRDefault="004B2A77" w:rsidP="004B2A77">
            <w:pPr>
              <w:widowControl/>
              <w:ind w:left="1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Diluted weighted average common stock</w:t>
            </w:r>
          </w:p>
        </w:tc>
        <w:tc>
          <w:tcPr>
            <w:tcW w:w="0" w:type="auto"/>
            <w:shd w:val="clear" w:color="auto" w:fill="FFFFFF"/>
            <w:vAlign w:val="bottom"/>
            <w:hideMark/>
          </w:tcPr>
          <w:p w14:paraId="01DE0C1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E8394AB"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58EB3FAF"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87.2</w:t>
            </w:r>
          </w:p>
        </w:tc>
        <w:tc>
          <w:tcPr>
            <w:tcW w:w="0" w:type="auto"/>
            <w:shd w:val="clear" w:color="auto" w:fill="FFFFFF"/>
            <w:noWrap/>
            <w:vAlign w:val="bottom"/>
            <w:hideMark/>
          </w:tcPr>
          <w:p w14:paraId="53F70C11"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796CCC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7F3BD28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3507664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87.7</w:t>
            </w:r>
          </w:p>
        </w:tc>
        <w:tc>
          <w:tcPr>
            <w:tcW w:w="0" w:type="auto"/>
            <w:shd w:val="clear" w:color="auto" w:fill="FFFFFF"/>
            <w:noWrap/>
            <w:vAlign w:val="bottom"/>
            <w:hideMark/>
          </w:tcPr>
          <w:p w14:paraId="77EB42F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77454F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64EC8F2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623BA114"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87.5</w:t>
            </w:r>
          </w:p>
        </w:tc>
        <w:tc>
          <w:tcPr>
            <w:tcW w:w="0" w:type="auto"/>
            <w:shd w:val="clear" w:color="auto" w:fill="FFFFFF"/>
            <w:noWrap/>
            <w:vAlign w:val="bottom"/>
            <w:hideMark/>
          </w:tcPr>
          <w:p w14:paraId="249F700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22E11180" w14:textId="77777777" w:rsidTr="004B2A77">
        <w:trPr>
          <w:tblCellSpacing w:w="15" w:type="dxa"/>
        </w:trPr>
        <w:tc>
          <w:tcPr>
            <w:tcW w:w="0" w:type="auto"/>
            <w:shd w:val="clear" w:color="auto" w:fill="CFF0FC"/>
            <w:vAlign w:val="bottom"/>
            <w:hideMark/>
          </w:tcPr>
          <w:p w14:paraId="09D1353F" w14:textId="77777777" w:rsidR="004B2A77" w:rsidRPr="004B2A77" w:rsidRDefault="004B2A77" w:rsidP="004B2A77">
            <w:pPr>
              <w:widowControl/>
              <w:ind w:left="100"/>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39F4684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70518D69"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3AAEDA2"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F6B165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5A444A03"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08D84975"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C86C459"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gridSpan w:val="2"/>
            <w:shd w:val="clear" w:color="auto" w:fill="CFF0FC"/>
            <w:vAlign w:val="bottom"/>
            <w:hideMark/>
          </w:tcPr>
          <w:p w14:paraId="0927890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4CC0FE1A" w14:textId="77777777" w:rsidR="004B2A77" w:rsidRPr="004B2A77" w:rsidRDefault="004B2A77" w:rsidP="004B2A77">
            <w:pPr>
              <w:widowControl/>
              <w:jc w:val="righ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1A393B3C" w14:textId="77777777" w:rsidTr="004B2A77">
        <w:trPr>
          <w:trHeight w:val="180"/>
          <w:tblCellSpacing w:w="15" w:type="dxa"/>
        </w:trPr>
        <w:tc>
          <w:tcPr>
            <w:tcW w:w="0" w:type="auto"/>
            <w:shd w:val="clear" w:color="auto" w:fill="FFFFFF"/>
            <w:vAlign w:val="bottom"/>
            <w:hideMark/>
          </w:tcPr>
          <w:p w14:paraId="2F691E1D" w14:textId="77777777" w:rsidR="004B2A77" w:rsidRPr="004B2A77" w:rsidRDefault="004B2A77" w:rsidP="004B2A77">
            <w:pPr>
              <w:widowControl/>
              <w:ind w:left="1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Basic EPS</w:t>
            </w:r>
          </w:p>
        </w:tc>
        <w:tc>
          <w:tcPr>
            <w:tcW w:w="0" w:type="auto"/>
            <w:shd w:val="clear" w:color="auto" w:fill="FFFFFF"/>
            <w:vAlign w:val="bottom"/>
            <w:hideMark/>
          </w:tcPr>
          <w:p w14:paraId="6EB5045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31756F1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01331F8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4.86</w:t>
            </w:r>
          </w:p>
        </w:tc>
        <w:tc>
          <w:tcPr>
            <w:tcW w:w="0" w:type="auto"/>
            <w:shd w:val="clear" w:color="auto" w:fill="FFFFFF"/>
            <w:noWrap/>
            <w:vAlign w:val="bottom"/>
            <w:hideMark/>
          </w:tcPr>
          <w:p w14:paraId="214CEF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1F819F72"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4ACE9990"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72E613E5"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4.97</w:t>
            </w:r>
          </w:p>
        </w:tc>
        <w:tc>
          <w:tcPr>
            <w:tcW w:w="0" w:type="auto"/>
            <w:shd w:val="clear" w:color="auto" w:fill="FFFFFF"/>
            <w:noWrap/>
            <w:vAlign w:val="bottom"/>
            <w:hideMark/>
          </w:tcPr>
          <w:p w14:paraId="7F9633F8"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vAlign w:val="bottom"/>
            <w:hideMark/>
          </w:tcPr>
          <w:p w14:paraId="4054B3FE"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FFFFFF"/>
            <w:noWrap/>
            <w:vAlign w:val="bottom"/>
            <w:hideMark/>
          </w:tcPr>
          <w:p w14:paraId="0C89FD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FFFFFF"/>
            <w:vAlign w:val="bottom"/>
            <w:hideMark/>
          </w:tcPr>
          <w:p w14:paraId="24D6A17B"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2.14</w:t>
            </w:r>
          </w:p>
        </w:tc>
        <w:tc>
          <w:tcPr>
            <w:tcW w:w="0" w:type="auto"/>
            <w:shd w:val="clear" w:color="auto" w:fill="FFFFFF"/>
            <w:noWrap/>
            <w:vAlign w:val="bottom"/>
            <w:hideMark/>
          </w:tcPr>
          <w:p w14:paraId="58FDC34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r w:rsidR="004B2A77" w:rsidRPr="004B2A77" w14:paraId="46299D40" w14:textId="77777777" w:rsidTr="004B2A77">
        <w:trPr>
          <w:trHeight w:val="180"/>
          <w:tblCellSpacing w:w="15" w:type="dxa"/>
        </w:trPr>
        <w:tc>
          <w:tcPr>
            <w:tcW w:w="0" w:type="auto"/>
            <w:shd w:val="clear" w:color="auto" w:fill="CFF0FC"/>
            <w:vAlign w:val="bottom"/>
            <w:hideMark/>
          </w:tcPr>
          <w:p w14:paraId="20A2285E" w14:textId="77777777" w:rsidR="004B2A77" w:rsidRPr="004B2A77" w:rsidRDefault="004B2A77" w:rsidP="004B2A77">
            <w:pPr>
              <w:widowControl/>
              <w:ind w:left="100"/>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Diluted EPS</w:t>
            </w:r>
          </w:p>
        </w:tc>
        <w:tc>
          <w:tcPr>
            <w:tcW w:w="0" w:type="auto"/>
            <w:shd w:val="clear" w:color="auto" w:fill="CFF0FC"/>
            <w:vAlign w:val="bottom"/>
            <w:hideMark/>
          </w:tcPr>
          <w:p w14:paraId="07F36123"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1EE23E0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687262DD"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4.85</w:t>
            </w:r>
          </w:p>
        </w:tc>
        <w:tc>
          <w:tcPr>
            <w:tcW w:w="0" w:type="auto"/>
            <w:shd w:val="clear" w:color="auto" w:fill="CFF0FC"/>
            <w:noWrap/>
            <w:vAlign w:val="bottom"/>
            <w:hideMark/>
          </w:tcPr>
          <w:p w14:paraId="0747AD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63DF77B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0F001FC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2CF60D9"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4.96</w:t>
            </w:r>
          </w:p>
        </w:tc>
        <w:tc>
          <w:tcPr>
            <w:tcW w:w="0" w:type="auto"/>
            <w:shd w:val="clear" w:color="auto" w:fill="CFF0FC"/>
            <w:noWrap/>
            <w:vAlign w:val="bottom"/>
            <w:hideMark/>
          </w:tcPr>
          <w:p w14:paraId="38C3129D"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vAlign w:val="bottom"/>
            <w:hideMark/>
          </w:tcPr>
          <w:p w14:paraId="2EADEA34"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c>
          <w:tcPr>
            <w:tcW w:w="0" w:type="auto"/>
            <w:shd w:val="clear" w:color="auto" w:fill="CFF0FC"/>
            <w:noWrap/>
            <w:vAlign w:val="bottom"/>
            <w:hideMark/>
          </w:tcPr>
          <w:p w14:paraId="60FE8636"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color w:val="000000"/>
                <w:kern w:val="0"/>
                <w:sz w:val="18"/>
                <w:szCs w:val="18"/>
              </w:rPr>
              <w:t>$</w:t>
            </w:r>
          </w:p>
        </w:tc>
        <w:tc>
          <w:tcPr>
            <w:tcW w:w="0" w:type="auto"/>
            <w:shd w:val="clear" w:color="auto" w:fill="CFF0FC"/>
            <w:vAlign w:val="bottom"/>
            <w:hideMark/>
          </w:tcPr>
          <w:p w14:paraId="1F6F9DBC" w14:textId="77777777" w:rsidR="004B2A77" w:rsidRPr="004B2A77" w:rsidRDefault="004B2A77" w:rsidP="004B2A77">
            <w:pPr>
              <w:widowControl/>
              <w:jc w:val="right"/>
              <w:rPr>
                <w:rFonts w:ascii="Times New Roman" w:eastAsia="宋体" w:hAnsi="Times New Roman" w:cs="Times New Roman"/>
                <w:kern w:val="0"/>
                <w:sz w:val="20"/>
                <w:szCs w:val="20"/>
              </w:rPr>
            </w:pPr>
            <w:r w:rsidRPr="004B2A77">
              <w:rPr>
                <w:rFonts w:ascii="Arial" w:eastAsia="宋体" w:hAnsi="Arial" w:cs="Arial"/>
                <w:color w:val="000000"/>
                <w:kern w:val="0"/>
                <w:sz w:val="18"/>
                <w:szCs w:val="18"/>
              </w:rPr>
              <w:t>2.14</w:t>
            </w:r>
          </w:p>
        </w:tc>
        <w:tc>
          <w:tcPr>
            <w:tcW w:w="0" w:type="auto"/>
            <w:shd w:val="clear" w:color="auto" w:fill="CFF0FC"/>
            <w:noWrap/>
            <w:vAlign w:val="bottom"/>
            <w:hideMark/>
          </w:tcPr>
          <w:p w14:paraId="18030027" w14:textId="77777777" w:rsidR="004B2A77" w:rsidRPr="004B2A77" w:rsidRDefault="004B2A77" w:rsidP="004B2A77">
            <w:pPr>
              <w:widowControl/>
              <w:jc w:val="left"/>
              <w:rPr>
                <w:rFonts w:ascii="Times New Roman" w:eastAsia="宋体" w:hAnsi="Times New Roman" w:cs="Times New Roman"/>
                <w:kern w:val="0"/>
                <w:sz w:val="18"/>
                <w:szCs w:val="18"/>
              </w:rPr>
            </w:pPr>
            <w:r w:rsidRPr="004B2A77">
              <w:rPr>
                <w:rFonts w:ascii="Arial" w:eastAsia="宋体" w:hAnsi="Arial" w:cs="Arial"/>
                <w:kern w:val="0"/>
                <w:sz w:val="18"/>
                <w:szCs w:val="18"/>
              </w:rPr>
              <w:t> </w:t>
            </w:r>
          </w:p>
        </w:tc>
      </w:tr>
    </w:tbl>
    <w:p w14:paraId="45828C39" w14:textId="77777777" w:rsidR="004B2A77" w:rsidRPr="004B2A77" w:rsidRDefault="004B2A77" w:rsidP="004B2A77">
      <w:pPr>
        <w:widowControl/>
        <w:ind w:hanging="581"/>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3C4A36B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6"/>
          <w:szCs w:val="16"/>
        </w:rPr>
        <w:t>1) The Company’s unvested RSUs and PSs, of which some included the right to receive non-forfeitable dividend equivalents, are considered participating securities. Calculations of EPS under the two-class method exclude from the numerator any dividends paid or owed on participating securities and any undistributed earnings considered to be attributable to participating securities. The related participating securities are similarly excluded from the denominator. However, these participating securities have been immaterial for all the years presented.</w:t>
      </w:r>
    </w:p>
    <w:p w14:paraId="06227D7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7434671E"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xml:space="preserve">Anti-dilutive shares outstanding for the years ended December 31, 2022, 2021 and 2020 were immaterial. </w:t>
      </w:r>
    </w:p>
    <w:p w14:paraId="1964D3C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22. Subsequent Events</w:t>
      </w:r>
    </w:p>
    <w:p w14:paraId="4C1D1FB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were no reportable events subsequent to December 31, 2022.</w:t>
      </w:r>
    </w:p>
    <w:p w14:paraId="145729B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89</w:t>
      </w:r>
    </w:p>
    <w:p w14:paraId="6EE92B92"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18C17325">
          <v:rect id="_x0000_i1116" style="width:0;height:1.5pt" o:hralign="center" o:hrstd="t" o:hrnoshade="t" o:hr="t" fillcolor="black" stroked="f"/>
        </w:pict>
      </w:r>
    </w:p>
    <w:p w14:paraId="0239802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2F6BC79"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9. Changes in and Disagreements with Accountants on Accounting and Financial Disclosure</w:t>
      </w:r>
    </w:p>
    <w:p w14:paraId="7EA9596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have been no changes to and no disagreements with our independent auditors regarding accounting or financial disclosure matters in our two most recent fiscal years.</w:t>
      </w:r>
    </w:p>
    <w:p w14:paraId="41D7C778"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0E0C1499"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9A. Controls and Procedures</w:t>
      </w:r>
    </w:p>
    <w:p w14:paraId="007EE86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Evaluation of Disclosure Controls and Procedures</w:t>
      </w:r>
    </w:p>
    <w:p w14:paraId="1FA79C4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An evaluation has been carried out by the Company’s management, under the supervision and with the participation of the Company’s Chief Executive Officer and Chief Financial Officer, of the effectiveness of the design and operation of our disclosure controls and procedures (as such term is defined in Rules 13a-15(e) and 15d-15(e) under the Securities Exchange Act of 1934, as amended (the “Exchange Act”)) as of the end of the period covered by this report. Based on such evaluation, the Company’s Chief Executive Officer and Chief Financial Officer have concluded that, as of the end of such period, the Company’s disclosure controls and procedures are effective.</w:t>
      </w:r>
    </w:p>
    <w:p w14:paraId="7C2415B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0F629186"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Internal Control over Financial Reporting</w:t>
      </w:r>
    </w:p>
    <w:p w14:paraId="537570C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(a) Management’s Annual Report on Internal Control Over Financial Reporting</w:t>
      </w:r>
    </w:p>
    <w:p w14:paraId="5B7598B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4970139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Management of the Company is responsible for establishing and maintaining adequate internal control over financial reporting.</w:t>
      </w:r>
    </w:p>
    <w:p w14:paraId="6BAD999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Internal control over financial reporting is defined in Rules 13a-15(f) and 15d-15(f) under the Exchange Act as a process designed by, or under the supervision of, the Company’s principal executive and principal financial officers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and includes those policies and procedures that:</w:t>
      </w:r>
    </w:p>
    <w:p w14:paraId="7DEB40F3" w14:textId="77777777" w:rsidR="004B2A77" w:rsidRPr="004B2A77" w:rsidRDefault="004B2A77" w:rsidP="004B2A77">
      <w:pPr>
        <w:widowControl/>
        <w:rPr>
          <w:rFonts w:ascii="微软雅黑" w:eastAsia="微软雅黑" w:hAnsi="微软雅黑" w:cs="宋体"/>
          <w:color w:val="000000"/>
          <w:kern w:val="0"/>
          <w:sz w:val="27"/>
          <w:szCs w:val="27"/>
        </w:rPr>
      </w:pPr>
      <w:r w:rsidRPr="004B2A77">
        <w:rPr>
          <w:rFonts w:ascii="Times New Roman" w:eastAsia="微软雅黑" w:hAnsi="Times New Roman" w:cs="Times New Roman"/>
          <w:color w:val="000000"/>
          <w:kern w:val="0"/>
          <w:sz w:val="18"/>
          <w:szCs w:val="18"/>
        </w:rPr>
        <w:t>•</w:t>
      </w:r>
    </w:p>
    <w:p w14:paraId="4527A28A"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pertain to the maintenance of records that in reasonable detail accurately and fairly reflect the transactions and dispositions of the assets of the Company;</w:t>
      </w:r>
    </w:p>
    <w:p w14:paraId="1C935024"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5A763DE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provide reasonable assurance that transactions are recorded as necessary to permit preparation of financial statements in accordance with generally accepted accounting principles, and that receipts and </w:t>
      </w:r>
      <w:r w:rsidRPr="004B2A77">
        <w:rPr>
          <w:rFonts w:ascii="Arial" w:eastAsia="微软雅黑" w:hAnsi="Arial" w:cs="Arial"/>
          <w:color w:val="000000"/>
          <w:kern w:val="0"/>
          <w:sz w:val="18"/>
          <w:szCs w:val="18"/>
        </w:rPr>
        <w:lastRenderedPageBreak/>
        <w:t>expenditures of the Company are being made only in accordance with authorizations of management and directors of the Company; and</w:t>
      </w:r>
    </w:p>
    <w:p w14:paraId="0531DC67"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Times New Roman" w:eastAsia="微软雅黑" w:hAnsi="Times New Roman" w:cs="Times New Roman"/>
          <w:color w:val="000000"/>
          <w:kern w:val="0"/>
          <w:sz w:val="18"/>
          <w:szCs w:val="18"/>
        </w:rPr>
        <w:t>•</w:t>
      </w:r>
    </w:p>
    <w:p w14:paraId="64E11D34"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provide reasonable assurance regarding prevention or timely detection of unauthorized acquisition, use or disposition of the Company’s assets that could have a material effect on the financial statements.</w:t>
      </w:r>
    </w:p>
    <w:p w14:paraId="2B2A402A" w14:textId="77777777" w:rsidR="004B2A77" w:rsidRPr="004B2A77" w:rsidRDefault="004B2A77" w:rsidP="004B2A77">
      <w:pPr>
        <w:widowControl/>
        <w:spacing w:before="240"/>
        <w:rPr>
          <w:rFonts w:ascii="Times New Roman" w:eastAsia="宋体" w:hAnsi="Times New Roman" w:cs="Times New Roman" w:hint="eastAsia"/>
          <w:color w:val="000000"/>
          <w:kern w:val="0"/>
          <w:sz w:val="20"/>
          <w:szCs w:val="20"/>
        </w:rPr>
      </w:pPr>
      <w:r w:rsidRPr="004B2A77">
        <w:rPr>
          <w:rFonts w:ascii="Arial" w:eastAsia="宋体" w:hAnsi="Arial" w:cs="Arial"/>
          <w:color w:val="000000"/>
          <w:kern w:val="0"/>
          <w:sz w:val="18"/>
          <w:szCs w:val="18"/>
        </w:rPr>
        <w:t>Because of its inherent limitations, internal control over financial reporting may not prevent or detect misstatements. Projections of any evaluation of effectiveness to future periods are subject to the risks that controls may become inadequate because of changes in conditions, or that the degree of compliance with the policies or procedures may deteriorate.</w:t>
      </w:r>
    </w:p>
    <w:p w14:paraId="0EEC50C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Management assessed the effectiveness of Autoliv’s internal control over financial reporting as of December 31, 2022. In making this assessment, we used the criteria set forth by the Committee of Sponsoring Organizations of the Treadway Commission (COSO) in Internal Control – Integrated Framework (2013 framework).</w:t>
      </w:r>
    </w:p>
    <w:p w14:paraId="1AE444C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Based on our assessment, we believe that, as of December 31, 2022, the Company’s internal control over financial reporting is effective.</w:t>
      </w:r>
    </w:p>
    <w:p w14:paraId="42304A22"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(b) Attestation Report of the Registered Public Accounting Firm</w:t>
      </w:r>
    </w:p>
    <w:p w14:paraId="5198D623"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2"/>
          <w:szCs w:val="12"/>
        </w:rPr>
        <w:t> </w:t>
      </w:r>
    </w:p>
    <w:p w14:paraId="6F5BEA1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Ernst &amp; Young AB has issued an attestation report on the Company’s internal control over financial reporting, which is included herein as the Report of Independent Registered Public Accounting Firm under Item 8. Financial Statements and Supplementary Data for the year ended December 31, 2022.</w:t>
      </w:r>
    </w:p>
    <w:p w14:paraId="34311581"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A12CDE7"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 Changes in Internal Control over Financial Reporting</w:t>
      </w:r>
    </w:p>
    <w:p w14:paraId="1E72012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There have not been any changes in the Company’s internal control over financial reporting (as such term is defined in Rules 13a-15-(f) and 15d-15(f) under the Exchange Act) during the quarter ended December 31, 2022 that have materially affected, or are reasonably likely to materially affect, the Company’s internal control over financial reporting.</w:t>
      </w:r>
    </w:p>
    <w:p w14:paraId="16A397D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1D046540"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9B. Other Information</w:t>
      </w:r>
    </w:p>
    <w:p w14:paraId="4CAD1BC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None.</w:t>
      </w:r>
    </w:p>
    <w:p w14:paraId="281028E4"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0EFD8D1F"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90</w:t>
      </w:r>
    </w:p>
    <w:p w14:paraId="301B8D05"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06B16B3">
          <v:rect id="_x0000_i1117" style="width:0;height:1.5pt" o:hralign="center" o:hrstd="t" o:hrnoshade="t" o:hr="t" fillcolor="black" stroked="f"/>
        </w:pict>
      </w:r>
    </w:p>
    <w:p w14:paraId="2BFDB97B"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FC17428"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PART III</w:t>
      </w:r>
    </w:p>
    <w:p w14:paraId="7B91FF84"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10. Directors, Executive Officers and Corporate Governance</w:t>
      </w:r>
    </w:p>
    <w:p w14:paraId="2B0454C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The information required by Item 10. regarding executive officers, directors and nominees for election as directors of Autoliv, Autoliv’s Audit Committee, Autoliv’s code of ethics, and compliance with Section 16(A) of the Securities Exchange Act is incorporated herein by reference from the information under the captions </w:t>
      </w:r>
      <w:r w:rsidRPr="004B2A77">
        <w:rPr>
          <w:rFonts w:ascii="Arial" w:eastAsia="宋体" w:hAnsi="Arial" w:cs="Arial"/>
          <w:color w:val="000000"/>
          <w:kern w:val="0"/>
          <w:sz w:val="18"/>
          <w:szCs w:val="18"/>
        </w:rPr>
        <w:lastRenderedPageBreak/>
        <w:t>“Executive Officers of the Company” and “Proposal 1: Election of Directors”, “Committees of the Board” and “Audit and Risk Committee Report”, “Corporate Governance Guidelines and Codes of Conduct”, and “Delinquent Section 16(a) Reports”, respectively, in the Company’s 2023 Proxy Statement. Information on Board meeting attendance is provided under the caption “Board Meetings” in the 2023 Proxy Statement and incorporated herein by reference.</w:t>
      </w:r>
    </w:p>
    <w:p w14:paraId="603435D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4E0389F9"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11. Executive Compensation</w:t>
      </w:r>
    </w:p>
    <w:p w14:paraId="78D0E6C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information required by Item 11. regarding executive compensation for the year ended December 31, 2022 is included under the caption “Compensation Discussion and Analysis” in the 2023 Proxy Statement and is incorporated herein by reference. The information required by the same item regarding Leadership Development and Compensation Committee is included in the sections “Leadership Development and Compensation Committee Interlocks and Insider Participation” and “Leadership Development and Compensation Committee Report” in the 2023 Proxy Statement and is incorporated herein by reference.</w:t>
      </w:r>
    </w:p>
    <w:p w14:paraId="0131570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CE46402"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12. Security Ownership of Certain Beneficial Owners and Management and Related Stockholder Matters</w:t>
      </w:r>
    </w:p>
    <w:p w14:paraId="40DD90F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information required by Item 12. regarding beneficial ownership of Autoliv’s common stock is included under the caption “Security Ownership of Certain Beneficial Owners and Management” in the 2023 Proxy Statement and is incorporated herein by reference.</w:t>
      </w:r>
    </w:p>
    <w:p w14:paraId="0F0F6326"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5C5B4F3E"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Shares Previously Authorized for Issuance Under the 1997 Stock Incentive Plan</w:t>
      </w:r>
    </w:p>
    <w:p w14:paraId="35FBDE5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following table provides information as of December 31, 2022, about the common stock that may be issued under the Autoliv, Inc. Stock Incentive Plan. The Company does not have any equity compensation plans that have not been approved by its stockholders.</w:t>
      </w:r>
    </w:p>
    <w:p w14:paraId="1A8D306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6430"/>
        <w:gridCol w:w="236"/>
        <w:gridCol w:w="231"/>
        <w:gridCol w:w="3927"/>
        <w:gridCol w:w="232"/>
        <w:gridCol w:w="308"/>
        <w:gridCol w:w="232"/>
        <w:gridCol w:w="3820"/>
        <w:gridCol w:w="232"/>
        <w:gridCol w:w="235"/>
        <w:gridCol w:w="232"/>
        <w:gridCol w:w="4251"/>
        <w:gridCol w:w="248"/>
      </w:tblGrid>
      <w:tr w:rsidR="004B2A77" w:rsidRPr="004B2A77" w14:paraId="755C1ADE" w14:textId="77777777" w:rsidTr="004B2A77">
        <w:trPr>
          <w:tblCellSpacing w:w="15" w:type="dxa"/>
        </w:trPr>
        <w:tc>
          <w:tcPr>
            <w:tcW w:w="6396" w:type="dxa"/>
            <w:vAlign w:val="center"/>
            <w:hideMark/>
          </w:tcPr>
          <w:p w14:paraId="3587C5BA"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7" w:type="dxa"/>
            <w:vAlign w:val="center"/>
            <w:hideMark/>
          </w:tcPr>
          <w:p w14:paraId="34B93B46"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4123C9F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903" w:type="dxa"/>
            <w:vAlign w:val="center"/>
            <w:hideMark/>
          </w:tcPr>
          <w:p w14:paraId="1506F067"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46416EB1"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78" w:type="dxa"/>
            <w:vAlign w:val="center"/>
            <w:hideMark/>
          </w:tcPr>
          <w:p w14:paraId="57405CE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5B38291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3796" w:type="dxa"/>
            <w:vAlign w:val="center"/>
            <w:hideMark/>
          </w:tcPr>
          <w:p w14:paraId="148DFD4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263B3C8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5" w:type="dxa"/>
            <w:vAlign w:val="center"/>
            <w:hideMark/>
          </w:tcPr>
          <w:p w14:paraId="498ED54C"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2" w:type="dxa"/>
            <w:vAlign w:val="center"/>
            <w:hideMark/>
          </w:tcPr>
          <w:p w14:paraId="0799A9EB"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4227" w:type="dxa"/>
            <w:vAlign w:val="center"/>
            <w:hideMark/>
          </w:tcPr>
          <w:p w14:paraId="2D183FAA"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203" w:type="dxa"/>
            <w:vAlign w:val="center"/>
            <w:hideMark/>
          </w:tcPr>
          <w:p w14:paraId="164F2571"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8265466" w14:textId="77777777" w:rsidTr="004B2A77">
        <w:trPr>
          <w:trHeight w:val="160"/>
          <w:tblCellSpacing w:w="15" w:type="dxa"/>
        </w:trPr>
        <w:tc>
          <w:tcPr>
            <w:tcW w:w="0" w:type="auto"/>
            <w:shd w:val="clear" w:color="auto" w:fill="FFFFFF"/>
            <w:vAlign w:val="bottom"/>
            <w:hideMark/>
          </w:tcPr>
          <w:p w14:paraId="697FA70A" w14:textId="77777777" w:rsidR="004B2A77" w:rsidRPr="004B2A77" w:rsidRDefault="004B2A77" w:rsidP="004B2A77">
            <w:pPr>
              <w:widowControl/>
              <w:jc w:val="left"/>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u w:val="single"/>
              </w:rPr>
              <w:t>Plan Category</w:t>
            </w:r>
          </w:p>
        </w:tc>
        <w:tc>
          <w:tcPr>
            <w:tcW w:w="0" w:type="auto"/>
            <w:shd w:val="clear" w:color="auto" w:fill="FFFFFF"/>
            <w:vAlign w:val="bottom"/>
            <w:hideMark/>
          </w:tcPr>
          <w:p w14:paraId="61381627"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3FB6C91C"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(a) Number of</w:t>
            </w:r>
            <w:r w:rsidRPr="004B2A77">
              <w:rPr>
                <w:rFonts w:ascii="Arial" w:eastAsia="微软雅黑" w:hAnsi="Arial" w:cs="Arial"/>
                <w:b/>
                <w:bCs/>
                <w:color w:val="000000"/>
                <w:kern w:val="0"/>
                <w:sz w:val="16"/>
                <w:szCs w:val="16"/>
              </w:rPr>
              <w:br/>
              <w:t>Securities to</w:t>
            </w:r>
            <w:r w:rsidRPr="004B2A77">
              <w:rPr>
                <w:rFonts w:ascii="Arial" w:eastAsia="微软雅黑" w:hAnsi="Arial" w:cs="Arial"/>
                <w:b/>
                <w:bCs/>
                <w:color w:val="000000"/>
                <w:kern w:val="0"/>
                <w:sz w:val="16"/>
                <w:szCs w:val="16"/>
              </w:rPr>
              <w:br/>
              <w:t>be issued upon</w:t>
            </w:r>
            <w:r w:rsidRPr="004B2A77">
              <w:rPr>
                <w:rFonts w:ascii="Arial" w:eastAsia="微软雅黑" w:hAnsi="Arial" w:cs="Arial"/>
                <w:b/>
                <w:bCs/>
                <w:color w:val="000000"/>
                <w:kern w:val="0"/>
                <w:sz w:val="16"/>
                <w:szCs w:val="16"/>
              </w:rPr>
              <w:br/>
              <w:t>exercise of</w:t>
            </w:r>
            <w:r w:rsidRPr="004B2A77">
              <w:rPr>
                <w:rFonts w:ascii="Arial" w:eastAsia="微软雅黑" w:hAnsi="Arial" w:cs="Arial"/>
                <w:b/>
                <w:bCs/>
                <w:color w:val="000000"/>
                <w:kern w:val="0"/>
                <w:sz w:val="16"/>
                <w:szCs w:val="16"/>
              </w:rPr>
              <w:br/>
              <w:t>outstanding options,</w:t>
            </w:r>
            <w:r w:rsidRPr="004B2A77">
              <w:rPr>
                <w:rFonts w:ascii="Arial" w:eastAsia="微软雅黑" w:hAnsi="Arial" w:cs="Arial"/>
                <w:b/>
                <w:bCs/>
                <w:color w:val="000000"/>
                <w:kern w:val="0"/>
                <w:sz w:val="16"/>
                <w:szCs w:val="16"/>
              </w:rPr>
              <w:br/>
              <w:t>warrants and rights</w:t>
            </w:r>
          </w:p>
        </w:tc>
        <w:tc>
          <w:tcPr>
            <w:tcW w:w="0" w:type="auto"/>
            <w:shd w:val="clear" w:color="auto" w:fill="FFFFFF"/>
            <w:vAlign w:val="bottom"/>
            <w:hideMark/>
          </w:tcPr>
          <w:p w14:paraId="624E031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5D8C9D0"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48C32F9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(b) Weighted-</w:t>
            </w:r>
            <w:r w:rsidRPr="004B2A77">
              <w:rPr>
                <w:rFonts w:ascii="Arial" w:eastAsia="微软雅黑" w:hAnsi="Arial" w:cs="Arial"/>
                <w:b/>
                <w:bCs/>
                <w:color w:val="000000"/>
                <w:kern w:val="0"/>
                <w:sz w:val="16"/>
                <w:szCs w:val="16"/>
              </w:rPr>
              <w:br/>
              <w:t>average exercise</w:t>
            </w:r>
            <w:r w:rsidRPr="004B2A77">
              <w:rPr>
                <w:rFonts w:ascii="Arial" w:eastAsia="微软雅黑" w:hAnsi="Arial" w:cs="Arial"/>
                <w:b/>
                <w:bCs/>
                <w:color w:val="000000"/>
                <w:kern w:val="0"/>
                <w:sz w:val="16"/>
                <w:szCs w:val="16"/>
              </w:rPr>
              <w:br/>
              <w:t>price of outstanding</w:t>
            </w:r>
            <w:r w:rsidRPr="004B2A77">
              <w:rPr>
                <w:rFonts w:ascii="Arial" w:eastAsia="微软雅黑" w:hAnsi="Arial" w:cs="Arial"/>
                <w:b/>
                <w:bCs/>
                <w:color w:val="000000"/>
                <w:kern w:val="0"/>
                <w:sz w:val="16"/>
                <w:szCs w:val="16"/>
              </w:rPr>
              <w:br/>
              <w:t>options, warrants</w:t>
            </w:r>
            <w:r w:rsidRPr="004B2A77">
              <w:rPr>
                <w:rFonts w:ascii="Arial" w:eastAsia="微软雅黑" w:hAnsi="Arial" w:cs="Arial"/>
                <w:b/>
                <w:bCs/>
                <w:color w:val="000000"/>
                <w:kern w:val="0"/>
                <w:sz w:val="16"/>
                <w:szCs w:val="16"/>
              </w:rPr>
              <w:br/>
              <w:t>and rights(2)</w:t>
            </w:r>
          </w:p>
        </w:tc>
        <w:tc>
          <w:tcPr>
            <w:tcW w:w="0" w:type="auto"/>
            <w:shd w:val="clear" w:color="auto" w:fill="FFFFFF"/>
            <w:vAlign w:val="bottom"/>
            <w:hideMark/>
          </w:tcPr>
          <w:p w14:paraId="0304A2F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shd w:val="clear" w:color="auto" w:fill="FFFFFF"/>
            <w:vAlign w:val="bottom"/>
            <w:hideMark/>
          </w:tcPr>
          <w:p w14:paraId="63EBEC8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gridSpan w:val="2"/>
            <w:tcBorders>
              <w:bottom w:val="single" w:sz="4" w:space="0" w:color="000000"/>
            </w:tcBorders>
            <w:shd w:val="clear" w:color="auto" w:fill="FFFFFF"/>
            <w:vAlign w:val="bottom"/>
            <w:hideMark/>
          </w:tcPr>
          <w:p w14:paraId="6CDD4C2F"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(c) Number of</w:t>
            </w:r>
            <w:r w:rsidRPr="004B2A77">
              <w:rPr>
                <w:rFonts w:ascii="Arial" w:eastAsia="微软雅黑" w:hAnsi="Arial" w:cs="Arial"/>
                <w:b/>
                <w:bCs/>
                <w:color w:val="000000"/>
                <w:kern w:val="0"/>
                <w:sz w:val="16"/>
                <w:szCs w:val="16"/>
              </w:rPr>
              <w:br/>
              <w:t>securities remaining</w:t>
            </w:r>
            <w:r w:rsidRPr="004B2A77">
              <w:rPr>
                <w:rFonts w:ascii="Arial" w:eastAsia="微软雅黑" w:hAnsi="Arial" w:cs="Arial"/>
                <w:b/>
                <w:bCs/>
                <w:color w:val="000000"/>
                <w:kern w:val="0"/>
                <w:sz w:val="16"/>
                <w:szCs w:val="16"/>
              </w:rPr>
              <w:br/>
              <w:t>available for future</w:t>
            </w:r>
            <w:r w:rsidRPr="004B2A77">
              <w:rPr>
                <w:rFonts w:ascii="Arial" w:eastAsia="微软雅黑" w:hAnsi="Arial" w:cs="Arial"/>
                <w:b/>
                <w:bCs/>
                <w:color w:val="000000"/>
                <w:kern w:val="0"/>
                <w:sz w:val="16"/>
                <w:szCs w:val="16"/>
              </w:rPr>
              <w:br/>
              <w:t>issuance under equity</w:t>
            </w:r>
            <w:r w:rsidRPr="004B2A77">
              <w:rPr>
                <w:rFonts w:ascii="Arial" w:eastAsia="微软雅黑" w:hAnsi="Arial" w:cs="Arial"/>
                <w:b/>
                <w:bCs/>
                <w:color w:val="000000"/>
                <w:kern w:val="0"/>
                <w:sz w:val="16"/>
                <w:szCs w:val="16"/>
              </w:rPr>
              <w:br/>
              <w:t>compensation plans</w:t>
            </w:r>
            <w:r w:rsidRPr="004B2A77">
              <w:rPr>
                <w:rFonts w:ascii="Arial" w:eastAsia="微软雅黑" w:hAnsi="Arial" w:cs="Arial"/>
                <w:b/>
                <w:bCs/>
                <w:color w:val="000000"/>
                <w:kern w:val="0"/>
                <w:sz w:val="16"/>
                <w:szCs w:val="16"/>
              </w:rPr>
              <w:br/>
              <w:t>(excluding securities</w:t>
            </w:r>
            <w:r w:rsidRPr="004B2A77">
              <w:rPr>
                <w:rFonts w:ascii="Arial" w:eastAsia="微软雅黑" w:hAnsi="Arial" w:cs="Arial"/>
                <w:b/>
                <w:bCs/>
                <w:color w:val="000000"/>
                <w:kern w:val="0"/>
                <w:sz w:val="16"/>
                <w:szCs w:val="16"/>
              </w:rPr>
              <w:br/>
              <w:t>reflected in column</w:t>
            </w:r>
            <w:r w:rsidRPr="004B2A77">
              <w:rPr>
                <w:rFonts w:ascii="Arial" w:eastAsia="微软雅黑" w:hAnsi="Arial" w:cs="Arial"/>
                <w:b/>
                <w:bCs/>
                <w:color w:val="000000"/>
                <w:kern w:val="0"/>
                <w:sz w:val="16"/>
                <w:szCs w:val="16"/>
              </w:rPr>
              <w:br/>
              <w:t>(a))(3)</w:t>
            </w:r>
          </w:p>
        </w:tc>
        <w:tc>
          <w:tcPr>
            <w:tcW w:w="0" w:type="auto"/>
            <w:shd w:val="clear" w:color="auto" w:fill="FFFFFF"/>
            <w:vAlign w:val="bottom"/>
            <w:hideMark/>
          </w:tcPr>
          <w:p w14:paraId="00C09BD1"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r>
      <w:tr w:rsidR="004B2A77" w:rsidRPr="004B2A77" w14:paraId="3ACE18F6" w14:textId="77777777" w:rsidTr="004B2A77">
        <w:trPr>
          <w:trHeight w:val="180"/>
          <w:tblCellSpacing w:w="15" w:type="dxa"/>
        </w:trPr>
        <w:tc>
          <w:tcPr>
            <w:tcW w:w="0" w:type="auto"/>
            <w:shd w:val="clear" w:color="auto" w:fill="CFF0FC"/>
            <w:vAlign w:val="bottom"/>
            <w:hideMark/>
          </w:tcPr>
          <w:p w14:paraId="7180C5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Equity compensation plans</w:t>
            </w:r>
            <w:r w:rsidRPr="004B2A77">
              <w:rPr>
                <w:rFonts w:ascii="Arial" w:eastAsia="微软雅黑" w:hAnsi="Arial" w:cs="Arial"/>
                <w:color w:val="000000"/>
                <w:kern w:val="0"/>
                <w:sz w:val="18"/>
                <w:szCs w:val="18"/>
              </w:rPr>
              <w:br/>
              <w:t>   approved by security</w:t>
            </w:r>
            <w:r w:rsidRPr="004B2A77">
              <w:rPr>
                <w:rFonts w:ascii="Arial" w:eastAsia="微软雅黑" w:hAnsi="Arial" w:cs="Arial"/>
                <w:color w:val="000000"/>
                <w:kern w:val="0"/>
                <w:sz w:val="18"/>
                <w:szCs w:val="18"/>
              </w:rPr>
              <w:br/>
              <w:t>   holders (1)</w:t>
            </w:r>
          </w:p>
        </w:tc>
        <w:tc>
          <w:tcPr>
            <w:tcW w:w="0" w:type="auto"/>
            <w:shd w:val="clear" w:color="auto" w:fill="CFF0FC"/>
            <w:vAlign w:val="bottom"/>
            <w:hideMark/>
          </w:tcPr>
          <w:p w14:paraId="7415E84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077D05C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2533AE5"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333,703</w:t>
            </w:r>
          </w:p>
        </w:tc>
        <w:tc>
          <w:tcPr>
            <w:tcW w:w="0" w:type="auto"/>
            <w:shd w:val="clear" w:color="auto" w:fill="CFF0FC"/>
            <w:noWrap/>
            <w:vAlign w:val="bottom"/>
            <w:hideMark/>
          </w:tcPr>
          <w:p w14:paraId="2E07455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67FC3F3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53124A0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CFF0FC"/>
            <w:vAlign w:val="bottom"/>
            <w:hideMark/>
          </w:tcPr>
          <w:p w14:paraId="7FAE7343"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70.77</w:t>
            </w:r>
          </w:p>
        </w:tc>
        <w:tc>
          <w:tcPr>
            <w:tcW w:w="0" w:type="auto"/>
            <w:shd w:val="clear" w:color="auto" w:fill="CFF0FC"/>
            <w:noWrap/>
            <w:vAlign w:val="bottom"/>
            <w:hideMark/>
          </w:tcPr>
          <w:p w14:paraId="6288BC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32A858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noWrap/>
            <w:vAlign w:val="bottom"/>
            <w:hideMark/>
          </w:tcPr>
          <w:p w14:paraId="7F4B8E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10B67550"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2,658,218</w:t>
            </w:r>
          </w:p>
        </w:tc>
        <w:tc>
          <w:tcPr>
            <w:tcW w:w="0" w:type="auto"/>
            <w:shd w:val="clear" w:color="auto" w:fill="CFF0FC"/>
            <w:noWrap/>
            <w:vAlign w:val="bottom"/>
            <w:hideMark/>
          </w:tcPr>
          <w:p w14:paraId="42BF2A7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53C61B5B" w14:textId="77777777" w:rsidTr="004B2A77">
        <w:trPr>
          <w:trHeight w:val="180"/>
          <w:tblCellSpacing w:w="15" w:type="dxa"/>
        </w:trPr>
        <w:tc>
          <w:tcPr>
            <w:tcW w:w="0" w:type="auto"/>
            <w:shd w:val="clear" w:color="auto" w:fill="FFFFFF"/>
            <w:vAlign w:val="bottom"/>
            <w:hideMark/>
          </w:tcPr>
          <w:p w14:paraId="0FA072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Equity compensation plans</w:t>
            </w:r>
            <w:r w:rsidRPr="004B2A77">
              <w:rPr>
                <w:rFonts w:ascii="Arial" w:eastAsia="微软雅黑" w:hAnsi="Arial" w:cs="Arial"/>
                <w:color w:val="000000"/>
                <w:kern w:val="0"/>
                <w:sz w:val="18"/>
                <w:szCs w:val="18"/>
              </w:rPr>
              <w:br/>
              <w:t>   not approved by security</w:t>
            </w:r>
            <w:r w:rsidRPr="004B2A77">
              <w:rPr>
                <w:rFonts w:ascii="Arial" w:eastAsia="微软雅黑" w:hAnsi="Arial" w:cs="Arial"/>
                <w:color w:val="000000"/>
                <w:kern w:val="0"/>
                <w:sz w:val="18"/>
                <w:szCs w:val="18"/>
              </w:rPr>
              <w:br/>
              <w:t>   holders</w:t>
            </w:r>
          </w:p>
        </w:tc>
        <w:tc>
          <w:tcPr>
            <w:tcW w:w="0" w:type="auto"/>
            <w:shd w:val="clear" w:color="auto" w:fill="FFFFFF"/>
            <w:vAlign w:val="bottom"/>
            <w:hideMark/>
          </w:tcPr>
          <w:p w14:paraId="195590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028B31A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30FD988F"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0BD2703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3276B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3A6573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610D5CC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58AE1A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FFFFFF"/>
            <w:vAlign w:val="bottom"/>
            <w:hideMark/>
          </w:tcPr>
          <w:p w14:paraId="2A2C84C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noWrap/>
            <w:vAlign w:val="bottom"/>
            <w:hideMark/>
          </w:tcPr>
          <w:p w14:paraId="08EDBF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FFFFFF"/>
            <w:vAlign w:val="bottom"/>
            <w:hideMark/>
          </w:tcPr>
          <w:p w14:paraId="23C9EE64"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shd w:val="clear" w:color="auto" w:fill="FFFFFF"/>
            <w:noWrap/>
            <w:vAlign w:val="bottom"/>
            <w:hideMark/>
          </w:tcPr>
          <w:p w14:paraId="14CB3B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190EFB5" w14:textId="77777777" w:rsidTr="004B2A77">
        <w:trPr>
          <w:trHeight w:val="180"/>
          <w:tblCellSpacing w:w="15" w:type="dxa"/>
        </w:trPr>
        <w:tc>
          <w:tcPr>
            <w:tcW w:w="0" w:type="auto"/>
            <w:shd w:val="clear" w:color="auto" w:fill="CFF0FC"/>
            <w:vAlign w:val="bottom"/>
            <w:hideMark/>
          </w:tcPr>
          <w:p w14:paraId="7214575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Total</w:t>
            </w:r>
          </w:p>
        </w:tc>
        <w:tc>
          <w:tcPr>
            <w:tcW w:w="0" w:type="auto"/>
            <w:shd w:val="clear" w:color="auto" w:fill="CFF0FC"/>
            <w:vAlign w:val="bottom"/>
            <w:hideMark/>
          </w:tcPr>
          <w:p w14:paraId="116854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A7C3BC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3B0F35FD"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333,703</w:t>
            </w:r>
          </w:p>
        </w:tc>
        <w:tc>
          <w:tcPr>
            <w:tcW w:w="0" w:type="auto"/>
            <w:shd w:val="clear" w:color="auto" w:fill="CFF0FC"/>
            <w:noWrap/>
            <w:vAlign w:val="bottom"/>
            <w:hideMark/>
          </w:tcPr>
          <w:p w14:paraId="5196F0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26A16DD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19FF00B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w:t>
            </w:r>
          </w:p>
        </w:tc>
        <w:tc>
          <w:tcPr>
            <w:tcW w:w="0" w:type="auto"/>
            <w:tcBorders>
              <w:bottom w:val="single" w:sz="4" w:space="0" w:color="000000"/>
            </w:tcBorders>
            <w:shd w:val="clear" w:color="auto" w:fill="CFF0FC"/>
            <w:vAlign w:val="bottom"/>
            <w:hideMark/>
          </w:tcPr>
          <w:p w14:paraId="66CAFD6A"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70.77</w:t>
            </w:r>
          </w:p>
        </w:tc>
        <w:tc>
          <w:tcPr>
            <w:tcW w:w="0" w:type="auto"/>
            <w:shd w:val="clear" w:color="auto" w:fill="CFF0FC"/>
            <w:noWrap/>
            <w:vAlign w:val="bottom"/>
            <w:hideMark/>
          </w:tcPr>
          <w:p w14:paraId="1468A7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shd w:val="clear" w:color="auto" w:fill="CFF0FC"/>
            <w:vAlign w:val="bottom"/>
            <w:hideMark/>
          </w:tcPr>
          <w:p w14:paraId="0DE6D5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noWrap/>
            <w:vAlign w:val="bottom"/>
            <w:hideMark/>
          </w:tcPr>
          <w:p w14:paraId="6B9ED5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000000"/>
            </w:tcBorders>
            <w:shd w:val="clear" w:color="auto" w:fill="CFF0FC"/>
            <w:vAlign w:val="bottom"/>
            <w:hideMark/>
          </w:tcPr>
          <w:p w14:paraId="4781239C" w14:textId="77777777" w:rsidR="004B2A77" w:rsidRPr="004B2A77" w:rsidRDefault="004B2A77" w:rsidP="004B2A77">
            <w:pPr>
              <w:widowControl/>
              <w:jc w:val="righ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2,658,218</w:t>
            </w:r>
          </w:p>
        </w:tc>
        <w:tc>
          <w:tcPr>
            <w:tcW w:w="0" w:type="auto"/>
            <w:shd w:val="clear" w:color="auto" w:fill="CFF0FC"/>
            <w:noWrap/>
            <w:vAlign w:val="bottom"/>
            <w:hideMark/>
          </w:tcPr>
          <w:p w14:paraId="403FFB1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6048D5B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653C6530" w14:textId="77777777" w:rsidR="004B2A77" w:rsidRPr="004B2A77" w:rsidRDefault="004B2A77" w:rsidP="004B2A77">
      <w:pPr>
        <w:widowControl/>
        <w:rPr>
          <w:rFonts w:ascii="微软雅黑" w:eastAsia="微软雅黑" w:hAnsi="微软雅黑" w:cs="宋体"/>
          <w:color w:val="000000"/>
          <w:kern w:val="0"/>
          <w:sz w:val="27"/>
          <w:szCs w:val="27"/>
        </w:rPr>
      </w:pPr>
      <w:r w:rsidRPr="004B2A77">
        <w:rPr>
          <w:rFonts w:ascii="Arial" w:eastAsia="微软雅黑" w:hAnsi="Arial" w:cs="Arial"/>
          <w:color w:val="000000"/>
          <w:kern w:val="0"/>
          <w:sz w:val="16"/>
          <w:szCs w:val="16"/>
        </w:rPr>
        <w:lastRenderedPageBreak/>
        <w:t>(1)</w:t>
      </w:r>
    </w:p>
    <w:p w14:paraId="5902BEBF"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6"/>
          <w:szCs w:val="16"/>
        </w:rPr>
        <w:t>Autoliv, Inc. Stock Incentive Plan, as amended and restated on May 6, 2009, as amended by Amendment No. 1 dated December 17, 2010 and Amendment No. 2 dated May 8, 2012.</w:t>
      </w:r>
    </w:p>
    <w:p w14:paraId="595C9D32"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6"/>
          <w:szCs w:val="16"/>
        </w:rPr>
        <w:t>(2)</w:t>
      </w:r>
    </w:p>
    <w:p w14:paraId="51077203"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6"/>
          <w:szCs w:val="16"/>
        </w:rPr>
        <w:t>Excludes restricted stock units and performance shares which convert to shares of common stock for no consideration.</w:t>
      </w:r>
    </w:p>
    <w:p w14:paraId="25ADB7AE"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6"/>
          <w:szCs w:val="16"/>
        </w:rPr>
        <w:t>(3)</w:t>
      </w:r>
    </w:p>
    <w:p w14:paraId="146C58D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6"/>
          <w:szCs w:val="16"/>
        </w:rPr>
        <w:t>All such shares are available for issuance pursuant to grants of full-value stock awards.</w:t>
      </w:r>
    </w:p>
    <w:p w14:paraId="1B9906A6" w14:textId="77777777" w:rsidR="004B2A77" w:rsidRPr="004B2A77" w:rsidRDefault="004B2A77" w:rsidP="004B2A77">
      <w:pPr>
        <w:widowControl/>
        <w:rPr>
          <w:rFonts w:ascii="Times New Roman" w:eastAsia="宋体" w:hAnsi="Times New Roman" w:cs="Times New Roman" w:hint="eastAsia"/>
          <w:color w:val="000000"/>
          <w:kern w:val="0"/>
          <w:sz w:val="20"/>
          <w:szCs w:val="20"/>
        </w:rPr>
      </w:pPr>
      <w:r w:rsidRPr="004B2A77">
        <w:rPr>
          <w:rFonts w:ascii="Arial" w:eastAsia="宋体" w:hAnsi="Arial" w:cs="Arial"/>
          <w:color w:val="000000"/>
          <w:kern w:val="0"/>
          <w:sz w:val="18"/>
          <w:szCs w:val="18"/>
        </w:rPr>
        <w:t> </w:t>
      </w:r>
    </w:p>
    <w:p w14:paraId="58A0E046"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13. Certain Relationships and Related Transactions, and Director Independence</w:t>
      </w:r>
    </w:p>
    <w:p w14:paraId="2EC8D2B2"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Information regarding the Company’s policy and procedures concerning related party transactions is included under the caption “Related Person Transactions” in the 2023 Proxy Statement and is incorporated herein by reference. Information regarding director independence can be found under the caption “Board Independence” in the 2023 Proxy Statement and is incorporated herein by reference.</w:t>
      </w:r>
    </w:p>
    <w:p w14:paraId="6947B467"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7EE0C707"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Item 14. Principal Accountant Fees and Services</w:t>
      </w:r>
    </w:p>
    <w:p w14:paraId="1040622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The information required by Item 9(e) of Schedule 14A regarding principal accounting fees and the information required by Item 14 regarding the pre-approval process of accounting services provided to Autoliv is included under the caption “Proposal 3. Ratification of Appointment of Independent Registered Public Accounting Firm Appointment” in the 2023 Proxy Statement and is incorporated herein by reference.</w:t>
      </w:r>
    </w:p>
    <w:p w14:paraId="11029A3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91</w:t>
      </w:r>
    </w:p>
    <w:p w14:paraId="2BE3B362"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752BD13">
          <v:rect id="_x0000_i1118" style="width:0;height:1.5pt" o:hralign="center" o:hrstd="t" o:hrnoshade="t" o:hr="t" fillcolor="black" stroked="f"/>
        </w:pict>
      </w:r>
    </w:p>
    <w:p w14:paraId="59658A4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7775B54" w14:textId="77777777" w:rsidR="004B2A77" w:rsidRPr="004B2A77" w:rsidRDefault="004B2A77" w:rsidP="004B2A77">
      <w:pPr>
        <w:widowControl/>
        <w:jc w:val="center"/>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PART IV</w:t>
      </w:r>
    </w:p>
    <w:p w14:paraId="28F77790" w14:textId="77777777" w:rsidR="004B2A77" w:rsidRPr="004B2A77" w:rsidRDefault="004B2A77" w:rsidP="004B2A77">
      <w:pPr>
        <w:widowControl/>
        <w:spacing w:before="2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 xml:space="preserve">Item 15. Exhibit and Financial Statement Schedules </w:t>
      </w:r>
    </w:p>
    <w:p w14:paraId="38B2A52E" w14:textId="77777777" w:rsidR="004B2A77" w:rsidRPr="004B2A77" w:rsidRDefault="004B2A77" w:rsidP="004B2A77">
      <w:pPr>
        <w:widowControl/>
        <w:rPr>
          <w:rFonts w:ascii="微软雅黑" w:eastAsia="微软雅黑" w:hAnsi="微软雅黑" w:cs="宋体"/>
          <w:color w:val="000000"/>
          <w:kern w:val="0"/>
          <w:sz w:val="27"/>
          <w:szCs w:val="27"/>
        </w:rPr>
      </w:pPr>
      <w:r w:rsidRPr="004B2A77">
        <w:rPr>
          <w:rFonts w:ascii="Arial" w:eastAsia="微软雅黑" w:hAnsi="Arial" w:cs="Arial"/>
          <w:color w:val="000000"/>
          <w:kern w:val="0"/>
          <w:sz w:val="18"/>
          <w:szCs w:val="18"/>
        </w:rPr>
        <w:t>(a)</w:t>
      </w:r>
    </w:p>
    <w:p w14:paraId="3877B5B2"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Documents Filed as Part of this Report </w:t>
      </w:r>
    </w:p>
    <w:p w14:paraId="63823B4A"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(1)</w:t>
      </w:r>
    </w:p>
    <w:p w14:paraId="1629669E"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Financial Statements </w:t>
      </w:r>
    </w:p>
    <w:p w14:paraId="4D5281FB"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(i)</w:t>
      </w:r>
    </w:p>
    <w:p w14:paraId="71515811"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Consolidated Statements of Income – Years ended December 31, 2022, 2021 and 2020; </w:t>
      </w:r>
    </w:p>
    <w:p w14:paraId="58AC74DE"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(ii)</w:t>
      </w:r>
    </w:p>
    <w:p w14:paraId="6B0C49AE"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Consolidated Statements of Comprehensive Income – Years ended December 31, 2022, 2021 and 2020; </w:t>
      </w:r>
    </w:p>
    <w:p w14:paraId="51737AAA"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(iii)</w:t>
      </w:r>
    </w:p>
    <w:p w14:paraId="5635BFAC"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Consolidated Balance Sheets – as of December 31, 2022 and 2021; </w:t>
      </w:r>
    </w:p>
    <w:p w14:paraId="6707033F"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(iv)</w:t>
      </w:r>
    </w:p>
    <w:p w14:paraId="131478F5"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Consolidated Statements of Cash Flows – Years ended December 31, 2022, 2021 and 2020; </w:t>
      </w:r>
    </w:p>
    <w:p w14:paraId="13710627"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(v)</w:t>
      </w:r>
    </w:p>
    <w:p w14:paraId="7205D404"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Consolidated Statements of Total Equity – as of December 31, 2022, 2021 and 2020; </w:t>
      </w:r>
    </w:p>
    <w:p w14:paraId="64A39317"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(vi)</w:t>
      </w:r>
    </w:p>
    <w:p w14:paraId="724EBA16"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Notes to Consolidated Financial Statements; and </w:t>
      </w:r>
    </w:p>
    <w:p w14:paraId="5145CAF0"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lastRenderedPageBreak/>
        <w:t>(vii)</w:t>
      </w:r>
    </w:p>
    <w:p w14:paraId="7D873738"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Reports of Independent Registered Public Accounting Firm (PCAOB Auditor ID No. 1433). </w:t>
      </w:r>
    </w:p>
    <w:p w14:paraId="475E5DF9"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(2)</w:t>
      </w:r>
    </w:p>
    <w:p w14:paraId="0A47F267"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Financial Statement Schedules </w:t>
      </w:r>
    </w:p>
    <w:p w14:paraId="052AFDD6" w14:textId="77777777" w:rsidR="004B2A77" w:rsidRPr="004B2A77" w:rsidRDefault="004B2A77" w:rsidP="004B2A77">
      <w:pPr>
        <w:widowControl/>
        <w:spacing w:before="240"/>
        <w:rPr>
          <w:rFonts w:ascii="Times New Roman" w:eastAsia="宋体" w:hAnsi="Times New Roman" w:cs="Times New Roman" w:hint="eastAsia"/>
          <w:color w:val="000000"/>
          <w:kern w:val="0"/>
          <w:sz w:val="20"/>
          <w:szCs w:val="20"/>
        </w:rPr>
      </w:pPr>
      <w:r w:rsidRPr="004B2A77">
        <w:rPr>
          <w:rFonts w:ascii="Arial" w:eastAsia="宋体" w:hAnsi="Arial" w:cs="Arial"/>
          <w:color w:val="000000"/>
          <w:kern w:val="0"/>
          <w:sz w:val="18"/>
          <w:szCs w:val="18"/>
        </w:rPr>
        <w:t xml:space="preserve">All of the schedules specified under Regulation S-X to be provided by Autoliv have been omitted either because they are not applicable, they are not required, or the information required is included in the financial statements or notes thereto. </w:t>
      </w:r>
    </w:p>
    <w:p w14:paraId="5D58B8DB" w14:textId="77777777" w:rsidR="004B2A77" w:rsidRPr="004B2A77" w:rsidRDefault="004B2A77" w:rsidP="004B2A77">
      <w:pPr>
        <w:widowControl/>
        <w:rPr>
          <w:rFonts w:ascii="微软雅黑" w:eastAsia="微软雅黑" w:hAnsi="微软雅黑" w:cs="宋体"/>
          <w:color w:val="000000"/>
          <w:kern w:val="0"/>
          <w:sz w:val="27"/>
          <w:szCs w:val="27"/>
        </w:rPr>
      </w:pPr>
      <w:r w:rsidRPr="004B2A77">
        <w:rPr>
          <w:rFonts w:ascii="Arial" w:eastAsia="微软雅黑" w:hAnsi="Arial" w:cs="Arial"/>
          <w:color w:val="000000"/>
          <w:kern w:val="0"/>
          <w:sz w:val="18"/>
          <w:szCs w:val="18"/>
        </w:rPr>
        <w:t>(3)</w:t>
      </w:r>
    </w:p>
    <w:p w14:paraId="2FB899A7" w14:textId="77777777" w:rsidR="004B2A77" w:rsidRPr="004B2A77" w:rsidRDefault="004B2A77" w:rsidP="004B2A77">
      <w:pPr>
        <w:widowControl/>
        <w:rPr>
          <w:rFonts w:ascii="微软雅黑" w:eastAsia="微软雅黑" w:hAnsi="微软雅黑" w:cs="宋体" w:hint="eastAsia"/>
          <w:color w:val="000000"/>
          <w:kern w:val="0"/>
          <w:sz w:val="27"/>
          <w:szCs w:val="27"/>
        </w:rPr>
      </w:pPr>
      <w:r w:rsidRPr="004B2A77">
        <w:rPr>
          <w:rFonts w:ascii="Arial" w:eastAsia="微软雅黑" w:hAnsi="Arial" w:cs="Arial"/>
          <w:color w:val="000000"/>
          <w:kern w:val="0"/>
          <w:sz w:val="18"/>
          <w:szCs w:val="18"/>
        </w:rPr>
        <w:t xml:space="preserve">Exhibits </w:t>
      </w:r>
    </w:p>
    <w:p w14:paraId="57EB6B51" w14:textId="77777777" w:rsidR="004B2A77" w:rsidRPr="004B2A77" w:rsidRDefault="004B2A77" w:rsidP="004B2A77">
      <w:pPr>
        <w:widowControl/>
        <w:rPr>
          <w:rFonts w:ascii="Times New Roman" w:eastAsia="宋体" w:hAnsi="Times New Roman" w:cs="Times New Roman" w:hint="eastAsia"/>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15"/>
        <w:gridCol w:w="194"/>
        <w:gridCol w:w="19105"/>
      </w:tblGrid>
      <w:tr w:rsidR="004B2A77" w:rsidRPr="004B2A77" w14:paraId="3FA70185" w14:textId="77777777" w:rsidTr="004B2A77">
        <w:trPr>
          <w:tblCellSpacing w:w="15" w:type="dxa"/>
        </w:trPr>
        <w:tc>
          <w:tcPr>
            <w:tcW w:w="1642" w:type="dxa"/>
            <w:vAlign w:val="center"/>
            <w:hideMark/>
          </w:tcPr>
          <w:p w14:paraId="7D80DF7C"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5" w:type="dxa"/>
            <w:vAlign w:val="center"/>
            <w:hideMark/>
          </w:tcPr>
          <w:p w14:paraId="540A88D0"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678" w:type="dxa"/>
            <w:vAlign w:val="center"/>
            <w:hideMark/>
          </w:tcPr>
          <w:p w14:paraId="332F7BA4"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84204A6" w14:textId="77777777" w:rsidTr="004B2A77">
        <w:trPr>
          <w:trHeight w:val="160"/>
          <w:tblCellSpacing w:w="15" w:type="dxa"/>
        </w:trPr>
        <w:tc>
          <w:tcPr>
            <w:tcW w:w="0" w:type="auto"/>
            <w:tcBorders>
              <w:bottom w:val="single" w:sz="4" w:space="0" w:color="auto"/>
            </w:tcBorders>
            <w:vAlign w:val="bottom"/>
            <w:hideMark/>
          </w:tcPr>
          <w:p w14:paraId="04F214FA"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Exhibit</w:t>
            </w:r>
          </w:p>
          <w:p w14:paraId="561B5D23"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No.</w:t>
            </w:r>
          </w:p>
        </w:tc>
        <w:tc>
          <w:tcPr>
            <w:tcW w:w="0" w:type="auto"/>
            <w:hideMark/>
          </w:tcPr>
          <w:p w14:paraId="72D0E8E5" w14:textId="77777777" w:rsidR="004B2A77" w:rsidRPr="004B2A77" w:rsidRDefault="004B2A77" w:rsidP="004B2A77">
            <w:pPr>
              <w:widowControl/>
              <w:rPr>
                <w:rFonts w:ascii="Times New Roman" w:eastAsia="微软雅黑" w:hAnsi="Times New Roman" w:cs="Times New Roman"/>
                <w:kern w:val="0"/>
                <w:sz w:val="16"/>
                <w:szCs w:val="16"/>
              </w:rPr>
            </w:pPr>
            <w:r w:rsidRPr="004B2A77">
              <w:rPr>
                <w:rFonts w:ascii="Arial" w:eastAsia="微软雅黑" w:hAnsi="Arial" w:cs="Arial"/>
                <w:kern w:val="0"/>
                <w:sz w:val="16"/>
                <w:szCs w:val="16"/>
              </w:rPr>
              <w:t> </w:t>
            </w:r>
          </w:p>
        </w:tc>
        <w:tc>
          <w:tcPr>
            <w:tcW w:w="0" w:type="auto"/>
            <w:tcBorders>
              <w:bottom w:val="single" w:sz="4" w:space="0" w:color="auto"/>
            </w:tcBorders>
            <w:vAlign w:val="bottom"/>
            <w:hideMark/>
          </w:tcPr>
          <w:p w14:paraId="53838995" w14:textId="77777777" w:rsidR="004B2A77" w:rsidRPr="004B2A77" w:rsidRDefault="004B2A77" w:rsidP="004B2A77">
            <w:pPr>
              <w:widowControl/>
              <w:jc w:val="center"/>
              <w:rPr>
                <w:rFonts w:ascii="Times New Roman" w:eastAsia="微软雅黑" w:hAnsi="Times New Roman" w:cs="Times New Roman"/>
                <w:kern w:val="0"/>
                <w:sz w:val="16"/>
                <w:szCs w:val="16"/>
              </w:rPr>
            </w:pPr>
            <w:r w:rsidRPr="004B2A77">
              <w:rPr>
                <w:rFonts w:ascii="Arial" w:eastAsia="微软雅黑" w:hAnsi="Arial" w:cs="Arial"/>
                <w:b/>
                <w:bCs/>
                <w:color w:val="000000"/>
                <w:kern w:val="0"/>
                <w:sz w:val="16"/>
                <w:szCs w:val="16"/>
              </w:rPr>
              <w:t>Description</w:t>
            </w:r>
          </w:p>
        </w:tc>
      </w:tr>
      <w:tr w:rsidR="004B2A77" w:rsidRPr="004B2A77" w14:paraId="6AC0D207" w14:textId="77777777" w:rsidTr="004B2A77">
        <w:trPr>
          <w:tblCellSpacing w:w="15" w:type="dxa"/>
        </w:trPr>
        <w:tc>
          <w:tcPr>
            <w:tcW w:w="0" w:type="auto"/>
            <w:hideMark/>
          </w:tcPr>
          <w:p w14:paraId="17B9473F"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9EF07F1"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2106A0A"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208B41FF" w14:textId="77777777" w:rsidTr="004B2A77">
        <w:trPr>
          <w:trHeight w:val="180"/>
          <w:tblCellSpacing w:w="15" w:type="dxa"/>
        </w:trPr>
        <w:tc>
          <w:tcPr>
            <w:tcW w:w="0" w:type="auto"/>
            <w:hideMark/>
          </w:tcPr>
          <w:p w14:paraId="024652E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2.1</w:t>
            </w:r>
          </w:p>
        </w:tc>
        <w:tc>
          <w:tcPr>
            <w:tcW w:w="0" w:type="auto"/>
            <w:hideMark/>
          </w:tcPr>
          <w:p w14:paraId="5EE815A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893936C" w14:textId="77777777" w:rsidR="004B2A77" w:rsidRPr="004B2A77" w:rsidRDefault="004B2A77" w:rsidP="004B2A77">
            <w:pPr>
              <w:widowControl/>
              <w:rPr>
                <w:rFonts w:ascii="Times New Roman" w:eastAsia="微软雅黑" w:hAnsi="Times New Roman" w:cs="Times New Roman"/>
                <w:kern w:val="0"/>
                <w:sz w:val="18"/>
                <w:szCs w:val="18"/>
              </w:rPr>
            </w:pPr>
            <w:hyperlink r:id="rId29" w:history="1">
              <w:r w:rsidRPr="004B2A77">
                <w:rPr>
                  <w:rFonts w:ascii="Arial" w:eastAsia="微软雅黑" w:hAnsi="Arial" w:cs="Arial"/>
                  <w:color w:val="0000FF"/>
                  <w:kern w:val="0"/>
                  <w:sz w:val="18"/>
                  <w:szCs w:val="18"/>
                  <w:u w:val="single"/>
                </w:rPr>
                <w:t>Distribution Agreement, dated June 28, 2018, between Veoneer, Inc. and Autoliv, Inc., incorporated herein by reference to Exhibit 2.1 to the Current Report on Form 8-K (File No. 001-12933, filing date July 2, 2018).</w:t>
              </w:r>
            </w:hyperlink>
          </w:p>
        </w:tc>
      </w:tr>
      <w:tr w:rsidR="004B2A77" w:rsidRPr="004B2A77" w14:paraId="33BD0F47" w14:textId="77777777" w:rsidTr="004B2A77">
        <w:trPr>
          <w:tblCellSpacing w:w="15" w:type="dxa"/>
        </w:trPr>
        <w:tc>
          <w:tcPr>
            <w:tcW w:w="0" w:type="auto"/>
            <w:hideMark/>
          </w:tcPr>
          <w:p w14:paraId="196F8A1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7123008"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FC99745"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8C0FA73" w14:textId="77777777" w:rsidTr="004B2A77">
        <w:trPr>
          <w:trHeight w:val="180"/>
          <w:tblCellSpacing w:w="15" w:type="dxa"/>
        </w:trPr>
        <w:tc>
          <w:tcPr>
            <w:tcW w:w="0" w:type="auto"/>
            <w:hideMark/>
          </w:tcPr>
          <w:p w14:paraId="76FFEF2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3.1</w:t>
            </w:r>
          </w:p>
        </w:tc>
        <w:tc>
          <w:tcPr>
            <w:tcW w:w="0" w:type="auto"/>
            <w:hideMark/>
          </w:tcPr>
          <w:p w14:paraId="5385CB1C"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4ECDD068"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30" w:history="1">
              <w:r w:rsidRPr="004B2A77">
                <w:rPr>
                  <w:rFonts w:ascii="Arial" w:eastAsia="微软雅黑" w:hAnsi="Arial" w:cs="Arial"/>
                  <w:color w:val="0000FF"/>
                  <w:kern w:val="0"/>
                  <w:sz w:val="18"/>
                  <w:szCs w:val="18"/>
                  <w:u w:val="single"/>
                </w:rPr>
                <w:t>Autoliv’s Restated Certificate of Incorporation, as amended, incorporated herein by reference to Exhibit 3.1 to the Quarterly Report on Form 10-Q (File No. 001-12933, filing date April 22, 2015).</w:t>
              </w:r>
            </w:hyperlink>
          </w:p>
        </w:tc>
      </w:tr>
      <w:tr w:rsidR="004B2A77" w:rsidRPr="004B2A77" w14:paraId="0EC3EC0D" w14:textId="77777777" w:rsidTr="004B2A77">
        <w:trPr>
          <w:tblCellSpacing w:w="15" w:type="dxa"/>
        </w:trPr>
        <w:tc>
          <w:tcPr>
            <w:tcW w:w="0" w:type="auto"/>
            <w:hideMark/>
          </w:tcPr>
          <w:p w14:paraId="2E54F15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BBC194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A21D3B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556BF73" w14:textId="77777777" w:rsidTr="004B2A77">
        <w:trPr>
          <w:trHeight w:val="180"/>
          <w:tblCellSpacing w:w="15" w:type="dxa"/>
        </w:trPr>
        <w:tc>
          <w:tcPr>
            <w:tcW w:w="0" w:type="auto"/>
            <w:hideMark/>
          </w:tcPr>
          <w:p w14:paraId="0D4356A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3.2</w:t>
            </w:r>
          </w:p>
        </w:tc>
        <w:tc>
          <w:tcPr>
            <w:tcW w:w="0" w:type="auto"/>
            <w:hideMark/>
          </w:tcPr>
          <w:p w14:paraId="6B60641D"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BED9AC1" w14:textId="77777777" w:rsidR="004B2A77" w:rsidRPr="004B2A77" w:rsidRDefault="004B2A77" w:rsidP="004B2A77">
            <w:pPr>
              <w:widowControl/>
              <w:rPr>
                <w:rFonts w:ascii="Times New Roman" w:eastAsia="微软雅黑" w:hAnsi="Times New Roman" w:cs="Times New Roman"/>
                <w:kern w:val="0"/>
                <w:sz w:val="18"/>
                <w:szCs w:val="18"/>
              </w:rPr>
            </w:pPr>
            <w:hyperlink r:id="rId31" w:history="1">
              <w:r w:rsidRPr="004B2A77">
                <w:rPr>
                  <w:rFonts w:ascii="Arial" w:eastAsia="微软雅黑" w:hAnsi="Arial" w:cs="Arial"/>
                  <w:color w:val="0000FF"/>
                  <w:kern w:val="0"/>
                  <w:sz w:val="18"/>
                  <w:szCs w:val="18"/>
                  <w:u w:val="single"/>
                </w:rPr>
                <w:t>Autoliv’s Third Restated By-Laws, incorporated herein by reference to Exhibit 3.1 to the Current Report on Form 8-K (File No. 001-12933, filing date December 18, 2015).</w:t>
              </w:r>
            </w:hyperlink>
          </w:p>
        </w:tc>
      </w:tr>
      <w:tr w:rsidR="004B2A77" w:rsidRPr="004B2A77" w14:paraId="62C41A00" w14:textId="77777777" w:rsidTr="004B2A77">
        <w:trPr>
          <w:tblCellSpacing w:w="15" w:type="dxa"/>
        </w:trPr>
        <w:tc>
          <w:tcPr>
            <w:tcW w:w="0" w:type="auto"/>
            <w:hideMark/>
          </w:tcPr>
          <w:p w14:paraId="3BFB507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34A5C64"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6C73188"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3F7C595" w14:textId="77777777" w:rsidTr="004B2A77">
        <w:trPr>
          <w:trHeight w:val="180"/>
          <w:tblCellSpacing w:w="15" w:type="dxa"/>
        </w:trPr>
        <w:tc>
          <w:tcPr>
            <w:tcW w:w="0" w:type="auto"/>
            <w:hideMark/>
          </w:tcPr>
          <w:p w14:paraId="18266B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4.1</w:t>
            </w:r>
          </w:p>
        </w:tc>
        <w:tc>
          <w:tcPr>
            <w:tcW w:w="0" w:type="auto"/>
            <w:hideMark/>
          </w:tcPr>
          <w:p w14:paraId="1506916E"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805DCE3" w14:textId="77777777" w:rsidR="004B2A77" w:rsidRPr="004B2A77" w:rsidRDefault="004B2A77" w:rsidP="004B2A77">
            <w:pPr>
              <w:widowControl/>
              <w:rPr>
                <w:rFonts w:ascii="Times New Roman" w:eastAsia="微软雅黑" w:hAnsi="Times New Roman" w:cs="Times New Roman"/>
                <w:kern w:val="0"/>
                <w:sz w:val="18"/>
                <w:szCs w:val="18"/>
              </w:rPr>
            </w:pPr>
            <w:hyperlink r:id="rId32" w:history="1">
              <w:r w:rsidRPr="004B2A77">
                <w:rPr>
                  <w:rFonts w:ascii="Arial" w:eastAsia="微软雅黑" w:hAnsi="Arial" w:cs="Arial"/>
                  <w:color w:val="0000FF"/>
                  <w:kern w:val="0"/>
                  <w:sz w:val="18"/>
                  <w:szCs w:val="18"/>
                  <w:u w:val="single"/>
                </w:rPr>
                <w:t>Indenture, dated March 30, 2009, between Autoliv, Inc. and U.S. Bank National Association, as trustee, incorporated herein by reference to Exhibit 4.1 to Autoliv’s Registration Statement on Form 8-A (File No. 001-12933, filing date March 30, 2009).</w:t>
              </w:r>
            </w:hyperlink>
          </w:p>
        </w:tc>
      </w:tr>
      <w:tr w:rsidR="004B2A77" w:rsidRPr="004B2A77" w14:paraId="7F30DA21" w14:textId="77777777" w:rsidTr="004B2A77">
        <w:trPr>
          <w:tblCellSpacing w:w="15" w:type="dxa"/>
        </w:trPr>
        <w:tc>
          <w:tcPr>
            <w:tcW w:w="0" w:type="auto"/>
            <w:hideMark/>
          </w:tcPr>
          <w:p w14:paraId="6363CC2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69BEB0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693625A"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61AAC1C" w14:textId="77777777" w:rsidTr="004B2A77">
        <w:trPr>
          <w:trHeight w:val="180"/>
          <w:tblCellSpacing w:w="15" w:type="dxa"/>
        </w:trPr>
        <w:tc>
          <w:tcPr>
            <w:tcW w:w="0" w:type="auto"/>
            <w:hideMark/>
          </w:tcPr>
          <w:p w14:paraId="102D101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4.2</w:t>
            </w:r>
          </w:p>
        </w:tc>
        <w:tc>
          <w:tcPr>
            <w:tcW w:w="0" w:type="auto"/>
            <w:hideMark/>
          </w:tcPr>
          <w:p w14:paraId="2BCFE035"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0D92985" w14:textId="77777777" w:rsidR="004B2A77" w:rsidRPr="004B2A77" w:rsidRDefault="004B2A77" w:rsidP="004B2A77">
            <w:pPr>
              <w:widowControl/>
              <w:rPr>
                <w:rFonts w:ascii="Times New Roman" w:eastAsia="微软雅黑" w:hAnsi="Times New Roman" w:cs="Times New Roman"/>
                <w:kern w:val="0"/>
                <w:sz w:val="18"/>
                <w:szCs w:val="18"/>
              </w:rPr>
            </w:pPr>
            <w:hyperlink r:id="rId33" w:history="1">
              <w:r w:rsidRPr="004B2A77">
                <w:rPr>
                  <w:rFonts w:ascii="Arial" w:eastAsia="微软雅黑" w:hAnsi="Arial" w:cs="Arial"/>
                  <w:color w:val="0000FF"/>
                  <w:kern w:val="0"/>
                  <w:sz w:val="18"/>
                  <w:szCs w:val="18"/>
                  <w:u w:val="single"/>
                </w:rPr>
                <w:t>Second Supplemental Indenture (including Form of Global Note), dated March 15, 2012, between Autoliv, Inc. and U.S. Bank National Association, as trustee, incorporated herein by reference to Exhibit 4.1 to the Current Report on Form 8-K (File No. 001-12933, filing date March 15, 2012).</w:t>
              </w:r>
            </w:hyperlink>
          </w:p>
        </w:tc>
      </w:tr>
      <w:tr w:rsidR="004B2A77" w:rsidRPr="004B2A77" w14:paraId="73FAFD2F" w14:textId="77777777" w:rsidTr="004B2A77">
        <w:trPr>
          <w:tblCellSpacing w:w="15" w:type="dxa"/>
        </w:trPr>
        <w:tc>
          <w:tcPr>
            <w:tcW w:w="0" w:type="auto"/>
            <w:hideMark/>
          </w:tcPr>
          <w:p w14:paraId="48496B0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39B3ED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5C57A8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CC1B947" w14:textId="77777777" w:rsidTr="004B2A77">
        <w:trPr>
          <w:trHeight w:val="180"/>
          <w:tblCellSpacing w:w="15" w:type="dxa"/>
        </w:trPr>
        <w:tc>
          <w:tcPr>
            <w:tcW w:w="0" w:type="auto"/>
            <w:hideMark/>
          </w:tcPr>
          <w:p w14:paraId="7ECFFA5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4.3</w:t>
            </w:r>
          </w:p>
        </w:tc>
        <w:tc>
          <w:tcPr>
            <w:tcW w:w="0" w:type="auto"/>
            <w:hideMark/>
          </w:tcPr>
          <w:p w14:paraId="0BC3EEFE"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76B444D6" w14:textId="77777777" w:rsidR="004B2A77" w:rsidRPr="004B2A77" w:rsidRDefault="004B2A77" w:rsidP="004B2A77">
            <w:pPr>
              <w:widowControl/>
              <w:rPr>
                <w:rFonts w:ascii="Times New Roman" w:eastAsia="微软雅黑" w:hAnsi="Times New Roman" w:cs="Times New Roman"/>
                <w:kern w:val="0"/>
                <w:sz w:val="18"/>
                <w:szCs w:val="18"/>
              </w:rPr>
            </w:pPr>
            <w:hyperlink r:id="rId34" w:history="1">
              <w:r w:rsidRPr="004B2A77">
                <w:rPr>
                  <w:rFonts w:ascii="Arial" w:eastAsia="微软雅黑" w:hAnsi="Arial" w:cs="Arial"/>
                  <w:color w:val="0000FF"/>
                  <w:kern w:val="0"/>
                  <w:sz w:val="18"/>
                  <w:szCs w:val="18"/>
                  <w:u w:val="single"/>
                </w:rPr>
                <w:t>Form of Note Purchase and Guaranty Agreement dated April 23, 2014, among Autoliv ASP, Inc., Autoliv, Inc. and the purchasers named therein, incorporated herein by reference to Exhibit 4.6 to the Quarterly Report on Form 10-Q (File No. 001-12933, filing date April 25, 2014).</w:t>
              </w:r>
            </w:hyperlink>
          </w:p>
        </w:tc>
      </w:tr>
      <w:tr w:rsidR="004B2A77" w:rsidRPr="004B2A77" w14:paraId="6D1C245A" w14:textId="77777777" w:rsidTr="004B2A77">
        <w:trPr>
          <w:tblCellSpacing w:w="15" w:type="dxa"/>
        </w:trPr>
        <w:tc>
          <w:tcPr>
            <w:tcW w:w="0" w:type="auto"/>
            <w:hideMark/>
          </w:tcPr>
          <w:p w14:paraId="2EEDDC9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6347A2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63FEAB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7C03A2D" w14:textId="77777777" w:rsidTr="004B2A77">
        <w:trPr>
          <w:trHeight w:val="180"/>
          <w:tblCellSpacing w:w="15" w:type="dxa"/>
        </w:trPr>
        <w:tc>
          <w:tcPr>
            <w:tcW w:w="0" w:type="auto"/>
            <w:hideMark/>
          </w:tcPr>
          <w:p w14:paraId="6BAB818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4.4</w:t>
            </w:r>
          </w:p>
        </w:tc>
        <w:tc>
          <w:tcPr>
            <w:tcW w:w="0" w:type="auto"/>
            <w:hideMark/>
          </w:tcPr>
          <w:p w14:paraId="2D9553E4"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4C013B0" w14:textId="77777777" w:rsidR="004B2A77" w:rsidRPr="004B2A77" w:rsidRDefault="004B2A77" w:rsidP="004B2A77">
            <w:pPr>
              <w:widowControl/>
              <w:rPr>
                <w:rFonts w:ascii="Times New Roman" w:eastAsia="微软雅黑" w:hAnsi="Times New Roman" w:cs="Times New Roman"/>
                <w:kern w:val="0"/>
                <w:sz w:val="18"/>
                <w:szCs w:val="18"/>
              </w:rPr>
            </w:pPr>
            <w:hyperlink r:id="rId35" w:history="1">
              <w:r w:rsidRPr="004B2A77">
                <w:rPr>
                  <w:rFonts w:ascii="Arial" w:eastAsia="微软雅黑" w:hAnsi="Arial" w:cs="Arial"/>
                  <w:color w:val="0000FF"/>
                  <w:kern w:val="0"/>
                  <w:sz w:val="18"/>
                  <w:szCs w:val="18"/>
                  <w:u w:val="single"/>
                </w:rPr>
                <w:t>Amendment and Waiver 2014 Note Purchase and Guaranty Agreement, dated May 24, 2018 among Autoliv, Inc., Autoliv ASP, Inc. and the noteholders named therein, incorporated herein by reference to Exhibit 4.4 to the Quarterly Report on Form 10-Q (File No. 001-12933, filing date July 27, 2018).</w:t>
              </w:r>
            </w:hyperlink>
          </w:p>
        </w:tc>
      </w:tr>
      <w:tr w:rsidR="004B2A77" w:rsidRPr="004B2A77" w14:paraId="0CBC5442" w14:textId="77777777" w:rsidTr="004B2A77">
        <w:trPr>
          <w:tblCellSpacing w:w="15" w:type="dxa"/>
        </w:trPr>
        <w:tc>
          <w:tcPr>
            <w:tcW w:w="0" w:type="auto"/>
            <w:hideMark/>
          </w:tcPr>
          <w:p w14:paraId="5484B81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2986D0F"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C9C8C3A"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F3EC549" w14:textId="77777777" w:rsidTr="004B2A77">
        <w:trPr>
          <w:trHeight w:val="180"/>
          <w:tblCellSpacing w:w="15" w:type="dxa"/>
        </w:trPr>
        <w:tc>
          <w:tcPr>
            <w:tcW w:w="0" w:type="auto"/>
            <w:hideMark/>
          </w:tcPr>
          <w:p w14:paraId="2FF9218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4.5</w:t>
            </w:r>
          </w:p>
        </w:tc>
        <w:tc>
          <w:tcPr>
            <w:tcW w:w="0" w:type="auto"/>
            <w:hideMark/>
          </w:tcPr>
          <w:p w14:paraId="0387D857"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0D834019" w14:textId="77777777" w:rsidR="004B2A77" w:rsidRPr="004B2A77" w:rsidRDefault="004B2A77" w:rsidP="004B2A77">
            <w:pPr>
              <w:widowControl/>
              <w:rPr>
                <w:rFonts w:ascii="Times New Roman" w:eastAsia="微软雅黑" w:hAnsi="Times New Roman" w:cs="Times New Roman"/>
                <w:kern w:val="0"/>
                <w:sz w:val="18"/>
                <w:szCs w:val="18"/>
              </w:rPr>
            </w:pPr>
            <w:hyperlink r:id="rId36" w:history="1">
              <w:r w:rsidRPr="004B2A77">
                <w:rPr>
                  <w:rFonts w:ascii="Arial" w:eastAsia="微软雅黑" w:hAnsi="Arial" w:cs="Arial"/>
                  <w:color w:val="0000FF"/>
                  <w:kern w:val="0"/>
                  <w:sz w:val="18"/>
                  <w:szCs w:val="18"/>
                  <w:u w:val="single"/>
                </w:rPr>
                <w:t>General Terms and Conditions for Swedish Depository Receipts in Autoliv, Inc., representing common shares in Autoliv, Inc., effective as of May 30, 2018 with Skandinaviska Enskilda Banken AB (publ) serving as a custodian, incorporated herein by reference to Exhibit 4.5 to the Quarterly Report on Form 10-Q (File No. 001-12933, filing date July 27, 2018).</w:t>
              </w:r>
            </w:hyperlink>
          </w:p>
        </w:tc>
      </w:tr>
      <w:tr w:rsidR="004B2A77" w:rsidRPr="004B2A77" w14:paraId="36CDF0B2" w14:textId="77777777" w:rsidTr="004B2A77">
        <w:trPr>
          <w:tblCellSpacing w:w="15" w:type="dxa"/>
        </w:trPr>
        <w:tc>
          <w:tcPr>
            <w:tcW w:w="0" w:type="auto"/>
            <w:hideMark/>
          </w:tcPr>
          <w:p w14:paraId="2623894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C56BAD1"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649C315"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A9121F8" w14:textId="77777777" w:rsidTr="004B2A77">
        <w:trPr>
          <w:trHeight w:val="180"/>
          <w:tblCellSpacing w:w="15" w:type="dxa"/>
        </w:trPr>
        <w:tc>
          <w:tcPr>
            <w:tcW w:w="0" w:type="auto"/>
            <w:hideMark/>
          </w:tcPr>
          <w:p w14:paraId="15979E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4.6</w:t>
            </w:r>
          </w:p>
        </w:tc>
        <w:tc>
          <w:tcPr>
            <w:tcW w:w="0" w:type="auto"/>
            <w:hideMark/>
          </w:tcPr>
          <w:p w14:paraId="74954ED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EFDD2EA" w14:textId="77777777" w:rsidR="004B2A77" w:rsidRPr="004B2A77" w:rsidRDefault="004B2A77" w:rsidP="004B2A77">
            <w:pPr>
              <w:widowControl/>
              <w:rPr>
                <w:rFonts w:ascii="Times New Roman" w:eastAsia="微软雅黑" w:hAnsi="Times New Roman" w:cs="Times New Roman"/>
                <w:kern w:val="0"/>
                <w:sz w:val="18"/>
                <w:szCs w:val="18"/>
              </w:rPr>
            </w:pPr>
            <w:hyperlink r:id="rId37" w:history="1">
              <w:r w:rsidRPr="004B2A77">
                <w:rPr>
                  <w:rFonts w:ascii="Arial" w:eastAsia="微软雅黑" w:hAnsi="Arial" w:cs="Arial"/>
                  <w:color w:val="0000FF"/>
                  <w:kern w:val="0"/>
                  <w:sz w:val="18"/>
                  <w:szCs w:val="18"/>
                  <w:u w:val="single"/>
                </w:rPr>
                <w:t>Agency Agreement dated June 26, 2018 among Autoliv, Inc., Autoliv ASP Inc. and HSBC Bank PLC, incorporated herein by reference to Exhibit 4.6 to the Quarterly Report on Form 10-Q (File No. 001-12933, filing date July 27, 2018).</w:t>
              </w:r>
            </w:hyperlink>
          </w:p>
        </w:tc>
      </w:tr>
      <w:tr w:rsidR="004B2A77" w:rsidRPr="004B2A77" w14:paraId="0672A1D2" w14:textId="77777777" w:rsidTr="004B2A77">
        <w:trPr>
          <w:tblCellSpacing w:w="15" w:type="dxa"/>
        </w:trPr>
        <w:tc>
          <w:tcPr>
            <w:tcW w:w="0" w:type="auto"/>
            <w:hideMark/>
          </w:tcPr>
          <w:p w14:paraId="7CD0DB1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37203CE"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808D8D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5464E53" w14:textId="77777777" w:rsidTr="004B2A77">
        <w:trPr>
          <w:trHeight w:val="180"/>
          <w:tblCellSpacing w:w="15" w:type="dxa"/>
        </w:trPr>
        <w:tc>
          <w:tcPr>
            <w:tcW w:w="0" w:type="auto"/>
            <w:hideMark/>
          </w:tcPr>
          <w:p w14:paraId="76B6AB4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4.7</w:t>
            </w:r>
          </w:p>
        </w:tc>
        <w:tc>
          <w:tcPr>
            <w:tcW w:w="0" w:type="auto"/>
            <w:hideMark/>
          </w:tcPr>
          <w:p w14:paraId="58D6F47A"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96DD30C" w14:textId="77777777" w:rsidR="004B2A77" w:rsidRPr="004B2A77" w:rsidRDefault="004B2A77" w:rsidP="004B2A77">
            <w:pPr>
              <w:widowControl/>
              <w:rPr>
                <w:rFonts w:ascii="Times New Roman" w:eastAsia="微软雅黑" w:hAnsi="Times New Roman" w:cs="Times New Roman"/>
                <w:kern w:val="0"/>
                <w:sz w:val="18"/>
                <w:szCs w:val="18"/>
              </w:rPr>
            </w:pPr>
            <w:hyperlink r:id="rId38" w:history="1">
              <w:r w:rsidRPr="004B2A77">
                <w:rPr>
                  <w:rFonts w:ascii="Arial" w:eastAsia="微软雅黑" w:hAnsi="Arial" w:cs="Arial"/>
                  <w:color w:val="0000FF"/>
                  <w:kern w:val="0"/>
                  <w:sz w:val="18"/>
                  <w:szCs w:val="18"/>
                  <w:u w:val="single"/>
                </w:rPr>
                <w:t>Description of Registrant´s Securities, incorporated by reference to Exhibit 4.13 to the Annual Report on Form 10-K (File No. 001-12933, filing date February 19, 2021).</w:t>
              </w:r>
            </w:hyperlink>
          </w:p>
        </w:tc>
      </w:tr>
      <w:tr w:rsidR="004B2A77" w:rsidRPr="004B2A77" w14:paraId="331578F2" w14:textId="77777777" w:rsidTr="004B2A77">
        <w:trPr>
          <w:tblCellSpacing w:w="15" w:type="dxa"/>
        </w:trPr>
        <w:tc>
          <w:tcPr>
            <w:tcW w:w="0" w:type="auto"/>
            <w:hideMark/>
          </w:tcPr>
          <w:p w14:paraId="45378D4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F33054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35E48A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831A7D6" w14:textId="77777777" w:rsidTr="004B2A77">
        <w:trPr>
          <w:trHeight w:val="180"/>
          <w:tblCellSpacing w:w="15" w:type="dxa"/>
        </w:trPr>
        <w:tc>
          <w:tcPr>
            <w:tcW w:w="0" w:type="auto"/>
            <w:hideMark/>
          </w:tcPr>
          <w:p w14:paraId="59CDAC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lastRenderedPageBreak/>
              <w:t>  4.8</w:t>
            </w:r>
          </w:p>
        </w:tc>
        <w:tc>
          <w:tcPr>
            <w:tcW w:w="0" w:type="auto"/>
            <w:hideMark/>
          </w:tcPr>
          <w:p w14:paraId="4266AE6F"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83EB1A3" w14:textId="77777777" w:rsidR="004B2A77" w:rsidRPr="004B2A77" w:rsidRDefault="004B2A77" w:rsidP="004B2A77">
            <w:pPr>
              <w:widowControl/>
              <w:rPr>
                <w:rFonts w:ascii="Times New Roman" w:eastAsia="微软雅黑" w:hAnsi="Times New Roman" w:cs="Times New Roman"/>
                <w:kern w:val="0"/>
                <w:sz w:val="18"/>
                <w:szCs w:val="18"/>
              </w:rPr>
            </w:pPr>
            <w:hyperlink r:id="rId39" w:history="1">
              <w:r w:rsidRPr="004B2A77">
                <w:rPr>
                  <w:rFonts w:ascii="Arial" w:eastAsia="微软雅黑" w:hAnsi="Arial" w:cs="Arial"/>
                  <w:color w:val="0000FF"/>
                  <w:kern w:val="0"/>
                  <w:sz w:val="18"/>
                  <w:szCs w:val="18"/>
                  <w:u w:val="single"/>
                </w:rPr>
                <w:t>Base Listing Particulars Agreement, dated February 22, 2022, among Autoliv, Inc., Autoliv ASP, Inc. and the dealers named therein, incorporated herein by reference to Exhibit 4.12 to the Quarterly Report on Form 10-Q (File No. 001-12933, filing date April 22, 2022).</w:t>
              </w:r>
            </w:hyperlink>
          </w:p>
        </w:tc>
      </w:tr>
      <w:tr w:rsidR="004B2A77" w:rsidRPr="004B2A77" w14:paraId="054A39C0" w14:textId="77777777" w:rsidTr="004B2A77">
        <w:trPr>
          <w:tblCellSpacing w:w="15" w:type="dxa"/>
        </w:trPr>
        <w:tc>
          <w:tcPr>
            <w:tcW w:w="0" w:type="auto"/>
            <w:hideMark/>
          </w:tcPr>
          <w:p w14:paraId="44008CB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42234DF"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F532F4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FDF58C8" w14:textId="77777777" w:rsidTr="004B2A77">
        <w:trPr>
          <w:trHeight w:val="180"/>
          <w:tblCellSpacing w:w="15" w:type="dxa"/>
        </w:trPr>
        <w:tc>
          <w:tcPr>
            <w:tcW w:w="0" w:type="auto"/>
            <w:hideMark/>
          </w:tcPr>
          <w:p w14:paraId="0B9624A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4.9</w:t>
            </w:r>
          </w:p>
        </w:tc>
        <w:tc>
          <w:tcPr>
            <w:tcW w:w="0" w:type="auto"/>
            <w:hideMark/>
          </w:tcPr>
          <w:p w14:paraId="1A08494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AF0B868" w14:textId="77777777" w:rsidR="004B2A77" w:rsidRPr="004B2A77" w:rsidRDefault="004B2A77" w:rsidP="004B2A77">
            <w:pPr>
              <w:widowControl/>
              <w:rPr>
                <w:rFonts w:ascii="Times New Roman" w:eastAsia="微软雅黑" w:hAnsi="Times New Roman" w:cs="Times New Roman"/>
                <w:kern w:val="0"/>
                <w:sz w:val="18"/>
                <w:szCs w:val="18"/>
              </w:rPr>
            </w:pPr>
            <w:hyperlink r:id="rId40" w:history="1">
              <w:r w:rsidRPr="004B2A77">
                <w:rPr>
                  <w:rFonts w:ascii="Arial" w:eastAsia="微软雅黑" w:hAnsi="Arial" w:cs="Arial"/>
                  <w:color w:val="0000FF"/>
                  <w:kern w:val="0"/>
                  <w:sz w:val="18"/>
                  <w:szCs w:val="18"/>
                  <w:u w:val="single"/>
                </w:rPr>
                <w:t>Amended and Restated Programme Agreement, dated February 22, 2022, among Autoliv, Inc., Autoliv ASP, Inc. and the dealers named therein, incorporated herein by reference to Exhibit 4.13 to the Quarterly Report on Form 10-Q (File No. 001-12933, filing date April 22, 2022).</w:t>
              </w:r>
            </w:hyperlink>
          </w:p>
        </w:tc>
      </w:tr>
      <w:tr w:rsidR="004B2A77" w:rsidRPr="004B2A77" w14:paraId="04AF6803" w14:textId="77777777" w:rsidTr="004B2A77">
        <w:trPr>
          <w:tblCellSpacing w:w="15" w:type="dxa"/>
        </w:trPr>
        <w:tc>
          <w:tcPr>
            <w:tcW w:w="0" w:type="auto"/>
            <w:hideMark/>
          </w:tcPr>
          <w:p w14:paraId="065DB2D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3A1E4AD"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4CE9825"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bl>
    <w:p w14:paraId="5835E0C7"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92</w:t>
      </w:r>
    </w:p>
    <w:p w14:paraId="25FD1A25"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C2C58E4">
          <v:rect id="_x0000_i1119" style="width:0;height:1.5pt" o:hralign="center" o:hrstd="t" o:hrnoshade="t" o:hr="t" fillcolor="black" stroked="f"/>
        </w:pict>
      </w:r>
    </w:p>
    <w:p w14:paraId="79E0CDD6"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26"/>
        <w:gridCol w:w="194"/>
        <w:gridCol w:w="19094"/>
      </w:tblGrid>
      <w:tr w:rsidR="004B2A77" w:rsidRPr="004B2A77" w14:paraId="215807FD" w14:textId="77777777" w:rsidTr="004B2A77">
        <w:trPr>
          <w:tblCellSpacing w:w="15" w:type="dxa"/>
        </w:trPr>
        <w:tc>
          <w:tcPr>
            <w:tcW w:w="1642" w:type="dxa"/>
            <w:vAlign w:val="center"/>
            <w:hideMark/>
          </w:tcPr>
          <w:p w14:paraId="40458720"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5" w:type="dxa"/>
            <w:vAlign w:val="center"/>
            <w:hideMark/>
          </w:tcPr>
          <w:p w14:paraId="465D9E2E"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678" w:type="dxa"/>
            <w:vAlign w:val="center"/>
            <w:hideMark/>
          </w:tcPr>
          <w:p w14:paraId="108A3676"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5C65CE2D" w14:textId="77777777" w:rsidTr="004B2A77">
        <w:trPr>
          <w:trHeight w:val="180"/>
          <w:tblCellSpacing w:w="15" w:type="dxa"/>
        </w:trPr>
        <w:tc>
          <w:tcPr>
            <w:tcW w:w="0" w:type="auto"/>
            <w:hideMark/>
          </w:tcPr>
          <w:p w14:paraId="493734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4.10</w:t>
            </w:r>
          </w:p>
        </w:tc>
        <w:tc>
          <w:tcPr>
            <w:tcW w:w="0" w:type="auto"/>
            <w:hideMark/>
          </w:tcPr>
          <w:p w14:paraId="65E3FAD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619F200" w14:textId="77777777" w:rsidR="004B2A77" w:rsidRPr="004B2A77" w:rsidRDefault="004B2A77" w:rsidP="004B2A77">
            <w:pPr>
              <w:widowControl/>
              <w:rPr>
                <w:rFonts w:ascii="Times New Roman" w:eastAsia="微软雅黑" w:hAnsi="Times New Roman" w:cs="Times New Roman"/>
                <w:kern w:val="0"/>
                <w:sz w:val="18"/>
                <w:szCs w:val="18"/>
              </w:rPr>
            </w:pPr>
            <w:hyperlink r:id="rId41" w:history="1">
              <w:r w:rsidRPr="004B2A77">
                <w:rPr>
                  <w:rFonts w:ascii="Arial" w:eastAsia="微软雅黑" w:hAnsi="Arial" w:cs="Arial"/>
                  <w:color w:val="0000FF"/>
                  <w:kern w:val="0"/>
                  <w:sz w:val="18"/>
                  <w:szCs w:val="18"/>
                  <w:u w:val="single"/>
                </w:rPr>
                <w:t>Amended and Restated Agency Agreement, dated February 22, 2022, among Autoliv, Inc., Autoliv ASP, Inc. and the dealers named therein, incorporated herein by reference to Exhibit 4.14 to the Quarterly Report on Form 10-Q (File No. 001-12933, filing date April 22, 2022).</w:t>
              </w:r>
            </w:hyperlink>
          </w:p>
        </w:tc>
      </w:tr>
      <w:tr w:rsidR="004B2A77" w:rsidRPr="004B2A77" w14:paraId="25951B5A" w14:textId="77777777" w:rsidTr="004B2A77">
        <w:trPr>
          <w:tblCellSpacing w:w="15" w:type="dxa"/>
        </w:trPr>
        <w:tc>
          <w:tcPr>
            <w:tcW w:w="0" w:type="auto"/>
            <w:hideMark/>
          </w:tcPr>
          <w:p w14:paraId="48A38F0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45B2007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8C8ACAC"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32AE3A9" w14:textId="77777777" w:rsidTr="004B2A77">
        <w:trPr>
          <w:trHeight w:val="180"/>
          <w:tblCellSpacing w:w="15" w:type="dxa"/>
        </w:trPr>
        <w:tc>
          <w:tcPr>
            <w:tcW w:w="0" w:type="auto"/>
            <w:hideMark/>
          </w:tcPr>
          <w:p w14:paraId="64470F8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4.11</w:t>
            </w:r>
          </w:p>
        </w:tc>
        <w:tc>
          <w:tcPr>
            <w:tcW w:w="0" w:type="auto"/>
            <w:hideMark/>
          </w:tcPr>
          <w:p w14:paraId="152AB077"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1C08E96" w14:textId="77777777" w:rsidR="004B2A77" w:rsidRPr="004B2A77" w:rsidRDefault="004B2A77" w:rsidP="004B2A77">
            <w:pPr>
              <w:widowControl/>
              <w:rPr>
                <w:rFonts w:ascii="Times New Roman" w:eastAsia="微软雅黑" w:hAnsi="Times New Roman" w:cs="Times New Roman"/>
                <w:kern w:val="0"/>
                <w:sz w:val="18"/>
                <w:szCs w:val="18"/>
              </w:rPr>
            </w:pPr>
            <w:hyperlink r:id="rId42" w:history="1">
              <w:r w:rsidRPr="004B2A77">
                <w:rPr>
                  <w:rFonts w:ascii="Arial" w:eastAsia="微软雅黑" w:hAnsi="Arial" w:cs="Arial"/>
                  <w:color w:val="0000FF"/>
                  <w:kern w:val="0"/>
                  <w:sz w:val="18"/>
                  <w:szCs w:val="18"/>
                  <w:u w:val="single"/>
                </w:rPr>
                <w:t>Description of Registrant´s Securities, incorporated by reference to Exhibit 4.13 to the Annual Report on Form 10-K (File No. 001-12933, filing date February 19, 2021)</w:t>
              </w:r>
            </w:hyperlink>
          </w:p>
        </w:tc>
      </w:tr>
      <w:tr w:rsidR="004B2A77" w:rsidRPr="004B2A77" w14:paraId="78215B24" w14:textId="77777777" w:rsidTr="004B2A77">
        <w:trPr>
          <w:tblCellSpacing w:w="15" w:type="dxa"/>
        </w:trPr>
        <w:tc>
          <w:tcPr>
            <w:tcW w:w="0" w:type="auto"/>
            <w:hideMark/>
          </w:tcPr>
          <w:p w14:paraId="4F6CBC0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9777A6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7A0351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3A28BF6" w14:textId="77777777" w:rsidTr="004B2A77">
        <w:trPr>
          <w:trHeight w:val="180"/>
          <w:tblCellSpacing w:w="15" w:type="dxa"/>
        </w:trPr>
        <w:tc>
          <w:tcPr>
            <w:tcW w:w="0" w:type="auto"/>
            <w:hideMark/>
          </w:tcPr>
          <w:p w14:paraId="32B25F3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w:t>
            </w:r>
          </w:p>
        </w:tc>
        <w:tc>
          <w:tcPr>
            <w:tcW w:w="0" w:type="auto"/>
            <w:hideMark/>
          </w:tcPr>
          <w:p w14:paraId="7FFC0451"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023E85E0"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43" w:history="1">
              <w:r w:rsidRPr="004B2A77">
                <w:rPr>
                  <w:rFonts w:ascii="Arial" w:eastAsia="微软雅黑" w:hAnsi="Arial" w:cs="Arial"/>
                  <w:color w:val="0000FF"/>
                  <w:kern w:val="0"/>
                  <w:sz w:val="18"/>
                  <w:szCs w:val="18"/>
                  <w:u w:val="single"/>
                </w:rPr>
                <w:t>Autoliv, Inc. 1997 Stock Incentive Plan, as amended and restated on May 6, 2009, incorporated herein by reference to Appendix A of the Definitive Proxy Statement of Autoliv, Inc. on Schedule 14A (filing date March 23, 2009).</w:t>
              </w:r>
            </w:hyperlink>
          </w:p>
        </w:tc>
      </w:tr>
      <w:tr w:rsidR="004B2A77" w:rsidRPr="004B2A77" w14:paraId="1E1D4B67" w14:textId="77777777" w:rsidTr="004B2A77">
        <w:trPr>
          <w:tblCellSpacing w:w="15" w:type="dxa"/>
        </w:trPr>
        <w:tc>
          <w:tcPr>
            <w:tcW w:w="0" w:type="auto"/>
            <w:hideMark/>
          </w:tcPr>
          <w:p w14:paraId="7DE02EF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C75A47A"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833966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E80E4A2" w14:textId="77777777" w:rsidTr="004B2A77">
        <w:trPr>
          <w:trHeight w:val="180"/>
          <w:tblCellSpacing w:w="15" w:type="dxa"/>
        </w:trPr>
        <w:tc>
          <w:tcPr>
            <w:tcW w:w="0" w:type="auto"/>
            <w:hideMark/>
          </w:tcPr>
          <w:p w14:paraId="64E2766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10.2+</w:t>
            </w:r>
          </w:p>
        </w:tc>
        <w:tc>
          <w:tcPr>
            <w:tcW w:w="0" w:type="auto"/>
            <w:hideMark/>
          </w:tcPr>
          <w:p w14:paraId="5EE5FC6D"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811D0B8" w14:textId="77777777" w:rsidR="004B2A77" w:rsidRPr="004B2A77" w:rsidRDefault="004B2A77" w:rsidP="004B2A77">
            <w:pPr>
              <w:widowControl/>
              <w:rPr>
                <w:rFonts w:ascii="Times New Roman" w:eastAsia="微软雅黑" w:hAnsi="Times New Roman" w:cs="Times New Roman"/>
                <w:kern w:val="0"/>
                <w:sz w:val="18"/>
                <w:szCs w:val="18"/>
              </w:rPr>
            </w:pPr>
            <w:hyperlink r:id="rId44" w:history="1">
              <w:r w:rsidRPr="004B2A77">
                <w:rPr>
                  <w:rFonts w:ascii="Arial" w:eastAsia="微软雅黑" w:hAnsi="Arial" w:cs="Arial"/>
                  <w:color w:val="0000FF"/>
                  <w:kern w:val="0"/>
                  <w:sz w:val="18"/>
                  <w:szCs w:val="18"/>
                  <w:u w:val="single"/>
                </w:rPr>
                <w:t>Amendment No. 1 to the Autoliv, Inc. 1997 Stock Incentive Plan as amended and restated on May 6, 2009, dated December 17, 2010, incorporated herein by reference to Exhibit 10.24 to the Annual Report on Form 10-K (File No. 001-12933, filing date February 23, 2011).</w:t>
              </w:r>
            </w:hyperlink>
          </w:p>
        </w:tc>
      </w:tr>
      <w:tr w:rsidR="004B2A77" w:rsidRPr="004B2A77" w14:paraId="72FEF51E" w14:textId="77777777" w:rsidTr="004B2A77">
        <w:trPr>
          <w:tblCellSpacing w:w="15" w:type="dxa"/>
        </w:trPr>
        <w:tc>
          <w:tcPr>
            <w:tcW w:w="0" w:type="auto"/>
            <w:hideMark/>
          </w:tcPr>
          <w:p w14:paraId="51CFE0C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EEE5E6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9A751E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DFE9B45" w14:textId="77777777" w:rsidTr="004B2A77">
        <w:trPr>
          <w:trHeight w:val="180"/>
          <w:tblCellSpacing w:w="15" w:type="dxa"/>
        </w:trPr>
        <w:tc>
          <w:tcPr>
            <w:tcW w:w="0" w:type="auto"/>
            <w:hideMark/>
          </w:tcPr>
          <w:p w14:paraId="3A0E82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w:t>
            </w:r>
          </w:p>
        </w:tc>
        <w:tc>
          <w:tcPr>
            <w:tcW w:w="0" w:type="auto"/>
            <w:hideMark/>
          </w:tcPr>
          <w:p w14:paraId="599FF3D4"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859F450"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45" w:history="1">
              <w:r w:rsidRPr="004B2A77">
                <w:rPr>
                  <w:rFonts w:ascii="Arial" w:eastAsia="微软雅黑" w:hAnsi="Arial" w:cs="Arial"/>
                  <w:color w:val="0000FF"/>
                  <w:kern w:val="0"/>
                  <w:sz w:val="18"/>
                  <w:szCs w:val="18"/>
                  <w:u w:val="single"/>
                </w:rPr>
                <w:t>Amendment No. 2 to the Autoliv, Inc. 1997 Stock Incentive Plan, as amended and restated on May 6, 2009, dated May 8, 2012, incorporated herein by reference to Exhibit 10.29 to the Quarterly Report on Form 10-Q (File No. 001-12933, filing date July 20, 2012).</w:t>
              </w:r>
            </w:hyperlink>
          </w:p>
        </w:tc>
      </w:tr>
      <w:tr w:rsidR="004B2A77" w:rsidRPr="004B2A77" w14:paraId="685505B1" w14:textId="77777777" w:rsidTr="004B2A77">
        <w:trPr>
          <w:tblCellSpacing w:w="15" w:type="dxa"/>
        </w:trPr>
        <w:tc>
          <w:tcPr>
            <w:tcW w:w="0" w:type="auto"/>
            <w:hideMark/>
          </w:tcPr>
          <w:p w14:paraId="0B9789B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F8B480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D5671B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2DBC05E" w14:textId="77777777" w:rsidTr="004B2A77">
        <w:trPr>
          <w:trHeight w:val="180"/>
          <w:tblCellSpacing w:w="15" w:type="dxa"/>
        </w:trPr>
        <w:tc>
          <w:tcPr>
            <w:tcW w:w="0" w:type="auto"/>
            <w:hideMark/>
          </w:tcPr>
          <w:p w14:paraId="20C8487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10.4</w:t>
            </w:r>
          </w:p>
        </w:tc>
        <w:tc>
          <w:tcPr>
            <w:tcW w:w="0" w:type="auto"/>
            <w:hideMark/>
          </w:tcPr>
          <w:p w14:paraId="3E8FFB88"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4B15A23"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46" w:history="1">
              <w:r w:rsidRPr="004B2A77">
                <w:rPr>
                  <w:rFonts w:ascii="Arial" w:eastAsia="微软雅黑" w:hAnsi="Arial" w:cs="Arial"/>
                  <w:color w:val="0000FF"/>
                  <w:kern w:val="0"/>
                  <w:sz w:val="18"/>
                  <w:szCs w:val="18"/>
                  <w:u w:val="single"/>
                </w:rPr>
                <w:t>Form of Note Purchase and Guaranty Agreement, dated April 23, 2014, among Autoliv ASP, Inc., Autoliv, Inc. and the purchasers named therein, incorporated herein by reference to Exhibit 4.6 to the Quarterly Report on Form 10-Q (File No. 001-12933, filing date April 25, 2014).</w:t>
              </w:r>
            </w:hyperlink>
          </w:p>
        </w:tc>
      </w:tr>
      <w:tr w:rsidR="004B2A77" w:rsidRPr="004B2A77" w14:paraId="57916471" w14:textId="77777777" w:rsidTr="004B2A77">
        <w:trPr>
          <w:tblCellSpacing w:w="15" w:type="dxa"/>
        </w:trPr>
        <w:tc>
          <w:tcPr>
            <w:tcW w:w="0" w:type="auto"/>
            <w:hideMark/>
          </w:tcPr>
          <w:p w14:paraId="136F8CD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97B2B3D"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53684C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933C318" w14:textId="77777777" w:rsidTr="004B2A77">
        <w:trPr>
          <w:trHeight w:val="180"/>
          <w:tblCellSpacing w:w="15" w:type="dxa"/>
        </w:trPr>
        <w:tc>
          <w:tcPr>
            <w:tcW w:w="0" w:type="auto"/>
            <w:hideMark/>
          </w:tcPr>
          <w:p w14:paraId="7FC737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10.5</w:t>
            </w:r>
          </w:p>
        </w:tc>
        <w:tc>
          <w:tcPr>
            <w:tcW w:w="0" w:type="auto"/>
            <w:hideMark/>
          </w:tcPr>
          <w:p w14:paraId="189D1B1C" w14:textId="77777777" w:rsidR="004B2A77" w:rsidRPr="004B2A77" w:rsidRDefault="004B2A77" w:rsidP="004B2A77">
            <w:pPr>
              <w:widowControl/>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5E25BF96"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47" w:history="1">
              <w:r w:rsidRPr="004B2A77">
                <w:rPr>
                  <w:rFonts w:ascii="Arial" w:eastAsia="微软雅黑" w:hAnsi="Arial" w:cs="Arial"/>
                  <w:color w:val="0000FF"/>
                  <w:kern w:val="0"/>
                  <w:sz w:val="18"/>
                  <w:szCs w:val="18"/>
                  <w:u w:val="single"/>
                </w:rPr>
                <w:t>General Terms and Conditions for Swedish Depository Receipts in Autoliv, Inc. representing common shares in Autoliv, Inc., effective as of May 30, 2018, with Skandinaviska Enskilda Banken AB (publ) serving as custodian, incorporated herein by reference to Exhibit 4.5 to the Quarterly Report on Form 10-Q (File No. 001-12933, filing date July 27, 2018).</w:t>
              </w:r>
            </w:hyperlink>
          </w:p>
        </w:tc>
      </w:tr>
      <w:tr w:rsidR="004B2A77" w:rsidRPr="004B2A77" w14:paraId="70145A06" w14:textId="77777777" w:rsidTr="004B2A77">
        <w:trPr>
          <w:tblCellSpacing w:w="15" w:type="dxa"/>
        </w:trPr>
        <w:tc>
          <w:tcPr>
            <w:tcW w:w="0" w:type="auto"/>
            <w:hideMark/>
          </w:tcPr>
          <w:p w14:paraId="01D0554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063307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846681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235D135" w14:textId="77777777" w:rsidTr="004B2A77">
        <w:trPr>
          <w:trHeight w:val="180"/>
          <w:tblCellSpacing w:w="15" w:type="dxa"/>
        </w:trPr>
        <w:tc>
          <w:tcPr>
            <w:tcW w:w="0" w:type="auto"/>
            <w:hideMark/>
          </w:tcPr>
          <w:p w14:paraId="57CE9B4E"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10.6+</w:t>
            </w:r>
          </w:p>
        </w:tc>
        <w:tc>
          <w:tcPr>
            <w:tcW w:w="0" w:type="auto"/>
            <w:hideMark/>
          </w:tcPr>
          <w:p w14:paraId="2C28D46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5686D4C" w14:textId="77777777" w:rsidR="004B2A77" w:rsidRPr="004B2A77" w:rsidRDefault="004B2A77" w:rsidP="004B2A77">
            <w:pPr>
              <w:widowControl/>
              <w:rPr>
                <w:rFonts w:ascii="Times New Roman" w:eastAsia="微软雅黑" w:hAnsi="Times New Roman" w:cs="Times New Roman"/>
                <w:kern w:val="0"/>
                <w:sz w:val="18"/>
                <w:szCs w:val="18"/>
              </w:rPr>
            </w:pPr>
            <w:hyperlink r:id="rId48" w:history="1">
              <w:r w:rsidRPr="004B2A77">
                <w:rPr>
                  <w:rFonts w:ascii="Arial" w:eastAsia="微软雅黑" w:hAnsi="Arial" w:cs="Arial"/>
                  <w:color w:val="0000FF"/>
                  <w:kern w:val="0"/>
                  <w:sz w:val="18"/>
                  <w:szCs w:val="18"/>
                  <w:u w:val="single"/>
                </w:rPr>
                <w:t>Amendment No. 3 to the Autoliv, Inc. 1997 Stock Incentive Plan, as amended and restated, dated April 24, 2017, incorporated herein by reference to Exhibit 10.2 to the Quarterly Report on Form 10-Q (File No. 001-12933, filing date April 28, 2017).</w:t>
              </w:r>
            </w:hyperlink>
          </w:p>
        </w:tc>
      </w:tr>
      <w:tr w:rsidR="004B2A77" w:rsidRPr="004B2A77" w14:paraId="1AE83C0E" w14:textId="77777777" w:rsidTr="004B2A77">
        <w:trPr>
          <w:tblCellSpacing w:w="15" w:type="dxa"/>
        </w:trPr>
        <w:tc>
          <w:tcPr>
            <w:tcW w:w="0" w:type="auto"/>
            <w:hideMark/>
          </w:tcPr>
          <w:p w14:paraId="65A7948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8F8DFD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EAF6CA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30E1140" w14:textId="77777777" w:rsidTr="004B2A77">
        <w:trPr>
          <w:trHeight w:val="180"/>
          <w:tblCellSpacing w:w="15" w:type="dxa"/>
        </w:trPr>
        <w:tc>
          <w:tcPr>
            <w:tcW w:w="0" w:type="auto"/>
            <w:hideMark/>
          </w:tcPr>
          <w:p w14:paraId="5A54A2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10.7</w:t>
            </w:r>
          </w:p>
        </w:tc>
        <w:tc>
          <w:tcPr>
            <w:tcW w:w="0" w:type="auto"/>
            <w:hideMark/>
          </w:tcPr>
          <w:p w14:paraId="7BE90CE9"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6A13F81"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49" w:history="1">
              <w:r w:rsidRPr="004B2A77">
                <w:rPr>
                  <w:rFonts w:ascii="Arial" w:eastAsia="微软雅黑" w:hAnsi="Arial" w:cs="Arial"/>
                  <w:color w:val="0000FF"/>
                  <w:kern w:val="0"/>
                  <w:sz w:val="18"/>
                  <w:szCs w:val="18"/>
                  <w:u w:val="single"/>
                </w:rPr>
                <w:t>Tax Matters Agreement, dated June 28, 2018, between Veoneer, Inc. and Autoliv, Inc., incorporated herein by reference to Exhibit 10.2 to the Current Report on Form 8-K (File No. 001-12933, filing date July 2, 2018).</w:t>
              </w:r>
            </w:hyperlink>
          </w:p>
        </w:tc>
      </w:tr>
      <w:tr w:rsidR="004B2A77" w:rsidRPr="004B2A77" w14:paraId="70AB226F" w14:textId="77777777" w:rsidTr="004B2A77">
        <w:trPr>
          <w:tblCellSpacing w:w="15" w:type="dxa"/>
        </w:trPr>
        <w:tc>
          <w:tcPr>
            <w:tcW w:w="0" w:type="auto"/>
            <w:hideMark/>
          </w:tcPr>
          <w:p w14:paraId="2DB8B8D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297DBD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6DA52E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A3D43B5" w14:textId="77777777" w:rsidTr="004B2A77">
        <w:trPr>
          <w:trHeight w:val="180"/>
          <w:tblCellSpacing w:w="15" w:type="dxa"/>
        </w:trPr>
        <w:tc>
          <w:tcPr>
            <w:tcW w:w="0" w:type="auto"/>
            <w:hideMark/>
          </w:tcPr>
          <w:p w14:paraId="7054F7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10.8+</w:t>
            </w:r>
          </w:p>
        </w:tc>
        <w:tc>
          <w:tcPr>
            <w:tcW w:w="0" w:type="auto"/>
            <w:hideMark/>
          </w:tcPr>
          <w:p w14:paraId="069C81E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D301FB5"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0" w:history="1">
              <w:r w:rsidRPr="004B2A77">
                <w:rPr>
                  <w:rFonts w:ascii="Arial" w:eastAsia="微软雅黑" w:hAnsi="Arial" w:cs="Arial"/>
                  <w:color w:val="0000FF"/>
                  <w:kern w:val="0"/>
                  <w:sz w:val="18"/>
                  <w:szCs w:val="18"/>
                  <w:u w:val="single"/>
                </w:rPr>
                <w:t>Employment Agreement, effective as of June 29, 2018, by and between Autoliv, Inc. and Mikael Bratt, incorporated herein by reference to Exhibit 10.8 to the Quarterly Report on Form 10-Q (File No. 001-12933, filing date July 27, 2018).</w:t>
              </w:r>
            </w:hyperlink>
          </w:p>
        </w:tc>
      </w:tr>
      <w:tr w:rsidR="004B2A77" w:rsidRPr="004B2A77" w14:paraId="12AA44BD" w14:textId="77777777" w:rsidTr="004B2A77">
        <w:trPr>
          <w:tblCellSpacing w:w="15" w:type="dxa"/>
        </w:trPr>
        <w:tc>
          <w:tcPr>
            <w:tcW w:w="0" w:type="auto"/>
            <w:hideMark/>
          </w:tcPr>
          <w:p w14:paraId="1B5B789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F2EA3E8"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B52CDB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81426F7" w14:textId="77777777" w:rsidTr="004B2A77">
        <w:trPr>
          <w:trHeight w:val="180"/>
          <w:tblCellSpacing w:w="15" w:type="dxa"/>
        </w:trPr>
        <w:tc>
          <w:tcPr>
            <w:tcW w:w="0" w:type="auto"/>
            <w:hideMark/>
          </w:tcPr>
          <w:p w14:paraId="291BD20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10.9+</w:t>
            </w:r>
          </w:p>
        </w:tc>
        <w:tc>
          <w:tcPr>
            <w:tcW w:w="0" w:type="auto"/>
            <w:hideMark/>
          </w:tcPr>
          <w:p w14:paraId="2B55992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DE07C7B"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1" w:history="1">
              <w:r w:rsidRPr="004B2A77">
                <w:rPr>
                  <w:rFonts w:ascii="Arial" w:eastAsia="微软雅黑" w:hAnsi="Arial" w:cs="Arial"/>
                  <w:color w:val="0000FF"/>
                  <w:kern w:val="0"/>
                  <w:sz w:val="18"/>
                  <w:szCs w:val="18"/>
                  <w:u w:val="single"/>
                </w:rPr>
                <w:t>Employment Agreement, dated March 21, 2018 and effective as of June 29, 2018, by and between Autoliv, Inc. and Jordi Lombarte incorporated herein by reference to Exhibit 10.12 to the Quarterly Report on Form 10-Q (File No. 001-12933, filing date July 27, 2018).</w:t>
              </w:r>
            </w:hyperlink>
          </w:p>
        </w:tc>
      </w:tr>
      <w:tr w:rsidR="004B2A77" w:rsidRPr="004B2A77" w14:paraId="593C8D87" w14:textId="77777777" w:rsidTr="004B2A77">
        <w:trPr>
          <w:tblCellSpacing w:w="15" w:type="dxa"/>
        </w:trPr>
        <w:tc>
          <w:tcPr>
            <w:tcW w:w="0" w:type="auto"/>
            <w:hideMark/>
          </w:tcPr>
          <w:p w14:paraId="3827B8F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6F05AB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DD4D6A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042CEEE" w14:textId="77777777" w:rsidTr="004B2A77">
        <w:trPr>
          <w:trHeight w:val="180"/>
          <w:tblCellSpacing w:w="15" w:type="dxa"/>
        </w:trPr>
        <w:tc>
          <w:tcPr>
            <w:tcW w:w="0" w:type="auto"/>
            <w:hideMark/>
          </w:tcPr>
          <w:p w14:paraId="030E565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lastRenderedPageBreak/>
              <w:t>10.10+</w:t>
            </w:r>
          </w:p>
        </w:tc>
        <w:tc>
          <w:tcPr>
            <w:tcW w:w="0" w:type="auto"/>
            <w:hideMark/>
          </w:tcPr>
          <w:p w14:paraId="58137A29"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E424AF7"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2" w:history="1">
              <w:r w:rsidRPr="004B2A77">
                <w:rPr>
                  <w:rFonts w:ascii="Arial" w:eastAsia="微软雅黑" w:hAnsi="Arial" w:cs="Arial"/>
                  <w:color w:val="0000FF"/>
                  <w:kern w:val="0"/>
                  <w:sz w:val="18"/>
                  <w:szCs w:val="18"/>
                  <w:u w:val="single"/>
                </w:rPr>
                <w:t>Employment Agreement, effective as of June 29, 2018, by and between Autoliv, Inc. and Anthony J. Nellis, incorporated herein by reference to Exhibit 10.14 to the Quarterly Report on Form 10-Q (File No. 001-12933, filing date July 27, 2018).</w:t>
              </w:r>
            </w:hyperlink>
          </w:p>
        </w:tc>
      </w:tr>
      <w:tr w:rsidR="004B2A77" w:rsidRPr="004B2A77" w14:paraId="3BF2E98A" w14:textId="77777777" w:rsidTr="004B2A77">
        <w:trPr>
          <w:tblCellSpacing w:w="15" w:type="dxa"/>
        </w:trPr>
        <w:tc>
          <w:tcPr>
            <w:tcW w:w="0" w:type="auto"/>
            <w:hideMark/>
          </w:tcPr>
          <w:p w14:paraId="2E095B3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7FC8C18"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E97430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3D4338B" w14:textId="77777777" w:rsidTr="004B2A77">
        <w:trPr>
          <w:trHeight w:val="180"/>
          <w:tblCellSpacing w:w="15" w:type="dxa"/>
        </w:trPr>
        <w:tc>
          <w:tcPr>
            <w:tcW w:w="0" w:type="auto"/>
            <w:hideMark/>
          </w:tcPr>
          <w:p w14:paraId="70F61AF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10.11</w:t>
            </w:r>
          </w:p>
        </w:tc>
        <w:tc>
          <w:tcPr>
            <w:tcW w:w="0" w:type="auto"/>
            <w:hideMark/>
          </w:tcPr>
          <w:p w14:paraId="2C763D2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F156BC5"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3" w:history="1">
              <w:r w:rsidRPr="004B2A77">
                <w:rPr>
                  <w:rFonts w:ascii="Arial" w:eastAsia="微软雅黑" w:hAnsi="Arial" w:cs="Arial"/>
                  <w:color w:val="0000FF"/>
                  <w:kern w:val="0"/>
                  <w:sz w:val="18"/>
                  <w:szCs w:val="18"/>
                  <w:u w:val="single"/>
                </w:rPr>
                <w:t>Cooperation Agreement, dated March 1, 2019, between Autoliv, Inc. and Cevian Capital II GP Limited, incorporated herein by reference to Exhibit 10.1 to the Current Report on Form 8-K (File No. 001-12933, filing date March 1, 2019).</w:t>
              </w:r>
            </w:hyperlink>
          </w:p>
        </w:tc>
      </w:tr>
      <w:tr w:rsidR="004B2A77" w:rsidRPr="004B2A77" w14:paraId="259D1D1A" w14:textId="77777777" w:rsidTr="004B2A77">
        <w:trPr>
          <w:tblCellSpacing w:w="15" w:type="dxa"/>
        </w:trPr>
        <w:tc>
          <w:tcPr>
            <w:tcW w:w="0" w:type="auto"/>
            <w:hideMark/>
          </w:tcPr>
          <w:p w14:paraId="7ECA203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B425A6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B92463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8B79B25" w14:textId="77777777" w:rsidTr="004B2A77">
        <w:trPr>
          <w:trHeight w:val="180"/>
          <w:tblCellSpacing w:w="15" w:type="dxa"/>
        </w:trPr>
        <w:tc>
          <w:tcPr>
            <w:tcW w:w="0" w:type="auto"/>
            <w:hideMark/>
          </w:tcPr>
          <w:p w14:paraId="177235D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10.12+</w:t>
            </w:r>
          </w:p>
        </w:tc>
        <w:tc>
          <w:tcPr>
            <w:tcW w:w="0" w:type="auto"/>
            <w:hideMark/>
          </w:tcPr>
          <w:p w14:paraId="1388CA0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1BA7217"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4" w:history="1">
              <w:r w:rsidRPr="004B2A77">
                <w:rPr>
                  <w:rFonts w:ascii="Arial" w:eastAsia="微软雅黑" w:hAnsi="Arial" w:cs="Arial"/>
                  <w:color w:val="0000FF"/>
                  <w:kern w:val="0"/>
                  <w:sz w:val="18"/>
                  <w:szCs w:val="18"/>
                  <w:u w:val="single"/>
                </w:rPr>
                <w:t>Employment Agreement, dated April 23, 2019, between Autoliv, Inc. and Frithjof Oldorff, incorporated herein by reference to Exhibit 10.3 to the Quarterly Report on Form 10-Q (File No. 001-12933, filing date October 25, 2019).</w:t>
              </w:r>
            </w:hyperlink>
          </w:p>
        </w:tc>
      </w:tr>
      <w:tr w:rsidR="004B2A77" w:rsidRPr="004B2A77" w14:paraId="7D7F73BE" w14:textId="77777777" w:rsidTr="004B2A77">
        <w:trPr>
          <w:tblCellSpacing w:w="15" w:type="dxa"/>
        </w:trPr>
        <w:tc>
          <w:tcPr>
            <w:tcW w:w="0" w:type="auto"/>
            <w:hideMark/>
          </w:tcPr>
          <w:p w14:paraId="66C7BC8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798489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82639A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F92EC45" w14:textId="77777777" w:rsidTr="004B2A77">
        <w:trPr>
          <w:trHeight w:val="180"/>
          <w:tblCellSpacing w:w="15" w:type="dxa"/>
        </w:trPr>
        <w:tc>
          <w:tcPr>
            <w:tcW w:w="0" w:type="auto"/>
            <w:hideMark/>
          </w:tcPr>
          <w:p w14:paraId="1D882E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10.13+</w:t>
            </w:r>
          </w:p>
        </w:tc>
        <w:tc>
          <w:tcPr>
            <w:tcW w:w="0" w:type="auto"/>
            <w:hideMark/>
          </w:tcPr>
          <w:p w14:paraId="0C65C1A8"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6C2F08C"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5" w:history="1">
              <w:r w:rsidRPr="004B2A77">
                <w:rPr>
                  <w:rFonts w:ascii="Arial" w:eastAsia="微软雅黑" w:hAnsi="Arial" w:cs="Arial"/>
                  <w:color w:val="0000FF"/>
                  <w:kern w:val="0"/>
                  <w:sz w:val="18"/>
                  <w:szCs w:val="18"/>
                  <w:u w:val="single"/>
                </w:rPr>
                <w:t>Employment Agreement, dated March 18, 2019, between Autoliv, Inc. and Christian Swahn, incorporated herein by reference to Exhibit 10.4 to the Quarterly Report on Form 10-Q (File No. 001-12933, filing date October 25, 2019).</w:t>
              </w:r>
            </w:hyperlink>
          </w:p>
        </w:tc>
      </w:tr>
      <w:tr w:rsidR="004B2A77" w:rsidRPr="004B2A77" w14:paraId="254FC76A" w14:textId="77777777" w:rsidTr="004B2A77">
        <w:trPr>
          <w:tblCellSpacing w:w="15" w:type="dxa"/>
        </w:trPr>
        <w:tc>
          <w:tcPr>
            <w:tcW w:w="0" w:type="auto"/>
            <w:hideMark/>
          </w:tcPr>
          <w:p w14:paraId="727F02D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D9D8C1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013091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8CAC033" w14:textId="77777777" w:rsidTr="004B2A77">
        <w:trPr>
          <w:trHeight w:val="180"/>
          <w:tblCellSpacing w:w="15" w:type="dxa"/>
        </w:trPr>
        <w:tc>
          <w:tcPr>
            <w:tcW w:w="0" w:type="auto"/>
            <w:hideMark/>
          </w:tcPr>
          <w:p w14:paraId="00A1F94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10.14+</w:t>
            </w:r>
          </w:p>
        </w:tc>
        <w:tc>
          <w:tcPr>
            <w:tcW w:w="0" w:type="auto"/>
            <w:hideMark/>
          </w:tcPr>
          <w:p w14:paraId="60E44B51"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12A434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6" w:history="1">
              <w:r w:rsidRPr="004B2A77">
                <w:rPr>
                  <w:rFonts w:ascii="Arial" w:eastAsia="微软雅黑" w:hAnsi="Arial" w:cs="Arial"/>
                  <w:color w:val="0000FF"/>
                  <w:kern w:val="0"/>
                  <w:sz w:val="18"/>
                  <w:szCs w:val="18"/>
                  <w:u w:val="single"/>
                </w:rPr>
                <w:t>Employment Agreement, dated February 15, 2019, between Autoliv, Inc. and Magnus Jarlegren, incorporated herein by reference to Exhibit 10.5 to the Quarterly Report on Form 10-Q (File No. 001-12933, filing date October 25, 2019).</w:t>
              </w:r>
            </w:hyperlink>
          </w:p>
          <w:p w14:paraId="3D650DA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FFAB617" w14:textId="77777777" w:rsidTr="004B2A77">
        <w:trPr>
          <w:trHeight w:val="180"/>
          <w:tblCellSpacing w:w="15" w:type="dxa"/>
        </w:trPr>
        <w:tc>
          <w:tcPr>
            <w:tcW w:w="0" w:type="auto"/>
            <w:hideMark/>
          </w:tcPr>
          <w:p w14:paraId="453C45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10.15</w:t>
            </w:r>
          </w:p>
        </w:tc>
        <w:tc>
          <w:tcPr>
            <w:tcW w:w="0" w:type="auto"/>
            <w:hideMark/>
          </w:tcPr>
          <w:p w14:paraId="3439E1E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B9CF89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7" w:history="1">
              <w:r w:rsidRPr="004B2A77">
                <w:rPr>
                  <w:rFonts w:ascii="Arial" w:eastAsia="微软雅黑" w:hAnsi="Arial" w:cs="Arial"/>
                  <w:color w:val="0000FF"/>
                  <w:kern w:val="0"/>
                  <w:sz w:val="18"/>
                  <w:szCs w:val="18"/>
                  <w:u w:val="single"/>
                </w:rPr>
                <w:t>Form of Indemnification Agreement between Autoliv, Inc. and its directors and certain of its executive officers, incorporated herein by reference to Exhibit 10.6 to the Quarterly Report on Form 10-Q (File No. 001-12933, filing date October 25, 2019).</w:t>
              </w:r>
            </w:hyperlink>
          </w:p>
        </w:tc>
      </w:tr>
      <w:tr w:rsidR="004B2A77" w:rsidRPr="004B2A77" w14:paraId="55C2721E" w14:textId="77777777" w:rsidTr="004B2A77">
        <w:trPr>
          <w:tblCellSpacing w:w="15" w:type="dxa"/>
        </w:trPr>
        <w:tc>
          <w:tcPr>
            <w:tcW w:w="0" w:type="auto"/>
            <w:hideMark/>
          </w:tcPr>
          <w:p w14:paraId="1028716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A92C56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BAC8DA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0D451C5" w14:textId="77777777" w:rsidTr="004B2A77">
        <w:trPr>
          <w:trHeight w:val="220"/>
          <w:tblCellSpacing w:w="15" w:type="dxa"/>
        </w:trPr>
        <w:tc>
          <w:tcPr>
            <w:tcW w:w="0" w:type="auto"/>
            <w:hideMark/>
          </w:tcPr>
          <w:p w14:paraId="1FA0C2E4"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t>10.16</w:t>
            </w:r>
            <w:r w:rsidRPr="004B2A77">
              <w:rPr>
                <w:rFonts w:ascii="Arial" w:eastAsia="微软雅黑" w:hAnsi="Arial" w:cs="Arial"/>
                <w:color w:val="000000"/>
                <w:kern w:val="0"/>
                <w:sz w:val="15"/>
                <w:szCs w:val="15"/>
              </w:rPr>
              <w:t>+</w:t>
            </w:r>
          </w:p>
        </w:tc>
        <w:tc>
          <w:tcPr>
            <w:tcW w:w="0" w:type="auto"/>
            <w:hideMark/>
          </w:tcPr>
          <w:p w14:paraId="75615E12"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362D00D"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8" w:history="1">
              <w:r w:rsidRPr="004B2A77">
                <w:rPr>
                  <w:rFonts w:ascii="Arial" w:eastAsia="微软雅黑" w:hAnsi="Arial" w:cs="Arial"/>
                  <w:color w:val="0000FF"/>
                  <w:kern w:val="0"/>
                  <w:sz w:val="18"/>
                  <w:szCs w:val="18"/>
                  <w:u w:val="single"/>
                </w:rPr>
                <w:t>Employment Agreement, dated November 26, 2019 and effective as of March 1, 2020, between Autoliv, Inc. and Fredrik Westin, incorporated herein by reference to Exhibit 10.56 to the Annual Report on Form 10-K (File No. 001-12933, filing date February 21, 2020).</w:t>
              </w:r>
            </w:hyperlink>
          </w:p>
        </w:tc>
      </w:tr>
      <w:tr w:rsidR="004B2A77" w:rsidRPr="004B2A77" w14:paraId="2B057EE8" w14:textId="77777777" w:rsidTr="004B2A77">
        <w:trPr>
          <w:tblCellSpacing w:w="15" w:type="dxa"/>
        </w:trPr>
        <w:tc>
          <w:tcPr>
            <w:tcW w:w="0" w:type="auto"/>
            <w:hideMark/>
          </w:tcPr>
          <w:p w14:paraId="1C51E49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CBBF9D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26C2CF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1AAB868" w14:textId="77777777" w:rsidTr="004B2A77">
        <w:trPr>
          <w:trHeight w:val="220"/>
          <w:tblCellSpacing w:w="15" w:type="dxa"/>
        </w:trPr>
        <w:tc>
          <w:tcPr>
            <w:tcW w:w="0" w:type="auto"/>
            <w:hideMark/>
          </w:tcPr>
          <w:p w14:paraId="0CE26433"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t>10.17</w:t>
            </w:r>
            <w:r w:rsidRPr="004B2A77">
              <w:rPr>
                <w:rFonts w:ascii="Arial" w:eastAsia="微软雅黑" w:hAnsi="Arial" w:cs="Arial"/>
                <w:color w:val="000000"/>
                <w:kern w:val="0"/>
                <w:sz w:val="15"/>
                <w:szCs w:val="15"/>
              </w:rPr>
              <w:t>+</w:t>
            </w:r>
          </w:p>
        </w:tc>
        <w:tc>
          <w:tcPr>
            <w:tcW w:w="0" w:type="auto"/>
            <w:hideMark/>
          </w:tcPr>
          <w:p w14:paraId="642AAACD"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3E7761A"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59" w:history="1">
              <w:r w:rsidRPr="004B2A77">
                <w:rPr>
                  <w:rFonts w:ascii="Arial" w:eastAsia="微软雅黑" w:hAnsi="Arial" w:cs="Arial"/>
                  <w:color w:val="0000FF"/>
                  <w:kern w:val="0"/>
                  <w:sz w:val="18"/>
                  <w:szCs w:val="18"/>
                  <w:u w:val="single"/>
                </w:rPr>
                <w:t>Employment Agreement, dated January 23, 2020, between Autoliv, Inc. and Svante Mogefors, incorporated herein by reference to Exhibit 10.58 to the Annual Report on Form 10-K (File No. 001-12933, filing date February 21, 2020).</w:t>
              </w:r>
            </w:hyperlink>
          </w:p>
        </w:tc>
      </w:tr>
      <w:tr w:rsidR="004B2A77" w:rsidRPr="004B2A77" w14:paraId="16F7A1E0" w14:textId="77777777" w:rsidTr="004B2A77">
        <w:trPr>
          <w:tblCellSpacing w:w="15" w:type="dxa"/>
        </w:trPr>
        <w:tc>
          <w:tcPr>
            <w:tcW w:w="0" w:type="auto"/>
            <w:hideMark/>
          </w:tcPr>
          <w:p w14:paraId="3D715C6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0F1AC9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277BF6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7CB3A26" w14:textId="77777777" w:rsidTr="004B2A77">
        <w:trPr>
          <w:trHeight w:val="220"/>
          <w:tblCellSpacing w:w="15" w:type="dxa"/>
        </w:trPr>
        <w:tc>
          <w:tcPr>
            <w:tcW w:w="0" w:type="auto"/>
            <w:hideMark/>
          </w:tcPr>
          <w:p w14:paraId="3509C9B8"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t>10.18</w:t>
            </w:r>
            <w:r w:rsidRPr="004B2A77">
              <w:rPr>
                <w:rFonts w:ascii="Arial" w:eastAsia="微软雅黑" w:hAnsi="Arial" w:cs="Arial"/>
                <w:color w:val="000000"/>
                <w:kern w:val="0"/>
                <w:sz w:val="15"/>
                <w:szCs w:val="15"/>
              </w:rPr>
              <w:t>+</w:t>
            </w:r>
          </w:p>
        </w:tc>
        <w:tc>
          <w:tcPr>
            <w:tcW w:w="0" w:type="auto"/>
            <w:hideMark/>
          </w:tcPr>
          <w:p w14:paraId="538C6C49"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D23218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0" w:history="1">
              <w:r w:rsidRPr="004B2A77">
                <w:rPr>
                  <w:rFonts w:ascii="Arial" w:eastAsia="微软雅黑" w:hAnsi="Arial" w:cs="Arial"/>
                  <w:color w:val="0000FF"/>
                  <w:kern w:val="0"/>
                  <w:sz w:val="18"/>
                  <w:szCs w:val="18"/>
                  <w:u w:val="single"/>
                </w:rPr>
                <w:t>Form of Employee restricted stock units grant agreement (2020) to be used the Autoliv, Inc 1997 Stock Incentive Plan, as amended and restated, incorporated herein by reference to Exhibit 10.4 to the Quarterly Report on Form 10-Q (File No. 001-12933, filing date April 24, 2020).</w:t>
              </w:r>
            </w:hyperlink>
          </w:p>
        </w:tc>
      </w:tr>
      <w:tr w:rsidR="004B2A77" w:rsidRPr="004B2A77" w14:paraId="56FD475D" w14:textId="77777777" w:rsidTr="004B2A77">
        <w:trPr>
          <w:tblCellSpacing w:w="15" w:type="dxa"/>
        </w:trPr>
        <w:tc>
          <w:tcPr>
            <w:tcW w:w="0" w:type="auto"/>
            <w:hideMark/>
          </w:tcPr>
          <w:p w14:paraId="2A829D6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FDDF50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10CE6C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0DFAEEA" w14:textId="77777777" w:rsidTr="004B2A77">
        <w:trPr>
          <w:trHeight w:val="220"/>
          <w:tblCellSpacing w:w="15" w:type="dxa"/>
        </w:trPr>
        <w:tc>
          <w:tcPr>
            <w:tcW w:w="0" w:type="auto"/>
            <w:hideMark/>
          </w:tcPr>
          <w:p w14:paraId="4DA79F0A"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t>10.19</w:t>
            </w:r>
            <w:r w:rsidRPr="004B2A77">
              <w:rPr>
                <w:rFonts w:ascii="Arial" w:eastAsia="微软雅黑" w:hAnsi="Arial" w:cs="Arial"/>
                <w:color w:val="000000"/>
                <w:kern w:val="0"/>
                <w:sz w:val="15"/>
                <w:szCs w:val="15"/>
              </w:rPr>
              <w:t>+</w:t>
            </w:r>
          </w:p>
        </w:tc>
        <w:tc>
          <w:tcPr>
            <w:tcW w:w="0" w:type="auto"/>
            <w:hideMark/>
          </w:tcPr>
          <w:p w14:paraId="328D1DD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ABDDD4C"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1" w:history="1">
              <w:r w:rsidRPr="004B2A77">
                <w:rPr>
                  <w:rFonts w:ascii="Arial" w:eastAsia="微软雅黑" w:hAnsi="Arial" w:cs="Arial"/>
                  <w:color w:val="0000FF"/>
                  <w:kern w:val="0"/>
                  <w:sz w:val="18"/>
                  <w:szCs w:val="18"/>
                  <w:u w:val="single"/>
                </w:rPr>
                <w:t>Form of Employee performance share units grant agreement (2020) to be used under the Autoliv, Inc 1997 Stock Incentive Plan, as amended and restated, incorporated herein by reference to Exhibit 10.5 to the Quarterly Report on Form 10-Q (File No. 001-12933, filing date April 24, 2020).</w:t>
              </w:r>
            </w:hyperlink>
          </w:p>
        </w:tc>
      </w:tr>
      <w:tr w:rsidR="004B2A77" w:rsidRPr="004B2A77" w14:paraId="211282B7" w14:textId="77777777" w:rsidTr="004B2A77">
        <w:trPr>
          <w:tblCellSpacing w:w="15" w:type="dxa"/>
        </w:trPr>
        <w:tc>
          <w:tcPr>
            <w:tcW w:w="0" w:type="auto"/>
            <w:hideMark/>
          </w:tcPr>
          <w:p w14:paraId="7045F59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6EC612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556E16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bl>
    <w:p w14:paraId="5E2D6CD6"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93</w:t>
      </w:r>
    </w:p>
    <w:p w14:paraId="0FB53D1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4C5B1E9C">
          <v:rect id="_x0000_i1120" style="width:0;height:1.5pt" o:hralign="center" o:hrstd="t" o:hrnoshade="t" o:hr="t" fillcolor="black" stroked="f"/>
        </w:pict>
      </w:r>
    </w:p>
    <w:p w14:paraId="36F54BA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343"/>
        <w:gridCol w:w="192"/>
        <w:gridCol w:w="19079"/>
      </w:tblGrid>
      <w:tr w:rsidR="004B2A77" w:rsidRPr="004B2A77" w14:paraId="5810E80A" w14:textId="77777777" w:rsidTr="004B2A77">
        <w:trPr>
          <w:tblCellSpacing w:w="15" w:type="dxa"/>
        </w:trPr>
        <w:tc>
          <w:tcPr>
            <w:tcW w:w="1642" w:type="dxa"/>
            <w:vAlign w:val="center"/>
            <w:hideMark/>
          </w:tcPr>
          <w:p w14:paraId="7B65587B"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5" w:type="dxa"/>
            <w:vAlign w:val="center"/>
            <w:hideMark/>
          </w:tcPr>
          <w:p w14:paraId="7A0053B3"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678" w:type="dxa"/>
            <w:vAlign w:val="center"/>
            <w:hideMark/>
          </w:tcPr>
          <w:p w14:paraId="79980551"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7EF7C759" w14:textId="77777777" w:rsidTr="004B2A77">
        <w:trPr>
          <w:trHeight w:val="180"/>
          <w:tblCellSpacing w:w="15" w:type="dxa"/>
        </w:trPr>
        <w:tc>
          <w:tcPr>
            <w:tcW w:w="0" w:type="auto"/>
            <w:hideMark/>
          </w:tcPr>
          <w:p w14:paraId="1BA2ABF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10.20</w:t>
            </w:r>
          </w:p>
        </w:tc>
        <w:tc>
          <w:tcPr>
            <w:tcW w:w="0" w:type="auto"/>
            <w:hideMark/>
          </w:tcPr>
          <w:p w14:paraId="4AABDE8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E849292"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2" w:history="1">
              <w:r w:rsidRPr="004B2A77">
                <w:rPr>
                  <w:rFonts w:ascii="Arial" w:eastAsia="微软雅黑" w:hAnsi="Arial" w:cs="Arial"/>
                  <w:color w:val="0000FF"/>
                  <w:kern w:val="0"/>
                  <w:sz w:val="18"/>
                  <w:szCs w:val="18"/>
                  <w:u w:val="single"/>
                </w:rPr>
                <w:t>Facility Agreement, dated May 28, 2020, by and among Autoliv AB, as borrower, Autoliv, Inc. and Autoliv ASP, as guarantors, and AB Svensk Exportkredit, as lender, incorporated herein by reference to Exhibit 10.1 to the Quarterly Report on Form 10-Q (File No. 001-12933, filing date July 17, 2020).</w:t>
              </w:r>
            </w:hyperlink>
          </w:p>
        </w:tc>
      </w:tr>
      <w:tr w:rsidR="004B2A77" w:rsidRPr="004B2A77" w14:paraId="6674D588" w14:textId="77777777" w:rsidTr="004B2A77">
        <w:trPr>
          <w:tblCellSpacing w:w="15" w:type="dxa"/>
        </w:trPr>
        <w:tc>
          <w:tcPr>
            <w:tcW w:w="0" w:type="auto"/>
            <w:hideMark/>
          </w:tcPr>
          <w:p w14:paraId="02A7992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2AAE4FF"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120129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FC5EB10" w14:textId="77777777" w:rsidTr="004B2A77">
        <w:trPr>
          <w:trHeight w:val="220"/>
          <w:tblCellSpacing w:w="15" w:type="dxa"/>
        </w:trPr>
        <w:tc>
          <w:tcPr>
            <w:tcW w:w="0" w:type="auto"/>
            <w:hideMark/>
          </w:tcPr>
          <w:p w14:paraId="2B30BD97"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t>10.21</w:t>
            </w:r>
            <w:r w:rsidRPr="004B2A77">
              <w:rPr>
                <w:rFonts w:ascii="Arial" w:eastAsia="微软雅黑" w:hAnsi="Arial" w:cs="Arial"/>
                <w:color w:val="000000"/>
                <w:kern w:val="0"/>
                <w:sz w:val="15"/>
                <w:szCs w:val="15"/>
              </w:rPr>
              <w:t>+</w:t>
            </w:r>
          </w:p>
        </w:tc>
        <w:tc>
          <w:tcPr>
            <w:tcW w:w="0" w:type="auto"/>
            <w:hideMark/>
          </w:tcPr>
          <w:p w14:paraId="07E6150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0C0CEB0"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3" w:history="1">
              <w:r w:rsidRPr="004B2A77">
                <w:rPr>
                  <w:rFonts w:ascii="Arial" w:eastAsia="微软雅黑" w:hAnsi="Arial" w:cs="Arial"/>
                  <w:color w:val="0000FF"/>
                  <w:kern w:val="0"/>
                  <w:sz w:val="18"/>
                  <w:szCs w:val="18"/>
                  <w:u w:val="single"/>
                </w:rPr>
                <w:t>Form of Non-Employee Directors 2020 restricted stock units grant agreement under the Autoliv, Inc 1997 Stock Incentive Plan, as amended and restated, incorporated herein by reference to Exhibit 10.2 to the Quarterly Report on Form 10-Q (File No. 001-12933, filing date July 17, 2020).</w:t>
              </w:r>
            </w:hyperlink>
          </w:p>
        </w:tc>
      </w:tr>
      <w:tr w:rsidR="004B2A77" w:rsidRPr="004B2A77" w14:paraId="15E4065C" w14:textId="77777777" w:rsidTr="004B2A77">
        <w:trPr>
          <w:tblCellSpacing w:w="15" w:type="dxa"/>
        </w:trPr>
        <w:tc>
          <w:tcPr>
            <w:tcW w:w="0" w:type="auto"/>
            <w:hideMark/>
          </w:tcPr>
          <w:p w14:paraId="06D7965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7AF2CB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6527F2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A49BFA3" w14:textId="77777777" w:rsidTr="004B2A77">
        <w:trPr>
          <w:trHeight w:val="220"/>
          <w:tblCellSpacing w:w="15" w:type="dxa"/>
        </w:trPr>
        <w:tc>
          <w:tcPr>
            <w:tcW w:w="0" w:type="auto"/>
            <w:hideMark/>
          </w:tcPr>
          <w:p w14:paraId="67D4A414"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t>10.22</w:t>
            </w:r>
            <w:r w:rsidRPr="004B2A77">
              <w:rPr>
                <w:rFonts w:ascii="Arial" w:eastAsia="微软雅黑" w:hAnsi="Arial" w:cs="Arial"/>
                <w:color w:val="000000"/>
                <w:kern w:val="0"/>
                <w:sz w:val="15"/>
                <w:szCs w:val="15"/>
              </w:rPr>
              <w:t>+</w:t>
            </w:r>
          </w:p>
        </w:tc>
        <w:tc>
          <w:tcPr>
            <w:tcW w:w="0" w:type="auto"/>
            <w:hideMark/>
          </w:tcPr>
          <w:p w14:paraId="63A776FE"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A8CE569"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4" w:history="1">
              <w:r w:rsidRPr="004B2A77">
                <w:rPr>
                  <w:rFonts w:ascii="Arial" w:eastAsia="微软雅黑" w:hAnsi="Arial" w:cs="Arial"/>
                  <w:color w:val="0000FF"/>
                  <w:kern w:val="0"/>
                  <w:sz w:val="18"/>
                  <w:szCs w:val="18"/>
                  <w:u w:val="single"/>
                </w:rPr>
                <w:t>Employment Agreement, dated May 20, 2020 and effective as of July 1, 2020, between Autoliv, Inc. and Per Ericson, incorporated herein by reference to Exhibit 10.3 to the Quarterly Report on Form 10-Q (File No. 001-12933, filing date July 17, 2020).</w:t>
              </w:r>
            </w:hyperlink>
          </w:p>
        </w:tc>
      </w:tr>
      <w:tr w:rsidR="004B2A77" w:rsidRPr="004B2A77" w14:paraId="198F9438" w14:textId="77777777" w:rsidTr="004B2A77">
        <w:trPr>
          <w:tblCellSpacing w:w="15" w:type="dxa"/>
        </w:trPr>
        <w:tc>
          <w:tcPr>
            <w:tcW w:w="0" w:type="auto"/>
            <w:hideMark/>
          </w:tcPr>
          <w:p w14:paraId="7A49CFE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CB94B7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B904AB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6B4FB33" w14:textId="77777777" w:rsidTr="004B2A77">
        <w:trPr>
          <w:trHeight w:val="220"/>
          <w:tblCellSpacing w:w="15" w:type="dxa"/>
        </w:trPr>
        <w:tc>
          <w:tcPr>
            <w:tcW w:w="0" w:type="auto"/>
            <w:hideMark/>
          </w:tcPr>
          <w:p w14:paraId="3435E94F"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lastRenderedPageBreak/>
              <w:t>10.23</w:t>
            </w:r>
            <w:r w:rsidRPr="004B2A77">
              <w:rPr>
                <w:rFonts w:ascii="Arial" w:eastAsia="微软雅黑" w:hAnsi="Arial" w:cs="Arial"/>
                <w:color w:val="000000"/>
                <w:kern w:val="0"/>
                <w:sz w:val="15"/>
                <w:szCs w:val="15"/>
              </w:rPr>
              <w:t>+</w:t>
            </w:r>
          </w:p>
        </w:tc>
        <w:tc>
          <w:tcPr>
            <w:tcW w:w="0" w:type="auto"/>
            <w:hideMark/>
          </w:tcPr>
          <w:p w14:paraId="134441AF"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C98A314"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5" w:history="1">
              <w:r w:rsidRPr="004B2A77">
                <w:rPr>
                  <w:rFonts w:ascii="Arial" w:eastAsia="微软雅黑" w:hAnsi="Arial" w:cs="Arial"/>
                  <w:color w:val="0000FF"/>
                  <w:kern w:val="0"/>
                  <w:sz w:val="18"/>
                  <w:szCs w:val="18"/>
                  <w:u w:val="single"/>
                </w:rPr>
                <w:t>Employment Agreement, dated June 8, 2020 and effective as of June 15, 2020, by between Autoliv, Inc. and Kevin Fox, incorporated herein by reference to Exhibit 10.4 to the Quarterly Report on Form 10-Q (File No. 001-12933, filing date July 17, 2020).</w:t>
              </w:r>
            </w:hyperlink>
          </w:p>
        </w:tc>
      </w:tr>
      <w:tr w:rsidR="004B2A77" w:rsidRPr="004B2A77" w14:paraId="133699CB" w14:textId="77777777" w:rsidTr="004B2A77">
        <w:trPr>
          <w:tblCellSpacing w:w="15" w:type="dxa"/>
        </w:trPr>
        <w:tc>
          <w:tcPr>
            <w:tcW w:w="0" w:type="auto"/>
            <w:hideMark/>
          </w:tcPr>
          <w:p w14:paraId="2815B19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349B994"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E613B8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CA53BE2" w14:textId="77777777" w:rsidTr="004B2A77">
        <w:trPr>
          <w:trHeight w:val="220"/>
          <w:tblCellSpacing w:w="15" w:type="dxa"/>
        </w:trPr>
        <w:tc>
          <w:tcPr>
            <w:tcW w:w="0" w:type="auto"/>
            <w:hideMark/>
          </w:tcPr>
          <w:p w14:paraId="30B6C71B" w14:textId="77777777" w:rsidR="004B2A77" w:rsidRPr="004B2A77" w:rsidRDefault="004B2A77" w:rsidP="004B2A77">
            <w:pPr>
              <w:widowControl/>
              <w:jc w:val="left"/>
              <w:rPr>
                <w:rFonts w:ascii="Times New Roman" w:eastAsia="微软雅黑" w:hAnsi="Times New Roman" w:cs="Times New Roman"/>
                <w:kern w:val="0"/>
                <w:sz w:val="22"/>
              </w:rPr>
            </w:pPr>
            <w:r w:rsidRPr="004B2A77">
              <w:rPr>
                <w:rFonts w:ascii="Arial" w:eastAsia="微软雅黑" w:hAnsi="Arial" w:cs="Arial"/>
                <w:color w:val="000000"/>
                <w:kern w:val="0"/>
                <w:sz w:val="18"/>
                <w:szCs w:val="18"/>
              </w:rPr>
              <w:t>10.24</w:t>
            </w:r>
            <w:r w:rsidRPr="004B2A77">
              <w:rPr>
                <w:rFonts w:ascii="Arial" w:eastAsia="微软雅黑" w:hAnsi="Arial" w:cs="Arial"/>
                <w:color w:val="000000"/>
                <w:kern w:val="0"/>
                <w:sz w:val="15"/>
                <w:szCs w:val="15"/>
              </w:rPr>
              <w:t>+</w:t>
            </w:r>
          </w:p>
        </w:tc>
        <w:tc>
          <w:tcPr>
            <w:tcW w:w="0" w:type="auto"/>
            <w:hideMark/>
          </w:tcPr>
          <w:p w14:paraId="6F011FC9"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92D5F14"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6" w:history="1">
              <w:r w:rsidRPr="004B2A77">
                <w:rPr>
                  <w:rFonts w:ascii="Arial" w:eastAsia="微软雅黑" w:hAnsi="Arial" w:cs="Arial"/>
                  <w:color w:val="0000FF"/>
                  <w:kern w:val="0"/>
                  <w:sz w:val="18"/>
                  <w:szCs w:val="18"/>
                  <w:u w:val="single"/>
                </w:rPr>
                <w:t>Employment Agreement, effective as of August 17, 2020, by and between Autoliv AB and Mikael Hagström incorporated herein by reference to Exhibit 10.2 to the Quarterly Report on Form 10-Q (File No. 001-12933, filing date October 23, 2020).</w:t>
              </w:r>
            </w:hyperlink>
          </w:p>
        </w:tc>
      </w:tr>
      <w:tr w:rsidR="004B2A77" w:rsidRPr="004B2A77" w14:paraId="62199D12" w14:textId="77777777" w:rsidTr="004B2A77">
        <w:trPr>
          <w:tblCellSpacing w:w="15" w:type="dxa"/>
        </w:trPr>
        <w:tc>
          <w:tcPr>
            <w:tcW w:w="0" w:type="auto"/>
            <w:hideMark/>
          </w:tcPr>
          <w:p w14:paraId="69F7411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D88F01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96F68F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6197C57" w14:textId="77777777" w:rsidTr="004B2A77">
        <w:trPr>
          <w:trHeight w:val="180"/>
          <w:tblCellSpacing w:w="15" w:type="dxa"/>
        </w:trPr>
        <w:tc>
          <w:tcPr>
            <w:tcW w:w="0" w:type="auto"/>
            <w:hideMark/>
          </w:tcPr>
          <w:p w14:paraId="0BABAC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10.25+*</w:t>
            </w:r>
          </w:p>
        </w:tc>
        <w:tc>
          <w:tcPr>
            <w:tcW w:w="0" w:type="auto"/>
            <w:hideMark/>
          </w:tcPr>
          <w:p w14:paraId="53FB347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7189BA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7" w:history="1">
              <w:r w:rsidRPr="004B2A77">
                <w:rPr>
                  <w:rFonts w:ascii="Arial" w:eastAsia="微软雅黑" w:hAnsi="Arial" w:cs="Arial"/>
                  <w:color w:val="0000FF"/>
                  <w:kern w:val="0"/>
                  <w:sz w:val="18"/>
                  <w:szCs w:val="18"/>
                  <w:u w:val="single"/>
                </w:rPr>
                <w:t>Amendment No. 1, effective as of July 1, 2020, to Employment Agreement, effective March 21, 2018, by and between Autoliv Inc. and Jordi Lombarte.</w:t>
              </w:r>
            </w:hyperlink>
          </w:p>
        </w:tc>
      </w:tr>
      <w:tr w:rsidR="004B2A77" w:rsidRPr="004B2A77" w14:paraId="694962E8" w14:textId="77777777" w:rsidTr="004B2A77">
        <w:trPr>
          <w:tblCellSpacing w:w="15" w:type="dxa"/>
        </w:trPr>
        <w:tc>
          <w:tcPr>
            <w:tcW w:w="0" w:type="auto"/>
            <w:hideMark/>
          </w:tcPr>
          <w:p w14:paraId="0AC3E17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7AC324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4115DD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973AF23" w14:textId="77777777" w:rsidTr="004B2A77">
        <w:trPr>
          <w:trHeight w:val="180"/>
          <w:tblCellSpacing w:w="15" w:type="dxa"/>
        </w:trPr>
        <w:tc>
          <w:tcPr>
            <w:tcW w:w="0" w:type="auto"/>
            <w:hideMark/>
          </w:tcPr>
          <w:p w14:paraId="3F6456C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10.26+</w:t>
            </w:r>
          </w:p>
        </w:tc>
        <w:tc>
          <w:tcPr>
            <w:tcW w:w="0" w:type="auto"/>
            <w:hideMark/>
          </w:tcPr>
          <w:p w14:paraId="07617A0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193AD7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8" w:history="1">
              <w:r w:rsidRPr="004B2A77">
                <w:rPr>
                  <w:rFonts w:ascii="Arial" w:eastAsia="微软雅黑" w:hAnsi="Arial" w:cs="Arial"/>
                  <w:color w:val="0000FF"/>
                  <w:kern w:val="0"/>
                  <w:sz w:val="18"/>
                  <w:szCs w:val="18"/>
                  <w:u w:val="single"/>
                </w:rPr>
                <w:t>Amendment No. 2, effective as of March 9, 2021, to Employment Agreement, effective March 21, 2018, by and between Autoliv Inc. and Jordi Lombarte incorporated herein by reference to Exhibit 10.1 to the Quarterly Report on Form 10-Q (File No. 001-12933, filing date April 23, 2021).</w:t>
              </w:r>
            </w:hyperlink>
          </w:p>
        </w:tc>
      </w:tr>
      <w:tr w:rsidR="004B2A77" w:rsidRPr="004B2A77" w14:paraId="6D059E7F" w14:textId="77777777" w:rsidTr="004B2A77">
        <w:trPr>
          <w:tblCellSpacing w:w="15" w:type="dxa"/>
        </w:trPr>
        <w:tc>
          <w:tcPr>
            <w:tcW w:w="0" w:type="auto"/>
            <w:hideMark/>
          </w:tcPr>
          <w:p w14:paraId="4612AEE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5CD9270"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A77B27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32A7799" w14:textId="77777777" w:rsidTr="004B2A77">
        <w:trPr>
          <w:trHeight w:val="180"/>
          <w:tblCellSpacing w:w="15" w:type="dxa"/>
        </w:trPr>
        <w:tc>
          <w:tcPr>
            <w:tcW w:w="0" w:type="auto"/>
            <w:hideMark/>
          </w:tcPr>
          <w:p w14:paraId="0B9E5B3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10.27+</w:t>
            </w:r>
          </w:p>
        </w:tc>
        <w:tc>
          <w:tcPr>
            <w:tcW w:w="0" w:type="auto"/>
            <w:hideMark/>
          </w:tcPr>
          <w:p w14:paraId="551ED241"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A74F011"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69" w:history="1">
              <w:r w:rsidRPr="004B2A77">
                <w:rPr>
                  <w:rFonts w:ascii="Arial" w:eastAsia="微软雅黑" w:hAnsi="Arial" w:cs="Arial"/>
                  <w:color w:val="0000FF"/>
                  <w:kern w:val="0"/>
                  <w:sz w:val="18"/>
                  <w:szCs w:val="18"/>
                  <w:u w:val="single"/>
                </w:rPr>
                <w:t>Employment Agreement, dated October 1, 2020 and effective as of November 1, 2020, by and between Autoliv Inc. and Colin Naughton incorporated herein by reference to Exhibit 10.2 to the Quarterly Report on Form 10-Q (File No. 001-12933, filing date April 23, 2021).</w:t>
              </w:r>
            </w:hyperlink>
          </w:p>
        </w:tc>
      </w:tr>
      <w:tr w:rsidR="004B2A77" w:rsidRPr="004B2A77" w14:paraId="07DED44E" w14:textId="77777777" w:rsidTr="004B2A77">
        <w:trPr>
          <w:tblCellSpacing w:w="15" w:type="dxa"/>
        </w:trPr>
        <w:tc>
          <w:tcPr>
            <w:tcW w:w="0" w:type="auto"/>
            <w:hideMark/>
          </w:tcPr>
          <w:p w14:paraId="5F3ADDA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0555A6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57A175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Times New Roman" w:eastAsia="微软雅黑" w:hAnsi="Times New Roman" w:cs="Times New Roman"/>
                <w:kern w:val="0"/>
                <w:sz w:val="12"/>
                <w:szCs w:val="12"/>
              </w:rPr>
              <w:t> </w:t>
            </w:r>
          </w:p>
        </w:tc>
      </w:tr>
      <w:tr w:rsidR="004B2A77" w:rsidRPr="004B2A77" w14:paraId="77B7B9C2" w14:textId="77777777" w:rsidTr="004B2A77">
        <w:trPr>
          <w:trHeight w:val="180"/>
          <w:tblCellSpacing w:w="15" w:type="dxa"/>
        </w:trPr>
        <w:tc>
          <w:tcPr>
            <w:tcW w:w="0" w:type="auto"/>
            <w:hideMark/>
          </w:tcPr>
          <w:p w14:paraId="0A836A7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10.28+</w:t>
            </w:r>
          </w:p>
        </w:tc>
        <w:tc>
          <w:tcPr>
            <w:tcW w:w="0" w:type="auto"/>
            <w:hideMark/>
          </w:tcPr>
          <w:p w14:paraId="6E9703B5"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276195C"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0" w:history="1">
              <w:r w:rsidRPr="004B2A77">
                <w:rPr>
                  <w:rFonts w:ascii="Arial" w:eastAsia="微软雅黑" w:hAnsi="Arial" w:cs="Arial"/>
                  <w:color w:val="0000FF"/>
                  <w:kern w:val="0"/>
                  <w:sz w:val="18"/>
                  <w:szCs w:val="18"/>
                  <w:u w:val="single"/>
                </w:rPr>
                <w:t>Form of Employee restricted stock units grant agreement (2021) to be used under the Autoliv, Inc 1997 Stock Incentive Plan, as amended and restated, incorporated herein by reference to Exhibit 10.3 to the Quarterly Report on Form 10-Q (File No. 001-12933, filing date April 23, 2021).</w:t>
              </w:r>
            </w:hyperlink>
          </w:p>
        </w:tc>
      </w:tr>
      <w:tr w:rsidR="004B2A77" w:rsidRPr="004B2A77" w14:paraId="1B725990" w14:textId="77777777" w:rsidTr="004B2A77">
        <w:trPr>
          <w:tblCellSpacing w:w="15" w:type="dxa"/>
        </w:trPr>
        <w:tc>
          <w:tcPr>
            <w:tcW w:w="0" w:type="auto"/>
            <w:hideMark/>
          </w:tcPr>
          <w:p w14:paraId="5E5E316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E9AF671"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9ED30B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Times New Roman" w:eastAsia="微软雅黑" w:hAnsi="Times New Roman" w:cs="Times New Roman"/>
                <w:kern w:val="0"/>
                <w:sz w:val="12"/>
                <w:szCs w:val="12"/>
              </w:rPr>
              <w:t> </w:t>
            </w:r>
          </w:p>
        </w:tc>
      </w:tr>
      <w:tr w:rsidR="004B2A77" w:rsidRPr="004B2A77" w14:paraId="4910F31B" w14:textId="77777777" w:rsidTr="004B2A77">
        <w:trPr>
          <w:trHeight w:val="180"/>
          <w:tblCellSpacing w:w="15" w:type="dxa"/>
        </w:trPr>
        <w:tc>
          <w:tcPr>
            <w:tcW w:w="0" w:type="auto"/>
            <w:hideMark/>
          </w:tcPr>
          <w:p w14:paraId="0CE299A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10.29+</w:t>
            </w:r>
          </w:p>
        </w:tc>
        <w:tc>
          <w:tcPr>
            <w:tcW w:w="0" w:type="auto"/>
            <w:hideMark/>
          </w:tcPr>
          <w:p w14:paraId="6C2D087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6AB6A12"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1" w:history="1">
              <w:r w:rsidRPr="004B2A77">
                <w:rPr>
                  <w:rFonts w:ascii="Arial" w:eastAsia="微软雅黑" w:hAnsi="Arial" w:cs="Arial"/>
                  <w:color w:val="0000FF"/>
                  <w:kern w:val="0"/>
                  <w:sz w:val="18"/>
                  <w:szCs w:val="18"/>
                  <w:u w:val="single"/>
                </w:rPr>
                <w:t>Form of Employee performance share units grant agreement (2021) to be used the Autoliv, Inc 1997 Stock Incentive Plan, as amended and restated, incorporated herein by reference to Exhibit 10.4 to the Quarterly Report on Form 10-Q (File No. 001-12933, filing date April 23, 2021).</w:t>
              </w:r>
            </w:hyperlink>
          </w:p>
        </w:tc>
      </w:tr>
      <w:tr w:rsidR="004B2A77" w:rsidRPr="004B2A77" w14:paraId="4BF7D893" w14:textId="77777777" w:rsidTr="004B2A77">
        <w:trPr>
          <w:tblCellSpacing w:w="15" w:type="dxa"/>
        </w:trPr>
        <w:tc>
          <w:tcPr>
            <w:tcW w:w="0" w:type="auto"/>
            <w:hideMark/>
          </w:tcPr>
          <w:p w14:paraId="2A4B1FF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F16E3D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C2F41B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Times New Roman" w:eastAsia="微软雅黑" w:hAnsi="Times New Roman" w:cs="Times New Roman"/>
                <w:kern w:val="0"/>
                <w:sz w:val="12"/>
                <w:szCs w:val="12"/>
              </w:rPr>
              <w:t> </w:t>
            </w:r>
          </w:p>
        </w:tc>
      </w:tr>
      <w:tr w:rsidR="004B2A77" w:rsidRPr="004B2A77" w14:paraId="608BC8F6" w14:textId="77777777" w:rsidTr="004B2A77">
        <w:trPr>
          <w:trHeight w:val="180"/>
          <w:tblCellSpacing w:w="15" w:type="dxa"/>
        </w:trPr>
        <w:tc>
          <w:tcPr>
            <w:tcW w:w="0" w:type="auto"/>
            <w:hideMark/>
          </w:tcPr>
          <w:p w14:paraId="7E3C5ED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10.30+</w:t>
            </w:r>
          </w:p>
        </w:tc>
        <w:tc>
          <w:tcPr>
            <w:tcW w:w="0" w:type="auto"/>
            <w:hideMark/>
          </w:tcPr>
          <w:p w14:paraId="6D10077E"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AFC6A6E"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2" w:history="1">
              <w:r w:rsidRPr="004B2A77">
                <w:rPr>
                  <w:rFonts w:ascii="Arial" w:eastAsia="微软雅黑" w:hAnsi="Arial" w:cs="Arial"/>
                  <w:color w:val="0000FF"/>
                  <w:kern w:val="0"/>
                  <w:sz w:val="18"/>
                  <w:szCs w:val="18"/>
                  <w:u w:val="single"/>
                </w:rPr>
                <w:t>Amendment No. 1, effective as of April 1, 2021, to Employment Agreement, effective March 18, 2019, by and between Autoliv Inc. and Christian Swahn incorporated herein by reference to Exhibit 10.5 to the Quarterly Report on Form 10-Q (File No. 001-12933, filing date April 23, 2021).</w:t>
              </w:r>
            </w:hyperlink>
          </w:p>
        </w:tc>
      </w:tr>
      <w:tr w:rsidR="004B2A77" w:rsidRPr="004B2A77" w14:paraId="2E0F44DF" w14:textId="77777777" w:rsidTr="004B2A77">
        <w:trPr>
          <w:tblCellSpacing w:w="15" w:type="dxa"/>
        </w:trPr>
        <w:tc>
          <w:tcPr>
            <w:tcW w:w="0" w:type="auto"/>
            <w:hideMark/>
          </w:tcPr>
          <w:p w14:paraId="6DA97EC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A706F7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671928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Times New Roman" w:eastAsia="微软雅黑" w:hAnsi="Times New Roman" w:cs="Times New Roman"/>
                <w:kern w:val="0"/>
                <w:sz w:val="12"/>
                <w:szCs w:val="12"/>
              </w:rPr>
              <w:t> </w:t>
            </w:r>
          </w:p>
        </w:tc>
      </w:tr>
      <w:tr w:rsidR="004B2A77" w:rsidRPr="004B2A77" w14:paraId="6DE3FB49" w14:textId="77777777" w:rsidTr="004B2A77">
        <w:trPr>
          <w:trHeight w:val="180"/>
          <w:tblCellSpacing w:w="15" w:type="dxa"/>
        </w:trPr>
        <w:tc>
          <w:tcPr>
            <w:tcW w:w="0" w:type="auto"/>
            <w:hideMark/>
          </w:tcPr>
          <w:p w14:paraId="1AD1F4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10.31+</w:t>
            </w:r>
          </w:p>
        </w:tc>
        <w:tc>
          <w:tcPr>
            <w:tcW w:w="0" w:type="auto"/>
            <w:hideMark/>
          </w:tcPr>
          <w:p w14:paraId="03925CE4"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1023CD2"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3" w:history="1">
              <w:r w:rsidRPr="004B2A77">
                <w:rPr>
                  <w:rFonts w:ascii="Arial" w:eastAsia="微软雅黑" w:hAnsi="Arial" w:cs="Arial"/>
                  <w:color w:val="0000FF"/>
                  <w:kern w:val="0"/>
                  <w:sz w:val="18"/>
                  <w:szCs w:val="18"/>
                  <w:u w:val="single"/>
                </w:rPr>
                <w:t>Employment Agreement, dated December 14, 2021 and effective as of January 19, 2021, by and between Autoliv Inc. and Sng Yih incorporated herein by reference to Exhibit 10.46 to the Annual Report on Form 10-K (File No. 001-12933, filing date February 22, 2022).</w:t>
              </w:r>
            </w:hyperlink>
          </w:p>
        </w:tc>
      </w:tr>
      <w:tr w:rsidR="004B2A77" w:rsidRPr="004B2A77" w14:paraId="706F65F2" w14:textId="77777777" w:rsidTr="004B2A77">
        <w:trPr>
          <w:tblCellSpacing w:w="15" w:type="dxa"/>
        </w:trPr>
        <w:tc>
          <w:tcPr>
            <w:tcW w:w="0" w:type="auto"/>
            <w:hideMark/>
          </w:tcPr>
          <w:p w14:paraId="5E2C05C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9E73AB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6C3CBD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34D9AFF" w14:textId="77777777" w:rsidTr="004B2A77">
        <w:trPr>
          <w:trHeight w:val="180"/>
          <w:tblCellSpacing w:w="15" w:type="dxa"/>
        </w:trPr>
        <w:tc>
          <w:tcPr>
            <w:tcW w:w="0" w:type="auto"/>
            <w:hideMark/>
          </w:tcPr>
          <w:p w14:paraId="7CA6DE4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10.32+</w:t>
            </w:r>
          </w:p>
        </w:tc>
        <w:tc>
          <w:tcPr>
            <w:tcW w:w="0" w:type="auto"/>
            <w:hideMark/>
          </w:tcPr>
          <w:p w14:paraId="28A9992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D65BE99"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4" w:history="1">
              <w:r w:rsidRPr="004B2A77">
                <w:rPr>
                  <w:rFonts w:ascii="Arial" w:eastAsia="微软雅黑" w:hAnsi="Arial" w:cs="Arial"/>
                  <w:color w:val="0000FF"/>
                  <w:kern w:val="0"/>
                  <w:sz w:val="18"/>
                  <w:szCs w:val="18"/>
                  <w:u w:val="single"/>
                </w:rPr>
                <w:t>Form of Employee restricted stock units grant agreement (2022) to be used under the Autoliv, Inc 1997 Stock Incentive Plan, as amended and restated, incorporated herein by reference to Exhibit 10.1 to the Quarterly Report on Form 10-Q (File No. 001-12933, filing date April 22, 2022).</w:t>
              </w:r>
            </w:hyperlink>
          </w:p>
        </w:tc>
      </w:tr>
      <w:tr w:rsidR="004B2A77" w:rsidRPr="004B2A77" w14:paraId="47294889" w14:textId="77777777" w:rsidTr="004B2A77">
        <w:trPr>
          <w:tblCellSpacing w:w="15" w:type="dxa"/>
        </w:trPr>
        <w:tc>
          <w:tcPr>
            <w:tcW w:w="0" w:type="auto"/>
            <w:hideMark/>
          </w:tcPr>
          <w:p w14:paraId="233FF0F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70B3241"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393C64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299FF77C" w14:textId="77777777" w:rsidTr="004B2A77">
        <w:trPr>
          <w:trHeight w:val="180"/>
          <w:tblCellSpacing w:w="15" w:type="dxa"/>
        </w:trPr>
        <w:tc>
          <w:tcPr>
            <w:tcW w:w="0" w:type="auto"/>
            <w:hideMark/>
          </w:tcPr>
          <w:p w14:paraId="15D08DF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10.33+</w:t>
            </w:r>
          </w:p>
        </w:tc>
        <w:tc>
          <w:tcPr>
            <w:tcW w:w="0" w:type="auto"/>
            <w:hideMark/>
          </w:tcPr>
          <w:p w14:paraId="7CE2AFD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F80C205"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5" w:history="1">
              <w:r w:rsidRPr="004B2A77">
                <w:rPr>
                  <w:rFonts w:ascii="Arial" w:eastAsia="微软雅黑" w:hAnsi="Arial" w:cs="Arial"/>
                  <w:color w:val="0000FF"/>
                  <w:kern w:val="0"/>
                  <w:sz w:val="18"/>
                  <w:szCs w:val="18"/>
                  <w:u w:val="single"/>
                </w:rPr>
                <w:t>Form of Employee performance share units grant agreement (2022) to be used promised under the Autoliv, Inc 1997 Stock Incentive Plan, as amended and restated, incorporated herein by reference to Exhibit 10.2 to the Quarterly Report on Form 10-Q (File No. 001-12933, filing date April 22, 2022).</w:t>
              </w:r>
            </w:hyperlink>
          </w:p>
        </w:tc>
      </w:tr>
      <w:tr w:rsidR="004B2A77" w:rsidRPr="004B2A77" w14:paraId="50B37FFB" w14:textId="77777777" w:rsidTr="004B2A77">
        <w:trPr>
          <w:tblCellSpacing w:w="15" w:type="dxa"/>
        </w:trPr>
        <w:tc>
          <w:tcPr>
            <w:tcW w:w="0" w:type="auto"/>
            <w:hideMark/>
          </w:tcPr>
          <w:p w14:paraId="78E6165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DF37CE4"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10B11B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9A9A001" w14:textId="77777777" w:rsidTr="004B2A77">
        <w:trPr>
          <w:trHeight w:val="180"/>
          <w:tblCellSpacing w:w="15" w:type="dxa"/>
        </w:trPr>
        <w:tc>
          <w:tcPr>
            <w:tcW w:w="0" w:type="auto"/>
            <w:hideMark/>
          </w:tcPr>
          <w:p w14:paraId="1141AC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10.34</w:t>
            </w:r>
          </w:p>
        </w:tc>
        <w:tc>
          <w:tcPr>
            <w:tcW w:w="0" w:type="auto"/>
            <w:hideMark/>
          </w:tcPr>
          <w:p w14:paraId="1F8789C8"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DBD7E78"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6" w:history="1">
              <w:r w:rsidRPr="004B2A77">
                <w:rPr>
                  <w:rFonts w:ascii="Arial" w:eastAsia="微软雅黑" w:hAnsi="Arial" w:cs="Arial"/>
                  <w:color w:val="0000FF"/>
                  <w:kern w:val="0"/>
                  <w:sz w:val="18"/>
                  <w:szCs w:val="18"/>
                  <w:u w:val="single"/>
                </w:rPr>
                <w:t>Facilities Agreement, dated May 23, 2022, among Autoliv, Inc., Autoliv ASP, Inc., Citibank, N.A., London Branch, Mizuho Bank, Ltd., Skandinaviska Enskilda Banken AB (publ), and the other parties and lenders named therein, incorporated herein by reference to Exhibit 10.1 to the Quarterly Report on Form 10-Q (File No. 001-12933, filing date July 22, 2022).</w:t>
              </w:r>
            </w:hyperlink>
          </w:p>
        </w:tc>
      </w:tr>
      <w:tr w:rsidR="004B2A77" w:rsidRPr="004B2A77" w14:paraId="33092ED4" w14:textId="77777777" w:rsidTr="004B2A77">
        <w:trPr>
          <w:tblCellSpacing w:w="15" w:type="dxa"/>
        </w:trPr>
        <w:tc>
          <w:tcPr>
            <w:tcW w:w="0" w:type="auto"/>
            <w:hideMark/>
          </w:tcPr>
          <w:p w14:paraId="5B6C1B1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D58C55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198192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59505E8" w14:textId="77777777" w:rsidTr="004B2A77">
        <w:trPr>
          <w:trHeight w:val="180"/>
          <w:tblCellSpacing w:w="15" w:type="dxa"/>
        </w:trPr>
        <w:tc>
          <w:tcPr>
            <w:tcW w:w="0" w:type="auto"/>
            <w:hideMark/>
          </w:tcPr>
          <w:p w14:paraId="025650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10.35+</w:t>
            </w:r>
          </w:p>
        </w:tc>
        <w:tc>
          <w:tcPr>
            <w:tcW w:w="0" w:type="auto"/>
            <w:hideMark/>
          </w:tcPr>
          <w:p w14:paraId="444A2F8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D0D62D2"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7" w:history="1">
              <w:r w:rsidRPr="004B2A77">
                <w:rPr>
                  <w:rFonts w:ascii="Arial" w:eastAsia="微软雅黑" w:hAnsi="Arial" w:cs="Arial"/>
                  <w:color w:val="0000FF"/>
                  <w:kern w:val="0"/>
                  <w:sz w:val="18"/>
                  <w:szCs w:val="18"/>
                  <w:u w:val="single"/>
                </w:rPr>
                <w:t>Form of Non-Employee Directors restricted stock units grant agreement (2022) to be used under the Autoliv, Inc. 1997 Stock Incentive Plan, as amended and restated incorporated herein by reference to Exhibit 10.2 to the Quarterly Report on Form 10-Q (File No. 001-12933, filing date July 22, 2022).</w:t>
              </w:r>
            </w:hyperlink>
          </w:p>
        </w:tc>
      </w:tr>
      <w:tr w:rsidR="004B2A77" w:rsidRPr="004B2A77" w14:paraId="61F813C6" w14:textId="77777777" w:rsidTr="004B2A77">
        <w:trPr>
          <w:tblCellSpacing w:w="15" w:type="dxa"/>
        </w:trPr>
        <w:tc>
          <w:tcPr>
            <w:tcW w:w="0" w:type="auto"/>
            <w:hideMark/>
          </w:tcPr>
          <w:p w14:paraId="3110534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A567A0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294CFE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64C948D" w14:textId="77777777" w:rsidTr="004B2A77">
        <w:trPr>
          <w:trHeight w:val="180"/>
          <w:tblCellSpacing w:w="15" w:type="dxa"/>
        </w:trPr>
        <w:tc>
          <w:tcPr>
            <w:tcW w:w="0" w:type="auto"/>
            <w:hideMark/>
          </w:tcPr>
          <w:p w14:paraId="051B8A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10.36+</w:t>
            </w:r>
          </w:p>
        </w:tc>
        <w:tc>
          <w:tcPr>
            <w:tcW w:w="0" w:type="auto"/>
            <w:hideMark/>
          </w:tcPr>
          <w:p w14:paraId="0CA65F8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5AAD8D0"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8" w:history="1">
              <w:r w:rsidRPr="004B2A77">
                <w:rPr>
                  <w:rFonts w:ascii="Arial" w:eastAsia="微软雅黑" w:hAnsi="Arial" w:cs="Arial"/>
                  <w:color w:val="0000FF"/>
                  <w:kern w:val="0"/>
                  <w:sz w:val="18"/>
                  <w:szCs w:val="18"/>
                  <w:u w:val="single"/>
                </w:rPr>
                <w:t>Autoliv, Inc. Non-employee Director Compensation Policy, effective November 1, 2022 incorporated herein by reference to Exhibit 10.1 to the Quarterly Report on Form 10-Q (File No. 001-12933, filing date October 21, 2022).</w:t>
              </w:r>
            </w:hyperlink>
          </w:p>
        </w:tc>
      </w:tr>
      <w:tr w:rsidR="004B2A77" w:rsidRPr="004B2A77" w14:paraId="73BF15CE" w14:textId="77777777" w:rsidTr="004B2A77">
        <w:trPr>
          <w:tblCellSpacing w:w="15" w:type="dxa"/>
        </w:trPr>
        <w:tc>
          <w:tcPr>
            <w:tcW w:w="0" w:type="auto"/>
            <w:hideMark/>
          </w:tcPr>
          <w:p w14:paraId="22EBE22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lastRenderedPageBreak/>
              <w:t> </w:t>
            </w:r>
          </w:p>
        </w:tc>
        <w:tc>
          <w:tcPr>
            <w:tcW w:w="0" w:type="auto"/>
            <w:hideMark/>
          </w:tcPr>
          <w:p w14:paraId="4E4EDDF6"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2A5F54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362B539F" w14:textId="77777777" w:rsidTr="004B2A77">
        <w:trPr>
          <w:trHeight w:val="180"/>
          <w:tblCellSpacing w:w="15" w:type="dxa"/>
        </w:trPr>
        <w:tc>
          <w:tcPr>
            <w:tcW w:w="0" w:type="auto"/>
            <w:hideMark/>
          </w:tcPr>
          <w:p w14:paraId="04B4737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10.37+*</w:t>
            </w:r>
          </w:p>
        </w:tc>
        <w:tc>
          <w:tcPr>
            <w:tcW w:w="0" w:type="auto"/>
            <w:hideMark/>
          </w:tcPr>
          <w:p w14:paraId="19BDE71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557D8F7"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79" w:history="1">
              <w:r w:rsidRPr="004B2A77">
                <w:rPr>
                  <w:rFonts w:ascii="Arial" w:eastAsia="微软雅黑" w:hAnsi="Arial" w:cs="Arial"/>
                  <w:color w:val="0000FF"/>
                  <w:kern w:val="0"/>
                  <w:sz w:val="18"/>
                  <w:szCs w:val="18"/>
                  <w:u w:val="single"/>
                </w:rPr>
                <w:t>Employment Agreement, dated December 1, 2022 and effective as of January 15, 2023, by and between Autoliv, Inc. and Jonas Jademyr.</w:t>
              </w:r>
            </w:hyperlink>
          </w:p>
        </w:tc>
      </w:tr>
      <w:tr w:rsidR="004B2A77" w:rsidRPr="004B2A77" w14:paraId="480D094D" w14:textId="77777777" w:rsidTr="004B2A77">
        <w:trPr>
          <w:tblCellSpacing w:w="15" w:type="dxa"/>
        </w:trPr>
        <w:tc>
          <w:tcPr>
            <w:tcW w:w="0" w:type="auto"/>
            <w:hideMark/>
          </w:tcPr>
          <w:p w14:paraId="3733D71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ACEC559"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975D22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3D16EA8" w14:textId="77777777" w:rsidTr="004B2A77">
        <w:trPr>
          <w:trHeight w:val="180"/>
          <w:tblCellSpacing w:w="15" w:type="dxa"/>
        </w:trPr>
        <w:tc>
          <w:tcPr>
            <w:tcW w:w="0" w:type="auto"/>
            <w:hideMark/>
          </w:tcPr>
          <w:p w14:paraId="372A999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10.38+*</w:t>
            </w:r>
          </w:p>
        </w:tc>
        <w:tc>
          <w:tcPr>
            <w:tcW w:w="0" w:type="auto"/>
            <w:hideMark/>
          </w:tcPr>
          <w:p w14:paraId="78537F7C"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64EB062"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0" w:history="1">
              <w:r w:rsidRPr="004B2A77">
                <w:rPr>
                  <w:rFonts w:ascii="Arial" w:eastAsia="微软雅黑" w:hAnsi="Arial" w:cs="Arial"/>
                  <w:color w:val="0000FF"/>
                  <w:kern w:val="0"/>
                  <w:sz w:val="18"/>
                  <w:szCs w:val="18"/>
                  <w:u w:val="single"/>
                </w:rPr>
                <w:t>Amendment, dated and effective December 5, 2022, to Employment Agreement, effective as of January 23, 2020, by and between Autoliv, Inc. and Svante Mogefors.</w:t>
              </w:r>
            </w:hyperlink>
          </w:p>
        </w:tc>
      </w:tr>
      <w:tr w:rsidR="004B2A77" w:rsidRPr="004B2A77" w14:paraId="4A5BC5D1" w14:textId="77777777" w:rsidTr="004B2A77">
        <w:trPr>
          <w:tblCellSpacing w:w="15" w:type="dxa"/>
        </w:trPr>
        <w:tc>
          <w:tcPr>
            <w:tcW w:w="0" w:type="auto"/>
            <w:hideMark/>
          </w:tcPr>
          <w:p w14:paraId="148EC85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4A8C357"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95AC59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647399A" w14:textId="77777777" w:rsidTr="004B2A77">
        <w:trPr>
          <w:trHeight w:val="180"/>
          <w:tblCellSpacing w:w="15" w:type="dxa"/>
        </w:trPr>
        <w:tc>
          <w:tcPr>
            <w:tcW w:w="0" w:type="auto"/>
            <w:hideMark/>
          </w:tcPr>
          <w:p w14:paraId="3DC0BC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21*</w:t>
            </w:r>
          </w:p>
        </w:tc>
        <w:tc>
          <w:tcPr>
            <w:tcW w:w="0" w:type="auto"/>
            <w:hideMark/>
          </w:tcPr>
          <w:p w14:paraId="25FC9E0A"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747BDB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1" w:history="1">
              <w:r w:rsidRPr="004B2A77">
                <w:rPr>
                  <w:rFonts w:ascii="Arial" w:eastAsia="微软雅黑" w:hAnsi="Arial" w:cs="Arial"/>
                  <w:color w:val="0000FF"/>
                  <w:kern w:val="0"/>
                  <w:sz w:val="18"/>
                  <w:szCs w:val="18"/>
                  <w:u w:val="single"/>
                </w:rPr>
                <w:t>Autoliv’s List of Subsidiaries.</w:t>
              </w:r>
            </w:hyperlink>
          </w:p>
        </w:tc>
      </w:tr>
    </w:tbl>
    <w:p w14:paraId="3579B465"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94</w:t>
      </w:r>
    </w:p>
    <w:p w14:paraId="190A4C4D"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EB22335">
          <v:rect id="_x0000_i1121" style="width:0;height:1.5pt" o:hralign="center" o:hrstd="t" o:hrnoshade="t" o:hr="t" fillcolor="black" stroked="f"/>
        </w:pict>
      </w:r>
    </w:p>
    <w:p w14:paraId="3B1DF5FF"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685"/>
        <w:gridCol w:w="235"/>
        <w:gridCol w:w="18694"/>
      </w:tblGrid>
      <w:tr w:rsidR="004B2A77" w:rsidRPr="004B2A77" w14:paraId="7370A22B" w14:textId="77777777" w:rsidTr="004B2A77">
        <w:trPr>
          <w:tblCellSpacing w:w="15" w:type="dxa"/>
        </w:trPr>
        <w:tc>
          <w:tcPr>
            <w:tcW w:w="1642" w:type="dxa"/>
            <w:vAlign w:val="center"/>
            <w:hideMark/>
          </w:tcPr>
          <w:p w14:paraId="0773112E"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205" w:type="dxa"/>
            <w:vAlign w:val="center"/>
            <w:hideMark/>
          </w:tcPr>
          <w:p w14:paraId="6466C782"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18678" w:type="dxa"/>
            <w:vAlign w:val="center"/>
            <w:hideMark/>
          </w:tcPr>
          <w:p w14:paraId="5600B019"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01CCF8C4" w14:textId="77777777" w:rsidTr="004B2A77">
        <w:trPr>
          <w:tblCellSpacing w:w="15" w:type="dxa"/>
        </w:trPr>
        <w:tc>
          <w:tcPr>
            <w:tcW w:w="0" w:type="auto"/>
            <w:hideMark/>
          </w:tcPr>
          <w:p w14:paraId="430A4BD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D0BAF65"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454BC6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77769FB" w14:textId="77777777" w:rsidTr="004B2A77">
        <w:trPr>
          <w:trHeight w:val="180"/>
          <w:tblCellSpacing w:w="15" w:type="dxa"/>
        </w:trPr>
        <w:tc>
          <w:tcPr>
            <w:tcW w:w="0" w:type="auto"/>
            <w:hideMark/>
          </w:tcPr>
          <w:p w14:paraId="2F702AE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23*</w:t>
            </w:r>
          </w:p>
        </w:tc>
        <w:tc>
          <w:tcPr>
            <w:tcW w:w="0" w:type="auto"/>
            <w:hideMark/>
          </w:tcPr>
          <w:p w14:paraId="7D2AC67E"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D0DDA2A"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2" w:history="1">
              <w:r w:rsidRPr="004B2A77">
                <w:rPr>
                  <w:rFonts w:ascii="Arial" w:eastAsia="微软雅黑" w:hAnsi="Arial" w:cs="Arial"/>
                  <w:color w:val="0000FF"/>
                  <w:kern w:val="0"/>
                  <w:sz w:val="18"/>
                  <w:szCs w:val="18"/>
                  <w:u w:val="single"/>
                </w:rPr>
                <w:t>Consent of Independent Registered Public Accounting Firm.</w:t>
              </w:r>
            </w:hyperlink>
          </w:p>
        </w:tc>
      </w:tr>
      <w:tr w:rsidR="004B2A77" w:rsidRPr="004B2A77" w14:paraId="4E0DCA4C" w14:textId="77777777" w:rsidTr="004B2A77">
        <w:trPr>
          <w:tblCellSpacing w:w="15" w:type="dxa"/>
        </w:trPr>
        <w:tc>
          <w:tcPr>
            <w:tcW w:w="0" w:type="auto"/>
            <w:hideMark/>
          </w:tcPr>
          <w:p w14:paraId="4B298B3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3CF80D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A8DD41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26C89C21" w14:textId="77777777" w:rsidTr="004B2A77">
        <w:trPr>
          <w:trHeight w:val="180"/>
          <w:tblCellSpacing w:w="15" w:type="dxa"/>
        </w:trPr>
        <w:tc>
          <w:tcPr>
            <w:tcW w:w="0" w:type="auto"/>
            <w:hideMark/>
          </w:tcPr>
          <w:p w14:paraId="0216A6F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31.1*</w:t>
            </w:r>
          </w:p>
        </w:tc>
        <w:tc>
          <w:tcPr>
            <w:tcW w:w="0" w:type="auto"/>
            <w:hideMark/>
          </w:tcPr>
          <w:p w14:paraId="3A0F4384"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69E023C"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3" w:history="1">
              <w:r w:rsidRPr="004B2A77">
                <w:rPr>
                  <w:rFonts w:ascii="Arial" w:eastAsia="微软雅黑" w:hAnsi="Arial" w:cs="Arial"/>
                  <w:color w:val="0000FF"/>
                  <w:kern w:val="0"/>
                  <w:sz w:val="18"/>
                  <w:szCs w:val="18"/>
                  <w:u w:val="single"/>
                </w:rPr>
                <w:t>Certification of Chief Executive Officer, pursuant to Rule 13a-14(a) promulgated under the Securities Exchange Act of 1934, as amended.</w:t>
              </w:r>
            </w:hyperlink>
          </w:p>
        </w:tc>
      </w:tr>
      <w:tr w:rsidR="004B2A77" w:rsidRPr="004B2A77" w14:paraId="6DD3A160" w14:textId="77777777" w:rsidTr="004B2A77">
        <w:trPr>
          <w:tblCellSpacing w:w="15" w:type="dxa"/>
        </w:trPr>
        <w:tc>
          <w:tcPr>
            <w:tcW w:w="0" w:type="auto"/>
            <w:hideMark/>
          </w:tcPr>
          <w:p w14:paraId="791A59D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2F6056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33AB23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EEBD07E" w14:textId="77777777" w:rsidTr="004B2A77">
        <w:trPr>
          <w:trHeight w:val="180"/>
          <w:tblCellSpacing w:w="15" w:type="dxa"/>
        </w:trPr>
        <w:tc>
          <w:tcPr>
            <w:tcW w:w="0" w:type="auto"/>
            <w:hideMark/>
          </w:tcPr>
          <w:p w14:paraId="6AE2D5F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31.2*</w:t>
            </w:r>
          </w:p>
        </w:tc>
        <w:tc>
          <w:tcPr>
            <w:tcW w:w="0" w:type="auto"/>
            <w:hideMark/>
          </w:tcPr>
          <w:p w14:paraId="1B372266"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D2F696A"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4" w:history="1">
              <w:r w:rsidRPr="004B2A77">
                <w:rPr>
                  <w:rFonts w:ascii="Arial" w:eastAsia="微软雅黑" w:hAnsi="Arial" w:cs="Arial"/>
                  <w:color w:val="0000FF"/>
                  <w:kern w:val="0"/>
                  <w:sz w:val="18"/>
                  <w:szCs w:val="18"/>
                  <w:u w:val="single"/>
                </w:rPr>
                <w:t>Certification of Chief Financial Officer, pursuant to Rule 13a-14(a) promulgated under the Securities Exchange Act of 1934, as amended.</w:t>
              </w:r>
            </w:hyperlink>
          </w:p>
        </w:tc>
      </w:tr>
      <w:tr w:rsidR="004B2A77" w:rsidRPr="004B2A77" w14:paraId="12D4CD56" w14:textId="77777777" w:rsidTr="004B2A77">
        <w:trPr>
          <w:tblCellSpacing w:w="15" w:type="dxa"/>
        </w:trPr>
        <w:tc>
          <w:tcPr>
            <w:tcW w:w="0" w:type="auto"/>
            <w:hideMark/>
          </w:tcPr>
          <w:p w14:paraId="07AA221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4EB1F5B"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B1EACB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26A3D4B" w14:textId="77777777" w:rsidTr="004B2A77">
        <w:trPr>
          <w:trHeight w:val="180"/>
          <w:tblCellSpacing w:w="15" w:type="dxa"/>
        </w:trPr>
        <w:tc>
          <w:tcPr>
            <w:tcW w:w="0" w:type="auto"/>
            <w:hideMark/>
          </w:tcPr>
          <w:p w14:paraId="08D6229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32.1*</w:t>
            </w:r>
          </w:p>
        </w:tc>
        <w:tc>
          <w:tcPr>
            <w:tcW w:w="0" w:type="auto"/>
            <w:hideMark/>
          </w:tcPr>
          <w:p w14:paraId="19FA36EE"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F19F8CB"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5" w:history="1">
              <w:r w:rsidRPr="004B2A77">
                <w:rPr>
                  <w:rFonts w:ascii="Arial" w:eastAsia="微软雅黑" w:hAnsi="Arial" w:cs="Arial"/>
                  <w:color w:val="0000FF"/>
                  <w:kern w:val="0"/>
                  <w:sz w:val="18"/>
                  <w:szCs w:val="18"/>
                  <w:u w:val="single"/>
                </w:rPr>
                <w:t>Certification of Chief Executive Officer, pursuant to 18 U.S.C. Section 1350, as adopted pursuant to section 906 of the Sarbanes-Oxley Act of 2002.</w:t>
              </w:r>
            </w:hyperlink>
          </w:p>
        </w:tc>
      </w:tr>
      <w:tr w:rsidR="004B2A77" w:rsidRPr="004B2A77" w14:paraId="59C77832" w14:textId="77777777" w:rsidTr="004B2A77">
        <w:trPr>
          <w:tblCellSpacing w:w="15" w:type="dxa"/>
        </w:trPr>
        <w:tc>
          <w:tcPr>
            <w:tcW w:w="0" w:type="auto"/>
            <w:hideMark/>
          </w:tcPr>
          <w:p w14:paraId="10BE2CE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ACD7EC5"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885382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7462443" w14:textId="77777777" w:rsidTr="004B2A77">
        <w:trPr>
          <w:trHeight w:val="180"/>
          <w:tblCellSpacing w:w="15" w:type="dxa"/>
        </w:trPr>
        <w:tc>
          <w:tcPr>
            <w:tcW w:w="0" w:type="auto"/>
            <w:hideMark/>
          </w:tcPr>
          <w:p w14:paraId="545AFC1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32.2*</w:t>
            </w:r>
          </w:p>
        </w:tc>
        <w:tc>
          <w:tcPr>
            <w:tcW w:w="0" w:type="auto"/>
            <w:hideMark/>
          </w:tcPr>
          <w:p w14:paraId="4184F337"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473530F" w14:textId="77777777" w:rsidR="004B2A77" w:rsidRPr="004B2A77" w:rsidRDefault="004B2A77" w:rsidP="004B2A77">
            <w:pPr>
              <w:widowControl/>
              <w:jc w:val="left"/>
              <w:rPr>
                <w:rFonts w:ascii="Times New Roman" w:eastAsia="微软雅黑" w:hAnsi="Times New Roman" w:cs="Times New Roman"/>
                <w:kern w:val="0"/>
                <w:sz w:val="18"/>
                <w:szCs w:val="18"/>
              </w:rPr>
            </w:pPr>
            <w:hyperlink r:id="rId86" w:history="1">
              <w:r w:rsidRPr="004B2A77">
                <w:rPr>
                  <w:rFonts w:ascii="Arial" w:eastAsia="微软雅黑" w:hAnsi="Arial" w:cs="Arial"/>
                  <w:color w:val="0000FF"/>
                  <w:kern w:val="0"/>
                  <w:sz w:val="18"/>
                  <w:szCs w:val="18"/>
                  <w:u w:val="single"/>
                </w:rPr>
                <w:t>Certification of Chief Financial Officer, pursuant to 18 U.S.C. Section 1350, as adopted pursuant to section 906 of the Sarbanes-Oxley Act of 2002.</w:t>
              </w:r>
            </w:hyperlink>
          </w:p>
        </w:tc>
      </w:tr>
      <w:tr w:rsidR="004B2A77" w:rsidRPr="004B2A77" w14:paraId="33D1ED1C" w14:textId="77777777" w:rsidTr="004B2A77">
        <w:trPr>
          <w:tblCellSpacing w:w="15" w:type="dxa"/>
        </w:trPr>
        <w:tc>
          <w:tcPr>
            <w:tcW w:w="0" w:type="auto"/>
            <w:hideMark/>
          </w:tcPr>
          <w:p w14:paraId="58EA18E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7CAF5DF"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047213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F79EAB9" w14:textId="77777777" w:rsidTr="004B2A77">
        <w:trPr>
          <w:trHeight w:val="180"/>
          <w:tblCellSpacing w:w="15" w:type="dxa"/>
        </w:trPr>
        <w:tc>
          <w:tcPr>
            <w:tcW w:w="0" w:type="auto"/>
            <w:hideMark/>
          </w:tcPr>
          <w:p w14:paraId="1782128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101.INS*</w:t>
            </w:r>
          </w:p>
        </w:tc>
        <w:tc>
          <w:tcPr>
            <w:tcW w:w="0" w:type="auto"/>
            <w:hideMark/>
          </w:tcPr>
          <w:p w14:paraId="740CB5B4"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6A3A83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Inline XBRL Instance Document – The instance document does not appear in the Interactive Date File because its XBRL tags are embedded within the inline XBRL document.</w:t>
            </w:r>
          </w:p>
        </w:tc>
      </w:tr>
      <w:tr w:rsidR="004B2A77" w:rsidRPr="004B2A77" w14:paraId="6B37CE2A" w14:textId="77777777" w:rsidTr="004B2A77">
        <w:trPr>
          <w:tblCellSpacing w:w="15" w:type="dxa"/>
        </w:trPr>
        <w:tc>
          <w:tcPr>
            <w:tcW w:w="0" w:type="auto"/>
            <w:hideMark/>
          </w:tcPr>
          <w:p w14:paraId="332EAEB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0F2B2D3"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9C30F8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Times New Roman" w:eastAsia="微软雅黑" w:hAnsi="Times New Roman" w:cs="Times New Roman"/>
                <w:kern w:val="0"/>
                <w:sz w:val="12"/>
                <w:szCs w:val="12"/>
              </w:rPr>
              <w:t> </w:t>
            </w:r>
          </w:p>
        </w:tc>
      </w:tr>
      <w:tr w:rsidR="004B2A77" w:rsidRPr="004B2A77" w14:paraId="66EB4C52" w14:textId="77777777" w:rsidTr="004B2A77">
        <w:trPr>
          <w:trHeight w:val="180"/>
          <w:tblCellSpacing w:w="15" w:type="dxa"/>
        </w:trPr>
        <w:tc>
          <w:tcPr>
            <w:tcW w:w="0" w:type="auto"/>
            <w:hideMark/>
          </w:tcPr>
          <w:p w14:paraId="56ED017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101.SCH*</w:t>
            </w:r>
          </w:p>
        </w:tc>
        <w:tc>
          <w:tcPr>
            <w:tcW w:w="0" w:type="auto"/>
            <w:hideMark/>
          </w:tcPr>
          <w:p w14:paraId="5D5E14C2"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D4F51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Inline XBRL Taxonomy Extension Schema Document.</w:t>
            </w:r>
          </w:p>
        </w:tc>
      </w:tr>
      <w:tr w:rsidR="004B2A77" w:rsidRPr="004B2A77" w14:paraId="19DE3833" w14:textId="77777777" w:rsidTr="004B2A77">
        <w:trPr>
          <w:tblCellSpacing w:w="15" w:type="dxa"/>
        </w:trPr>
        <w:tc>
          <w:tcPr>
            <w:tcW w:w="0" w:type="auto"/>
            <w:hideMark/>
          </w:tcPr>
          <w:p w14:paraId="6BDBDF8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D1BDE11"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12314B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B530D19" w14:textId="77777777" w:rsidTr="004B2A77">
        <w:trPr>
          <w:trHeight w:val="180"/>
          <w:tblCellSpacing w:w="15" w:type="dxa"/>
        </w:trPr>
        <w:tc>
          <w:tcPr>
            <w:tcW w:w="0" w:type="auto"/>
            <w:hideMark/>
          </w:tcPr>
          <w:p w14:paraId="7D1ECB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101.CAL*</w:t>
            </w:r>
          </w:p>
        </w:tc>
        <w:tc>
          <w:tcPr>
            <w:tcW w:w="0" w:type="auto"/>
            <w:hideMark/>
          </w:tcPr>
          <w:p w14:paraId="21665918"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E74A1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Inline XBRL Taxonomy Extension Calculation Linkbase Document.</w:t>
            </w:r>
          </w:p>
        </w:tc>
      </w:tr>
      <w:tr w:rsidR="004B2A77" w:rsidRPr="004B2A77" w14:paraId="76E5627A" w14:textId="77777777" w:rsidTr="004B2A77">
        <w:trPr>
          <w:tblCellSpacing w:w="15" w:type="dxa"/>
        </w:trPr>
        <w:tc>
          <w:tcPr>
            <w:tcW w:w="0" w:type="auto"/>
            <w:hideMark/>
          </w:tcPr>
          <w:p w14:paraId="0C2A335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A00D12C"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C6557C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7FB8B2D" w14:textId="77777777" w:rsidTr="004B2A77">
        <w:trPr>
          <w:trHeight w:val="180"/>
          <w:tblCellSpacing w:w="15" w:type="dxa"/>
        </w:trPr>
        <w:tc>
          <w:tcPr>
            <w:tcW w:w="0" w:type="auto"/>
            <w:hideMark/>
          </w:tcPr>
          <w:p w14:paraId="58FFE5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101.DEF*</w:t>
            </w:r>
          </w:p>
        </w:tc>
        <w:tc>
          <w:tcPr>
            <w:tcW w:w="0" w:type="auto"/>
            <w:hideMark/>
          </w:tcPr>
          <w:p w14:paraId="6C207ABC"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51169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Inline XBRL Taxonomy Extension Definition Linkbase Document.</w:t>
            </w:r>
          </w:p>
        </w:tc>
      </w:tr>
      <w:tr w:rsidR="004B2A77" w:rsidRPr="004B2A77" w14:paraId="226A17D7" w14:textId="77777777" w:rsidTr="004B2A77">
        <w:trPr>
          <w:tblCellSpacing w:w="15" w:type="dxa"/>
        </w:trPr>
        <w:tc>
          <w:tcPr>
            <w:tcW w:w="0" w:type="auto"/>
            <w:hideMark/>
          </w:tcPr>
          <w:p w14:paraId="08173C4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E703E3D"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310B12F"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2B77054" w14:textId="77777777" w:rsidTr="004B2A77">
        <w:trPr>
          <w:trHeight w:val="180"/>
          <w:tblCellSpacing w:w="15" w:type="dxa"/>
        </w:trPr>
        <w:tc>
          <w:tcPr>
            <w:tcW w:w="0" w:type="auto"/>
            <w:hideMark/>
          </w:tcPr>
          <w:p w14:paraId="5B215CA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101.LAB*</w:t>
            </w:r>
          </w:p>
        </w:tc>
        <w:tc>
          <w:tcPr>
            <w:tcW w:w="0" w:type="auto"/>
            <w:hideMark/>
          </w:tcPr>
          <w:p w14:paraId="29ED8DA7"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195FFE9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Inline XBRL Taxonomy Extension Label Linkbase Document.</w:t>
            </w:r>
          </w:p>
        </w:tc>
      </w:tr>
      <w:tr w:rsidR="004B2A77" w:rsidRPr="004B2A77" w14:paraId="3F0336F2" w14:textId="77777777" w:rsidTr="004B2A77">
        <w:trPr>
          <w:tblCellSpacing w:w="15" w:type="dxa"/>
        </w:trPr>
        <w:tc>
          <w:tcPr>
            <w:tcW w:w="0" w:type="auto"/>
            <w:hideMark/>
          </w:tcPr>
          <w:p w14:paraId="225D0F3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71CD258"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7BE6A5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40D1A5B" w14:textId="77777777" w:rsidTr="004B2A77">
        <w:trPr>
          <w:trHeight w:val="180"/>
          <w:tblCellSpacing w:w="15" w:type="dxa"/>
        </w:trPr>
        <w:tc>
          <w:tcPr>
            <w:tcW w:w="0" w:type="auto"/>
            <w:hideMark/>
          </w:tcPr>
          <w:p w14:paraId="795FAE7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101.PRE*</w:t>
            </w:r>
          </w:p>
        </w:tc>
        <w:tc>
          <w:tcPr>
            <w:tcW w:w="0" w:type="auto"/>
            <w:hideMark/>
          </w:tcPr>
          <w:p w14:paraId="66B5E3AC"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6AEC3DD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Inline XBRL Taxonomy Extension Presentation Linkbase Document.</w:t>
            </w:r>
          </w:p>
        </w:tc>
      </w:tr>
      <w:tr w:rsidR="004B2A77" w:rsidRPr="004B2A77" w14:paraId="05CAD6C2" w14:textId="77777777" w:rsidTr="004B2A77">
        <w:trPr>
          <w:tblCellSpacing w:w="15" w:type="dxa"/>
        </w:trPr>
        <w:tc>
          <w:tcPr>
            <w:tcW w:w="0" w:type="auto"/>
            <w:hideMark/>
          </w:tcPr>
          <w:p w14:paraId="05B8BFD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BA49072" w14:textId="77777777" w:rsidR="004B2A77" w:rsidRPr="004B2A77" w:rsidRDefault="004B2A77" w:rsidP="004B2A77">
            <w:pPr>
              <w:widowControl/>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3462A2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A608C91" w14:textId="77777777" w:rsidTr="004B2A77">
        <w:trPr>
          <w:trHeight w:val="180"/>
          <w:tblCellSpacing w:w="15" w:type="dxa"/>
        </w:trPr>
        <w:tc>
          <w:tcPr>
            <w:tcW w:w="0" w:type="auto"/>
            <w:hideMark/>
          </w:tcPr>
          <w:p w14:paraId="519D8EB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104*</w:t>
            </w:r>
          </w:p>
        </w:tc>
        <w:tc>
          <w:tcPr>
            <w:tcW w:w="0" w:type="auto"/>
            <w:hideMark/>
          </w:tcPr>
          <w:p w14:paraId="2479E6B1" w14:textId="77777777" w:rsidR="004B2A77" w:rsidRPr="004B2A77" w:rsidRDefault="004B2A77" w:rsidP="004B2A77">
            <w:pPr>
              <w:widowControl/>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393DBB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Cover Page Interactive Data File (embedded within the inline XBRL document).</w:t>
            </w:r>
          </w:p>
        </w:tc>
      </w:tr>
    </w:tbl>
    <w:p w14:paraId="34FD5A0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24"/>
          <w:szCs w:val="24"/>
        </w:rPr>
        <w:t> </w:t>
      </w:r>
    </w:p>
    <w:p w14:paraId="7673F06B"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Filed herewith.</w:t>
      </w:r>
    </w:p>
    <w:p w14:paraId="58DB415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Management contract or compensatory plan.</w:t>
      </w:r>
    </w:p>
    <w:p w14:paraId="6E65916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 Confidential treatment requested as to portions of the exhibit. Confidential materials omitted and filed separately with the Securities and Exchange Commission.</w:t>
      </w:r>
    </w:p>
    <w:p w14:paraId="4988C3A3"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95</w:t>
      </w:r>
    </w:p>
    <w:p w14:paraId="1EC6112B"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72FD8E9A">
          <v:rect id="_x0000_i1122" style="width:0;height:1.5pt" o:hralign="center" o:hrstd="t" o:hrnoshade="t" o:hr="t" fillcolor="black" stroked="f"/>
        </w:pict>
      </w:r>
    </w:p>
    <w:p w14:paraId="2F8D670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5EB556AC"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SIGNATURES</w:t>
      </w:r>
    </w:p>
    <w:p w14:paraId="6DCADEF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Pursuant to the requirements of Section 13 or 15(d) of the Securities Exchange Act of 1934, the registrant has duly caused this report to be signed on its behalf by the undersigned, thereunto duly authorized, as of February 16, 2023.</w:t>
      </w:r>
    </w:p>
    <w:p w14:paraId="1AD9C6AA"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10101" w:type="dxa"/>
        <w:tblCellSpacing w:w="15" w:type="dxa"/>
        <w:tblCellMar>
          <w:top w:w="15" w:type="dxa"/>
          <w:left w:w="15" w:type="dxa"/>
          <w:bottom w:w="15" w:type="dxa"/>
          <w:right w:w="15" w:type="dxa"/>
        </w:tblCellMar>
        <w:tblLook w:val="04A0" w:firstRow="1" w:lastRow="0" w:firstColumn="1" w:lastColumn="0" w:noHBand="0" w:noVBand="1"/>
      </w:tblPr>
      <w:tblGrid>
        <w:gridCol w:w="712"/>
        <w:gridCol w:w="9389"/>
      </w:tblGrid>
      <w:tr w:rsidR="004B2A77" w:rsidRPr="004B2A77" w14:paraId="483531AC" w14:textId="77777777" w:rsidTr="004B2A77">
        <w:trPr>
          <w:tblCellSpacing w:w="15" w:type="dxa"/>
        </w:trPr>
        <w:tc>
          <w:tcPr>
            <w:tcW w:w="668" w:type="dxa"/>
            <w:vAlign w:val="center"/>
            <w:hideMark/>
          </w:tcPr>
          <w:p w14:paraId="2FA71C22"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9373" w:type="dxa"/>
            <w:vAlign w:val="center"/>
            <w:hideMark/>
          </w:tcPr>
          <w:p w14:paraId="38EF1CEB"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8C0C71C" w14:textId="77777777" w:rsidTr="004B2A77">
        <w:trPr>
          <w:trHeight w:val="180"/>
          <w:tblCellSpacing w:w="15" w:type="dxa"/>
        </w:trPr>
        <w:tc>
          <w:tcPr>
            <w:tcW w:w="0" w:type="auto"/>
            <w:gridSpan w:val="2"/>
            <w:vAlign w:val="bottom"/>
            <w:hideMark/>
          </w:tcPr>
          <w:p w14:paraId="3BBF663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AUTOLIV, INC.</w:t>
            </w:r>
          </w:p>
        </w:tc>
      </w:tr>
      <w:tr w:rsidR="004B2A77" w:rsidRPr="004B2A77" w14:paraId="546A72F5" w14:textId="77777777" w:rsidTr="004B2A77">
        <w:trPr>
          <w:trHeight w:val="180"/>
          <w:tblCellSpacing w:w="15" w:type="dxa"/>
        </w:trPr>
        <w:tc>
          <w:tcPr>
            <w:tcW w:w="0" w:type="auto"/>
            <w:gridSpan w:val="2"/>
            <w:vAlign w:val="bottom"/>
            <w:hideMark/>
          </w:tcPr>
          <w:p w14:paraId="56A35E6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(Registrant)</w:t>
            </w:r>
          </w:p>
        </w:tc>
      </w:tr>
      <w:tr w:rsidR="004B2A77" w:rsidRPr="004B2A77" w14:paraId="45544ABC" w14:textId="77777777" w:rsidTr="004B2A77">
        <w:trPr>
          <w:tblCellSpacing w:w="15" w:type="dxa"/>
        </w:trPr>
        <w:tc>
          <w:tcPr>
            <w:tcW w:w="0" w:type="auto"/>
            <w:gridSpan w:val="2"/>
            <w:vAlign w:val="bottom"/>
            <w:hideMark/>
          </w:tcPr>
          <w:p w14:paraId="12C9086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0A0E46D5" w14:textId="77777777" w:rsidTr="004B2A77">
        <w:trPr>
          <w:trHeight w:val="180"/>
          <w:tblCellSpacing w:w="15" w:type="dxa"/>
        </w:trPr>
        <w:tc>
          <w:tcPr>
            <w:tcW w:w="0" w:type="auto"/>
            <w:vAlign w:val="bottom"/>
            <w:hideMark/>
          </w:tcPr>
          <w:p w14:paraId="4DC3D6A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By</w:t>
            </w:r>
          </w:p>
        </w:tc>
        <w:tc>
          <w:tcPr>
            <w:tcW w:w="0" w:type="auto"/>
            <w:tcBorders>
              <w:bottom w:val="single" w:sz="4" w:space="0" w:color="auto"/>
            </w:tcBorders>
            <w:vAlign w:val="bottom"/>
            <w:hideMark/>
          </w:tcPr>
          <w:p w14:paraId="6D0F968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Fredrik Westin</w:t>
            </w:r>
          </w:p>
        </w:tc>
      </w:tr>
      <w:tr w:rsidR="004B2A77" w:rsidRPr="004B2A77" w14:paraId="7FEAAC34" w14:textId="77777777" w:rsidTr="004B2A77">
        <w:trPr>
          <w:trHeight w:val="180"/>
          <w:tblCellSpacing w:w="15" w:type="dxa"/>
        </w:trPr>
        <w:tc>
          <w:tcPr>
            <w:tcW w:w="0" w:type="auto"/>
            <w:vAlign w:val="bottom"/>
            <w:hideMark/>
          </w:tcPr>
          <w:p w14:paraId="60C01D0A"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vAlign w:val="bottom"/>
            <w:hideMark/>
          </w:tcPr>
          <w:p w14:paraId="4526E34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Fredrik Westin</w:t>
            </w:r>
          </w:p>
        </w:tc>
      </w:tr>
      <w:tr w:rsidR="004B2A77" w:rsidRPr="004B2A77" w14:paraId="66BB238A" w14:textId="77777777" w:rsidTr="004B2A77">
        <w:trPr>
          <w:trHeight w:val="180"/>
          <w:tblCellSpacing w:w="15" w:type="dxa"/>
        </w:trPr>
        <w:tc>
          <w:tcPr>
            <w:tcW w:w="0" w:type="auto"/>
            <w:vAlign w:val="bottom"/>
            <w:hideMark/>
          </w:tcPr>
          <w:p w14:paraId="68DD3FA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vAlign w:val="bottom"/>
            <w:hideMark/>
          </w:tcPr>
          <w:p w14:paraId="0AE0A23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Chief Financial Officer</w:t>
            </w:r>
          </w:p>
        </w:tc>
      </w:tr>
    </w:tbl>
    <w:p w14:paraId="344F5AF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6362B7C2" w14:textId="77777777" w:rsidR="004B2A77" w:rsidRPr="004B2A77" w:rsidRDefault="004B2A77" w:rsidP="004B2A77">
      <w:pPr>
        <w:widowControl/>
        <w:spacing w:before="6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Pursuant to the requirements of the Securities Exchange Act of 1934, this report has been signed below by the following persons on behalf of the registrant and in the capacities indicated, as of February 16, 2023.</w:t>
      </w:r>
    </w:p>
    <w:p w14:paraId="5D30867C"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tbl>
      <w:tblPr>
        <w:tblW w:w="20614" w:type="dxa"/>
        <w:tblCellSpacing w:w="15" w:type="dxa"/>
        <w:tblCellMar>
          <w:top w:w="15" w:type="dxa"/>
          <w:left w:w="15" w:type="dxa"/>
          <w:bottom w:w="15" w:type="dxa"/>
          <w:right w:w="15" w:type="dxa"/>
        </w:tblCellMar>
        <w:tblLook w:val="04A0" w:firstRow="1" w:lastRow="0" w:firstColumn="1" w:lastColumn="0" w:noHBand="0" w:noVBand="1"/>
      </w:tblPr>
      <w:tblGrid>
        <w:gridCol w:w="10190"/>
        <w:gridCol w:w="637"/>
        <w:gridCol w:w="9787"/>
      </w:tblGrid>
      <w:tr w:rsidR="004B2A77" w:rsidRPr="004B2A77" w14:paraId="1E683855" w14:textId="77777777" w:rsidTr="004B2A77">
        <w:trPr>
          <w:tblCellSpacing w:w="15" w:type="dxa"/>
        </w:trPr>
        <w:tc>
          <w:tcPr>
            <w:tcW w:w="10160" w:type="dxa"/>
            <w:vAlign w:val="center"/>
            <w:hideMark/>
          </w:tcPr>
          <w:p w14:paraId="29A42A4D" w14:textId="77777777" w:rsidR="004B2A77" w:rsidRPr="004B2A77" w:rsidRDefault="004B2A77" w:rsidP="004B2A77">
            <w:pPr>
              <w:widowControl/>
              <w:jc w:val="left"/>
              <w:rPr>
                <w:rFonts w:ascii="Times New Roman" w:eastAsia="宋体" w:hAnsi="Times New Roman" w:cs="Times New Roman"/>
                <w:color w:val="000000"/>
                <w:kern w:val="0"/>
                <w:sz w:val="20"/>
                <w:szCs w:val="20"/>
              </w:rPr>
            </w:pPr>
          </w:p>
        </w:tc>
        <w:tc>
          <w:tcPr>
            <w:tcW w:w="608" w:type="dxa"/>
            <w:vAlign w:val="center"/>
            <w:hideMark/>
          </w:tcPr>
          <w:p w14:paraId="19F78AFD" w14:textId="77777777" w:rsidR="004B2A77" w:rsidRPr="004B2A77" w:rsidRDefault="004B2A77" w:rsidP="004B2A77">
            <w:pPr>
              <w:widowControl/>
              <w:jc w:val="left"/>
              <w:rPr>
                <w:rFonts w:ascii="Times New Roman" w:eastAsia="Times New Roman" w:hAnsi="Times New Roman" w:cs="Times New Roman"/>
                <w:kern w:val="0"/>
                <w:sz w:val="20"/>
                <w:szCs w:val="20"/>
              </w:rPr>
            </w:pPr>
          </w:p>
        </w:tc>
        <w:tc>
          <w:tcPr>
            <w:tcW w:w="9757" w:type="dxa"/>
            <w:vAlign w:val="center"/>
            <w:hideMark/>
          </w:tcPr>
          <w:p w14:paraId="489BDC88" w14:textId="77777777" w:rsidR="004B2A77" w:rsidRPr="004B2A77" w:rsidRDefault="004B2A77" w:rsidP="004B2A77">
            <w:pPr>
              <w:widowControl/>
              <w:jc w:val="left"/>
              <w:rPr>
                <w:rFonts w:ascii="Times New Roman" w:eastAsia="Times New Roman" w:hAnsi="Times New Roman" w:cs="Times New Roman"/>
                <w:kern w:val="0"/>
                <w:sz w:val="20"/>
                <w:szCs w:val="20"/>
              </w:rPr>
            </w:pPr>
          </w:p>
        </w:tc>
      </w:tr>
      <w:tr w:rsidR="004B2A77" w:rsidRPr="004B2A77" w14:paraId="31C68243" w14:textId="77777777" w:rsidTr="004B2A77">
        <w:trPr>
          <w:trHeight w:val="180"/>
          <w:tblCellSpacing w:w="15" w:type="dxa"/>
        </w:trPr>
        <w:tc>
          <w:tcPr>
            <w:tcW w:w="0" w:type="auto"/>
            <w:tcBorders>
              <w:bottom w:val="single" w:sz="4" w:space="0" w:color="auto"/>
            </w:tcBorders>
            <w:hideMark/>
          </w:tcPr>
          <w:p w14:paraId="1F45D013"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Title</w:t>
            </w:r>
          </w:p>
        </w:tc>
        <w:tc>
          <w:tcPr>
            <w:tcW w:w="0" w:type="auto"/>
            <w:hideMark/>
          </w:tcPr>
          <w:p w14:paraId="544C2F69"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09C3A611" w14:textId="77777777" w:rsidR="004B2A77" w:rsidRPr="004B2A77" w:rsidRDefault="004B2A77" w:rsidP="004B2A77">
            <w:pPr>
              <w:widowControl/>
              <w:jc w:val="center"/>
              <w:rPr>
                <w:rFonts w:ascii="Times New Roman" w:eastAsia="微软雅黑" w:hAnsi="Times New Roman" w:cs="Times New Roman"/>
                <w:kern w:val="0"/>
                <w:sz w:val="18"/>
                <w:szCs w:val="18"/>
              </w:rPr>
            </w:pPr>
            <w:r w:rsidRPr="004B2A77">
              <w:rPr>
                <w:rFonts w:ascii="Arial" w:eastAsia="微软雅黑" w:hAnsi="Arial" w:cs="Arial"/>
                <w:b/>
                <w:bCs/>
                <w:color w:val="000000"/>
                <w:kern w:val="0"/>
                <w:sz w:val="18"/>
                <w:szCs w:val="18"/>
              </w:rPr>
              <w:t>Name</w:t>
            </w:r>
          </w:p>
        </w:tc>
      </w:tr>
      <w:tr w:rsidR="004B2A77" w:rsidRPr="004B2A77" w14:paraId="674C44F3" w14:textId="77777777" w:rsidTr="004B2A77">
        <w:trPr>
          <w:tblCellSpacing w:w="15" w:type="dxa"/>
        </w:trPr>
        <w:tc>
          <w:tcPr>
            <w:tcW w:w="0" w:type="auto"/>
            <w:hideMark/>
          </w:tcPr>
          <w:p w14:paraId="2780250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A18309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D0DD90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4583121" w14:textId="77777777" w:rsidTr="004B2A77">
        <w:trPr>
          <w:trHeight w:val="180"/>
          <w:tblCellSpacing w:w="15" w:type="dxa"/>
        </w:trPr>
        <w:tc>
          <w:tcPr>
            <w:tcW w:w="0" w:type="auto"/>
            <w:hideMark/>
          </w:tcPr>
          <w:p w14:paraId="73FE02D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Chairman of the Board of Directors</w:t>
            </w:r>
          </w:p>
        </w:tc>
        <w:tc>
          <w:tcPr>
            <w:tcW w:w="0" w:type="auto"/>
            <w:hideMark/>
          </w:tcPr>
          <w:p w14:paraId="72BF76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3621A8DF"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Jan Carlson</w:t>
            </w:r>
          </w:p>
        </w:tc>
      </w:tr>
      <w:tr w:rsidR="004B2A77" w:rsidRPr="004B2A77" w14:paraId="571F7C25" w14:textId="77777777" w:rsidTr="004B2A77">
        <w:trPr>
          <w:trHeight w:val="180"/>
          <w:tblCellSpacing w:w="15" w:type="dxa"/>
        </w:trPr>
        <w:tc>
          <w:tcPr>
            <w:tcW w:w="0" w:type="auto"/>
            <w:hideMark/>
          </w:tcPr>
          <w:p w14:paraId="066188B9" w14:textId="77777777" w:rsidR="004B2A77" w:rsidRPr="004B2A77" w:rsidRDefault="004B2A77" w:rsidP="004B2A77">
            <w:pPr>
              <w:widowControl/>
              <w:jc w:val="left"/>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6C6CA7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35320D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Jan Carlson</w:t>
            </w:r>
          </w:p>
        </w:tc>
      </w:tr>
      <w:tr w:rsidR="004B2A77" w:rsidRPr="004B2A77" w14:paraId="553D3888" w14:textId="77777777" w:rsidTr="004B2A77">
        <w:trPr>
          <w:tblCellSpacing w:w="15" w:type="dxa"/>
        </w:trPr>
        <w:tc>
          <w:tcPr>
            <w:tcW w:w="0" w:type="auto"/>
            <w:hideMark/>
          </w:tcPr>
          <w:p w14:paraId="6DEA7F8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82AD04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D843DA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F5BA81C" w14:textId="77777777" w:rsidTr="004B2A77">
        <w:trPr>
          <w:trHeight w:val="180"/>
          <w:tblCellSpacing w:w="15" w:type="dxa"/>
        </w:trPr>
        <w:tc>
          <w:tcPr>
            <w:tcW w:w="0" w:type="auto"/>
            <w:hideMark/>
          </w:tcPr>
          <w:p w14:paraId="28AE9AB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Chief Executive Officer and President (Principal Executive Officer)</w:t>
            </w:r>
          </w:p>
        </w:tc>
        <w:tc>
          <w:tcPr>
            <w:tcW w:w="0" w:type="auto"/>
            <w:hideMark/>
          </w:tcPr>
          <w:p w14:paraId="4D731CA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541E096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Mikael Bratt</w:t>
            </w:r>
          </w:p>
        </w:tc>
      </w:tr>
      <w:tr w:rsidR="004B2A77" w:rsidRPr="004B2A77" w14:paraId="18523EE3" w14:textId="77777777" w:rsidTr="004B2A77">
        <w:trPr>
          <w:trHeight w:val="180"/>
          <w:tblCellSpacing w:w="15" w:type="dxa"/>
        </w:trPr>
        <w:tc>
          <w:tcPr>
            <w:tcW w:w="0" w:type="auto"/>
            <w:hideMark/>
          </w:tcPr>
          <w:p w14:paraId="1A4CFF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and Director</w:t>
            </w:r>
          </w:p>
        </w:tc>
        <w:tc>
          <w:tcPr>
            <w:tcW w:w="0" w:type="auto"/>
            <w:hideMark/>
          </w:tcPr>
          <w:p w14:paraId="16E0ACF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4458A8D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Mikael Bratt</w:t>
            </w:r>
          </w:p>
        </w:tc>
      </w:tr>
      <w:tr w:rsidR="004B2A77" w:rsidRPr="004B2A77" w14:paraId="2ECA9C42" w14:textId="77777777" w:rsidTr="004B2A77">
        <w:trPr>
          <w:tblCellSpacing w:w="15" w:type="dxa"/>
        </w:trPr>
        <w:tc>
          <w:tcPr>
            <w:tcW w:w="0" w:type="auto"/>
            <w:hideMark/>
          </w:tcPr>
          <w:p w14:paraId="26434AD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E9A81F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879414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43AA751" w14:textId="77777777" w:rsidTr="004B2A77">
        <w:trPr>
          <w:trHeight w:val="180"/>
          <w:tblCellSpacing w:w="15" w:type="dxa"/>
        </w:trPr>
        <w:tc>
          <w:tcPr>
            <w:tcW w:w="0" w:type="auto"/>
            <w:hideMark/>
          </w:tcPr>
          <w:p w14:paraId="2DD96AC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Chief Financial Officer</w:t>
            </w:r>
          </w:p>
        </w:tc>
        <w:tc>
          <w:tcPr>
            <w:tcW w:w="0" w:type="auto"/>
            <w:hideMark/>
          </w:tcPr>
          <w:p w14:paraId="08E2A6E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7A2A4F8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Fredrik Westin</w:t>
            </w:r>
          </w:p>
        </w:tc>
      </w:tr>
      <w:tr w:rsidR="004B2A77" w:rsidRPr="004B2A77" w14:paraId="690572C0" w14:textId="77777777" w:rsidTr="004B2A77">
        <w:trPr>
          <w:trHeight w:val="180"/>
          <w:tblCellSpacing w:w="15" w:type="dxa"/>
        </w:trPr>
        <w:tc>
          <w:tcPr>
            <w:tcW w:w="0" w:type="auto"/>
            <w:hideMark/>
          </w:tcPr>
          <w:p w14:paraId="1931B93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(Principal Financial and Principal Accounting Officer)</w:t>
            </w:r>
          </w:p>
        </w:tc>
        <w:tc>
          <w:tcPr>
            <w:tcW w:w="0" w:type="auto"/>
            <w:hideMark/>
          </w:tcPr>
          <w:p w14:paraId="239AAD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FF1598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Fredrik Westin</w:t>
            </w:r>
          </w:p>
        </w:tc>
      </w:tr>
      <w:tr w:rsidR="004B2A77" w:rsidRPr="004B2A77" w14:paraId="0E5F4004" w14:textId="77777777" w:rsidTr="004B2A77">
        <w:trPr>
          <w:tblCellSpacing w:w="15" w:type="dxa"/>
        </w:trPr>
        <w:tc>
          <w:tcPr>
            <w:tcW w:w="0" w:type="auto"/>
            <w:hideMark/>
          </w:tcPr>
          <w:p w14:paraId="11102BC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46B7C8E"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1A962D9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61A85478" w14:textId="77777777" w:rsidTr="004B2A77">
        <w:trPr>
          <w:tblCellSpacing w:w="15" w:type="dxa"/>
        </w:trPr>
        <w:tc>
          <w:tcPr>
            <w:tcW w:w="0" w:type="auto"/>
            <w:hideMark/>
          </w:tcPr>
          <w:p w14:paraId="7727843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208E72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A97EE92"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75E59A9" w14:textId="77777777" w:rsidTr="004B2A77">
        <w:trPr>
          <w:trHeight w:val="180"/>
          <w:tblCellSpacing w:w="15" w:type="dxa"/>
        </w:trPr>
        <w:tc>
          <w:tcPr>
            <w:tcW w:w="0" w:type="auto"/>
            <w:hideMark/>
          </w:tcPr>
          <w:p w14:paraId="11BD5BF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Director</w:t>
            </w:r>
          </w:p>
        </w:tc>
        <w:tc>
          <w:tcPr>
            <w:tcW w:w="0" w:type="auto"/>
            <w:hideMark/>
          </w:tcPr>
          <w:p w14:paraId="287E849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tcBorders>
              <w:bottom w:val="single" w:sz="4" w:space="0" w:color="auto"/>
            </w:tcBorders>
            <w:hideMark/>
          </w:tcPr>
          <w:p w14:paraId="18B1C85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Laurie Brlas</w:t>
            </w:r>
          </w:p>
        </w:tc>
      </w:tr>
      <w:tr w:rsidR="004B2A77" w:rsidRPr="004B2A77" w14:paraId="21F005BC" w14:textId="77777777" w:rsidTr="004B2A77">
        <w:trPr>
          <w:trHeight w:val="180"/>
          <w:tblCellSpacing w:w="15" w:type="dxa"/>
        </w:trPr>
        <w:tc>
          <w:tcPr>
            <w:tcW w:w="0" w:type="auto"/>
            <w:hideMark/>
          </w:tcPr>
          <w:p w14:paraId="79A295D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D5C27A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036A594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Laurie Brlas</w:t>
            </w:r>
          </w:p>
        </w:tc>
      </w:tr>
      <w:tr w:rsidR="004B2A77" w:rsidRPr="004B2A77" w14:paraId="509C349C" w14:textId="77777777" w:rsidTr="004B2A77">
        <w:trPr>
          <w:tblCellSpacing w:w="15" w:type="dxa"/>
        </w:trPr>
        <w:tc>
          <w:tcPr>
            <w:tcW w:w="0" w:type="auto"/>
            <w:hideMark/>
          </w:tcPr>
          <w:p w14:paraId="1018CA54"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216A18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93E930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F651E6D" w14:textId="77777777" w:rsidTr="004B2A77">
        <w:trPr>
          <w:trHeight w:val="180"/>
          <w:tblCellSpacing w:w="15" w:type="dxa"/>
        </w:trPr>
        <w:tc>
          <w:tcPr>
            <w:tcW w:w="0" w:type="auto"/>
            <w:hideMark/>
          </w:tcPr>
          <w:p w14:paraId="139B2B2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Director </w:t>
            </w:r>
          </w:p>
        </w:tc>
        <w:tc>
          <w:tcPr>
            <w:tcW w:w="0" w:type="auto"/>
            <w:hideMark/>
          </w:tcPr>
          <w:p w14:paraId="42D42368"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5F5F204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Hasse Johansson</w:t>
            </w:r>
          </w:p>
        </w:tc>
      </w:tr>
      <w:tr w:rsidR="004B2A77" w:rsidRPr="004B2A77" w14:paraId="1DED4329" w14:textId="77777777" w:rsidTr="004B2A77">
        <w:trPr>
          <w:trHeight w:val="180"/>
          <w:tblCellSpacing w:w="15" w:type="dxa"/>
        </w:trPr>
        <w:tc>
          <w:tcPr>
            <w:tcW w:w="0" w:type="auto"/>
            <w:hideMark/>
          </w:tcPr>
          <w:p w14:paraId="454D1A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9EB937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1D854D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Hasse Johansson</w:t>
            </w:r>
          </w:p>
        </w:tc>
      </w:tr>
      <w:tr w:rsidR="004B2A77" w:rsidRPr="004B2A77" w14:paraId="5D9CB3E7" w14:textId="77777777" w:rsidTr="004B2A77">
        <w:trPr>
          <w:tblCellSpacing w:w="15" w:type="dxa"/>
        </w:trPr>
        <w:tc>
          <w:tcPr>
            <w:tcW w:w="0" w:type="auto"/>
            <w:hideMark/>
          </w:tcPr>
          <w:p w14:paraId="323630A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lastRenderedPageBreak/>
              <w:t> </w:t>
            </w:r>
          </w:p>
        </w:tc>
        <w:tc>
          <w:tcPr>
            <w:tcW w:w="0" w:type="auto"/>
            <w:hideMark/>
          </w:tcPr>
          <w:p w14:paraId="63F4FEF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8E6E99B"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138ADCE5" w14:textId="77777777" w:rsidTr="004B2A77">
        <w:trPr>
          <w:trHeight w:val="180"/>
          <w:tblCellSpacing w:w="15" w:type="dxa"/>
        </w:trPr>
        <w:tc>
          <w:tcPr>
            <w:tcW w:w="0" w:type="auto"/>
            <w:hideMark/>
          </w:tcPr>
          <w:p w14:paraId="5FAE81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Director </w:t>
            </w:r>
          </w:p>
        </w:tc>
        <w:tc>
          <w:tcPr>
            <w:tcW w:w="0" w:type="auto"/>
            <w:hideMark/>
          </w:tcPr>
          <w:p w14:paraId="44AC055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16569B2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Leif Johansson</w:t>
            </w:r>
          </w:p>
        </w:tc>
      </w:tr>
      <w:tr w:rsidR="004B2A77" w:rsidRPr="004B2A77" w14:paraId="58A26FA0" w14:textId="77777777" w:rsidTr="004B2A77">
        <w:trPr>
          <w:trHeight w:val="180"/>
          <w:tblCellSpacing w:w="15" w:type="dxa"/>
        </w:trPr>
        <w:tc>
          <w:tcPr>
            <w:tcW w:w="0" w:type="auto"/>
            <w:hideMark/>
          </w:tcPr>
          <w:p w14:paraId="5148F9BC"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77A17224"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07A4CEE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Leif Johansson</w:t>
            </w:r>
          </w:p>
        </w:tc>
      </w:tr>
      <w:tr w:rsidR="004B2A77" w:rsidRPr="004B2A77" w14:paraId="475B1ADE" w14:textId="77777777" w:rsidTr="004B2A77">
        <w:trPr>
          <w:tblCellSpacing w:w="15" w:type="dxa"/>
        </w:trPr>
        <w:tc>
          <w:tcPr>
            <w:tcW w:w="0" w:type="auto"/>
            <w:hideMark/>
          </w:tcPr>
          <w:p w14:paraId="6AA122B1"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42BCCAC6"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FBBEC0A"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2831180E" w14:textId="77777777" w:rsidTr="004B2A77">
        <w:trPr>
          <w:trHeight w:val="180"/>
          <w:tblCellSpacing w:w="15" w:type="dxa"/>
        </w:trPr>
        <w:tc>
          <w:tcPr>
            <w:tcW w:w="0" w:type="auto"/>
            <w:hideMark/>
          </w:tcPr>
          <w:p w14:paraId="0D228B5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Director </w:t>
            </w:r>
          </w:p>
        </w:tc>
        <w:tc>
          <w:tcPr>
            <w:tcW w:w="0" w:type="auto"/>
            <w:hideMark/>
          </w:tcPr>
          <w:p w14:paraId="014786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2FECBD9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Franz-Josef Kortüm</w:t>
            </w:r>
          </w:p>
        </w:tc>
      </w:tr>
      <w:tr w:rsidR="004B2A77" w:rsidRPr="004B2A77" w14:paraId="5AE965E5" w14:textId="77777777" w:rsidTr="004B2A77">
        <w:trPr>
          <w:trHeight w:val="180"/>
          <w:tblCellSpacing w:w="15" w:type="dxa"/>
        </w:trPr>
        <w:tc>
          <w:tcPr>
            <w:tcW w:w="0" w:type="auto"/>
            <w:hideMark/>
          </w:tcPr>
          <w:p w14:paraId="7E748EC9"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5896B85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92A682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Franz-Josef Kortüm</w:t>
            </w:r>
          </w:p>
        </w:tc>
      </w:tr>
      <w:tr w:rsidR="004B2A77" w:rsidRPr="004B2A77" w14:paraId="38DC9595" w14:textId="77777777" w:rsidTr="004B2A77">
        <w:trPr>
          <w:tblCellSpacing w:w="15" w:type="dxa"/>
        </w:trPr>
        <w:tc>
          <w:tcPr>
            <w:tcW w:w="0" w:type="auto"/>
            <w:hideMark/>
          </w:tcPr>
          <w:p w14:paraId="46F6ECF7"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09ED935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7A3AB27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7086068D" w14:textId="77777777" w:rsidTr="004B2A77">
        <w:trPr>
          <w:trHeight w:val="180"/>
          <w:tblCellSpacing w:w="15" w:type="dxa"/>
        </w:trPr>
        <w:tc>
          <w:tcPr>
            <w:tcW w:w="0" w:type="auto"/>
            <w:hideMark/>
          </w:tcPr>
          <w:p w14:paraId="01634AC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Director</w:t>
            </w:r>
          </w:p>
        </w:tc>
        <w:tc>
          <w:tcPr>
            <w:tcW w:w="0" w:type="auto"/>
            <w:hideMark/>
          </w:tcPr>
          <w:p w14:paraId="5938590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61BB7BB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Frédéric Lissalde</w:t>
            </w:r>
          </w:p>
        </w:tc>
      </w:tr>
      <w:tr w:rsidR="004B2A77" w:rsidRPr="004B2A77" w14:paraId="5B271383" w14:textId="77777777" w:rsidTr="004B2A77">
        <w:trPr>
          <w:trHeight w:val="180"/>
          <w:tblCellSpacing w:w="15" w:type="dxa"/>
        </w:trPr>
        <w:tc>
          <w:tcPr>
            <w:tcW w:w="0" w:type="auto"/>
            <w:hideMark/>
          </w:tcPr>
          <w:p w14:paraId="60B63EB7"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4A90D71C"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19924D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Frédéric Lissalde</w:t>
            </w:r>
          </w:p>
        </w:tc>
      </w:tr>
      <w:tr w:rsidR="004B2A77" w:rsidRPr="004B2A77" w14:paraId="543FB27F" w14:textId="77777777" w:rsidTr="004B2A77">
        <w:trPr>
          <w:tblCellSpacing w:w="15" w:type="dxa"/>
        </w:trPr>
        <w:tc>
          <w:tcPr>
            <w:tcW w:w="0" w:type="auto"/>
            <w:hideMark/>
          </w:tcPr>
          <w:p w14:paraId="0524666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07940C7"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26B6F77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5F8AFF5A" w14:textId="77777777" w:rsidTr="004B2A77">
        <w:trPr>
          <w:trHeight w:val="180"/>
          <w:tblCellSpacing w:w="15" w:type="dxa"/>
        </w:trPr>
        <w:tc>
          <w:tcPr>
            <w:tcW w:w="0" w:type="auto"/>
            <w:hideMark/>
          </w:tcPr>
          <w:p w14:paraId="2AAF831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Director</w:t>
            </w:r>
          </w:p>
        </w:tc>
        <w:tc>
          <w:tcPr>
            <w:tcW w:w="0" w:type="auto"/>
            <w:hideMark/>
          </w:tcPr>
          <w:p w14:paraId="2A43B6E2"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02CBCD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Xiaozhi Liu</w:t>
            </w:r>
          </w:p>
        </w:tc>
      </w:tr>
      <w:tr w:rsidR="004B2A77" w:rsidRPr="004B2A77" w14:paraId="67B6293D" w14:textId="77777777" w:rsidTr="004B2A77">
        <w:trPr>
          <w:trHeight w:val="180"/>
          <w:tblCellSpacing w:w="15" w:type="dxa"/>
        </w:trPr>
        <w:tc>
          <w:tcPr>
            <w:tcW w:w="0" w:type="auto"/>
            <w:hideMark/>
          </w:tcPr>
          <w:p w14:paraId="72730EE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430F209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3661F9BA"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Xiaozhi Liu</w:t>
            </w:r>
          </w:p>
        </w:tc>
      </w:tr>
      <w:tr w:rsidR="004B2A77" w:rsidRPr="004B2A77" w14:paraId="290264F6" w14:textId="77777777" w:rsidTr="004B2A77">
        <w:trPr>
          <w:tblCellSpacing w:w="15" w:type="dxa"/>
        </w:trPr>
        <w:tc>
          <w:tcPr>
            <w:tcW w:w="0" w:type="auto"/>
            <w:hideMark/>
          </w:tcPr>
          <w:p w14:paraId="5258ECBD"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87EF7D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79F78DA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2DD63CE4" w14:textId="77777777" w:rsidTr="004B2A77">
        <w:trPr>
          <w:trHeight w:val="180"/>
          <w:tblCellSpacing w:w="15" w:type="dxa"/>
        </w:trPr>
        <w:tc>
          <w:tcPr>
            <w:tcW w:w="0" w:type="auto"/>
            <w:hideMark/>
          </w:tcPr>
          <w:p w14:paraId="5BE7FFD1"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Director </w:t>
            </w:r>
          </w:p>
        </w:tc>
        <w:tc>
          <w:tcPr>
            <w:tcW w:w="0" w:type="auto"/>
            <w:hideMark/>
          </w:tcPr>
          <w:p w14:paraId="6E4DD59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3B079B1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Gustav Lundgren</w:t>
            </w:r>
          </w:p>
        </w:tc>
      </w:tr>
      <w:tr w:rsidR="004B2A77" w:rsidRPr="004B2A77" w14:paraId="0C409ED0" w14:textId="77777777" w:rsidTr="004B2A77">
        <w:trPr>
          <w:trHeight w:val="180"/>
          <w:tblCellSpacing w:w="15" w:type="dxa"/>
        </w:trPr>
        <w:tc>
          <w:tcPr>
            <w:tcW w:w="0" w:type="auto"/>
            <w:hideMark/>
          </w:tcPr>
          <w:p w14:paraId="0EEAC7C1"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5FFDF12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C1A692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Gustav Lundgren</w:t>
            </w:r>
          </w:p>
        </w:tc>
      </w:tr>
      <w:tr w:rsidR="004B2A77" w:rsidRPr="004B2A77" w14:paraId="5DCEAE95" w14:textId="77777777" w:rsidTr="004B2A77">
        <w:trPr>
          <w:tblCellSpacing w:w="15" w:type="dxa"/>
        </w:trPr>
        <w:tc>
          <w:tcPr>
            <w:tcW w:w="0" w:type="auto"/>
            <w:hideMark/>
          </w:tcPr>
          <w:p w14:paraId="26195A65"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5AD9D73"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607E0690"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75C4704F" w14:textId="77777777" w:rsidTr="004B2A77">
        <w:trPr>
          <w:trHeight w:val="180"/>
          <w:tblCellSpacing w:w="15" w:type="dxa"/>
        </w:trPr>
        <w:tc>
          <w:tcPr>
            <w:tcW w:w="0" w:type="auto"/>
            <w:hideMark/>
          </w:tcPr>
          <w:p w14:paraId="5D0C7606"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Director </w:t>
            </w:r>
          </w:p>
        </w:tc>
        <w:tc>
          <w:tcPr>
            <w:tcW w:w="0" w:type="auto"/>
            <w:hideMark/>
          </w:tcPr>
          <w:p w14:paraId="4218B39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48AED23E"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Martin Lundstedt</w:t>
            </w:r>
          </w:p>
        </w:tc>
      </w:tr>
      <w:tr w:rsidR="004B2A77" w:rsidRPr="004B2A77" w14:paraId="2C8FB338" w14:textId="77777777" w:rsidTr="004B2A77">
        <w:trPr>
          <w:trHeight w:val="180"/>
          <w:tblCellSpacing w:w="15" w:type="dxa"/>
        </w:trPr>
        <w:tc>
          <w:tcPr>
            <w:tcW w:w="0" w:type="auto"/>
            <w:hideMark/>
          </w:tcPr>
          <w:p w14:paraId="0C157419"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2E139E0D"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41A330B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Martin Lundstedt</w:t>
            </w:r>
          </w:p>
        </w:tc>
      </w:tr>
      <w:tr w:rsidR="004B2A77" w:rsidRPr="004B2A77" w14:paraId="5676FBA8" w14:textId="77777777" w:rsidTr="004B2A77">
        <w:trPr>
          <w:tblCellSpacing w:w="15" w:type="dxa"/>
        </w:trPr>
        <w:tc>
          <w:tcPr>
            <w:tcW w:w="0" w:type="auto"/>
            <w:hideMark/>
          </w:tcPr>
          <w:p w14:paraId="1FDB38AC"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3819E358"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c>
          <w:tcPr>
            <w:tcW w:w="0" w:type="auto"/>
            <w:hideMark/>
          </w:tcPr>
          <w:p w14:paraId="54337E09" w14:textId="77777777" w:rsidR="004B2A77" w:rsidRPr="004B2A77" w:rsidRDefault="004B2A77" w:rsidP="004B2A77">
            <w:pPr>
              <w:widowControl/>
              <w:jc w:val="left"/>
              <w:rPr>
                <w:rFonts w:ascii="Times New Roman" w:eastAsia="微软雅黑" w:hAnsi="Times New Roman" w:cs="Times New Roman"/>
                <w:kern w:val="0"/>
                <w:sz w:val="12"/>
                <w:szCs w:val="12"/>
              </w:rPr>
            </w:pPr>
            <w:r w:rsidRPr="004B2A77">
              <w:rPr>
                <w:rFonts w:ascii="Arial" w:eastAsia="微软雅黑" w:hAnsi="Arial" w:cs="Arial"/>
                <w:kern w:val="0"/>
                <w:sz w:val="12"/>
                <w:szCs w:val="12"/>
              </w:rPr>
              <w:t> </w:t>
            </w:r>
          </w:p>
        </w:tc>
      </w:tr>
      <w:tr w:rsidR="004B2A77" w:rsidRPr="004B2A77" w14:paraId="488C8D1A" w14:textId="77777777" w:rsidTr="004B2A77">
        <w:trPr>
          <w:trHeight w:val="180"/>
          <w:tblCellSpacing w:w="15" w:type="dxa"/>
        </w:trPr>
        <w:tc>
          <w:tcPr>
            <w:tcW w:w="0" w:type="auto"/>
            <w:hideMark/>
          </w:tcPr>
          <w:p w14:paraId="2DA1347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 xml:space="preserve">Director </w:t>
            </w:r>
          </w:p>
        </w:tc>
        <w:tc>
          <w:tcPr>
            <w:tcW w:w="0" w:type="auto"/>
            <w:hideMark/>
          </w:tcPr>
          <w:p w14:paraId="1C65E025"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tcBorders>
              <w:bottom w:val="single" w:sz="4" w:space="0" w:color="auto"/>
            </w:tcBorders>
            <w:hideMark/>
          </w:tcPr>
          <w:p w14:paraId="0B54A00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/s/ Thaddeus Senko</w:t>
            </w:r>
          </w:p>
        </w:tc>
      </w:tr>
      <w:tr w:rsidR="004B2A77" w:rsidRPr="004B2A77" w14:paraId="6C1F9428" w14:textId="77777777" w:rsidTr="004B2A77">
        <w:trPr>
          <w:trHeight w:val="180"/>
          <w:tblCellSpacing w:w="15" w:type="dxa"/>
        </w:trPr>
        <w:tc>
          <w:tcPr>
            <w:tcW w:w="0" w:type="auto"/>
            <w:hideMark/>
          </w:tcPr>
          <w:p w14:paraId="530E06BF"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5C25A13B"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2AA7381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color w:val="000000"/>
                <w:kern w:val="0"/>
                <w:sz w:val="18"/>
                <w:szCs w:val="18"/>
              </w:rPr>
              <w:t>Thaddeus Senko</w:t>
            </w:r>
          </w:p>
        </w:tc>
      </w:tr>
      <w:tr w:rsidR="004B2A77" w:rsidRPr="004B2A77" w14:paraId="6605708D" w14:textId="77777777" w:rsidTr="004B2A77">
        <w:trPr>
          <w:tblCellSpacing w:w="15" w:type="dxa"/>
        </w:trPr>
        <w:tc>
          <w:tcPr>
            <w:tcW w:w="0" w:type="auto"/>
            <w:hideMark/>
          </w:tcPr>
          <w:p w14:paraId="1283BF84"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6356DD87"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167D7530"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r w:rsidR="004B2A77" w:rsidRPr="004B2A77" w14:paraId="6637FF01" w14:textId="77777777" w:rsidTr="004B2A77">
        <w:trPr>
          <w:tblCellSpacing w:w="15" w:type="dxa"/>
        </w:trPr>
        <w:tc>
          <w:tcPr>
            <w:tcW w:w="0" w:type="auto"/>
            <w:hideMark/>
          </w:tcPr>
          <w:p w14:paraId="79BBC150" w14:textId="77777777" w:rsidR="004B2A77" w:rsidRPr="004B2A77" w:rsidRDefault="004B2A77" w:rsidP="004B2A77">
            <w:pPr>
              <w:widowControl/>
              <w:jc w:val="center"/>
              <w:rPr>
                <w:rFonts w:ascii="Times New Roman" w:eastAsia="微软雅黑" w:hAnsi="Times New Roman" w:cs="Times New Roman"/>
                <w:kern w:val="0"/>
                <w:sz w:val="20"/>
                <w:szCs w:val="20"/>
              </w:rPr>
            </w:pPr>
            <w:r w:rsidRPr="004B2A77">
              <w:rPr>
                <w:rFonts w:ascii="Arial" w:eastAsia="微软雅黑" w:hAnsi="Arial" w:cs="Arial"/>
                <w:kern w:val="0"/>
                <w:sz w:val="20"/>
                <w:szCs w:val="20"/>
              </w:rPr>
              <w:t> </w:t>
            </w:r>
          </w:p>
        </w:tc>
        <w:tc>
          <w:tcPr>
            <w:tcW w:w="0" w:type="auto"/>
            <w:hideMark/>
          </w:tcPr>
          <w:p w14:paraId="32F41013"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c>
          <w:tcPr>
            <w:tcW w:w="0" w:type="auto"/>
            <w:hideMark/>
          </w:tcPr>
          <w:p w14:paraId="58198609" w14:textId="77777777" w:rsidR="004B2A77" w:rsidRPr="004B2A77" w:rsidRDefault="004B2A77" w:rsidP="004B2A77">
            <w:pPr>
              <w:widowControl/>
              <w:jc w:val="left"/>
              <w:rPr>
                <w:rFonts w:ascii="Times New Roman" w:eastAsia="微软雅黑" w:hAnsi="Times New Roman" w:cs="Times New Roman"/>
                <w:kern w:val="0"/>
                <w:sz w:val="18"/>
                <w:szCs w:val="18"/>
              </w:rPr>
            </w:pPr>
            <w:r w:rsidRPr="004B2A77">
              <w:rPr>
                <w:rFonts w:ascii="Arial" w:eastAsia="微软雅黑" w:hAnsi="Arial" w:cs="Arial"/>
                <w:kern w:val="0"/>
                <w:sz w:val="18"/>
                <w:szCs w:val="18"/>
              </w:rPr>
              <w:t> </w:t>
            </w:r>
          </w:p>
        </w:tc>
      </w:tr>
    </w:tbl>
    <w:p w14:paraId="0D3EAD3F" w14:textId="77777777" w:rsidR="004B2A77" w:rsidRPr="004B2A77" w:rsidRDefault="004B2A77" w:rsidP="004B2A77">
      <w:pPr>
        <w:widowControl/>
        <w:rPr>
          <w:rFonts w:ascii="Times New Roman" w:eastAsia="宋体" w:hAnsi="Times New Roman" w:cs="Times New Roman"/>
          <w:color w:val="000000"/>
          <w:kern w:val="0"/>
          <w:sz w:val="20"/>
          <w:szCs w:val="20"/>
        </w:rPr>
      </w:pPr>
      <w:r w:rsidRPr="004B2A77">
        <w:rPr>
          <w:rFonts w:ascii="Times New Roman" w:eastAsia="宋体" w:hAnsi="Times New Roman" w:cs="Times New Roman"/>
          <w:color w:val="000000"/>
          <w:kern w:val="0"/>
          <w:sz w:val="20"/>
          <w:szCs w:val="20"/>
        </w:rPr>
        <w:t> </w:t>
      </w:r>
    </w:p>
    <w:p w14:paraId="3889023C"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96</w:t>
      </w:r>
    </w:p>
    <w:p w14:paraId="7B27820C"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0454AECC">
          <v:rect id="_x0000_i1123" style="width:0;height:1.5pt" o:hralign="center" o:hrstd="t" o:hrnoshade="t" o:hr="t" fillcolor="black" stroked="f"/>
        </w:pict>
      </w:r>
    </w:p>
    <w:p w14:paraId="35B506CA"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7CD233BE" w14:textId="77777777" w:rsidR="004B2A77" w:rsidRPr="004B2A77" w:rsidRDefault="004B2A77" w:rsidP="004B2A77">
      <w:pPr>
        <w:widowControl/>
        <w:spacing w:before="10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22"/>
        </w:rPr>
        <w:t>Glossary and Definitions</w:t>
      </w:r>
    </w:p>
    <w:p w14:paraId="2718015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 this report, the following company or industry specific terms and abbreviations are used:</w:t>
      </w:r>
    </w:p>
    <w:p w14:paraId="5EF8A0F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BCC</w:t>
      </w:r>
    </w:p>
    <w:p w14:paraId="0343808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Best Cost Country.</w:t>
      </w:r>
    </w:p>
    <w:p w14:paraId="4FA6138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CASH CONVERSION</w:t>
      </w:r>
    </w:p>
    <w:p w14:paraId="314912F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Free ca</w:t>
      </w:r>
      <w:r w:rsidRPr="004B2A77">
        <w:rPr>
          <w:rFonts w:ascii="Arial" w:eastAsia="宋体" w:hAnsi="Arial" w:cs="Arial"/>
          <w:color w:val="000000"/>
          <w:kern w:val="0"/>
          <w:sz w:val="20"/>
          <w:szCs w:val="20"/>
        </w:rPr>
        <w:t>sh flow in relation to net income.</w:t>
      </w:r>
    </w:p>
    <w:p w14:paraId="5B6A7409"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CAPITAL EMPLOYED</w:t>
      </w:r>
    </w:p>
    <w:p w14:paraId="1DF26E5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Total equity and net debt (net cash).</w:t>
      </w:r>
    </w:p>
    <w:p w14:paraId="787FB6C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CAPITAL EXPENDITURES</w:t>
      </w:r>
    </w:p>
    <w:p w14:paraId="5692D7F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Investments in property, plant and equipment.</w:t>
      </w:r>
    </w:p>
    <w:p w14:paraId="5A73EE1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CAPITAL TURN-OVER RATE</w:t>
      </w:r>
    </w:p>
    <w:p w14:paraId="2C815CD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Annual sales in relation to average capital employed.</w:t>
      </w:r>
    </w:p>
    <w:p w14:paraId="79D298D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CPV</w:t>
      </w:r>
    </w:p>
    <w:p w14:paraId="1F3D4A1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Content Per Vehicle, i.e. value of the safety products in a vehicle.</w:t>
      </w:r>
    </w:p>
    <w:p w14:paraId="0D4F343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DEVELOPED MARKETS</w:t>
      </w:r>
    </w:p>
    <w:p w14:paraId="3293B54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Includes North America, Western Europe, Japan and South Korea</w:t>
      </w:r>
    </w:p>
    <w:p w14:paraId="679DD8E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EARNINGS PER SHARE</w:t>
      </w:r>
    </w:p>
    <w:p w14:paraId="2D960E2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Net income attributable to controlling interest relative to weighted average number of shares (net of treasury shares) assuming dilution and basic, respectively.</w:t>
      </w:r>
    </w:p>
    <w:p w14:paraId="70A99C8C"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EBIT</w:t>
      </w:r>
    </w:p>
    <w:p w14:paraId="35E7916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Earnings before interest and taxes.</w:t>
      </w:r>
    </w:p>
    <w:p w14:paraId="0FC22803"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EBITDA</w:t>
      </w:r>
    </w:p>
    <w:p w14:paraId="2685BDC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Earnings before interest, taxes, depreciation, and amortization</w:t>
      </w:r>
    </w:p>
    <w:p w14:paraId="73CE4817"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FREE CASH FLOW</w:t>
      </w:r>
    </w:p>
    <w:p w14:paraId="4BB0A18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Cash flows from operating activities less capital expenditures, net.</w:t>
      </w:r>
    </w:p>
    <w:p w14:paraId="5231859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GROSS MARGIN</w:t>
      </w:r>
    </w:p>
    <w:p w14:paraId="50DEF1F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Gross profit relative to sales.</w:t>
      </w:r>
    </w:p>
    <w:p w14:paraId="13F61B41"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w:t>
      </w:r>
    </w:p>
    <w:p w14:paraId="638043C2" w14:textId="77777777" w:rsidR="004B2A77" w:rsidRPr="004B2A77" w:rsidRDefault="004B2A77" w:rsidP="004B2A77">
      <w:pPr>
        <w:widowControl/>
        <w:spacing w:before="16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GROWTH MARKETS</w:t>
      </w:r>
    </w:p>
    <w:p w14:paraId="4AB45DB1"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Includes all markets except North America, Western Europe, Japan and South Korea.</w:t>
      </w:r>
    </w:p>
    <w:p w14:paraId="047B1E9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HEADCOUNT</w:t>
      </w:r>
    </w:p>
    <w:p w14:paraId="0250CDF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Employees plus temporary personnel.</w:t>
      </w:r>
    </w:p>
    <w:p w14:paraId="70FB1B8E"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97</w:t>
      </w:r>
    </w:p>
    <w:p w14:paraId="6C5CFCB7"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3FC27D89">
          <v:rect id="_x0000_i1124" style="width:0;height:1.5pt" o:hralign="center" o:hrstd="t" o:hrnoshade="t" o:hr="t" fillcolor="black" stroked="f"/>
        </w:pict>
      </w:r>
    </w:p>
    <w:p w14:paraId="4657D910"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332F19E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lastRenderedPageBreak/>
        <w:t>INVENTORY OUTSTANDING IN RELATION TO SALES</w:t>
      </w:r>
    </w:p>
    <w:p w14:paraId="3101534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Outstanding inventory relative to annualized fourth quarter sales.</w:t>
      </w:r>
    </w:p>
    <w:p w14:paraId="1AE5035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LEVERAGE RATIO</w:t>
      </w:r>
    </w:p>
    <w:p w14:paraId="5EBE090E"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Debt per the Policy (Net debt adjusted for pension liabilities) in relation to EBITDA per the Policy (Adjusted EBITDA) (Earnings Before Interest, Taxes, Depreciation and Amortization, other non-operating items, net, income from equity method investments and capacity alignments), see Item 7 for a calculation of this non-U.S. GAAP measure.</w:t>
      </w:r>
    </w:p>
    <w:p w14:paraId="3B6E3FD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LMPU</w:t>
      </w:r>
    </w:p>
    <w:p w14:paraId="0F95031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Labor minutes per produced unit.</w:t>
      </w:r>
    </w:p>
    <w:p w14:paraId="62A3475D"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LVP</w:t>
      </w:r>
    </w:p>
    <w:p w14:paraId="2CF5B0B9"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Light vehicle production of light motor vehicles with a gross weight of up to 3.5 metric tons.</w:t>
      </w:r>
    </w:p>
    <w:p w14:paraId="68897F4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i/>
          <w:iCs/>
          <w:color w:val="000000"/>
          <w:kern w:val="0"/>
          <w:sz w:val="18"/>
          <w:szCs w:val="18"/>
        </w:rPr>
        <w:t>This 10-K includes content supplied by S&amp;P Global; Copyright © Light Vehicle Production Forecast, January 2022. All rights reserved. S&amp;P Global is a global supplier of independent industry information. The permission to use S&amp;P Global copyrighted reports, data and information does not constitute an endorsement or approval by S&amp;P Global of the manner, format, context, content, conclusion, opinion or viewpoint in which S&amp;P Global reports, data and information or its derivations are used or referenced herein.</w:t>
      </w:r>
    </w:p>
    <w:p w14:paraId="7DE57B7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NET DEBT</w:t>
      </w:r>
    </w:p>
    <w:p w14:paraId="67BF9E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Short and long-term debt including debt-related derivatives less cash and cash equivalents, see Non-U.S. GAAP Performance Measures in Item 7 for a reconciliation of this non-U.S. GAAP measure.</w:t>
      </w:r>
    </w:p>
    <w:p w14:paraId="3D3A80C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NET DEBT TO CAPITALIZATION</w:t>
      </w:r>
    </w:p>
    <w:p w14:paraId="086AEEE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Net debt in relation to total equity (including non-controlling interest) and net debt.</w:t>
      </w:r>
    </w:p>
    <w:p w14:paraId="095C6FB0"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NUMBER OF EMPLOYEES</w:t>
      </w:r>
    </w:p>
    <w:p w14:paraId="3A355CE6"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Employees with a continuous employment agreement, recalculated to full time equivalent heads.</w:t>
      </w:r>
    </w:p>
    <w:p w14:paraId="2C39B29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OEM</w:t>
      </w:r>
    </w:p>
    <w:p w14:paraId="3C85AFF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Original Equipment Manufacturer referring to customers assembling new vehicles.</w:t>
      </w:r>
    </w:p>
    <w:p w14:paraId="6FBD41EB"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OPERATING MARGIN</w:t>
      </w:r>
    </w:p>
    <w:p w14:paraId="4A96B960"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Operating income relative to sales.</w:t>
      </w:r>
    </w:p>
    <w:p w14:paraId="13526C0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OPERATING WORKING CAPITAL</w:t>
      </w:r>
    </w:p>
    <w:p w14:paraId="5C06D4F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lastRenderedPageBreak/>
        <w:t>Current assets excluding cash and cash equivalents less current liabilities excluding short-term debt. Any current derivatives reported in current assets and current liabilities related to net debt are excluded from operating working capital. See Non-U.S. GAAP Performance Measures in Item 7 for reconciliation of this non-U.S. GAAP measure.</w:t>
      </w:r>
    </w:p>
    <w:p w14:paraId="0D2580D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OUR MARKET</w:t>
      </w:r>
    </w:p>
    <w:p w14:paraId="72CD9CC3"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 xml:space="preserve">Our products include seatbelts, airbags and steering wheels. </w:t>
      </w:r>
    </w:p>
    <w:p w14:paraId="5503D60E"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PAYABLES OUTSTANDING IN RELATION TO SALES</w:t>
      </w:r>
    </w:p>
    <w:p w14:paraId="0F37C29D"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Outstanding payables relative to annualized fourth quarter sales.</w:t>
      </w:r>
    </w:p>
    <w:p w14:paraId="6931A73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PRETAX MARGIN</w:t>
      </w:r>
    </w:p>
    <w:p w14:paraId="30EA0E27"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Income before taxes relative to sales.</w:t>
      </w:r>
    </w:p>
    <w:p w14:paraId="1E2DC81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RECEIVABLES OUTSTANDING IN RELATION TO SALES</w:t>
      </w:r>
    </w:p>
    <w:p w14:paraId="5D61A645"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Outstanding receivables relative to annualized fourth quarter sales.</w:t>
      </w:r>
    </w:p>
    <w:p w14:paraId="06347A57"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98</w:t>
      </w:r>
    </w:p>
    <w:p w14:paraId="264603D8"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2356B7CE">
          <v:rect id="_x0000_i1125" style="width:0;height:1.5pt" o:hralign="center" o:hrstd="t" o:hrnoshade="t" o:hr="t" fillcolor="black" stroked="f"/>
        </w:pict>
      </w:r>
    </w:p>
    <w:p w14:paraId="670E3DB3" w14:textId="77777777" w:rsidR="004B2A77" w:rsidRPr="004B2A77" w:rsidRDefault="004B2A77" w:rsidP="004B2A77">
      <w:pPr>
        <w:widowControl/>
        <w:jc w:val="left"/>
        <w:rPr>
          <w:rFonts w:ascii="Times New Roman" w:eastAsia="宋体" w:hAnsi="Times New Roman" w:cs="Times New Roman"/>
          <w:color w:val="000000"/>
          <w:kern w:val="0"/>
          <w:sz w:val="20"/>
          <w:szCs w:val="20"/>
        </w:rPr>
      </w:pPr>
      <w:r w:rsidRPr="004B2A77">
        <w:rPr>
          <w:rFonts w:ascii="Arial" w:eastAsia="宋体" w:hAnsi="Arial" w:cs="Arial"/>
          <w:color w:val="000000"/>
          <w:kern w:val="0"/>
          <w:sz w:val="2"/>
          <w:szCs w:val="2"/>
        </w:rPr>
        <w:t> </w:t>
      </w:r>
    </w:p>
    <w:p w14:paraId="2861D9C4"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RETURN ON CAPITAL EMPLOYED</w:t>
      </w:r>
    </w:p>
    <w:p w14:paraId="4CEBF098"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Operating income and equity in earnings of affiliates, relative to average capital employed.</w:t>
      </w:r>
    </w:p>
    <w:p w14:paraId="1279E07F"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RETURN ON TOTAL EQUITY</w:t>
      </w:r>
    </w:p>
    <w:p w14:paraId="68A6237A"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Net income relative to average total equity.</w:t>
      </w:r>
    </w:p>
    <w:p w14:paraId="48ABFA21"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ROA</w:t>
      </w:r>
    </w:p>
    <w:p w14:paraId="08A792AB"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Rest of Asia includes all Asian countries except China and Japan.</w:t>
      </w:r>
    </w:p>
    <w:p w14:paraId="1FB252F6"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TOTAL EQUITY RATIO</w:t>
      </w:r>
    </w:p>
    <w:p w14:paraId="17255A9F"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Total equity relative to total assets.</w:t>
      </w:r>
    </w:p>
    <w:p w14:paraId="0F124288" w14:textId="77777777" w:rsidR="004B2A77" w:rsidRPr="004B2A77" w:rsidRDefault="004B2A77" w:rsidP="004B2A77">
      <w:pPr>
        <w:widowControl/>
        <w:spacing w:before="340"/>
        <w:rPr>
          <w:rFonts w:ascii="Times New Roman" w:eastAsia="宋体" w:hAnsi="Times New Roman" w:cs="Times New Roman"/>
          <w:color w:val="000000"/>
          <w:kern w:val="0"/>
          <w:sz w:val="20"/>
          <w:szCs w:val="20"/>
        </w:rPr>
      </w:pPr>
      <w:r w:rsidRPr="004B2A77">
        <w:rPr>
          <w:rFonts w:ascii="Arial" w:eastAsia="宋体" w:hAnsi="Arial" w:cs="Arial"/>
          <w:b/>
          <w:bCs/>
          <w:color w:val="000000"/>
          <w:kern w:val="0"/>
          <w:sz w:val="18"/>
          <w:szCs w:val="18"/>
        </w:rPr>
        <w:t>TRADE WORKING CAPITAL</w:t>
      </w:r>
    </w:p>
    <w:p w14:paraId="4A8F1ACC" w14:textId="77777777" w:rsidR="004B2A77" w:rsidRPr="004B2A77" w:rsidRDefault="004B2A77" w:rsidP="004B2A77">
      <w:pPr>
        <w:widowControl/>
        <w:spacing w:before="120"/>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Outstanding receivables and outstanding inventory less outstanding payables.</w:t>
      </w:r>
    </w:p>
    <w:p w14:paraId="6F03D135" w14:textId="77777777" w:rsidR="004B2A77" w:rsidRPr="004B2A77" w:rsidRDefault="004B2A77" w:rsidP="004B2A77">
      <w:pPr>
        <w:widowControl/>
        <w:spacing w:before="240"/>
        <w:jc w:val="center"/>
        <w:rPr>
          <w:rFonts w:ascii="Times New Roman" w:eastAsia="宋体" w:hAnsi="Times New Roman" w:cs="Times New Roman"/>
          <w:color w:val="000000"/>
          <w:kern w:val="0"/>
          <w:sz w:val="20"/>
          <w:szCs w:val="20"/>
        </w:rPr>
      </w:pPr>
      <w:r w:rsidRPr="004B2A77">
        <w:rPr>
          <w:rFonts w:ascii="Arial" w:eastAsia="宋体" w:hAnsi="Arial" w:cs="Arial"/>
          <w:color w:val="000000"/>
          <w:kern w:val="0"/>
          <w:sz w:val="18"/>
          <w:szCs w:val="18"/>
        </w:rPr>
        <w:t>99</w:t>
      </w:r>
    </w:p>
    <w:p w14:paraId="007DDAF0" w14:textId="77777777" w:rsidR="004B2A77" w:rsidRPr="004B2A77" w:rsidRDefault="004B2A77" w:rsidP="004B2A77">
      <w:pPr>
        <w:widowControl/>
        <w:jc w:val="left"/>
        <w:rPr>
          <w:rFonts w:ascii="宋体" w:eastAsia="宋体" w:hAnsi="宋体" w:cs="宋体"/>
          <w:kern w:val="0"/>
          <w:sz w:val="24"/>
          <w:szCs w:val="24"/>
        </w:rPr>
      </w:pPr>
      <w:r w:rsidRPr="004B2A77">
        <w:rPr>
          <w:rFonts w:ascii="宋体" w:eastAsia="宋体" w:hAnsi="宋体" w:cs="宋体"/>
          <w:kern w:val="0"/>
          <w:sz w:val="24"/>
          <w:szCs w:val="24"/>
        </w:rPr>
        <w:pict w14:anchorId="50D614CE">
          <v:rect id="_x0000_i1126" style="width:0;height:1.5pt" o:hralign="center" o:hrstd="t" o:hrnoshade="t" o:hr="t" fillcolor="black" stroked="f"/>
        </w:pict>
      </w:r>
    </w:p>
    <w:p w14:paraId="7947807A" w14:textId="77777777" w:rsidR="00D821B2" w:rsidRPr="00CA007F" w:rsidRDefault="00D821B2" w:rsidP="00CA007F"/>
    <w:sectPr w:rsidR="00D821B2" w:rsidRPr="00CA00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BA68" w14:textId="77777777" w:rsidR="00054B5C" w:rsidRDefault="00054B5C" w:rsidP="004B2A77">
      <w:r>
        <w:separator/>
      </w:r>
    </w:p>
  </w:endnote>
  <w:endnote w:type="continuationSeparator" w:id="0">
    <w:p w14:paraId="16F00050" w14:textId="77777777" w:rsidR="00054B5C" w:rsidRDefault="00054B5C" w:rsidP="004B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5965A" w14:textId="77777777" w:rsidR="00054B5C" w:rsidRDefault="00054B5C" w:rsidP="004B2A77">
      <w:r>
        <w:separator/>
      </w:r>
    </w:p>
  </w:footnote>
  <w:footnote w:type="continuationSeparator" w:id="0">
    <w:p w14:paraId="41FDE62E" w14:textId="77777777" w:rsidR="00054B5C" w:rsidRDefault="00054B5C" w:rsidP="004B2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7F"/>
    <w:rsid w:val="00054B5C"/>
    <w:rsid w:val="004B2A77"/>
    <w:rsid w:val="00CA007F"/>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AA004"/>
  <w15:chartTrackingRefBased/>
  <w15:docId w15:val="{C0715B95-08AB-4288-8842-2B01F416D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2A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2A77"/>
    <w:rPr>
      <w:sz w:val="18"/>
      <w:szCs w:val="18"/>
    </w:rPr>
  </w:style>
  <w:style w:type="paragraph" w:styleId="a5">
    <w:name w:val="footer"/>
    <w:basedOn w:val="a"/>
    <w:link w:val="a6"/>
    <w:uiPriority w:val="99"/>
    <w:unhideWhenUsed/>
    <w:rsid w:val="004B2A77"/>
    <w:pPr>
      <w:tabs>
        <w:tab w:val="center" w:pos="4153"/>
        <w:tab w:val="right" w:pos="8306"/>
      </w:tabs>
      <w:snapToGrid w:val="0"/>
      <w:jc w:val="left"/>
    </w:pPr>
    <w:rPr>
      <w:sz w:val="18"/>
      <w:szCs w:val="18"/>
    </w:rPr>
  </w:style>
  <w:style w:type="character" w:customStyle="1" w:styleId="a6">
    <w:name w:val="页脚 字符"/>
    <w:basedOn w:val="a0"/>
    <w:link w:val="a5"/>
    <w:uiPriority w:val="99"/>
    <w:rsid w:val="004B2A77"/>
    <w:rPr>
      <w:sz w:val="18"/>
      <w:szCs w:val="18"/>
    </w:rPr>
  </w:style>
  <w:style w:type="paragraph" w:customStyle="1" w:styleId="msonormal0">
    <w:name w:val="msonormal"/>
    <w:basedOn w:val="a"/>
    <w:rsid w:val="004B2A77"/>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4B2A77"/>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B2A77"/>
    <w:rPr>
      <w:color w:val="0000FF"/>
      <w:u w:val="single"/>
    </w:rPr>
  </w:style>
  <w:style w:type="character" w:styleId="a9">
    <w:name w:val="FollowedHyperlink"/>
    <w:basedOn w:val="a0"/>
    <w:uiPriority w:val="99"/>
    <w:semiHidden/>
    <w:unhideWhenUsed/>
    <w:rsid w:val="004B2A7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7232">
      <w:bodyDiv w:val="1"/>
      <w:marLeft w:val="0"/>
      <w:marRight w:val="0"/>
      <w:marTop w:val="0"/>
      <w:marBottom w:val="0"/>
      <w:divBdr>
        <w:top w:val="none" w:sz="0" w:space="0" w:color="auto"/>
        <w:left w:val="none" w:sz="0" w:space="0" w:color="auto"/>
        <w:bottom w:val="none" w:sz="0" w:space="0" w:color="auto"/>
        <w:right w:val="none" w:sz="0" w:space="0" w:color="auto"/>
      </w:divBdr>
      <w:divsChild>
        <w:div w:id="150560937">
          <w:marLeft w:val="0"/>
          <w:marRight w:val="0"/>
          <w:marTop w:val="0"/>
          <w:marBottom w:val="0"/>
          <w:divBdr>
            <w:top w:val="none" w:sz="0" w:space="0" w:color="auto"/>
            <w:left w:val="none" w:sz="0" w:space="0" w:color="auto"/>
            <w:bottom w:val="none" w:sz="0" w:space="0" w:color="auto"/>
            <w:right w:val="none" w:sz="0" w:space="0" w:color="auto"/>
          </w:divBdr>
        </w:div>
        <w:div w:id="3288072">
          <w:marLeft w:val="933"/>
          <w:marRight w:val="0"/>
          <w:marTop w:val="120"/>
          <w:marBottom w:val="0"/>
          <w:divBdr>
            <w:top w:val="none" w:sz="0" w:space="0" w:color="auto"/>
            <w:left w:val="none" w:sz="0" w:space="0" w:color="auto"/>
            <w:bottom w:val="none" w:sz="0" w:space="0" w:color="auto"/>
            <w:right w:val="none" w:sz="0" w:space="0" w:color="auto"/>
          </w:divBdr>
          <w:divsChild>
            <w:div w:id="36467119">
              <w:marLeft w:val="0"/>
              <w:marRight w:val="0"/>
              <w:marTop w:val="0"/>
              <w:marBottom w:val="0"/>
              <w:divBdr>
                <w:top w:val="none" w:sz="0" w:space="0" w:color="auto"/>
                <w:left w:val="none" w:sz="0" w:space="0" w:color="auto"/>
                <w:bottom w:val="none" w:sz="0" w:space="0" w:color="auto"/>
                <w:right w:val="none" w:sz="0" w:space="0" w:color="auto"/>
              </w:divBdr>
            </w:div>
          </w:divsChild>
        </w:div>
        <w:div w:id="1356686825">
          <w:marLeft w:val="933"/>
          <w:marRight w:val="0"/>
          <w:marTop w:val="120"/>
          <w:marBottom w:val="0"/>
          <w:divBdr>
            <w:top w:val="none" w:sz="0" w:space="0" w:color="auto"/>
            <w:left w:val="none" w:sz="0" w:space="0" w:color="auto"/>
            <w:bottom w:val="none" w:sz="0" w:space="0" w:color="auto"/>
            <w:right w:val="none" w:sz="0" w:space="0" w:color="auto"/>
          </w:divBdr>
          <w:divsChild>
            <w:div w:id="1420566402">
              <w:marLeft w:val="0"/>
              <w:marRight w:val="0"/>
              <w:marTop w:val="0"/>
              <w:marBottom w:val="0"/>
              <w:divBdr>
                <w:top w:val="none" w:sz="0" w:space="0" w:color="auto"/>
                <w:left w:val="none" w:sz="0" w:space="0" w:color="auto"/>
                <w:bottom w:val="none" w:sz="0" w:space="0" w:color="auto"/>
                <w:right w:val="none" w:sz="0" w:space="0" w:color="auto"/>
              </w:divBdr>
            </w:div>
          </w:divsChild>
        </w:div>
        <w:div w:id="2104568299">
          <w:marLeft w:val="935"/>
          <w:marRight w:val="0"/>
          <w:marTop w:val="120"/>
          <w:marBottom w:val="0"/>
          <w:divBdr>
            <w:top w:val="none" w:sz="0" w:space="0" w:color="auto"/>
            <w:left w:val="none" w:sz="0" w:space="0" w:color="auto"/>
            <w:bottom w:val="none" w:sz="0" w:space="0" w:color="auto"/>
            <w:right w:val="none" w:sz="0" w:space="0" w:color="auto"/>
          </w:divBdr>
          <w:divsChild>
            <w:div w:id="1110929763">
              <w:marLeft w:val="0"/>
              <w:marRight w:val="0"/>
              <w:marTop w:val="0"/>
              <w:marBottom w:val="0"/>
              <w:divBdr>
                <w:top w:val="none" w:sz="0" w:space="0" w:color="auto"/>
                <w:left w:val="none" w:sz="0" w:space="0" w:color="auto"/>
                <w:bottom w:val="none" w:sz="0" w:space="0" w:color="auto"/>
                <w:right w:val="none" w:sz="0" w:space="0" w:color="auto"/>
              </w:divBdr>
            </w:div>
          </w:divsChild>
        </w:div>
        <w:div w:id="133497876">
          <w:marLeft w:val="935"/>
          <w:marRight w:val="0"/>
          <w:marTop w:val="120"/>
          <w:marBottom w:val="0"/>
          <w:divBdr>
            <w:top w:val="none" w:sz="0" w:space="0" w:color="auto"/>
            <w:left w:val="none" w:sz="0" w:space="0" w:color="auto"/>
            <w:bottom w:val="none" w:sz="0" w:space="0" w:color="auto"/>
            <w:right w:val="none" w:sz="0" w:space="0" w:color="auto"/>
          </w:divBdr>
          <w:divsChild>
            <w:div w:id="925649438">
              <w:marLeft w:val="0"/>
              <w:marRight w:val="0"/>
              <w:marTop w:val="0"/>
              <w:marBottom w:val="0"/>
              <w:divBdr>
                <w:top w:val="none" w:sz="0" w:space="0" w:color="auto"/>
                <w:left w:val="none" w:sz="0" w:space="0" w:color="auto"/>
                <w:bottom w:val="none" w:sz="0" w:space="0" w:color="auto"/>
                <w:right w:val="none" w:sz="0" w:space="0" w:color="auto"/>
              </w:divBdr>
            </w:div>
          </w:divsChild>
        </w:div>
        <w:div w:id="1659840424">
          <w:marLeft w:val="935"/>
          <w:marRight w:val="0"/>
          <w:marTop w:val="120"/>
          <w:marBottom w:val="0"/>
          <w:divBdr>
            <w:top w:val="none" w:sz="0" w:space="0" w:color="auto"/>
            <w:left w:val="none" w:sz="0" w:space="0" w:color="auto"/>
            <w:bottom w:val="none" w:sz="0" w:space="0" w:color="auto"/>
            <w:right w:val="none" w:sz="0" w:space="0" w:color="auto"/>
          </w:divBdr>
          <w:divsChild>
            <w:div w:id="1999923023">
              <w:marLeft w:val="0"/>
              <w:marRight w:val="0"/>
              <w:marTop w:val="0"/>
              <w:marBottom w:val="0"/>
              <w:divBdr>
                <w:top w:val="none" w:sz="0" w:space="0" w:color="auto"/>
                <w:left w:val="none" w:sz="0" w:space="0" w:color="auto"/>
                <w:bottom w:val="none" w:sz="0" w:space="0" w:color="auto"/>
                <w:right w:val="none" w:sz="0" w:space="0" w:color="auto"/>
              </w:divBdr>
            </w:div>
          </w:divsChild>
        </w:div>
        <w:div w:id="1522626919">
          <w:marLeft w:val="935"/>
          <w:marRight w:val="0"/>
          <w:marTop w:val="120"/>
          <w:marBottom w:val="0"/>
          <w:divBdr>
            <w:top w:val="none" w:sz="0" w:space="0" w:color="auto"/>
            <w:left w:val="none" w:sz="0" w:space="0" w:color="auto"/>
            <w:bottom w:val="none" w:sz="0" w:space="0" w:color="auto"/>
            <w:right w:val="none" w:sz="0" w:space="0" w:color="auto"/>
          </w:divBdr>
          <w:divsChild>
            <w:div w:id="1507555792">
              <w:marLeft w:val="0"/>
              <w:marRight w:val="0"/>
              <w:marTop w:val="0"/>
              <w:marBottom w:val="0"/>
              <w:divBdr>
                <w:top w:val="none" w:sz="0" w:space="0" w:color="auto"/>
                <w:left w:val="none" w:sz="0" w:space="0" w:color="auto"/>
                <w:bottom w:val="none" w:sz="0" w:space="0" w:color="auto"/>
                <w:right w:val="none" w:sz="0" w:space="0" w:color="auto"/>
              </w:divBdr>
            </w:div>
          </w:divsChild>
        </w:div>
        <w:div w:id="326323185">
          <w:marLeft w:val="935"/>
          <w:marRight w:val="0"/>
          <w:marTop w:val="120"/>
          <w:marBottom w:val="0"/>
          <w:divBdr>
            <w:top w:val="none" w:sz="0" w:space="0" w:color="auto"/>
            <w:left w:val="none" w:sz="0" w:space="0" w:color="auto"/>
            <w:bottom w:val="none" w:sz="0" w:space="0" w:color="auto"/>
            <w:right w:val="none" w:sz="0" w:space="0" w:color="auto"/>
          </w:divBdr>
          <w:divsChild>
            <w:div w:id="682173413">
              <w:marLeft w:val="0"/>
              <w:marRight w:val="0"/>
              <w:marTop w:val="0"/>
              <w:marBottom w:val="0"/>
              <w:divBdr>
                <w:top w:val="none" w:sz="0" w:space="0" w:color="auto"/>
                <w:left w:val="none" w:sz="0" w:space="0" w:color="auto"/>
                <w:bottom w:val="none" w:sz="0" w:space="0" w:color="auto"/>
                <w:right w:val="none" w:sz="0" w:space="0" w:color="auto"/>
              </w:divBdr>
            </w:div>
          </w:divsChild>
        </w:div>
        <w:div w:id="37557586">
          <w:marLeft w:val="935"/>
          <w:marRight w:val="0"/>
          <w:marTop w:val="120"/>
          <w:marBottom w:val="0"/>
          <w:divBdr>
            <w:top w:val="none" w:sz="0" w:space="0" w:color="auto"/>
            <w:left w:val="none" w:sz="0" w:space="0" w:color="auto"/>
            <w:bottom w:val="none" w:sz="0" w:space="0" w:color="auto"/>
            <w:right w:val="none" w:sz="0" w:space="0" w:color="auto"/>
          </w:divBdr>
          <w:divsChild>
            <w:div w:id="1879051171">
              <w:marLeft w:val="0"/>
              <w:marRight w:val="0"/>
              <w:marTop w:val="0"/>
              <w:marBottom w:val="0"/>
              <w:divBdr>
                <w:top w:val="none" w:sz="0" w:space="0" w:color="auto"/>
                <w:left w:val="none" w:sz="0" w:space="0" w:color="auto"/>
                <w:bottom w:val="none" w:sz="0" w:space="0" w:color="auto"/>
                <w:right w:val="none" w:sz="0" w:space="0" w:color="auto"/>
              </w:divBdr>
            </w:div>
          </w:divsChild>
        </w:div>
        <w:div w:id="1808891842">
          <w:marLeft w:val="935"/>
          <w:marRight w:val="0"/>
          <w:marTop w:val="120"/>
          <w:marBottom w:val="0"/>
          <w:divBdr>
            <w:top w:val="none" w:sz="0" w:space="0" w:color="auto"/>
            <w:left w:val="none" w:sz="0" w:space="0" w:color="auto"/>
            <w:bottom w:val="none" w:sz="0" w:space="0" w:color="auto"/>
            <w:right w:val="none" w:sz="0" w:space="0" w:color="auto"/>
          </w:divBdr>
          <w:divsChild>
            <w:div w:id="2055037304">
              <w:marLeft w:val="0"/>
              <w:marRight w:val="0"/>
              <w:marTop w:val="0"/>
              <w:marBottom w:val="0"/>
              <w:divBdr>
                <w:top w:val="none" w:sz="0" w:space="0" w:color="auto"/>
                <w:left w:val="none" w:sz="0" w:space="0" w:color="auto"/>
                <w:bottom w:val="none" w:sz="0" w:space="0" w:color="auto"/>
                <w:right w:val="none" w:sz="0" w:space="0" w:color="auto"/>
              </w:divBdr>
            </w:div>
          </w:divsChild>
        </w:div>
        <w:div w:id="686566973">
          <w:marLeft w:val="935"/>
          <w:marRight w:val="0"/>
          <w:marTop w:val="120"/>
          <w:marBottom w:val="0"/>
          <w:divBdr>
            <w:top w:val="none" w:sz="0" w:space="0" w:color="auto"/>
            <w:left w:val="none" w:sz="0" w:space="0" w:color="auto"/>
            <w:bottom w:val="none" w:sz="0" w:space="0" w:color="auto"/>
            <w:right w:val="none" w:sz="0" w:space="0" w:color="auto"/>
          </w:divBdr>
          <w:divsChild>
            <w:div w:id="1186018686">
              <w:marLeft w:val="0"/>
              <w:marRight w:val="0"/>
              <w:marTop w:val="0"/>
              <w:marBottom w:val="0"/>
              <w:divBdr>
                <w:top w:val="none" w:sz="0" w:space="0" w:color="auto"/>
                <w:left w:val="none" w:sz="0" w:space="0" w:color="auto"/>
                <w:bottom w:val="none" w:sz="0" w:space="0" w:color="auto"/>
                <w:right w:val="none" w:sz="0" w:space="0" w:color="auto"/>
              </w:divBdr>
            </w:div>
          </w:divsChild>
        </w:div>
        <w:div w:id="2042588995">
          <w:marLeft w:val="935"/>
          <w:marRight w:val="0"/>
          <w:marTop w:val="120"/>
          <w:marBottom w:val="0"/>
          <w:divBdr>
            <w:top w:val="none" w:sz="0" w:space="0" w:color="auto"/>
            <w:left w:val="none" w:sz="0" w:space="0" w:color="auto"/>
            <w:bottom w:val="none" w:sz="0" w:space="0" w:color="auto"/>
            <w:right w:val="none" w:sz="0" w:space="0" w:color="auto"/>
          </w:divBdr>
          <w:divsChild>
            <w:div w:id="2123303156">
              <w:marLeft w:val="0"/>
              <w:marRight w:val="0"/>
              <w:marTop w:val="0"/>
              <w:marBottom w:val="0"/>
              <w:divBdr>
                <w:top w:val="none" w:sz="0" w:space="0" w:color="auto"/>
                <w:left w:val="none" w:sz="0" w:space="0" w:color="auto"/>
                <w:bottom w:val="none" w:sz="0" w:space="0" w:color="auto"/>
                <w:right w:val="none" w:sz="0" w:space="0" w:color="auto"/>
              </w:divBdr>
            </w:div>
          </w:divsChild>
        </w:div>
        <w:div w:id="659767816">
          <w:marLeft w:val="935"/>
          <w:marRight w:val="0"/>
          <w:marTop w:val="120"/>
          <w:marBottom w:val="0"/>
          <w:divBdr>
            <w:top w:val="none" w:sz="0" w:space="0" w:color="auto"/>
            <w:left w:val="none" w:sz="0" w:space="0" w:color="auto"/>
            <w:bottom w:val="none" w:sz="0" w:space="0" w:color="auto"/>
            <w:right w:val="none" w:sz="0" w:space="0" w:color="auto"/>
          </w:divBdr>
          <w:divsChild>
            <w:div w:id="2053381520">
              <w:marLeft w:val="0"/>
              <w:marRight w:val="0"/>
              <w:marTop w:val="0"/>
              <w:marBottom w:val="0"/>
              <w:divBdr>
                <w:top w:val="none" w:sz="0" w:space="0" w:color="auto"/>
                <w:left w:val="none" w:sz="0" w:space="0" w:color="auto"/>
                <w:bottom w:val="none" w:sz="0" w:space="0" w:color="auto"/>
                <w:right w:val="none" w:sz="0" w:space="0" w:color="auto"/>
              </w:divBdr>
            </w:div>
          </w:divsChild>
        </w:div>
        <w:div w:id="2144155888">
          <w:marLeft w:val="935"/>
          <w:marRight w:val="0"/>
          <w:marTop w:val="120"/>
          <w:marBottom w:val="0"/>
          <w:divBdr>
            <w:top w:val="none" w:sz="0" w:space="0" w:color="auto"/>
            <w:left w:val="none" w:sz="0" w:space="0" w:color="auto"/>
            <w:bottom w:val="none" w:sz="0" w:space="0" w:color="auto"/>
            <w:right w:val="none" w:sz="0" w:space="0" w:color="auto"/>
          </w:divBdr>
          <w:divsChild>
            <w:div w:id="2123110452">
              <w:marLeft w:val="0"/>
              <w:marRight w:val="0"/>
              <w:marTop w:val="0"/>
              <w:marBottom w:val="0"/>
              <w:divBdr>
                <w:top w:val="none" w:sz="0" w:space="0" w:color="auto"/>
                <w:left w:val="none" w:sz="0" w:space="0" w:color="auto"/>
                <w:bottom w:val="none" w:sz="0" w:space="0" w:color="auto"/>
                <w:right w:val="none" w:sz="0" w:space="0" w:color="auto"/>
              </w:divBdr>
            </w:div>
          </w:divsChild>
        </w:div>
        <w:div w:id="862129052">
          <w:marLeft w:val="935"/>
          <w:marRight w:val="0"/>
          <w:marTop w:val="120"/>
          <w:marBottom w:val="0"/>
          <w:divBdr>
            <w:top w:val="none" w:sz="0" w:space="0" w:color="auto"/>
            <w:left w:val="none" w:sz="0" w:space="0" w:color="auto"/>
            <w:bottom w:val="none" w:sz="0" w:space="0" w:color="auto"/>
            <w:right w:val="none" w:sz="0" w:space="0" w:color="auto"/>
          </w:divBdr>
          <w:divsChild>
            <w:div w:id="2042777427">
              <w:marLeft w:val="0"/>
              <w:marRight w:val="0"/>
              <w:marTop w:val="0"/>
              <w:marBottom w:val="0"/>
              <w:divBdr>
                <w:top w:val="none" w:sz="0" w:space="0" w:color="auto"/>
                <w:left w:val="none" w:sz="0" w:space="0" w:color="auto"/>
                <w:bottom w:val="none" w:sz="0" w:space="0" w:color="auto"/>
                <w:right w:val="none" w:sz="0" w:space="0" w:color="auto"/>
              </w:divBdr>
            </w:div>
          </w:divsChild>
        </w:div>
        <w:div w:id="2098358858">
          <w:marLeft w:val="0"/>
          <w:marRight w:val="0"/>
          <w:marTop w:val="0"/>
          <w:marBottom w:val="0"/>
          <w:divBdr>
            <w:top w:val="none" w:sz="0" w:space="0" w:color="auto"/>
            <w:left w:val="none" w:sz="0" w:space="0" w:color="auto"/>
            <w:bottom w:val="none" w:sz="0" w:space="0" w:color="auto"/>
            <w:right w:val="none" w:sz="0" w:space="0" w:color="auto"/>
          </w:divBdr>
          <w:divsChild>
            <w:div w:id="312948636">
              <w:marLeft w:val="0"/>
              <w:marRight w:val="0"/>
              <w:marTop w:val="0"/>
              <w:marBottom w:val="0"/>
              <w:divBdr>
                <w:top w:val="none" w:sz="0" w:space="0" w:color="auto"/>
                <w:left w:val="none" w:sz="0" w:space="0" w:color="auto"/>
                <w:bottom w:val="none" w:sz="0" w:space="0" w:color="auto"/>
                <w:right w:val="none" w:sz="0" w:space="0" w:color="auto"/>
              </w:divBdr>
            </w:div>
            <w:div w:id="1641038019">
              <w:marLeft w:val="0"/>
              <w:marRight w:val="0"/>
              <w:marTop w:val="0"/>
              <w:marBottom w:val="0"/>
              <w:divBdr>
                <w:top w:val="none" w:sz="0" w:space="0" w:color="auto"/>
                <w:left w:val="none" w:sz="0" w:space="0" w:color="auto"/>
                <w:bottom w:val="none" w:sz="0" w:space="0" w:color="auto"/>
                <w:right w:val="none" w:sz="0" w:space="0" w:color="auto"/>
              </w:divBdr>
              <w:divsChild>
                <w:div w:id="1138185262">
                  <w:marLeft w:val="935"/>
                  <w:marRight w:val="0"/>
                  <w:marTop w:val="120"/>
                  <w:marBottom w:val="0"/>
                  <w:divBdr>
                    <w:top w:val="none" w:sz="0" w:space="0" w:color="auto"/>
                    <w:left w:val="none" w:sz="0" w:space="0" w:color="auto"/>
                    <w:bottom w:val="none" w:sz="0" w:space="0" w:color="auto"/>
                    <w:right w:val="none" w:sz="0" w:space="0" w:color="auto"/>
                  </w:divBdr>
                  <w:divsChild>
                    <w:div w:id="1871798901">
                      <w:marLeft w:val="0"/>
                      <w:marRight w:val="0"/>
                      <w:marTop w:val="0"/>
                      <w:marBottom w:val="0"/>
                      <w:divBdr>
                        <w:top w:val="none" w:sz="0" w:space="0" w:color="auto"/>
                        <w:left w:val="none" w:sz="0" w:space="0" w:color="auto"/>
                        <w:bottom w:val="none" w:sz="0" w:space="0" w:color="auto"/>
                        <w:right w:val="none" w:sz="0" w:space="0" w:color="auto"/>
                      </w:divBdr>
                    </w:div>
                  </w:divsChild>
                </w:div>
                <w:div w:id="1241909762">
                  <w:marLeft w:val="935"/>
                  <w:marRight w:val="0"/>
                  <w:marTop w:val="120"/>
                  <w:marBottom w:val="0"/>
                  <w:divBdr>
                    <w:top w:val="none" w:sz="0" w:space="0" w:color="auto"/>
                    <w:left w:val="none" w:sz="0" w:space="0" w:color="auto"/>
                    <w:bottom w:val="none" w:sz="0" w:space="0" w:color="auto"/>
                    <w:right w:val="none" w:sz="0" w:space="0" w:color="auto"/>
                  </w:divBdr>
                  <w:divsChild>
                    <w:div w:id="285619035">
                      <w:marLeft w:val="0"/>
                      <w:marRight w:val="0"/>
                      <w:marTop w:val="0"/>
                      <w:marBottom w:val="0"/>
                      <w:divBdr>
                        <w:top w:val="none" w:sz="0" w:space="0" w:color="auto"/>
                        <w:left w:val="none" w:sz="0" w:space="0" w:color="auto"/>
                        <w:bottom w:val="none" w:sz="0" w:space="0" w:color="auto"/>
                        <w:right w:val="none" w:sz="0" w:space="0" w:color="auto"/>
                      </w:divBdr>
                    </w:div>
                  </w:divsChild>
                </w:div>
                <w:div w:id="126172086">
                  <w:marLeft w:val="935"/>
                  <w:marRight w:val="0"/>
                  <w:marTop w:val="120"/>
                  <w:marBottom w:val="0"/>
                  <w:divBdr>
                    <w:top w:val="none" w:sz="0" w:space="0" w:color="auto"/>
                    <w:left w:val="none" w:sz="0" w:space="0" w:color="auto"/>
                    <w:bottom w:val="none" w:sz="0" w:space="0" w:color="auto"/>
                    <w:right w:val="none" w:sz="0" w:space="0" w:color="auto"/>
                  </w:divBdr>
                  <w:divsChild>
                    <w:div w:id="456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89967">
              <w:marLeft w:val="0"/>
              <w:marRight w:val="0"/>
              <w:marTop w:val="0"/>
              <w:marBottom w:val="0"/>
              <w:divBdr>
                <w:top w:val="none" w:sz="0" w:space="0" w:color="auto"/>
                <w:left w:val="none" w:sz="0" w:space="0" w:color="auto"/>
                <w:bottom w:val="none" w:sz="0" w:space="0" w:color="auto"/>
                <w:right w:val="none" w:sz="0" w:space="0" w:color="auto"/>
              </w:divBdr>
            </w:div>
          </w:divsChild>
        </w:div>
        <w:div w:id="1817407320">
          <w:marLeft w:val="0"/>
          <w:marRight w:val="0"/>
          <w:marTop w:val="0"/>
          <w:marBottom w:val="0"/>
          <w:divBdr>
            <w:top w:val="none" w:sz="0" w:space="0" w:color="auto"/>
            <w:left w:val="none" w:sz="0" w:space="0" w:color="auto"/>
            <w:bottom w:val="none" w:sz="0" w:space="0" w:color="auto"/>
            <w:right w:val="none" w:sz="0" w:space="0" w:color="auto"/>
          </w:divBdr>
          <w:divsChild>
            <w:div w:id="1296062570">
              <w:marLeft w:val="0"/>
              <w:marRight w:val="0"/>
              <w:marTop w:val="0"/>
              <w:marBottom w:val="0"/>
              <w:divBdr>
                <w:top w:val="none" w:sz="0" w:space="0" w:color="auto"/>
                <w:left w:val="none" w:sz="0" w:space="0" w:color="auto"/>
                <w:bottom w:val="none" w:sz="0" w:space="0" w:color="auto"/>
                <w:right w:val="none" w:sz="0" w:space="0" w:color="auto"/>
              </w:divBdr>
            </w:div>
            <w:div w:id="2073650564">
              <w:marLeft w:val="0"/>
              <w:marRight w:val="0"/>
              <w:marTop w:val="0"/>
              <w:marBottom w:val="0"/>
              <w:divBdr>
                <w:top w:val="none" w:sz="0" w:space="0" w:color="auto"/>
                <w:left w:val="none" w:sz="0" w:space="0" w:color="auto"/>
                <w:bottom w:val="none" w:sz="0" w:space="0" w:color="auto"/>
                <w:right w:val="none" w:sz="0" w:space="0" w:color="auto"/>
              </w:divBdr>
            </w:div>
            <w:div w:id="760181598">
              <w:marLeft w:val="0"/>
              <w:marRight w:val="0"/>
              <w:marTop w:val="0"/>
              <w:marBottom w:val="0"/>
              <w:divBdr>
                <w:top w:val="none" w:sz="0" w:space="0" w:color="auto"/>
                <w:left w:val="none" w:sz="0" w:space="0" w:color="auto"/>
                <w:bottom w:val="none" w:sz="0" w:space="0" w:color="auto"/>
                <w:right w:val="none" w:sz="0" w:space="0" w:color="auto"/>
              </w:divBdr>
            </w:div>
            <w:div w:id="376054046">
              <w:marLeft w:val="0"/>
              <w:marRight w:val="0"/>
              <w:marTop w:val="0"/>
              <w:marBottom w:val="0"/>
              <w:divBdr>
                <w:top w:val="none" w:sz="0" w:space="0" w:color="auto"/>
                <w:left w:val="none" w:sz="0" w:space="0" w:color="auto"/>
                <w:bottom w:val="none" w:sz="0" w:space="0" w:color="auto"/>
                <w:right w:val="none" w:sz="0" w:space="0" w:color="auto"/>
              </w:divBdr>
            </w:div>
            <w:div w:id="449125390">
              <w:marLeft w:val="0"/>
              <w:marRight w:val="0"/>
              <w:marTop w:val="0"/>
              <w:marBottom w:val="0"/>
              <w:divBdr>
                <w:top w:val="none" w:sz="0" w:space="0" w:color="auto"/>
                <w:left w:val="none" w:sz="0" w:space="0" w:color="auto"/>
                <w:bottom w:val="none" w:sz="0" w:space="0" w:color="auto"/>
                <w:right w:val="none" w:sz="0" w:space="0" w:color="auto"/>
              </w:divBdr>
            </w:div>
            <w:div w:id="1638491776">
              <w:marLeft w:val="0"/>
              <w:marRight w:val="0"/>
              <w:marTop w:val="0"/>
              <w:marBottom w:val="0"/>
              <w:divBdr>
                <w:top w:val="none" w:sz="0" w:space="0" w:color="auto"/>
                <w:left w:val="none" w:sz="0" w:space="0" w:color="auto"/>
                <w:bottom w:val="none" w:sz="0" w:space="0" w:color="auto"/>
                <w:right w:val="none" w:sz="0" w:space="0" w:color="auto"/>
              </w:divBdr>
            </w:div>
            <w:div w:id="1753770721">
              <w:marLeft w:val="0"/>
              <w:marRight w:val="0"/>
              <w:marTop w:val="0"/>
              <w:marBottom w:val="0"/>
              <w:divBdr>
                <w:top w:val="none" w:sz="0" w:space="0" w:color="auto"/>
                <w:left w:val="none" w:sz="0" w:space="0" w:color="auto"/>
                <w:bottom w:val="none" w:sz="0" w:space="0" w:color="auto"/>
                <w:right w:val="none" w:sz="0" w:space="0" w:color="auto"/>
              </w:divBdr>
            </w:div>
            <w:div w:id="1652564264">
              <w:marLeft w:val="0"/>
              <w:marRight w:val="0"/>
              <w:marTop w:val="0"/>
              <w:marBottom w:val="0"/>
              <w:divBdr>
                <w:top w:val="none" w:sz="0" w:space="0" w:color="auto"/>
                <w:left w:val="none" w:sz="0" w:space="0" w:color="auto"/>
                <w:bottom w:val="none" w:sz="0" w:space="0" w:color="auto"/>
                <w:right w:val="none" w:sz="0" w:space="0" w:color="auto"/>
              </w:divBdr>
            </w:div>
            <w:div w:id="200748501">
              <w:marLeft w:val="0"/>
              <w:marRight w:val="0"/>
              <w:marTop w:val="0"/>
              <w:marBottom w:val="0"/>
              <w:divBdr>
                <w:top w:val="none" w:sz="0" w:space="0" w:color="auto"/>
                <w:left w:val="none" w:sz="0" w:space="0" w:color="auto"/>
                <w:bottom w:val="none" w:sz="0" w:space="0" w:color="auto"/>
                <w:right w:val="none" w:sz="0" w:space="0" w:color="auto"/>
              </w:divBdr>
            </w:div>
            <w:div w:id="1453599660">
              <w:marLeft w:val="0"/>
              <w:marRight w:val="0"/>
              <w:marTop w:val="0"/>
              <w:marBottom w:val="0"/>
              <w:divBdr>
                <w:top w:val="none" w:sz="0" w:space="0" w:color="auto"/>
                <w:left w:val="none" w:sz="0" w:space="0" w:color="auto"/>
                <w:bottom w:val="none" w:sz="0" w:space="0" w:color="auto"/>
                <w:right w:val="none" w:sz="0" w:space="0" w:color="auto"/>
              </w:divBdr>
            </w:div>
            <w:div w:id="1925341232">
              <w:marLeft w:val="0"/>
              <w:marRight w:val="0"/>
              <w:marTop w:val="0"/>
              <w:marBottom w:val="0"/>
              <w:divBdr>
                <w:top w:val="none" w:sz="0" w:space="0" w:color="auto"/>
                <w:left w:val="none" w:sz="0" w:space="0" w:color="auto"/>
                <w:bottom w:val="none" w:sz="0" w:space="0" w:color="auto"/>
                <w:right w:val="none" w:sz="0" w:space="0" w:color="auto"/>
              </w:divBdr>
            </w:div>
            <w:div w:id="781338225">
              <w:marLeft w:val="0"/>
              <w:marRight w:val="0"/>
              <w:marTop w:val="0"/>
              <w:marBottom w:val="0"/>
              <w:divBdr>
                <w:top w:val="none" w:sz="0" w:space="0" w:color="auto"/>
                <w:left w:val="none" w:sz="0" w:space="0" w:color="auto"/>
                <w:bottom w:val="none" w:sz="0" w:space="0" w:color="auto"/>
                <w:right w:val="none" w:sz="0" w:space="0" w:color="auto"/>
              </w:divBdr>
            </w:div>
            <w:div w:id="183907690">
              <w:marLeft w:val="0"/>
              <w:marRight w:val="0"/>
              <w:marTop w:val="0"/>
              <w:marBottom w:val="0"/>
              <w:divBdr>
                <w:top w:val="none" w:sz="0" w:space="0" w:color="auto"/>
                <w:left w:val="none" w:sz="0" w:space="0" w:color="auto"/>
                <w:bottom w:val="none" w:sz="0" w:space="0" w:color="auto"/>
                <w:right w:val="none" w:sz="0" w:space="0" w:color="auto"/>
              </w:divBdr>
            </w:div>
            <w:div w:id="916282505">
              <w:marLeft w:val="0"/>
              <w:marRight w:val="0"/>
              <w:marTop w:val="0"/>
              <w:marBottom w:val="0"/>
              <w:divBdr>
                <w:top w:val="none" w:sz="0" w:space="0" w:color="auto"/>
                <w:left w:val="none" w:sz="0" w:space="0" w:color="auto"/>
                <w:bottom w:val="none" w:sz="0" w:space="0" w:color="auto"/>
                <w:right w:val="none" w:sz="0" w:space="0" w:color="auto"/>
              </w:divBdr>
            </w:div>
            <w:div w:id="414282017">
              <w:marLeft w:val="0"/>
              <w:marRight w:val="0"/>
              <w:marTop w:val="0"/>
              <w:marBottom w:val="0"/>
              <w:divBdr>
                <w:top w:val="none" w:sz="0" w:space="0" w:color="auto"/>
                <w:left w:val="none" w:sz="0" w:space="0" w:color="auto"/>
                <w:bottom w:val="none" w:sz="0" w:space="0" w:color="auto"/>
                <w:right w:val="none" w:sz="0" w:space="0" w:color="auto"/>
              </w:divBdr>
            </w:div>
            <w:div w:id="406542327">
              <w:marLeft w:val="0"/>
              <w:marRight w:val="0"/>
              <w:marTop w:val="0"/>
              <w:marBottom w:val="0"/>
              <w:divBdr>
                <w:top w:val="none" w:sz="0" w:space="0" w:color="auto"/>
                <w:left w:val="none" w:sz="0" w:space="0" w:color="auto"/>
                <w:bottom w:val="none" w:sz="0" w:space="0" w:color="auto"/>
                <w:right w:val="none" w:sz="0" w:space="0" w:color="auto"/>
              </w:divBdr>
            </w:div>
            <w:div w:id="1260722190">
              <w:marLeft w:val="0"/>
              <w:marRight w:val="0"/>
              <w:marTop w:val="0"/>
              <w:marBottom w:val="0"/>
              <w:divBdr>
                <w:top w:val="none" w:sz="0" w:space="0" w:color="auto"/>
                <w:left w:val="none" w:sz="0" w:space="0" w:color="auto"/>
                <w:bottom w:val="none" w:sz="0" w:space="0" w:color="auto"/>
                <w:right w:val="none" w:sz="0" w:space="0" w:color="auto"/>
              </w:divBdr>
            </w:div>
            <w:div w:id="1919628820">
              <w:marLeft w:val="0"/>
              <w:marRight w:val="0"/>
              <w:marTop w:val="0"/>
              <w:marBottom w:val="0"/>
              <w:divBdr>
                <w:top w:val="none" w:sz="0" w:space="0" w:color="auto"/>
                <w:left w:val="none" w:sz="0" w:space="0" w:color="auto"/>
                <w:bottom w:val="none" w:sz="0" w:space="0" w:color="auto"/>
                <w:right w:val="none" w:sz="0" w:space="0" w:color="auto"/>
              </w:divBdr>
            </w:div>
            <w:div w:id="964582192">
              <w:marLeft w:val="0"/>
              <w:marRight w:val="0"/>
              <w:marTop w:val="0"/>
              <w:marBottom w:val="0"/>
              <w:divBdr>
                <w:top w:val="none" w:sz="0" w:space="0" w:color="auto"/>
                <w:left w:val="none" w:sz="0" w:space="0" w:color="auto"/>
                <w:bottom w:val="none" w:sz="0" w:space="0" w:color="auto"/>
                <w:right w:val="none" w:sz="0" w:space="0" w:color="auto"/>
              </w:divBdr>
            </w:div>
            <w:div w:id="1842039293">
              <w:marLeft w:val="0"/>
              <w:marRight w:val="0"/>
              <w:marTop w:val="0"/>
              <w:marBottom w:val="0"/>
              <w:divBdr>
                <w:top w:val="none" w:sz="0" w:space="0" w:color="auto"/>
                <w:left w:val="none" w:sz="0" w:space="0" w:color="auto"/>
                <w:bottom w:val="none" w:sz="0" w:space="0" w:color="auto"/>
                <w:right w:val="none" w:sz="0" w:space="0" w:color="auto"/>
              </w:divBdr>
            </w:div>
            <w:div w:id="2121872410">
              <w:marLeft w:val="0"/>
              <w:marRight w:val="0"/>
              <w:marTop w:val="0"/>
              <w:marBottom w:val="0"/>
              <w:divBdr>
                <w:top w:val="none" w:sz="0" w:space="0" w:color="auto"/>
                <w:left w:val="none" w:sz="0" w:space="0" w:color="auto"/>
                <w:bottom w:val="none" w:sz="0" w:space="0" w:color="auto"/>
                <w:right w:val="none" w:sz="0" w:space="0" w:color="auto"/>
              </w:divBdr>
            </w:div>
            <w:div w:id="1722245842">
              <w:marLeft w:val="0"/>
              <w:marRight w:val="0"/>
              <w:marTop w:val="0"/>
              <w:marBottom w:val="0"/>
              <w:divBdr>
                <w:top w:val="none" w:sz="0" w:space="0" w:color="auto"/>
                <w:left w:val="none" w:sz="0" w:space="0" w:color="auto"/>
                <w:bottom w:val="none" w:sz="0" w:space="0" w:color="auto"/>
                <w:right w:val="none" w:sz="0" w:space="0" w:color="auto"/>
              </w:divBdr>
            </w:div>
            <w:div w:id="1123841799">
              <w:marLeft w:val="0"/>
              <w:marRight w:val="0"/>
              <w:marTop w:val="0"/>
              <w:marBottom w:val="0"/>
              <w:divBdr>
                <w:top w:val="none" w:sz="0" w:space="0" w:color="auto"/>
                <w:left w:val="none" w:sz="0" w:space="0" w:color="auto"/>
                <w:bottom w:val="none" w:sz="0" w:space="0" w:color="auto"/>
                <w:right w:val="none" w:sz="0" w:space="0" w:color="auto"/>
              </w:divBdr>
            </w:div>
          </w:divsChild>
        </w:div>
        <w:div w:id="2066756071">
          <w:marLeft w:val="0"/>
          <w:marRight w:val="0"/>
          <w:marTop w:val="0"/>
          <w:marBottom w:val="0"/>
          <w:divBdr>
            <w:top w:val="none" w:sz="0" w:space="0" w:color="auto"/>
            <w:left w:val="none" w:sz="0" w:space="0" w:color="auto"/>
            <w:bottom w:val="none" w:sz="0" w:space="0" w:color="auto"/>
            <w:right w:val="none" w:sz="0" w:space="0" w:color="auto"/>
          </w:divBdr>
          <w:divsChild>
            <w:div w:id="1836990944">
              <w:marLeft w:val="0"/>
              <w:marRight w:val="0"/>
              <w:marTop w:val="0"/>
              <w:marBottom w:val="0"/>
              <w:divBdr>
                <w:top w:val="none" w:sz="0" w:space="0" w:color="auto"/>
                <w:left w:val="none" w:sz="0" w:space="0" w:color="auto"/>
                <w:bottom w:val="none" w:sz="0" w:space="0" w:color="auto"/>
                <w:right w:val="none" w:sz="0" w:space="0" w:color="auto"/>
              </w:divBdr>
            </w:div>
            <w:div w:id="247546496">
              <w:marLeft w:val="0"/>
              <w:marRight w:val="0"/>
              <w:marTop w:val="0"/>
              <w:marBottom w:val="0"/>
              <w:divBdr>
                <w:top w:val="none" w:sz="0" w:space="0" w:color="auto"/>
                <w:left w:val="none" w:sz="0" w:space="0" w:color="auto"/>
                <w:bottom w:val="none" w:sz="0" w:space="0" w:color="auto"/>
                <w:right w:val="none" w:sz="0" w:space="0" w:color="auto"/>
              </w:divBdr>
            </w:div>
            <w:div w:id="548493291">
              <w:marLeft w:val="0"/>
              <w:marRight w:val="0"/>
              <w:marTop w:val="0"/>
              <w:marBottom w:val="0"/>
              <w:divBdr>
                <w:top w:val="none" w:sz="0" w:space="0" w:color="auto"/>
                <w:left w:val="none" w:sz="0" w:space="0" w:color="auto"/>
                <w:bottom w:val="none" w:sz="0" w:space="0" w:color="auto"/>
                <w:right w:val="none" w:sz="0" w:space="0" w:color="auto"/>
              </w:divBdr>
            </w:div>
          </w:divsChild>
        </w:div>
        <w:div w:id="2111047146">
          <w:marLeft w:val="0"/>
          <w:marRight w:val="0"/>
          <w:marTop w:val="0"/>
          <w:marBottom w:val="0"/>
          <w:divBdr>
            <w:top w:val="none" w:sz="0" w:space="0" w:color="auto"/>
            <w:left w:val="none" w:sz="0" w:space="0" w:color="auto"/>
            <w:bottom w:val="none" w:sz="0" w:space="0" w:color="auto"/>
            <w:right w:val="none" w:sz="0" w:space="0" w:color="auto"/>
          </w:divBdr>
          <w:divsChild>
            <w:div w:id="24336470">
              <w:marLeft w:val="0"/>
              <w:marRight w:val="0"/>
              <w:marTop w:val="0"/>
              <w:marBottom w:val="0"/>
              <w:divBdr>
                <w:top w:val="none" w:sz="0" w:space="0" w:color="auto"/>
                <w:left w:val="none" w:sz="0" w:space="0" w:color="auto"/>
                <w:bottom w:val="none" w:sz="0" w:space="0" w:color="auto"/>
                <w:right w:val="none" w:sz="0" w:space="0" w:color="auto"/>
              </w:divBdr>
            </w:div>
            <w:div w:id="1776710073">
              <w:marLeft w:val="0"/>
              <w:marRight w:val="0"/>
              <w:marTop w:val="0"/>
              <w:marBottom w:val="0"/>
              <w:divBdr>
                <w:top w:val="none" w:sz="0" w:space="0" w:color="auto"/>
                <w:left w:val="none" w:sz="0" w:space="0" w:color="auto"/>
                <w:bottom w:val="none" w:sz="0" w:space="0" w:color="auto"/>
                <w:right w:val="none" w:sz="0" w:space="0" w:color="auto"/>
              </w:divBdr>
            </w:div>
            <w:div w:id="1121722674">
              <w:marLeft w:val="0"/>
              <w:marRight w:val="0"/>
              <w:marTop w:val="0"/>
              <w:marBottom w:val="0"/>
              <w:divBdr>
                <w:top w:val="none" w:sz="0" w:space="0" w:color="auto"/>
                <w:left w:val="none" w:sz="0" w:space="0" w:color="auto"/>
                <w:bottom w:val="none" w:sz="0" w:space="0" w:color="auto"/>
                <w:right w:val="none" w:sz="0" w:space="0" w:color="auto"/>
              </w:divBdr>
            </w:div>
            <w:div w:id="367337821">
              <w:marLeft w:val="0"/>
              <w:marRight w:val="0"/>
              <w:marTop w:val="0"/>
              <w:marBottom w:val="0"/>
              <w:divBdr>
                <w:top w:val="none" w:sz="0" w:space="0" w:color="auto"/>
                <w:left w:val="none" w:sz="0" w:space="0" w:color="auto"/>
                <w:bottom w:val="none" w:sz="0" w:space="0" w:color="auto"/>
                <w:right w:val="none" w:sz="0" w:space="0" w:color="auto"/>
              </w:divBdr>
            </w:div>
          </w:divsChild>
        </w:div>
        <w:div w:id="1389525433">
          <w:marLeft w:val="0"/>
          <w:marRight w:val="0"/>
          <w:marTop w:val="0"/>
          <w:marBottom w:val="0"/>
          <w:divBdr>
            <w:top w:val="none" w:sz="0" w:space="0" w:color="auto"/>
            <w:left w:val="none" w:sz="0" w:space="0" w:color="auto"/>
            <w:bottom w:val="none" w:sz="0" w:space="0" w:color="auto"/>
            <w:right w:val="none" w:sz="0" w:space="0" w:color="auto"/>
          </w:divBdr>
          <w:divsChild>
            <w:div w:id="575087618">
              <w:marLeft w:val="0"/>
              <w:marRight w:val="0"/>
              <w:marTop w:val="0"/>
              <w:marBottom w:val="0"/>
              <w:divBdr>
                <w:top w:val="none" w:sz="0" w:space="0" w:color="auto"/>
                <w:left w:val="none" w:sz="0" w:space="0" w:color="auto"/>
                <w:bottom w:val="none" w:sz="0" w:space="0" w:color="auto"/>
                <w:right w:val="none" w:sz="0" w:space="0" w:color="auto"/>
              </w:divBdr>
            </w:div>
            <w:div w:id="1502623764">
              <w:marLeft w:val="0"/>
              <w:marRight w:val="0"/>
              <w:marTop w:val="0"/>
              <w:marBottom w:val="0"/>
              <w:divBdr>
                <w:top w:val="none" w:sz="0" w:space="0" w:color="auto"/>
                <w:left w:val="none" w:sz="0" w:space="0" w:color="auto"/>
                <w:bottom w:val="none" w:sz="0" w:space="0" w:color="auto"/>
                <w:right w:val="none" w:sz="0" w:space="0" w:color="auto"/>
              </w:divBdr>
            </w:div>
            <w:div w:id="2087216092">
              <w:marLeft w:val="0"/>
              <w:marRight w:val="0"/>
              <w:marTop w:val="0"/>
              <w:marBottom w:val="0"/>
              <w:divBdr>
                <w:top w:val="none" w:sz="0" w:space="0" w:color="auto"/>
                <w:left w:val="none" w:sz="0" w:space="0" w:color="auto"/>
                <w:bottom w:val="none" w:sz="0" w:space="0" w:color="auto"/>
                <w:right w:val="none" w:sz="0" w:space="0" w:color="auto"/>
              </w:divBdr>
            </w:div>
            <w:div w:id="565913788">
              <w:marLeft w:val="0"/>
              <w:marRight w:val="0"/>
              <w:marTop w:val="0"/>
              <w:marBottom w:val="0"/>
              <w:divBdr>
                <w:top w:val="none" w:sz="0" w:space="0" w:color="auto"/>
                <w:left w:val="none" w:sz="0" w:space="0" w:color="auto"/>
                <w:bottom w:val="none" w:sz="0" w:space="0" w:color="auto"/>
                <w:right w:val="none" w:sz="0" w:space="0" w:color="auto"/>
              </w:divBdr>
            </w:div>
            <w:div w:id="626203588">
              <w:marLeft w:val="0"/>
              <w:marRight w:val="0"/>
              <w:marTop w:val="0"/>
              <w:marBottom w:val="0"/>
              <w:divBdr>
                <w:top w:val="none" w:sz="0" w:space="0" w:color="auto"/>
                <w:left w:val="none" w:sz="0" w:space="0" w:color="auto"/>
                <w:bottom w:val="none" w:sz="0" w:space="0" w:color="auto"/>
                <w:right w:val="none" w:sz="0" w:space="0" w:color="auto"/>
              </w:divBdr>
            </w:div>
            <w:div w:id="926570915">
              <w:marLeft w:val="0"/>
              <w:marRight w:val="0"/>
              <w:marTop w:val="0"/>
              <w:marBottom w:val="0"/>
              <w:divBdr>
                <w:top w:val="none" w:sz="0" w:space="0" w:color="auto"/>
                <w:left w:val="none" w:sz="0" w:space="0" w:color="auto"/>
                <w:bottom w:val="none" w:sz="0" w:space="0" w:color="auto"/>
                <w:right w:val="none" w:sz="0" w:space="0" w:color="auto"/>
              </w:divBdr>
            </w:div>
          </w:divsChild>
        </w:div>
        <w:div w:id="1996494307">
          <w:marLeft w:val="0"/>
          <w:marRight w:val="0"/>
          <w:marTop w:val="0"/>
          <w:marBottom w:val="0"/>
          <w:divBdr>
            <w:top w:val="none" w:sz="0" w:space="0" w:color="auto"/>
            <w:left w:val="none" w:sz="0" w:space="0" w:color="auto"/>
            <w:bottom w:val="none" w:sz="0" w:space="0" w:color="auto"/>
            <w:right w:val="none" w:sz="0" w:space="0" w:color="auto"/>
          </w:divBdr>
          <w:divsChild>
            <w:div w:id="1873305229">
              <w:marLeft w:val="0"/>
              <w:marRight w:val="0"/>
              <w:marTop w:val="0"/>
              <w:marBottom w:val="0"/>
              <w:divBdr>
                <w:top w:val="none" w:sz="0" w:space="0" w:color="auto"/>
                <w:left w:val="none" w:sz="0" w:space="0" w:color="auto"/>
                <w:bottom w:val="none" w:sz="0" w:space="0" w:color="auto"/>
                <w:right w:val="none" w:sz="0" w:space="0" w:color="auto"/>
              </w:divBdr>
            </w:div>
          </w:divsChild>
        </w:div>
        <w:div w:id="98070290">
          <w:marLeft w:val="0"/>
          <w:marRight w:val="0"/>
          <w:marTop w:val="0"/>
          <w:marBottom w:val="0"/>
          <w:divBdr>
            <w:top w:val="none" w:sz="0" w:space="0" w:color="auto"/>
            <w:left w:val="none" w:sz="0" w:space="0" w:color="auto"/>
            <w:bottom w:val="none" w:sz="0" w:space="0" w:color="auto"/>
            <w:right w:val="none" w:sz="0" w:space="0" w:color="auto"/>
          </w:divBdr>
          <w:divsChild>
            <w:div w:id="2003313116">
              <w:marLeft w:val="0"/>
              <w:marRight w:val="0"/>
              <w:marTop w:val="0"/>
              <w:marBottom w:val="0"/>
              <w:divBdr>
                <w:top w:val="none" w:sz="0" w:space="0" w:color="auto"/>
                <w:left w:val="none" w:sz="0" w:space="0" w:color="auto"/>
                <w:bottom w:val="none" w:sz="0" w:space="0" w:color="auto"/>
                <w:right w:val="none" w:sz="0" w:space="0" w:color="auto"/>
              </w:divBdr>
            </w:div>
          </w:divsChild>
        </w:div>
        <w:div w:id="2112045025">
          <w:marLeft w:val="0"/>
          <w:marRight w:val="0"/>
          <w:marTop w:val="0"/>
          <w:marBottom w:val="0"/>
          <w:divBdr>
            <w:top w:val="none" w:sz="0" w:space="0" w:color="auto"/>
            <w:left w:val="none" w:sz="0" w:space="0" w:color="auto"/>
            <w:bottom w:val="none" w:sz="0" w:space="0" w:color="auto"/>
            <w:right w:val="none" w:sz="0" w:space="0" w:color="auto"/>
          </w:divBdr>
          <w:divsChild>
            <w:div w:id="348219266">
              <w:marLeft w:val="0"/>
              <w:marRight w:val="0"/>
              <w:marTop w:val="0"/>
              <w:marBottom w:val="0"/>
              <w:divBdr>
                <w:top w:val="none" w:sz="0" w:space="0" w:color="auto"/>
                <w:left w:val="none" w:sz="0" w:space="0" w:color="auto"/>
                <w:bottom w:val="none" w:sz="0" w:space="0" w:color="auto"/>
                <w:right w:val="none" w:sz="0" w:space="0" w:color="auto"/>
              </w:divBdr>
            </w:div>
          </w:divsChild>
        </w:div>
        <w:div w:id="1980918345">
          <w:marLeft w:val="0"/>
          <w:marRight w:val="0"/>
          <w:marTop w:val="0"/>
          <w:marBottom w:val="0"/>
          <w:divBdr>
            <w:top w:val="none" w:sz="0" w:space="0" w:color="auto"/>
            <w:left w:val="none" w:sz="0" w:space="0" w:color="auto"/>
            <w:bottom w:val="none" w:sz="0" w:space="0" w:color="auto"/>
            <w:right w:val="none" w:sz="0" w:space="0" w:color="auto"/>
          </w:divBdr>
          <w:divsChild>
            <w:div w:id="1154444067">
              <w:marLeft w:val="0"/>
              <w:marRight w:val="0"/>
              <w:marTop w:val="0"/>
              <w:marBottom w:val="0"/>
              <w:divBdr>
                <w:top w:val="none" w:sz="0" w:space="0" w:color="auto"/>
                <w:left w:val="none" w:sz="0" w:space="0" w:color="auto"/>
                <w:bottom w:val="none" w:sz="0" w:space="0" w:color="auto"/>
                <w:right w:val="none" w:sz="0" w:space="0" w:color="auto"/>
              </w:divBdr>
            </w:div>
            <w:div w:id="1400135203">
              <w:marLeft w:val="0"/>
              <w:marRight w:val="0"/>
              <w:marTop w:val="0"/>
              <w:marBottom w:val="0"/>
              <w:divBdr>
                <w:top w:val="none" w:sz="0" w:space="0" w:color="auto"/>
                <w:left w:val="none" w:sz="0" w:space="0" w:color="auto"/>
                <w:bottom w:val="none" w:sz="0" w:space="0" w:color="auto"/>
                <w:right w:val="none" w:sz="0" w:space="0" w:color="auto"/>
              </w:divBdr>
            </w:div>
          </w:divsChild>
        </w:div>
        <w:div w:id="1958020246">
          <w:marLeft w:val="0"/>
          <w:marRight w:val="0"/>
          <w:marTop w:val="0"/>
          <w:marBottom w:val="0"/>
          <w:divBdr>
            <w:top w:val="none" w:sz="0" w:space="0" w:color="auto"/>
            <w:left w:val="none" w:sz="0" w:space="0" w:color="auto"/>
            <w:bottom w:val="none" w:sz="0" w:space="0" w:color="auto"/>
            <w:right w:val="none" w:sz="0" w:space="0" w:color="auto"/>
          </w:divBdr>
          <w:divsChild>
            <w:div w:id="2140221262">
              <w:marLeft w:val="0"/>
              <w:marRight w:val="0"/>
              <w:marTop w:val="0"/>
              <w:marBottom w:val="0"/>
              <w:divBdr>
                <w:top w:val="none" w:sz="0" w:space="0" w:color="auto"/>
                <w:left w:val="none" w:sz="0" w:space="0" w:color="auto"/>
                <w:bottom w:val="none" w:sz="0" w:space="0" w:color="auto"/>
                <w:right w:val="none" w:sz="0" w:space="0" w:color="auto"/>
              </w:divBdr>
            </w:div>
            <w:div w:id="1215655263">
              <w:marLeft w:val="0"/>
              <w:marRight w:val="0"/>
              <w:marTop w:val="0"/>
              <w:marBottom w:val="0"/>
              <w:divBdr>
                <w:top w:val="none" w:sz="0" w:space="0" w:color="auto"/>
                <w:left w:val="none" w:sz="0" w:space="0" w:color="auto"/>
                <w:bottom w:val="none" w:sz="0" w:space="0" w:color="auto"/>
                <w:right w:val="none" w:sz="0" w:space="0" w:color="auto"/>
              </w:divBdr>
            </w:div>
          </w:divsChild>
        </w:div>
        <w:div w:id="811756328">
          <w:marLeft w:val="0"/>
          <w:marRight w:val="0"/>
          <w:marTop w:val="0"/>
          <w:marBottom w:val="0"/>
          <w:divBdr>
            <w:top w:val="none" w:sz="0" w:space="0" w:color="auto"/>
            <w:left w:val="none" w:sz="0" w:space="0" w:color="auto"/>
            <w:bottom w:val="none" w:sz="0" w:space="0" w:color="auto"/>
            <w:right w:val="none" w:sz="0" w:space="0" w:color="auto"/>
          </w:divBdr>
          <w:divsChild>
            <w:div w:id="242228144">
              <w:marLeft w:val="0"/>
              <w:marRight w:val="0"/>
              <w:marTop w:val="0"/>
              <w:marBottom w:val="0"/>
              <w:divBdr>
                <w:top w:val="none" w:sz="0" w:space="0" w:color="auto"/>
                <w:left w:val="none" w:sz="0" w:space="0" w:color="auto"/>
                <w:bottom w:val="none" w:sz="0" w:space="0" w:color="auto"/>
                <w:right w:val="none" w:sz="0" w:space="0" w:color="auto"/>
              </w:divBdr>
            </w:div>
          </w:divsChild>
        </w:div>
        <w:div w:id="1791701239">
          <w:marLeft w:val="0"/>
          <w:marRight w:val="0"/>
          <w:marTop w:val="0"/>
          <w:marBottom w:val="0"/>
          <w:divBdr>
            <w:top w:val="none" w:sz="0" w:space="0" w:color="auto"/>
            <w:left w:val="none" w:sz="0" w:space="0" w:color="auto"/>
            <w:bottom w:val="none" w:sz="0" w:space="0" w:color="auto"/>
            <w:right w:val="none" w:sz="0" w:space="0" w:color="auto"/>
          </w:divBdr>
          <w:divsChild>
            <w:div w:id="1822234678">
              <w:marLeft w:val="0"/>
              <w:marRight w:val="0"/>
              <w:marTop w:val="0"/>
              <w:marBottom w:val="0"/>
              <w:divBdr>
                <w:top w:val="none" w:sz="0" w:space="0" w:color="auto"/>
                <w:left w:val="none" w:sz="0" w:space="0" w:color="auto"/>
                <w:bottom w:val="none" w:sz="0" w:space="0" w:color="auto"/>
                <w:right w:val="none" w:sz="0" w:space="0" w:color="auto"/>
              </w:divBdr>
            </w:div>
          </w:divsChild>
        </w:div>
        <w:div w:id="467015827">
          <w:marLeft w:val="0"/>
          <w:marRight w:val="0"/>
          <w:marTop w:val="0"/>
          <w:marBottom w:val="0"/>
          <w:divBdr>
            <w:top w:val="none" w:sz="0" w:space="0" w:color="auto"/>
            <w:left w:val="none" w:sz="0" w:space="0" w:color="auto"/>
            <w:bottom w:val="none" w:sz="0" w:space="0" w:color="auto"/>
            <w:right w:val="none" w:sz="0" w:space="0" w:color="auto"/>
          </w:divBdr>
          <w:divsChild>
            <w:div w:id="1038166393">
              <w:marLeft w:val="0"/>
              <w:marRight w:val="0"/>
              <w:marTop w:val="0"/>
              <w:marBottom w:val="0"/>
              <w:divBdr>
                <w:top w:val="none" w:sz="0" w:space="0" w:color="auto"/>
                <w:left w:val="none" w:sz="0" w:space="0" w:color="auto"/>
                <w:bottom w:val="none" w:sz="0" w:space="0" w:color="auto"/>
                <w:right w:val="none" w:sz="0" w:space="0" w:color="auto"/>
              </w:divBdr>
            </w:div>
          </w:divsChild>
        </w:div>
        <w:div w:id="1797601009">
          <w:marLeft w:val="0"/>
          <w:marRight w:val="0"/>
          <w:marTop w:val="0"/>
          <w:marBottom w:val="0"/>
          <w:divBdr>
            <w:top w:val="none" w:sz="0" w:space="0" w:color="auto"/>
            <w:left w:val="none" w:sz="0" w:space="0" w:color="auto"/>
            <w:bottom w:val="none" w:sz="0" w:space="0" w:color="auto"/>
            <w:right w:val="none" w:sz="0" w:space="0" w:color="auto"/>
          </w:divBdr>
          <w:divsChild>
            <w:div w:id="1827748752">
              <w:marLeft w:val="0"/>
              <w:marRight w:val="0"/>
              <w:marTop w:val="0"/>
              <w:marBottom w:val="0"/>
              <w:divBdr>
                <w:top w:val="none" w:sz="0" w:space="0" w:color="auto"/>
                <w:left w:val="none" w:sz="0" w:space="0" w:color="auto"/>
                <w:bottom w:val="none" w:sz="0" w:space="0" w:color="auto"/>
                <w:right w:val="none" w:sz="0" w:space="0" w:color="auto"/>
              </w:divBdr>
            </w:div>
            <w:div w:id="881936942">
              <w:marLeft w:val="0"/>
              <w:marRight w:val="0"/>
              <w:marTop w:val="0"/>
              <w:marBottom w:val="0"/>
              <w:divBdr>
                <w:top w:val="none" w:sz="0" w:space="0" w:color="auto"/>
                <w:left w:val="none" w:sz="0" w:space="0" w:color="auto"/>
                <w:bottom w:val="none" w:sz="0" w:space="0" w:color="auto"/>
                <w:right w:val="none" w:sz="0" w:space="0" w:color="auto"/>
              </w:divBdr>
            </w:div>
            <w:div w:id="1977294876">
              <w:marLeft w:val="0"/>
              <w:marRight w:val="0"/>
              <w:marTop w:val="0"/>
              <w:marBottom w:val="0"/>
              <w:divBdr>
                <w:top w:val="none" w:sz="0" w:space="0" w:color="auto"/>
                <w:left w:val="none" w:sz="0" w:space="0" w:color="auto"/>
                <w:bottom w:val="none" w:sz="0" w:space="0" w:color="auto"/>
                <w:right w:val="none" w:sz="0" w:space="0" w:color="auto"/>
              </w:divBdr>
            </w:div>
          </w:divsChild>
        </w:div>
        <w:div w:id="995500308">
          <w:marLeft w:val="0"/>
          <w:marRight w:val="0"/>
          <w:marTop w:val="0"/>
          <w:marBottom w:val="0"/>
          <w:divBdr>
            <w:top w:val="none" w:sz="0" w:space="0" w:color="auto"/>
            <w:left w:val="none" w:sz="0" w:space="0" w:color="auto"/>
            <w:bottom w:val="none" w:sz="0" w:space="0" w:color="auto"/>
            <w:right w:val="none" w:sz="0" w:space="0" w:color="auto"/>
          </w:divBdr>
          <w:divsChild>
            <w:div w:id="1717043618">
              <w:marLeft w:val="0"/>
              <w:marRight w:val="0"/>
              <w:marTop w:val="0"/>
              <w:marBottom w:val="0"/>
              <w:divBdr>
                <w:top w:val="none" w:sz="0" w:space="0" w:color="auto"/>
                <w:left w:val="none" w:sz="0" w:space="0" w:color="auto"/>
                <w:bottom w:val="none" w:sz="0" w:space="0" w:color="auto"/>
                <w:right w:val="none" w:sz="0" w:space="0" w:color="auto"/>
              </w:divBdr>
            </w:div>
          </w:divsChild>
        </w:div>
        <w:div w:id="733089051">
          <w:marLeft w:val="0"/>
          <w:marRight w:val="0"/>
          <w:marTop w:val="0"/>
          <w:marBottom w:val="0"/>
          <w:divBdr>
            <w:top w:val="none" w:sz="0" w:space="0" w:color="auto"/>
            <w:left w:val="none" w:sz="0" w:space="0" w:color="auto"/>
            <w:bottom w:val="none" w:sz="0" w:space="0" w:color="auto"/>
            <w:right w:val="none" w:sz="0" w:space="0" w:color="auto"/>
          </w:divBdr>
          <w:divsChild>
            <w:div w:id="2001274056">
              <w:marLeft w:val="0"/>
              <w:marRight w:val="0"/>
              <w:marTop w:val="0"/>
              <w:marBottom w:val="0"/>
              <w:divBdr>
                <w:top w:val="none" w:sz="0" w:space="0" w:color="auto"/>
                <w:left w:val="none" w:sz="0" w:space="0" w:color="auto"/>
                <w:bottom w:val="none" w:sz="0" w:space="0" w:color="auto"/>
                <w:right w:val="none" w:sz="0" w:space="0" w:color="auto"/>
              </w:divBdr>
            </w:div>
            <w:div w:id="1711568435">
              <w:marLeft w:val="0"/>
              <w:marRight w:val="0"/>
              <w:marTop w:val="0"/>
              <w:marBottom w:val="0"/>
              <w:divBdr>
                <w:top w:val="none" w:sz="0" w:space="0" w:color="auto"/>
                <w:left w:val="none" w:sz="0" w:space="0" w:color="auto"/>
                <w:bottom w:val="none" w:sz="0" w:space="0" w:color="auto"/>
                <w:right w:val="none" w:sz="0" w:space="0" w:color="auto"/>
              </w:divBdr>
            </w:div>
            <w:div w:id="1080979139">
              <w:marLeft w:val="0"/>
              <w:marRight w:val="0"/>
              <w:marTop w:val="0"/>
              <w:marBottom w:val="0"/>
              <w:divBdr>
                <w:top w:val="none" w:sz="0" w:space="0" w:color="auto"/>
                <w:left w:val="none" w:sz="0" w:space="0" w:color="auto"/>
                <w:bottom w:val="none" w:sz="0" w:space="0" w:color="auto"/>
                <w:right w:val="none" w:sz="0" w:space="0" w:color="auto"/>
              </w:divBdr>
            </w:div>
            <w:div w:id="1073966052">
              <w:marLeft w:val="0"/>
              <w:marRight w:val="0"/>
              <w:marTop w:val="0"/>
              <w:marBottom w:val="0"/>
              <w:divBdr>
                <w:top w:val="none" w:sz="0" w:space="0" w:color="auto"/>
                <w:left w:val="none" w:sz="0" w:space="0" w:color="auto"/>
                <w:bottom w:val="none" w:sz="0" w:space="0" w:color="auto"/>
                <w:right w:val="none" w:sz="0" w:space="0" w:color="auto"/>
              </w:divBdr>
            </w:div>
          </w:divsChild>
        </w:div>
        <w:div w:id="1623726505">
          <w:marLeft w:val="0"/>
          <w:marRight w:val="0"/>
          <w:marTop w:val="0"/>
          <w:marBottom w:val="0"/>
          <w:divBdr>
            <w:top w:val="none" w:sz="0" w:space="0" w:color="auto"/>
            <w:left w:val="none" w:sz="0" w:space="0" w:color="auto"/>
            <w:bottom w:val="none" w:sz="0" w:space="0" w:color="auto"/>
            <w:right w:val="none" w:sz="0" w:space="0" w:color="auto"/>
          </w:divBdr>
        </w:div>
        <w:div w:id="371460103">
          <w:marLeft w:val="0"/>
          <w:marRight w:val="0"/>
          <w:marTop w:val="0"/>
          <w:marBottom w:val="0"/>
          <w:divBdr>
            <w:top w:val="none" w:sz="0" w:space="0" w:color="auto"/>
            <w:left w:val="none" w:sz="0" w:space="0" w:color="auto"/>
            <w:bottom w:val="none" w:sz="0" w:space="0" w:color="auto"/>
            <w:right w:val="none" w:sz="0" w:space="0" w:color="auto"/>
          </w:divBdr>
          <w:divsChild>
            <w:div w:id="1604993803">
              <w:marLeft w:val="0"/>
              <w:marRight w:val="0"/>
              <w:marTop w:val="0"/>
              <w:marBottom w:val="0"/>
              <w:divBdr>
                <w:top w:val="none" w:sz="0" w:space="0" w:color="auto"/>
                <w:left w:val="none" w:sz="0" w:space="0" w:color="auto"/>
                <w:bottom w:val="none" w:sz="0" w:space="0" w:color="auto"/>
                <w:right w:val="none" w:sz="0" w:space="0" w:color="auto"/>
              </w:divBdr>
            </w:div>
            <w:div w:id="155457182">
              <w:marLeft w:val="0"/>
              <w:marRight w:val="0"/>
              <w:marTop w:val="0"/>
              <w:marBottom w:val="0"/>
              <w:divBdr>
                <w:top w:val="none" w:sz="0" w:space="0" w:color="auto"/>
                <w:left w:val="none" w:sz="0" w:space="0" w:color="auto"/>
                <w:bottom w:val="none" w:sz="0" w:space="0" w:color="auto"/>
                <w:right w:val="none" w:sz="0" w:space="0" w:color="auto"/>
              </w:divBdr>
            </w:div>
            <w:div w:id="1307852980">
              <w:marLeft w:val="0"/>
              <w:marRight w:val="0"/>
              <w:marTop w:val="0"/>
              <w:marBottom w:val="0"/>
              <w:divBdr>
                <w:top w:val="none" w:sz="0" w:space="0" w:color="auto"/>
                <w:left w:val="none" w:sz="0" w:space="0" w:color="auto"/>
                <w:bottom w:val="none" w:sz="0" w:space="0" w:color="auto"/>
                <w:right w:val="none" w:sz="0" w:space="0" w:color="auto"/>
              </w:divBdr>
            </w:div>
            <w:div w:id="15813202">
              <w:marLeft w:val="0"/>
              <w:marRight w:val="0"/>
              <w:marTop w:val="0"/>
              <w:marBottom w:val="0"/>
              <w:divBdr>
                <w:top w:val="none" w:sz="0" w:space="0" w:color="auto"/>
                <w:left w:val="none" w:sz="0" w:space="0" w:color="auto"/>
                <w:bottom w:val="none" w:sz="0" w:space="0" w:color="auto"/>
                <w:right w:val="none" w:sz="0" w:space="0" w:color="auto"/>
              </w:divBdr>
            </w:div>
            <w:div w:id="634867837">
              <w:marLeft w:val="0"/>
              <w:marRight w:val="0"/>
              <w:marTop w:val="0"/>
              <w:marBottom w:val="0"/>
              <w:divBdr>
                <w:top w:val="none" w:sz="0" w:space="0" w:color="auto"/>
                <w:left w:val="none" w:sz="0" w:space="0" w:color="auto"/>
                <w:bottom w:val="none" w:sz="0" w:space="0" w:color="auto"/>
                <w:right w:val="none" w:sz="0" w:space="0" w:color="auto"/>
              </w:divBdr>
            </w:div>
            <w:div w:id="1205947749">
              <w:marLeft w:val="0"/>
              <w:marRight w:val="0"/>
              <w:marTop w:val="0"/>
              <w:marBottom w:val="0"/>
              <w:divBdr>
                <w:top w:val="none" w:sz="0" w:space="0" w:color="auto"/>
                <w:left w:val="none" w:sz="0" w:space="0" w:color="auto"/>
                <w:bottom w:val="none" w:sz="0" w:space="0" w:color="auto"/>
                <w:right w:val="none" w:sz="0" w:space="0" w:color="auto"/>
              </w:divBdr>
            </w:div>
            <w:div w:id="449399257">
              <w:marLeft w:val="0"/>
              <w:marRight w:val="0"/>
              <w:marTop w:val="0"/>
              <w:marBottom w:val="0"/>
              <w:divBdr>
                <w:top w:val="none" w:sz="0" w:space="0" w:color="auto"/>
                <w:left w:val="none" w:sz="0" w:space="0" w:color="auto"/>
                <w:bottom w:val="none" w:sz="0" w:space="0" w:color="auto"/>
                <w:right w:val="none" w:sz="0" w:space="0" w:color="auto"/>
              </w:divBdr>
            </w:div>
            <w:div w:id="550112559">
              <w:marLeft w:val="0"/>
              <w:marRight w:val="0"/>
              <w:marTop w:val="0"/>
              <w:marBottom w:val="0"/>
              <w:divBdr>
                <w:top w:val="none" w:sz="0" w:space="0" w:color="auto"/>
                <w:left w:val="none" w:sz="0" w:space="0" w:color="auto"/>
                <w:bottom w:val="none" w:sz="0" w:space="0" w:color="auto"/>
                <w:right w:val="none" w:sz="0" w:space="0" w:color="auto"/>
              </w:divBdr>
            </w:div>
            <w:div w:id="1656447347">
              <w:marLeft w:val="0"/>
              <w:marRight w:val="0"/>
              <w:marTop w:val="0"/>
              <w:marBottom w:val="0"/>
              <w:divBdr>
                <w:top w:val="none" w:sz="0" w:space="0" w:color="auto"/>
                <w:left w:val="none" w:sz="0" w:space="0" w:color="auto"/>
                <w:bottom w:val="none" w:sz="0" w:space="0" w:color="auto"/>
                <w:right w:val="none" w:sz="0" w:space="0" w:color="auto"/>
              </w:divBdr>
            </w:div>
          </w:divsChild>
        </w:div>
        <w:div w:id="1342466217">
          <w:marLeft w:val="0"/>
          <w:marRight w:val="0"/>
          <w:marTop w:val="0"/>
          <w:marBottom w:val="0"/>
          <w:divBdr>
            <w:top w:val="none" w:sz="0" w:space="0" w:color="auto"/>
            <w:left w:val="none" w:sz="0" w:space="0" w:color="auto"/>
            <w:bottom w:val="none" w:sz="0" w:space="0" w:color="auto"/>
            <w:right w:val="none" w:sz="0" w:space="0" w:color="auto"/>
          </w:divBdr>
          <w:divsChild>
            <w:div w:id="1716809995">
              <w:marLeft w:val="0"/>
              <w:marRight w:val="0"/>
              <w:marTop w:val="0"/>
              <w:marBottom w:val="0"/>
              <w:divBdr>
                <w:top w:val="none" w:sz="0" w:space="0" w:color="auto"/>
                <w:left w:val="none" w:sz="0" w:space="0" w:color="auto"/>
                <w:bottom w:val="none" w:sz="0" w:space="0" w:color="auto"/>
                <w:right w:val="none" w:sz="0" w:space="0" w:color="auto"/>
              </w:divBdr>
            </w:div>
          </w:divsChild>
        </w:div>
        <w:div w:id="2009555061">
          <w:marLeft w:val="0"/>
          <w:marRight w:val="0"/>
          <w:marTop w:val="0"/>
          <w:marBottom w:val="0"/>
          <w:divBdr>
            <w:top w:val="none" w:sz="0" w:space="0" w:color="auto"/>
            <w:left w:val="none" w:sz="0" w:space="0" w:color="auto"/>
            <w:bottom w:val="none" w:sz="0" w:space="0" w:color="auto"/>
            <w:right w:val="none" w:sz="0" w:space="0" w:color="auto"/>
          </w:divBdr>
          <w:divsChild>
            <w:div w:id="174225974">
              <w:marLeft w:val="0"/>
              <w:marRight w:val="0"/>
              <w:marTop w:val="0"/>
              <w:marBottom w:val="0"/>
              <w:divBdr>
                <w:top w:val="none" w:sz="0" w:space="0" w:color="auto"/>
                <w:left w:val="none" w:sz="0" w:space="0" w:color="auto"/>
                <w:bottom w:val="none" w:sz="0" w:space="0" w:color="auto"/>
                <w:right w:val="none" w:sz="0" w:space="0" w:color="auto"/>
              </w:divBdr>
            </w:div>
            <w:div w:id="367143318">
              <w:marLeft w:val="0"/>
              <w:marRight w:val="0"/>
              <w:marTop w:val="0"/>
              <w:marBottom w:val="0"/>
              <w:divBdr>
                <w:top w:val="none" w:sz="0" w:space="0" w:color="auto"/>
                <w:left w:val="none" w:sz="0" w:space="0" w:color="auto"/>
                <w:bottom w:val="none" w:sz="0" w:space="0" w:color="auto"/>
                <w:right w:val="none" w:sz="0" w:space="0" w:color="auto"/>
              </w:divBdr>
            </w:div>
            <w:div w:id="572079905">
              <w:marLeft w:val="0"/>
              <w:marRight w:val="0"/>
              <w:marTop w:val="0"/>
              <w:marBottom w:val="0"/>
              <w:divBdr>
                <w:top w:val="none" w:sz="0" w:space="0" w:color="auto"/>
                <w:left w:val="none" w:sz="0" w:space="0" w:color="auto"/>
                <w:bottom w:val="none" w:sz="0" w:space="0" w:color="auto"/>
                <w:right w:val="none" w:sz="0" w:space="0" w:color="auto"/>
              </w:divBdr>
            </w:div>
          </w:divsChild>
        </w:div>
        <w:div w:id="1983778050">
          <w:marLeft w:val="0"/>
          <w:marRight w:val="0"/>
          <w:marTop w:val="0"/>
          <w:marBottom w:val="0"/>
          <w:divBdr>
            <w:top w:val="none" w:sz="0" w:space="0" w:color="auto"/>
            <w:left w:val="none" w:sz="0" w:space="0" w:color="auto"/>
            <w:bottom w:val="none" w:sz="0" w:space="0" w:color="auto"/>
            <w:right w:val="none" w:sz="0" w:space="0" w:color="auto"/>
          </w:divBdr>
          <w:divsChild>
            <w:div w:id="1872107852">
              <w:marLeft w:val="0"/>
              <w:marRight w:val="0"/>
              <w:marTop w:val="0"/>
              <w:marBottom w:val="0"/>
              <w:divBdr>
                <w:top w:val="none" w:sz="0" w:space="0" w:color="auto"/>
                <w:left w:val="none" w:sz="0" w:space="0" w:color="auto"/>
                <w:bottom w:val="none" w:sz="0" w:space="0" w:color="auto"/>
                <w:right w:val="none" w:sz="0" w:space="0" w:color="auto"/>
              </w:divBdr>
            </w:div>
          </w:divsChild>
        </w:div>
        <w:div w:id="408158678">
          <w:marLeft w:val="0"/>
          <w:marRight w:val="0"/>
          <w:marTop w:val="0"/>
          <w:marBottom w:val="0"/>
          <w:divBdr>
            <w:top w:val="none" w:sz="0" w:space="0" w:color="auto"/>
            <w:left w:val="none" w:sz="0" w:space="0" w:color="auto"/>
            <w:bottom w:val="none" w:sz="0" w:space="0" w:color="auto"/>
            <w:right w:val="none" w:sz="0" w:space="0" w:color="auto"/>
          </w:divBdr>
        </w:div>
        <w:div w:id="437602962">
          <w:marLeft w:val="935"/>
          <w:marRight w:val="0"/>
          <w:marTop w:val="120"/>
          <w:marBottom w:val="0"/>
          <w:divBdr>
            <w:top w:val="none" w:sz="0" w:space="0" w:color="auto"/>
            <w:left w:val="none" w:sz="0" w:space="0" w:color="auto"/>
            <w:bottom w:val="none" w:sz="0" w:space="0" w:color="auto"/>
            <w:right w:val="none" w:sz="0" w:space="0" w:color="auto"/>
          </w:divBdr>
          <w:divsChild>
            <w:div w:id="1892689580">
              <w:marLeft w:val="0"/>
              <w:marRight w:val="0"/>
              <w:marTop w:val="0"/>
              <w:marBottom w:val="0"/>
              <w:divBdr>
                <w:top w:val="none" w:sz="0" w:space="0" w:color="auto"/>
                <w:left w:val="none" w:sz="0" w:space="0" w:color="auto"/>
                <w:bottom w:val="none" w:sz="0" w:space="0" w:color="auto"/>
                <w:right w:val="none" w:sz="0" w:space="0" w:color="auto"/>
              </w:divBdr>
            </w:div>
          </w:divsChild>
        </w:div>
        <w:div w:id="902103626">
          <w:marLeft w:val="935"/>
          <w:marRight w:val="0"/>
          <w:marTop w:val="120"/>
          <w:marBottom w:val="0"/>
          <w:divBdr>
            <w:top w:val="none" w:sz="0" w:space="0" w:color="auto"/>
            <w:left w:val="none" w:sz="0" w:space="0" w:color="auto"/>
            <w:bottom w:val="none" w:sz="0" w:space="0" w:color="auto"/>
            <w:right w:val="none" w:sz="0" w:space="0" w:color="auto"/>
          </w:divBdr>
          <w:divsChild>
            <w:div w:id="1709987774">
              <w:marLeft w:val="0"/>
              <w:marRight w:val="0"/>
              <w:marTop w:val="0"/>
              <w:marBottom w:val="0"/>
              <w:divBdr>
                <w:top w:val="none" w:sz="0" w:space="0" w:color="auto"/>
                <w:left w:val="none" w:sz="0" w:space="0" w:color="auto"/>
                <w:bottom w:val="none" w:sz="0" w:space="0" w:color="auto"/>
                <w:right w:val="none" w:sz="0" w:space="0" w:color="auto"/>
              </w:divBdr>
            </w:div>
          </w:divsChild>
        </w:div>
        <w:div w:id="1686862782">
          <w:marLeft w:val="935"/>
          <w:marRight w:val="0"/>
          <w:marTop w:val="120"/>
          <w:marBottom w:val="0"/>
          <w:divBdr>
            <w:top w:val="none" w:sz="0" w:space="0" w:color="auto"/>
            <w:left w:val="none" w:sz="0" w:space="0" w:color="auto"/>
            <w:bottom w:val="none" w:sz="0" w:space="0" w:color="auto"/>
            <w:right w:val="none" w:sz="0" w:space="0" w:color="auto"/>
          </w:divBdr>
          <w:divsChild>
            <w:div w:id="1673681278">
              <w:marLeft w:val="0"/>
              <w:marRight w:val="0"/>
              <w:marTop w:val="0"/>
              <w:marBottom w:val="0"/>
              <w:divBdr>
                <w:top w:val="none" w:sz="0" w:space="0" w:color="auto"/>
                <w:left w:val="none" w:sz="0" w:space="0" w:color="auto"/>
                <w:bottom w:val="none" w:sz="0" w:space="0" w:color="auto"/>
                <w:right w:val="none" w:sz="0" w:space="0" w:color="auto"/>
              </w:divBdr>
            </w:div>
          </w:divsChild>
        </w:div>
        <w:div w:id="1558970854">
          <w:marLeft w:val="0"/>
          <w:marRight w:val="0"/>
          <w:marTop w:val="0"/>
          <w:marBottom w:val="0"/>
          <w:divBdr>
            <w:top w:val="none" w:sz="0" w:space="0" w:color="auto"/>
            <w:left w:val="none" w:sz="0" w:space="0" w:color="auto"/>
            <w:bottom w:val="none" w:sz="0" w:space="0" w:color="auto"/>
            <w:right w:val="none" w:sz="0" w:space="0" w:color="auto"/>
          </w:divBdr>
        </w:div>
        <w:div w:id="1305039213">
          <w:marLeft w:val="0"/>
          <w:marRight w:val="0"/>
          <w:marTop w:val="0"/>
          <w:marBottom w:val="0"/>
          <w:divBdr>
            <w:top w:val="none" w:sz="0" w:space="0" w:color="auto"/>
            <w:left w:val="none" w:sz="0" w:space="0" w:color="auto"/>
            <w:bottom w:val="none" w:sz="0" w:space="0" w:color="auto"/>
            <w:right w:val="none" w:sz="0" w:space="0" w:color="auto"/>
          </w:divBdr>
        </w:div>
        <w:div w:id="1596593761">
          <w:marLeft w:val="0"/>
          <w:marRight w:val="0"/>
          <w:marTop w:val="0"/>
          <w:marBottom w:val="0"/>
          <w:divBdr>
            <w:top w:val="none" w:sz="0" w:space="0" w:color="auto"/>
            <w:left w:val="none" w:sz="0" w:space="0" w:color="auto"/>
            <w:bottom w:val="none" w:sz="0" w:space="0" w:color="auto"/>
            <w:right w:val="none" w:sz="0" w:space="0" w:color="auto"/>
          </w:divBdr>
        </w:div>
        <w:div w:id="1636250677">
          <w:marLeft w:val="0"/>
          <w:marRight w:val="0"/>
          <w:marTop w:val="120"/>
          <w:marBottom w:val="0"/>
          <w:divBdr>
            <w:top w:val="none" w:sz="0" w:space="0" w:color="auto"/>
            <w:left w:val="none" w:sz="0" w:space="0" w:color="auto"/>
            <w:bottom w:val="none" w:sz="0" w:space="0" w:color="auto"/>
            <w:right w:val="none" w:sz="0" w:space="0" w:color="auto"/>
          </w:divBdr>
          <w:divsChild>
            <w:div w:id="188490010">
              <w:marLeft w:val="0"/>
              <w:marRight w:val="0"/>
              <w:marTop w:val="0"/>
              <w:marBottom w:val="0"/>
              <w:divBdr>
                <w:top w:val="none" w:sz="0" w:space="0" w:color="auto"/>
                <w:left w:val="none" w:sz="0" w:space="0" w:color="auto"/>
                <w:bottom w:val="none" w:sz="0" w:space="0" w:color="auto"/>
                <w:right w:val="none" w:sz="0" w:space="0" w:color="auto"/>
              </w:divBdr>
            </w:div>
          </w:divsChild>
        </w:div>
        <w:div w:id="1807157719">
          <w:marLeft w:val="0"/>
          <w:marRight w:val="0"/>
          <w:marTop w:val="120"/>
          <w:marBottom w:val="0"/>
          <w:divBdr>
            <w:top w:val="none" w:sz="0" w:space="0" w:color="auto"/>
            <w:left w:val="none" w:sz="0" w:space="0" w:color="auto"/>
            <w:bottom w:val="none" w:sz="0" w:space="0" w:color="auto"/>
            <w:right w:val="none" w:sz="0" w:space="0" w:color="auto"/>
          </w:divBdr>
          <w:divsChild>
            <w:div w:id="2044671573">
              <w:marLeft w:val="0"/>
              <w:marRight w:val="0"/>
              <w:marTop w:val="0"/>
              <w:marBottom w:val="0"/>
              <w:divBdr>
                <w:top w:val="none" w:sz="0" w:space="0" w:color="auto"/>
                <w:left w:val="none" w:sz="0" w:space="0" w:color="auto"/>
                <w:bottom w:val="none" w:sz="0" w:space="0" w:color="auto"/>
                <w:right w:val="none" w:sz="0" w:space="0" w:color="auto"/>
              </w:divBdr>
            </w:div>
          </w:divsChild>
        </w:div>
        <w:div w:id="1840536233">
          <w:marLeft w:val="933"/>
          <w:marRight w:val="0"/>
          <w:marTop w:val="120"/>
          <w:marBottom w:val="0"/>
          <w:divBdr>
            <w:top w:val="none" w:sz="0" w:space="0" w:color="auto"/>
            <w:left w:val="none" w:sz="0" w:space="0" w:color="auto"/>
            <w:bottom w:val="none" w:sz="0" w:space="0" w:color="auto"/>
            <w:right w:val="none" w:sz="0" w:space="0" w:color="auto"/>
          </w:divBdr>
          <w:divsChild>
            <w:div w:id="406610590">
              <w:marLeft w:val="0"/>
              <w:marRight w:val="0"/>
              <w:marTop w:val="0"/>
              <w:marBottom w:val="0"/>
              <w:divBdr>
                <w:top w:val="none" w:sz="0" w:space="0" w:color="auto"/>
                <w:left w:val="none" w:sz="0" w:space="0" w:color="auto"/>
                <w:bottom w:val="none" w:sz="0" w:space="0" w:color="auto"/>
                <w:right w:val="none" w:sz="0" w:space="0" w:color="auto"/>
              </w:divBdr>
            </w:div>
          </w:divsChild>
        </w:div>
        <w:div w:id="1036344360">
          <w:marLeft w:val="933"/>
          <w:marRight w:val="0"/>
          <w:marTop w:val="120"/>
          <w:marBottom w:val="0"/>
          <w:divBdr>
            <w:top w:val="none" w:sz="0" w:space="0" w:color="auto"/>
            <w:left w:val="none" w:sz="0" w:space="0" w:color="auto"/>
            <w:bottom w:val="none" w:sz="0" w:space="0" w:color="auto"/>
            <w:right w:val="none" w:sz="0" w:space="0" w:color="auto"/>
          </w:divBdr>
          <w:divsChild>
            <w:div w:id="374425810">
              <w:marLeft w:val="0"/>
              <w:marRight w:val="0"/>
              <w:marTop w:val="0"/>
              <w:marBottom w:val="0"/>
              <w:divBdr>
                <w:top w:val="none" w:sz="0" w:space="0" w:color="auto"/>
                <w:left w:val="none" w:sz="0" w:space="0" w:color="auto"/>
                <w:bottom w:val="none" w:sz="0" w:space="0" w:color="auto"/>
                <w:right w:val="none" w:sz="0" w:space="0" w:color="auto"/>
              </w:divBdr>
            </w:div>
          </w:divsChild>
        </w:div>
        <w:div w:id="1993756201">
          <w:marLeft w:val="933"/>
          <w:marRight w:val="0"/>
          <w:marTop w:val="120"/>
          <w:marBottom w:val="0"/>
          <w:divBdr>
            <w:top w:val="none" w:sz="0" w:space="0" w:color="auto"/>
            <w:left w:val="none" w:sz="0" w:space="0" w:color="auto"/>
            <w:bottom w:val="none" w:sz="0" w:space="0" w:color="auto"/>
            <w:right w:val="none" w:sz="0" w:space="0" w:color="auto"/>
          </w:divBdr>
          <w:divsChild>
            <w:div w:id="389429418">
              <w:marLeft w:val="0"/>
              <w:marRight w:val="0"/>
              <w:marTop w:val="0"/>
              <w:marBottom w:val="0"/>
              <w:divBdr>
                <w:top w:val="none" w:sz="0" w:space="0" w:color="auto"/>
                <w:left w:val="none" w:sz="0" w:space="0" w:color="auto"/>
                <w:bottom w:val="none" w:sz="0" w:space="0" w:color="auto"/>
                <w:right w:val="none" w:sz="0" w:space="0" w:color="auto"/>
              </w:divBdr>
            </w:div>
          </w:divsChild>
        </w:div>
        <w:div w:id="1288656713">
          <w:marLeft w:val="933"/>
          <w:marRight w:val="0"/>
          <w:marTop w:val="120"/>
          <w:marBottom w:val="0"/>
          <w:divBdr>
            <w:top w:val="none" w:sz="0" w:space="0" w:color="auto"/>
            <w:left w:val="none" w:sz="0" w:space="0" w:color="auto"/>
            <w:bottom w:val="none" w:sz="0" w:space="0" w:color="auto"/>
            <w:right w:val="none" w:sz="0" w:space="0" w:color="auto"/>
          </w:divBdr>
          <w:divsChild>
            <w:div w:id="176358529">
              <w:marLeft w:val="0"/>
              <w:marRight w:val="0"/>
              <w:marTop w:val="0"/>
              <w:marBottom w:val="0"/>
              <w:divBdr>
                <w:top w:val="none" w:sz="0" w:space="0" w:color="auto"/>
                <w:left w:val="none" w:sz="0" w:space="0" w:color="auto"/>
                <w:bottom w:val="none" w:sz="0" w:space="0" w:color="auto"/>
                <w:right w:val="none" w:sz="0" w:space="0" w:color="auto"/>
              </w:divBdr>
            </w:div>
          </w:divsChild>
        </w:div>
        <w:div w:id="1857888731">
          <w:marLeft w:val="933"/>
          <w:marRight w:val="0"/>
          <w:marTop w:val="120"/>
          <w:marBottom w:val="0"/>
          <w:divBdr>
            <w:top w:val="none" w:sz="0" w:space="0" w:color="auto"/>
            <w:left w:val="none" w:sz="0" w:space="0" w:color="auto"/>
            <w:bottom w:val="none" w:sz="0" w:space="0" w:color="auto"/>
            <w:right w:val="none" w:sz="0" w:space="0" w:color="auto"/>
          </w:divBdr>
          <w:divsChild>
            <w:div w:id="588393514">
              <w:marLeft w:val="0"/>
              <w:marRight w:val="0"/>
              <w:marTop w:val="0"/>
              <w:marBottom w:val="0"/>
              <w:divBdr>
                <w:top w:val="none" w:sz="0" w:space="0" w:color="auto"/>
                <w:left w:val="none" w:sz="0" w:space="0" w:color="auto"/>
                <w:bottom w:val="none" w:sz="0" w:space="0" w:color="auto"/>
                <w:right w:val="none" w:sz="0" w:space="0" w:color="auto"/>
              </w:divBdr>
            </w:div>
          </w:divsChild>
        </w:div>
        <w:div w:id="653022885">
          <w:marLeft w:val="933"/>
          <w:marRight w:val="0"/>
          <w:marTop w:val="120"/>
          <w:marBottom w:val="0"/>
          <w:divBdr>
            <w:top w:val="none" w:sz="0" w:space="0" w:color="auto"/>
            <w:left w:val="none" w:sz="0" w:space="0" w:color="auto"/>
            <w:bottom w:val="none" w:sz="0" w:space="0" w:color="auto"/>
            <w:right w:val="none" w:sz="0" w:space="0" w:color="auto"/>
          </w:divBdr>
          <w:divsChild>
            <w:div w:id="1417747779">
              <w:marLeft w:val="0"/>
              <w:marRight w:val="0"/>
              <w:marTop w:val="0"/>
              <w:marBottom w:val="0"/>
              <w:divBdr>
                <w:top w:val="none" w:sz="0" w:space="0" w:color="auto"/>
                <w:left w:val="none" w:sz="0" w:space="0" w:color="auto"/>
                <w:bottom w:val="none" w:sz="0" w:space="0" w:color="auto"/>
                <w:right w:val="none" w:sz="0" w:space="0" w:color="auto"/>
              </w:divBdr>
            </w:div>
          </w:divsChild>
        </w:div>
        <w:div w:id="1698509982">
          <w:marLeft w:val="933"/>
          <w:marRight w:val="0"/>
          <w:marTop w:val="120"/>
          <w:marBottom w:val="0"/>
          <w:divBdr>
            <w:top w:val="none" w:sz="0" w:space="0" w:color="auto"/>
            <w:left w:val="none" w:sz="0" w:space="0" w:color="auto"/>
            <w:bottom w:val="none" w:sz="0" w:space="0" w:color="auto"/>
            <w:right w:val="none" w:sz="0" w:space="0" w:color="auto"/>
          </w:divBdr>
          <w:divsChild>
            <w:div w:id="481042727">
              <w:marLeft w:val="0"/>
              <w:marRight w:val="0"/>
              <w:marTop w:val="0"/>
              <w:marBottom w:val="0"/>
              <w:divBdr>
                <w:top w:val="none" w:sz="0" w:space="0" w:color="auto"/>
                <w:left w:val="none" w:sz="0" w:space="0" w:color="auto"/>
                <w:bottom w:val="none" w:sz="0" w:space="0" w:color="auto"/>
                <w:right w:val="none" w:sz="0" w:space="0" w:color="auto"/>
              </w:divBdr>
            </w:div>
          </w:divsChild>
        </w:div>
        <w:div w:id="2136408385">
          <w:marLeft w:val="0"/>
          <w:marRight w:val="0"/>
          <w:marTop w:val="120"/>
          <w:marBottom w:val="0"/>
          <w:divBdr>
            <w:top w:val="none" w:sz="0" w:space="0" w:color="auto"/>
            <w:left w:val="none" w:sz="0" w:space="0" w:color="auto"/>
            <w:bottom w:val="none" w:sz="0" w:space="0" w:color="auto"/>
            <w:right w:val="none" w:sz="0" w:space="0" w:color="auto"/>
          </w:divBdr>
          <w:divsChild>
            <w:div w:id="783042505">
              <w:marLeft w:val="0"/>
              <w:marRight w:val="0"/>
              <w:marTop w:val="0"/>
              <w:marBottom w:val="0"/>
              <w:divBdr>
                <w:top w:val="none" w:sz="0" w:space="0" w:color="auto"/>
                <w:left w:val="none" w:sz="0" w:space="0" w:color="auto"/>
                <w:bottom w:val="none" w:sz="0" w:space="0" w:color="auto"/>
                <w:right w:val="none" w:sz="0" w:space="0" w:color="auto"/>
              </w:divBdr>
            </w:div>
          </w:divsChild>
        </w:div>
        <w:div w:id="1625959831">
          <w:marLeft w:val="0"/>
          <w:marRight w:val="0"/>
          <w:marTop w:val="120"/>
          <w:marBottom w:val="0"/>
          <w:divBdr>
            <w:top w:val="none" w:sz="0" w:space="0" w:color="auto"/>
            <w:left w:val="none" w:sz="0" w:space="0" w:color="auto"/>
            <w:bottom w:val="none" w:sz="0" w:space="0" w:color="auto"/>
            <w:right w:val="none" w:sz="0" w:space="0" w:color="auto"/>
          </w:divBdr>
          <w:divsChild>
            <w:div w:id="4541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AUTOLIV\AUTOLIV-22.12.31-10-K.html" TargetMode="External"/><Relationship Id="rId21" Type="http://schemas.openxmlformats.org/officeDocument/2006/relationships/hyperlink" Target="file:///D:\TMP\finance-docx\AUTOLIV\AUTOLIV-22.12.31-10-K.html" TargetMode="External"/><Relationship Id="rId42" Type="http://schemas.openxmlformats.org/officeDocument/2006/relationships/hyperlink" Target="https://www.sec.gov/Archives/edgar/data/1034670/000156459021006803/alv-ex413_739.htm" TargetMode="External"/><Relationship Id="rId47" Type="http://schemas.openxmlformats.org/officeDocument/2006/relationships/hyperlink" Target="https://www.sec.gov/Archives/edgar/data/0001034670/000156459018017723/alv-ex45_318.htm" TargetMode="External"/><Relationship Id="rId63" Type="http://schemas.openxmlformats.org/officeDocument/2006/relationships/hyperlink" Target="https://www.sec.gov/Archives/edgar/data/1034670/000156459020032551/alv-ex102_81.htm" TargetMode="External"/><Relationship Id="rId68" Type="http://schemas.openxmlformats.org/officeDocument/2006/relationships/hyperlink" Target="https://www.sec.gov/Archives/edgar/data/1034670/000156459021020223/alv-ex101_32.htm" TargetMode="External"/><Relationship Id="rId84" Type="http://schemas.openxmlformats.org/officeDocument/2006/relationships/hyperlink" Target="file:///D:\TMP\finance-docx\AUTOLIV\alv-ex31_2.htm" TargetMode="External"/><Relationship Id="rId16" Type="http://schemas.openxmlformats.org/officeDocument/2006/relationships/hyperlink" Target="file:///D:\TMP\finance-docx\AUTOLIV\AUTOLIV-22.12.31-10-K.html" TargetMode="External"/><Relationship Id="rId11" Type="http://schemas.openxmlformats.org/officeDocument/2006/relationships/hyperlink" Target="file:///D:\TMP\finance-docx\AUTOLIV\AUTOLIV-22.12.31-10-K.html" TargetMode="External"/><Relationship Id="rId32" Type="http://schemas.openxmlformats.org/officeDocument/2006/relationships/hyperlink" Target="https://www.sec.gov/Archives/edgar/data/1034670/000119312509067376/dex41.htm" TargetMode="External"/><Relationship Id="rId37" Type="http://schemas.openxmlformats.org/officeDocument/2006/relationships/hyperlink" Target="https://www.sec.gov/Archives/edgar/data/1034670/000156459018017723/alv-ex46_329.htm" TargetMode="External"/><Relationship Id="rId53" Type="http://schemas.openxmlformats.org/officeDocument/2006/relationships/hyperlink" Target="https://www.sec.gov/Archives/edgar/data/1034670/000119312519061070/d713641dex101.htm" TargetMode="External"/><Relationship Id="rId58" Type="http://schemas.openxmlformats.org/officeDocument/2006/relationships/hyperlink" Target="https://www.sec.gov/Archives/edgar/data/1034670/000156459020005667/alv-ex1056_501.htm" TargetMode="External"/><Relationship Id="rId74" Type="http://schemas.openxmlformats.org/officeDocument/2006/relationships/hyperlink" Target="https://www.sec.gov/Archives/edgar/data/1034670/000095017022005989/alv-ex10_1.htm" TargetMode="External"/><Relationship Id="rId79" Type="http://schemas.openxmlformats.org/officeDocument/2006/relationships/hyperlink" Target="file:///D:\TMP\finance-docx\AUTOLIV\alv-ex10_37.htm" TargetMode="External"/><Relationship Id="rId5" Type="http://schemas.openxmlformats.org/officeDocument/2006/relationships/endnotes" Target="endnotes.xml"/><Relationship Id="rId19" Type="http://schemas.openxmlformats.org/officeDocument/2006/relationships/hyperlink" Target="file:///D:\TMP\finance-docx\AUTOLIV\AUTOLIV-22.12.31-10-K.html" TargetMode="External"/><Relationship Id="rId14" Type="http://schemas.openxmlformats.org/officeDocument/2006/relationships/hyperlink" Target="file:///D:\TMP\finance-docx\AUTOLIV\AUTOLIV-22.12.31-10-K.html" TargetMode="External"/><Relationship Id="rId22" Type="http://schemas.openxmlformats.org/officeDocument/2006/relationships/hyperlink" Target="file:///D:\TMP\finance-docx\AUTOLIV\AUTOLIV-22.12.31-10-K.html" TargetMode="External"/><Relationship Id="rId27" Type="http://schemas.openxmlformats.org/officeDocument/2006/relationships/hyperlink" Target="file:///D:\TMP\finance-docx\AUTOLIV\AUTOLIV-22.12.31-10-K.html" TargetMode="External"/><Relationship Id="rId30" Type="http://schemas.openxmlformats.org/officeDocument/2006/relationships/hyperlink" Target="https://www.sec.gov/Archives/edgar/data/1034670/000119312515141900/d896012dex31.htm" TargetMode="External"/><Relationship Id="rId35" Type="http://schemas.openxmlformats.org/officeDocument/2006/relationships/hyperlink" Target="https://www.sec.gov/Archives/edgar/data/1034670/000156459018017723/alv-ex44_502.htm" TargetMode="External"/><Relationship Id="rId43" Type="http://schemas.openxmlformats.org/officeDocument/2006/relationships/hyperlink" Target="https://www.sec.gov/Archives/edgar/data/1034670/000119312509060021/ddef14a.htm" TargetMode="External"/><Relationship Id="rId48" Type="http://schemas.openxmlformats.org/officeDocument/2006/relationships/hyperlink" Target="https://www.sec.gov/Archives/edgar/data/1034670/000156459017007704/alv-ex102_154.htm" TargetMode="External"/><Relationship Id="rId56" Type="http://schemas.openxmlformats.org/officeDocument/2006/relationships/hyperlink" Target="https://www.sec.gov/Archives/edgar/data/1034670/000156459019037855/alv-ex105_267.htm" TargetMode="External"/><Relationship Id="rId64" Type="http://schemas.openxmlformats.org/officeDocument/2006/relationships/hyperlink" Target="https://www.sec.gov/Archives/edgar/data/1034670/000156459020032551/alv-ex103_82.htm" TargetMode="External"/><Relationship Id="rId69" Type="http://schemas.openxmlformats.org/officeDocument/2006/relationships/hyperlink" Target="https://www.sec.gov/Archives/edgar/data/1034670/000156459021020223/alv-ex102_185.htm" TargetMode="External"/><Relationship Id="rId77" Type="http://schemas.openxmlformats.org/officeDocument/2006/relationships/hyperlink" Target="https://www.sec.gov/Archives/edgar/data/1034670/000095017022012898/alv-ex10_2.htm" TargetMode="External"/><Relationship Id="rId8" Type="http://schemas.openxmlformats.org/officeDocument/2006/relationships/hyperlink" Target="file:///D:\TMP\finance-docx\AUTOLIV\AUTOLIV-22.12.31-10-K.html" TargetMode="External"/><Relationship Id="rId51" Type="http://schemas.openxmlformats.org/officeDocument/2006/relationships/hyperlink" Target="https://www.sec.gov/Archives/edgar/data/1034670/000156459018017723/alv-ex1012_321.htm" TargetMode="External"/><Relationship Id="rId72" Type="http://schemas.openxmlformats.org/officeDocument/2006/relationships/hyperlink" Target="https://www.sec.gov/Archives/edgar/data/1034670/000156459021020223/alv-ex105_380.htm" TargetMode="External"/><Relationship Id="rId80" Type="http://schemas.openxmlformats.org/officeDocument/2006/relationships/hyperlink" Target="file:///D:\TMP\finance-docx\AUTOLIV\alv-ex10_38.htm" TargetMode="External"/><Relationship Id="rId85" Type="http://schemas.openxmlformats.org/officeDocument/2006/relationships/hyperlink" Target="file:///D:\TMP\finance-docx\AUTOLIV\alv-ex32_1.htm" TargetMode="External"/><Relationship Id="rId3" Type="http://schemas.openxmlformats.org/officeDocument/2006/relationships/webSettings" Target="webSettings.xml"/><Relationship Id="rId12" Type="http://schemas.openxmlformats.org/officeDocument/2006/relationships/hyperlink" Target="file:///D:\TMP\finance-docx\AUTOLIV\AUTOLIV-22.12.31-10-K.html" TargetMode="External"/><Relationship Id="rId17" Type="http://schemas.openxmlformats.org/officeDocument/2006/relationships/hyperlink" Target="file:///D:\TMP\finance-docx\AUTOLIV\AUTOLIV-22.12.31-10-K.html" TargetMode="External"/><Relationship Id="rId25" Type="http://schemas.openxmlformats.org/officeDocument/2006/relationships/hyperlink" Target="file:///D:\TMP\finance-docx\AUTOLIV\AUTOLIV-22.12.31-10-K.html" TargetMode="External"/><Relationship Id="rId33" Type="http://schemas.openxmlformats.org/officeDocument/2006/relationships/hyperlink" Target="https://www.sec.gov/Archives/edgar/data/1034670/000119312512117495/d316612dex41.htm" TargetMode="External"/><Relationship Id="rId38" Type="http://schemas.openxmlformats.org/officeDocument/2006/relationships/hyperlink" Target="https://www.sec.gov/Archives/edgar/data/1034670/000156459021006803/alv-ex413_739.htm" TargetMode="External"/><Relationship Id="rId46" Type="http://schemas.openxmlformats.org/officeDocument/2006/relationships/hyperlink" Target="https://www.sec.gov/Archives/edgar/data/1034670/000119312514158776/d694785dex46.htm" TargetMode="External"/><Relationship Id="rId59" Type="http://schemas.openxmlformats.org/officeDocument/2006/relationships/hyperlink" Target="https://www.sec.gov/Archives/edgar/data/1034670/000156459020005667/alv-ex1058_498.htm" TargetMode="External"/><Relationship Id="rId67" Type="http://schemas.openxmlformats.org/officeDocument/2006/relationships/hyperlink" Target="file:///D:\TMP\finance-docx\AUTOLIV\alv-ex10_25.htm" TargetMode="External"/><Relationship Id="rId20" Type="http://schemas.openxmlformats.org/officeDocument/2006/relationships/hyperlink" Target="file:///D:\TMP\finance-docx\AUTOLIV\AUTOLIV-22.12.31-10-K.html" TargetMode="External"/><Relationship Id="rId41" Type="http://schemas.openxmlformats.org/officeDocument/2006/relationships/hyperlink" Target="https://www.sec.gov/Archives/edgar/data/1034670/000095017022005989/alv-ex4_14.htm" TargetMode="External"/><Relationship Id="rId54" Type="http://schemas.openxmlformats.org/officeDocument/2006/relationships/hyperlink" Target="https://www.sec.gov/Archives/edgar/data/1034670/000156459019037855/alv-ex103_268.htm" TargetMode="External"/><Relationship Id="rId62" Type="http://schemas.openxmlformats.org/officeDocument/2006/relationships/hyperlink" Target="https://www.sec.gov/Archives/edgar/data/1034670/000156459020032551/alv-ex101_300.htm" TargetMode="External"/><Relationship Id="rId70" Type="http://schemas.openxmlformats.org/officeDocument/2006/relationships/hyperlink" Target="https://www.sec.gov/Archives/edgar/data/1034670/000156459021020223/alv-ex103_270.htm" TargetMode="External"/><Relationship Id="rId75" Type="http://schemas.openxmlformats.org/officeDocument/2006/relationships/hyperlink" Target="https://www.sec.gov/Archives/edgar/data/1034670/000095017022005989/alv-ex10_2.htm" TargetMode="External"/><Relationship Id="rId83" Type="http://schemas.openxmlformats.org/officeDocument/2006/relationships/hyperlink" Target="file:///D:\TMP\finance-docx\AUTOLIV\alv-ex31_1.htm"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file:///D:\TMP\finance-docx\AUTOLIV\AUTOLIV-22.12.31-10-K.html" TargetMode="External"/><Relationship Id="rId15" Type="http://schemas.openxmlformats.org/officeDocument/2006/relationships/hyperlink" Target="file:///D:\TMP\finance-docx\AUTOLIV\AUTOLIV-22.12.31-10-K.html" TargetMode="External"/><Relationship Id="rId23" Type="http://schemas.openxmlformats.org/officeDocument/2006/relationships/hyperlink" Target="file:///D:\TMP\finance-docx\AUTOLIV\AUTOLIV-22.12.31-10-K.html" TargetMode="External"/><Relationship Id="rId28" Type="http://schemas.openxmlformats.org/officeDocument/2006/relationships/hyperlink" Target="file:///D:\TMP\finance-docx\AUTOLIV\AUTOLIV-22.12.31-10-K.html" TargetMode="External"/><Relationship Id="rId36" Type="http://schemas.openxmlformats.org/officeDocument/2006/relationships/hyperlink" Target="https://www.sec.gov/Archives/edgar/data/1034670/000156459018017723/alv-ex45_318.htm" TargetMode="External"/><Relationship Id="rId49" Type="http://schemas.openxmlformats.org/officeDocument/2006/relationships/hyperlink" Target="https://www.sec.gov/Archives/edgar/data/1733186/000119312518182424/d550335dex102.htm" TargetMode="External"/><Relationship Id="rId57" Type="http://schemas.openxmlformats.org/officeDocument/2006/relationships/hyperlink" Target="https://www.sec.gov/Archives/edgar/data/1034670/000156459019037855/alv-ex106_270.htm" TargetMode="External"/><Relationship Id="rId10" Type="http://schemas.openxmlformats.org/officeDocument/2006/relationships/hyperlink" Target="file:///D:\TMP\finance-docx\AUTOLIV\AUTOLIV-22.12.31-10-K.html" TargetMode="External"/><Relationship Id="rId31" Type="http://schemas.openxmlformats.org/officeDocument/2006/relationships/hyperlink" Target="https://www.sec.gov/Archives/edgar/data/1034670/000119312515407851/d32830dex31.htm" TargetMode="External"/><Relationship Id="rId44" Type="http://schemas.openxmlformats.org/officeDocument/2006/relationships/hyperlink" Target="https://www.sec.gov/Archives/edgar/data/1034670/000119312511043338/dex1024.htm" TargetMode="External"/><Relationship Id="rId52" Type="http://schemas.openxmlformats.org/officeDocument/2006/relationships/hyperlink" Target="https://www.sec.gov/Archives/edgar/data/1034670/000156459018017723/alv-ex1014_320.htm" TargetMode="External"/><Relationship Id="rId60" Type="http://schemas.openxmlformats.org/officeDocument/2006/relationships/hyperlink" Target="https://www.sec.gov/Archives/edgar/data/1034670/000156459020018358/alv-ex105_499.htm" TargetMode="External"/><Relationship Id="rId65" Type="http://schemas.openxmlformats.org/officeDocument/2006/relationships/hyperlink" Target="https://www.sec.gov/Archives/edgar/data/1034670/000156459020032551/alv-ex104_83.htm" TargetMode="External"/><Relationship Id="rId73" Type="http://schemas.openxmlformats.org/officeDocument/2006/relationships/hyperlink" Target="https://www.sec.gov/Archives/edgar/data/1034670/000095017022001528/alv-ex10_46.htm" TargetMode="External"/><Relationship Id="rId78" Type="http://schemas.openxmlformats.org/officeDocument/2006/relationships/hyperlink" Target="https://www.sec.gov/Archives/edgar/data/1034670/000095017022019825/alv-ex10_1.htm" TargetMode="External"/><Relationship Id="rId81" Type="http://schemas.openxmlformats.org/officeDocument/2006/relationships/hyperlink" Target="file:///D:\TMP\finance-docx\AUTOLIV\alv-ex21.htm" TargetMode="External"/><Relationship Id="rId86" Type="http://schemas.openxmlformats.org/officeDocument/2006/relationships/hyperlink" Target="file:///D:\TMP\finance-docx\AUTOLIV\alv-ex32_2.htm" TargetMode="External"/><Relationship Id="rId4" Type="http://schemas.openxmlformats.org/officeDocument/2006/relationships/footnotes" Target="footnotes.xml"/><Relationship Id="rId9" Type="http://schemas.openxmlformats.org/officeDocument/2006/relationships/hyperlink" Target="file:///D:\TMP\finance-docx\AUTOLIV\AUTOLIV-22.12.31-10-K.html" TargetMode="External"/><Relationship Id="rId13" Type="http://schemas.openxmlformats.org/officeDocument/2006/relationships/hyperlink" Target="file:///D:\TMP\finance-docx\AUTOLIV\AUTOLIV-22.12.31-10-K.html" TargetMode="External"/><Relationship Id="rId18" Type="http://schemas.openxmlformats.org/officeDocument/2006/relationships/hyperlink" Target="file:///D:\TMP\finance-docx\AUTOLIV\AUTOLIV-22.12.31-10-K.html" TargetMode="External"/><Relationship Id="rId39" Type="http://schemas.openxmlformats.org/officeDocument/2006/relationships/hyperlink" Target="https://www.sec.gov/Archives/edgar/data/1034670/000095017022005989/alv-ex4_12.htm" TargetMode="External"/><Relationship Id="rId34" Type="http://schemas.openxmlformats.org/officeDocument/2006/relationships/hyperlink" Target="https://www.sec.gov/Archives/edgar/data/1034670/000119312514158776/d694785dex46.htm" TargetMode="External"/><Relationship Id="rId50" Type="http://schemas.openxmlformats.org/officeDocument/2006/relationships/hyperlink" Target="https://www.sec.gov/Archives/edgar/data/1034670/000156459018017723/alv-ex108_325.htm" TargetMode="External"/><Relationship Id="rId55" Type="http://schemas.openxmlformats.org/officeDocument/2006/relationships/hyperlink" Target="https://www.sec.gov/Archives/edgar/data/1034670/000156459019037855/alv-ex104_266.htm" TargetMode="External"/><Relationship Id="rId76" Type="http://schemas.openxmlformats.org/officeDocument/2006/relationships/hyperlink" Target="https://www.sec.gov/Archives/edgar/data/1034670/000095017022012898/alv-ex10_1.htm" TargetMode="External"/><Relationship Id="rId7" Type="http://schemas.openxmlformats.org/officeDocument/2006/relationships/hyperlink" Target="file:///D:\TMP\finance-docx\AUTOLIV\AUTOLIV-22.12.31-10-K.html" TargetMode="External"/><Relationship Id="rId71" Type="http://schemas.openxmlformats.org/officeDocument/2006/relationships/hyperlink" Target="https://www.sec.gov/Archives/edgar/data/1034670/000156459021020223/alv-ex104_271.htm" TargetMode="External"/><Relationship Id="rId2" Type="http://schemas.openxmlformats.org/officeDocument/2006/relationships/settings" Target="settings.xml"/><Relationship Id="rId29" Type="http://schemas.openxmlformats.org/officeDocument/2006/relationships/hyperlink" Target="https://www.sec.gov/Archives/edgar/data/1034670/000119312518210536/d855919dex21.htm" TargetMode="External"/><Relationship Id="rId24" Type="http://schemas.openxmlformats.org/officeDocument/2006/relationships/hyperlink" Target="file:///D:\TMP\finance-docx\AUTOLIV\AUTOLIV-22.12.31-10-K.html" TargetMode="External"/><Relationship Id="rId40" Type="http://schemas.openxmlformats.org/officeDocument/2006/relationships/hyperlink" Target="https://www.sec.gov/Archives/edgar/data/1034670/000095017022005989/alv-ex4_13.htm" TargetMode="External"/><Relationship Id="rId45" Type="http://schemas.openxmlformats.org/officeDocument/2006/relationships/hyperlink" Target="https://www.sec.gov/Archives/edgar/data/1034670/000119312512308325/d365819dex1029.htm" TargetMode="External"/><Relationship Id="rId66" Type="http://schemas.openxmlformats.org/officeDocument/2006/relationships/hyperlink" Target="https://www.sec.gov/Archives/edgar/data/1034670/000156459020047361/alv-ex102_366.htm" TargetMode="External"/><Relationship Id="rId87" Type="http://schemas.openxmlformats.org/officeDocument/2006/relationships/fontTable" Target="fontTable.xml"/><Relationship Id="rId61" Type="http://schemas.openxmlformats.org/officeDocument/2006/relationships/hyperlink" Target="https://www.sec.gov/Archives/edgar/data/1034670/000156459020018358/alv-ex106_498.htm" TargetMode="External"/><Relationship Id="rId82" Type="http://schemas.openxmlformats.org/officeDocument/2006/relationships/hyperlink" Target="file:///D:\TMP\finance-docx\AUTOLIV\alv-ex2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146</Pages>
  <Words>62734</Words>
  <Characters>357588</Characters>
  <Application>Microsoft Office Word</Application>
  <DocSecurity>0</DocSecurity>
  <Lines>2979</Lines>
  <Paragraphs>838</Paragraphs>
  <ScaleCrop>false</ScaleCrop>
  <Company/>
  <LinksUpToDate>false</LinksUpToDate>
  <CharactersWithSpaces>419484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2023-04-06T06:08:00Z</dcterms:created>
  <dcterms:modified xsi:type="dcterms:W3CDTF">2023-04-06T09:07:00Z</dcterms:modified>
</cp:coreProperties>
</file>