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629D3">
      <w:pPr>
        <w:divId w:val="258608334"/>
        <w:rPr>
          <w:rFonts w:eastAsia="Times New Roman"/>
          <w:vanish/>
        </w:rPr>
      </w:pPr>
      <w:r>
        <w:rPr>
          <w:rFonts w:eastAsia="Times New Roman"/>
          <w:vanish/>
        </w:rPr>
        <w:t>000101247712/312020Q3false</w:t>
      </w:r>
      <w:r>
        <w:rPr>
          <w:rFonts w:ascii="Segoe UI Symbol" w:eastAsia="Times New Roman" w:hAnsi="Segoe UI Symbol" w:cs="Segoe UI Symbol"/>
          <w:vanish/>
        </w:rPr>
        <w:t>☒</w:t>
      </w:r>
      <w:r>
        <w:rPr>
          <w:rFonts w:eastAsia="Times New Roman"/>
          <w:vanish/>
        </w:rPr>
        <w:t>P10MP10MP10M00010124772020-01-012020-09-300001012477exch:XNMS2020-01-012020-09-30xbrli:shares00010124772020-11-05iso4217:USD00010124772020-07-012020-09-3000010124772019-07-012019-09-3000010124772019-01-012019-09-30</w:t>
      </w:r>
      <w:r>
        <w:rPr>
          <w:rFonts w:eastAsia="Times New Roman"/>
          <w:vanish/>
        </w:rPr>
        <w:t>00010124772020-01-012020-06-300001012477us-gaap:RetainedEarningsMember2020-07-012020-09-30iso4217:USDxbrli:shares00010124772020-09-3000010124772019-12-310001012477us-gaap:CommonStockMember2019-12-310001012477us-gaap:PreferredStockMember2019-12-310001012477</w:t>
      </w:r>
      <w:r>
        <w:rPr>
          <w:rFonts w:eastAsia="Times New Roman"/>
          <w:vanish/>
        </w:rPr>
        <w:t>us-gaap:AdditionalPaidInCapitalMember2019-12-310001012477us-gaap:RetainedEarningsMember2019-12-310001012477us-gaap:AccumulatedOtherComprehensiveIncomeMember2019-12-310001012477us-gaap:TreasuryStockMember2019-12-310001012477us-gaap:RetainedEarningsMember202</w:t>
      </w:r>
      <w:r>
        <w:rPr>
          <w:rFonts w:eastAsia="Times New Roman"/>
          <w:vanish/>
        </w:rPr>
        <w:t>0-01-012020-03-3100010124772020-01-012020-03-310001012477us-gaap:AccumulatedOtherComprehensiveIncomeMember2020-01-012020-03-310001012477us-gaap:CommonStockMember2020-01-012020-03-310001012477us-gaap:AdditionalPaidInCapitalMember2020-01-012020-03-3100010124</w:t>
      </w:r>
      <w:r>
        <w:rPr>
          <w:rFonts w:eastAsia="Times New Roman"/>
          <w:vanish/>
        </w:rPr>
        <w:t>77us-gaap:PreferredStockMember2020-01-012020-03-310001012477us-gaap:CommonStockMember2020-03-310001012477us-gaap:PreferredStockMember2020-03-310001012477us-gaap:AdditionalPaidInCapitalMember2020-03-310001012477us-gaap:RetainedEarningsMember2020-03-31000101</w:t>
      </w:r>
      <w:r>
        <w:rPr>
          <w:rFonts w:eastAsia="Times New Roman"/>
          <w:vanish/>
        </w:rPr>
        <w:t>2477us-gaap:AccumulatedOtherComprehensiveIncomeMember2020-03-310001012477us-gaap:TreasuryStockMember2020-03-3100010124772020-03-310001012477us-gaap:RetainedEarningsMember2020-04-012020-06-3000010124772020-04-012020-06-300001012477us-gaap:AccumulatedOtherCo</w:t>
      </w:r>
      <w:r>
        <w:rPr>
          <w:rFonts w:eastAsia="Times New Roman"/>
          <w:vanish/>
        </w:rPr>
        <w:t>mprehensiveIncomeMember2020-04-012020-06-300001012477us-gaap:CommonStockMember2020-04-012020-06-300001012477us-gaap:AdditionalPaidInCapitalMember2020-04-012020-06-300001012477us-gaap:CommonStockMember2020-06-300001012477us-gaap:PreferredStockMember2020-06-</w:t>
      </w:r>
      <w:r>
        <w:rPr>
          <w:rFonts w:eastAsia="Times New Roman"/>
          <w:vanish/>
        </w:rPr>
        <w:t>300001012477us-gaap:AdditionalPaidInCapitalMember2020-06-300001012477us-gaap:RetainedEarningsMember2020-06-300001012477us-gaap:AccumulatedOtherComprehensiveIncomeMember2020-06-300001012477us-gaap:TreasuryStockMember2020-06-3000010124772020-06-300001012477u</w:t>
      </w:r>
      <w:r>
        <w:rPr>
          <w:rFonts w:eastAsia="Times New Roman"/>
          <w:vanish/>
        </w:rPr>
        <w:t>s-gaap:AccumulatedOtherComprehensiveIncomeMember2020-07-012020-09-300001012477us-gaap:CommonStockMember2020-07-012020-09-300001012477us-gaap:AdditionalPaidInCapitalMember2020-07-012020-09-300001012477us-gaap:CommonStockMember2020-08-012020-08-310001012477u</w:t>
      </w:r>
      <w:r>
        <w:rPr>
          <w:rFonts w:eastAsia="Times New Roman"/>
          <w:vanish/>
        </w:rPr>
        <w:t>s-gaap:AdditionalPaidInCapitalMember2020-08-012020-08-310001012477us-gaap:TreasuryStockMember2020-07-012020-09-300001012477us-gaap:TreasuryStockMember2020-08-012020-08-310001012477us-gaap:CommonStockMember2020-09-300001012477us-gaap:PreferredStockMember202</w:t>
      </w:r>
      <w:r>
        <w:rPr>
          <w:rFonts w:eastAsia="Times New Roman"/>
          <w:vanish/>
        </w:rPr>
        <w:t>0-09-300001012477us-gaap:AdditionalPaidInCapitalMember2020-09-300001012477us-gaap:RetainedEarningsMember2020-09-300001012477us-gaap:AccumulatedOtherComprehensiveIncomeMember2020-09-300001012477us-gaap:TreasuryStockMember2020-09-300001012477us-gaap:CommonSt</w:t>
      </w:r>
      <w:r>
        <w:rPr>
          <w:rFonts w:eastAsia="Times New Roman"/>
          <w:vanish/>
        </w:rPr>
        <w:t>ockMember2018-12-310001012477us-gaap:AdditionalPaidInCapitalMember2018-12-310001012477us-gaap:RetainedEarningsMember2018-12-310001012477us-gaap:AccumulatedOtherComprehensiveIncomeMember2018-12-310001012477us-gaap:TreasuryStockMember2018-12-3100010124772018</w:t>
      </w:r>
      <w:r>
        <w:rPr>
          <w:rFonts w:eastAsia="Times New Roman"/>
          <w:vanish/>
        </w:rPr>
        <w:t>-12-310001012477us-gaap:RetainedEarningsMember2019-01-012019-03-3100010124772019-01-012019-03-310001012477us-gaap:AccumulatedOtherComprehensiveIncomeMember2019-01-012019-03-310001012477us-gaap:CommonStockMember2019-01-012019-03-310001012477us-gaap:Addition</w:t>
      </w:r>
      <w:r>
        <w:rPr>
          <w:rFonts w:eastAsia="Times New Roman"/>
          <w:vanish/>
        </w:rPr>
        <w:t>alPaidInCapitalMember2019-01-012019-03-310001012477us-gaap:CommonStockMember2019-03-310001012477us-gaap:AdditionalPaidInCapitalMember2019-03-310001012477us-gaap:RetainedEarningsMember2019-03-310001012477us-gaap:AccumulatedOtherComprehensiveIncomeMember2019</w:t>
      </w:r>
      <w:r>
        <w:rPr>
          <w:rFonts w:eastAsia="Times New Roman"/>
          <w:vanish/>
        </w:rPr>
        <w:t>-03-310001012477us-gaap:TreasuryStockMember2019-03-3100010124772019-03-310001012477us-gaap:RetainedEarningsMember2019-04-012019-06-3000010124772019-04-012019-06-300001012477us-gaap:AccumulatedOtherComprehensiveIncomeMember2019-04-012019-06-300001012477us-g</w:t>
      </w:r>
      <w:r>
        <w:rPr>
          <w:rFonts w:eastAsia="Times New Roman"/>
          <w:vanish/>
        </w:rPr>
        <w:t>aap:AdditionalPaidInCapitalMember2019-04-012019-06-300001012477us-gaap:CommonStockMember2019-06-300001012477us-gaap:AdditionalPaidInCapitalMember2019-06-300001012477us-gaap:RetainedEarningsMember2019-06-300001012477us-gaap:AccumulatedOtherComprehensiveInco</w:t>
      </w:r>
      <w:r>
        <w:rPr>
          <w:rFonts w:eastAsia="Times New Roman"/>
          <w:vanish/>
        </w:rPr>
        <w:t>meMember2019-06-300001012477us-gaap:TreasuryStockMember2019-06-3000010124772019-06-300001012477us-gaap:RetainedEarningsMember2019-07-012019-09-300001012477us-gaap:AccumulatedOtherComprehensiveIncomeMember2019-07-012019-09-300001012477us-gaap:AdditionalPaid</w:t>
      </w:r>
      <w:r>
        <w:rPr>
          <w:rFonts w:eastAsia="Times New Roman"/>
          <w:vanish/>
        </w:rPr>
        <w:t>InCapitalMember2019-07-012019-09-300001012477us-gaap:CommonStockMember2019-07-012019-09-300001012477us-gaap:CommonStockMember2019-09-300001012477us-gaap:AdditionalPaidInCapitalMember2019-09-300001012477us-gaap:RetainedEarningsMember2019-09-300001012477us-g</w:t>
      </w:r>
      <w:r>
        <w:rPr>
          <w:rFonts w:eastAsia="Times New Roman"/>
          <w:vanish/>
        </w:rPr>
        <w:t>aap:AccumulatedOtherComprehensiveIncomeMember2019-09-300001012477us-gaap:TreasuryStockMember2019-09-3000010124772019-09-300001012477avdl:BloxiverzVazculepAkovazandNouressMemberus-gaap:DisposalGroupDisposedOfBySaleNotDiscontinuedOperationsMember2020-06-3000</w:t>
      </w:r>
      <w:r>
        <w:rPr>
          <w:rFonts w:eastAsia="Times New Roman"/>
          <w:vanish/>
        </w:rPr>
        <w:t>01012477avdl:BloxiverzVazculepAkovazandNouressMemberus-gaap:DisposalGroupDisposedOfBySaleNotDiscontinuedOperationsMember2020-01-012020-06-30avdl:FDA_drug0001012477avdl:SpecialtyPharmaMember2019-02-050001012477avdl:SpecialityPharamaMember2019-04-262019-04-2</w:t>
      </w:r>
      <w:r>
        <w:rPr>
          <w:rFonts w:eastAsia="Times New Roman"/>
          <w:vanish/>
        </w:rPr>
        <w:t>60001012477avdl:SpecialityPharamaMemberus-gaap:InternalRevenueServiceIRSMember2019-07-020001012477avdl:SpecialityPharamaMemberus-gaap:InternalRevenueServiceIRSMember2019-10-020001012477avdl:SpecialityPharamaMembersrt:MinimumMember2020-08-070001012477srt:Mi</w:t>
      </w:r>
      <w:r>
        <w:rPr>
          <w:rFonts w:eastAsia="Times New Roman"/>
          <w:vanish/>
        </w:rPr>
        <w:t>nimumMemberavdl:SerenityPharmaceuticalsLLCMember2020-07-242020-07-240001012477avdl:SerenityPharmaceuticalsLLCMember2020-07-242020-07-2400010124772020-07-240001012477avdl:SpecialityPharamaMemberavdl:DIPCreditAgreementMemberavdl:DebtorinPossessionCreditandSe</w:t>
      </w:r>
      <w:r>
        <w:rPr>
          <w:rFonts w:eastAsia="Times New Roman"/>
          <w:vanish/>
        </w:rPr>
        <w:t>curityFacilityMember2019-02-080001012477avdl:DIPCreditAgreementMemberavdl:DebtorinPossessionCreditandSecurityFacilityMember2020-01-012020-09-300001012477avdl:BloxiverzVazculepAkovazandNouressMemberus-gaap:DisposalGroupDisposedOfBySaleNotDiscontinuedOperati</w:t>
      </w:r>
      <w:r>
        <w:rPr>
          <w:rFonts w:eastAsia="Times New Roman"/>
          <w:vanish/>
        </w:rPr>
        <w:t>onsMember2020-01-012020-09-300001012477avdl:BloxiverzVazculepAkovazandNouressMemberus-gaap:DisposalGroupDisposedOfBySaleNotDiscontinuedOperationsMember2020-07-012020-09-300001012477srt:ScenarioPreviouslyReportedMember2019-12-310001012477srt:RestatementAdju</w:t>
      </w:r>
      <w:r>
        <w:rPr>
          <w:rFonts w:eastAsia="Times New Roman"/>
          <w:vanish/>
        </w:rPr>
        <w:t>stmentMembersrt:ProFormaMember2019-12-310001012477srt:ProFormaMember2019-12-3100010124772019-01-012019-12-310001012477avdl:BloxiverzVazculepAkovazandNouressMemberus-gaap:DisposalGroupDisposedOfBySaleNotDiscontinuedOperationsMember2019-01-012019-12-31000101</w:t>
      </w:r>
      <w:r>
        <w:rPr>
          <w:rFonts w:eastAsia="Times New Roman"/>
          <w:vanish/>
        </w:rPr>
        <w:t>2477srt:ScenarioPreviouslyReportedMember2020-01-012020-09-300001012477srt:RestatementAdjustmentMembersrt:ProFormaMember2020-01-012020-09-300001012477srt:ProFormaMember2020-01-012020-09-300001012477srt:ScenarioPreviouslyReportedMember2019-01-012019-09-30000</w:t>
      </w:r>
      <w:r>
        <w:rPr>
          <w:rFonts w:eastAsia="Times New Roman"/>
          <w:vanish/>
        </w:rPr>
        <w:t>1012477srt:RestatementAdjustmentMembersrt:ProFormaMember2019-01-012019-09-300001012477srt:ProFormaMember2019-01-012019-09-300001012477srt:RestatementAdjustmentMemberus-gaap:DisposalGroupDisposedOfBySaleNotDiscontinuedOperationsMembersrt:ProFormaMember2020-</w:t>
      </w:r>
      <w:r>
        <w:rPr>
          <w:rFonts w:eastAsia="Times New Roman"/>
          <w:vanish/>
        </w:rPr>
        <w:t>01-012020-09-300001012477srt:RestatementAdjustmentMemberus-gaap:DisposalGroupDisposedOfBySaleNotDiscontinuedOperationsMembersrt:ProFormaMember2019-01-012019-09-300001012477us-gaap:EquitySecuritiesMemberus-gaap:FairValueInputsLevel1Memberus-gaap:FairValueMe</w:t>
      </w:r>
      <w:r>
        <w:rPr>
          <w:rFonts w:eastAsia="Times New Roman"/>
          <w:vanish/>
        </w:rPr>
        <w:t>asurementsRecurringMember2020-09-300001012477us-gaap:EquitySecuritiesMemberus-gaap:FairValueInputsLevel1Memberus-gaap:FairValueMeasurementsRecurringMember2019-12-310001012477us-gaap:FairValueInputsLevel1Memberus-gaap:FairValueMeasurementsRecurringMemberus-</w:t>
      </w:r>
      <w:r>
        <w:rPr>
          <w:rFonts w:eastAsia="Times New Roman"/>
          <w:vanish/>
        </w:rPr>
        <w:t>gaap:MoneyMarketFundsMember2020-09-300001012477us-gaap:FairValueInputsLevel1Memberus-gaap:FairValueMeasurementsRecurringMemberus-gaap:MoneyMarketFundsMember2019-12-310001012477us-gaap:FairValueInputsLevel2Memberus-gaap:FairValueMeasurementsRecurringMemberu</w:t>
      </w:r>
      <w:r>
        <w:rPr>
          <w:rFonts w:eastAsia="Times New Roman"/>
          <w:vanish/>
        </w:rPr>
        <w:t>s-gaap:CorporateDebtSecuritiesMember2020-09-300001012477us-gaap:FairValueInputsLevel2Memberus-gaap:FairValueMeasurementsRecurringMemberus-gaap:CorporateDebtSecuritiesMember2019-12-310001012477us-gaap:FairValueInputsLevel2Memberus-gaap:FairValueMeasurements</w:t>
      </w:r>
      <w:r>
        <w:rPr>
          <w:rFonts w:eastAsia="Times New Roman"/>
          <w:vanish/>
        </w:rPr>
        <w:t>RecurringMemberus-gaap:USGovernmentAgenciesDebtSecuritiesMember2020-09-300001012477us-gaap:FairValueInputsLevel2Memberus-gaap:FairValueMeasurementsRecurringMemberus-gaap:USGovernmentAgenciesDebtSecuritiesMember2019-12-310001012477us-gaap:FairValueInputsLev</w:t>
      </w:r>
      <w:r>
        <w:rPr>
          <w:rFonts w:eastAsia="Times New Roman"/>
          <w:vanish/>
        </w:rPr>
        <w:t>el1Memberus-gaap:FixedIncomeSecuritiesMemberus-gaap:FairValueMeasurementsRecurringMember2020-09-300001012477us-gaap:FixedIncomeSecuritiesMemberus-gaap:FairValueInputsLevel2Memberus-gaap:FairValueMeasurementsRecurringMember2020-09-300001012477us-gaap:FixedI</w:t>
      </w:r>
      <w:r>
        <w:rPr>
          <w:rFonts w:eastAsia="Times New Roman"/>
          <w:vanish/>
        </w:rPr>
        <w:t>ncomeSecuritiesMemberus-gaap:FairValueInputsLevel2Memberus-gaap:FairValueMeasurementsRecurringMember2019-12-310001012477us-gaap:FairValueInputsLevel1Memberus-gaap:FairValueMeasurementsRecurringMember2020-09-300001012477us-gaap:FairValueInputsLevel2Memberus</w:t>
      </w:r>
      <w:r>
        <w:rPr>
          <w:rFonts w:eastAsia="Times New Roman"/>
          <w:vanish/>
        </w:rPr>
        <w:t>-gaap:FairValueMeasurementsRecurringMember2020-09-300001012477us-gaap:FairValueInputsLevel1Memberus-gaap:FairValueMeasurementsRecurringMember2019-12-310001012477us-gaap:FairValueInputsLevel2Memberus-gaap:FairValueMeasurementsRecurringMember2019-12-31000101</w:t>
      </w:r>
      <w:r>
        <w:rPr>
          <w:rFonts w:eastAsia="Times New Roman"/>
          <w:vanish/>
        </w:rPr>
        <w:t>2477us-gaap:FairValueMeasurementsRecurringMemberus-gaap:FairValueInputsLevel3Member2020-09-300001012477us-gaap:FairValueMeasurementsRecurringMemberus-gaap:FairValueInputsLevel3Member2019-12-310001012477us-gaap:SeniorNotesMember2020-09-30xbrli:pure000101247</w:t>
      </w:r>
      <w:r>
        <w:rPr>
          <w:rFonts w:eastAsia="Times New Roman"/>
          <w:vanish/>
        </w:rPr>
        <w:t>7us-gaap:SeniorNotesMemberavdl:FourPointFiftyPercentExchangeableSeniorNotesDue2023Member2020-09-300001012477us-gaap:MoneyMarketFundsMember2020-09-300001012477us-gaap:CorporateDebtSecuritiesMember2020-09-300001012477us-gaap:USGovernmentAgenciesDebtSecuritie</w:t>
      </w:r>
      <w:r>
        <w:rPr>
          <w:rFonts w:eastAsia="Times New Roman"/>
          <w:vanish/>
        </w:rPr>
        <w:t>sMember2020-09-300001012477us-gaap:FixedIncomeSecuritiesMember2020-09-300001012477us-gaap:EquitySecuritiesMember2019-12-310001012477us-gaap:EquitySecuritiesMember2019-01-012019-12-310001012477us-gaap:MoneyMarketFundsMember2019-12-310001012477us-gaap:Corpor</w:t>
      </w:r>
      <w:r>
        <w:rPr>
          <w:rFonts w:eastAsia="Times New Roman"/>
          <w:vanish/>
        </w:rPr>
        <w:t>ateDebtSecuritiesMember2019-12-310001012477us-gaap:USGovernmentAgenciesDebtSecuritiesMember2019-12-310001012477us-gaap:FixedIncomeSecuritiesMember2019-12-310001012477avdl:DebtSecuritiesExcludingMoneyMarketFundsAvailableForSaleMember2020-09-300001012477us-g</w:t>
      </w:r>
      <w:r>
        <w:rPr>
          <w:rFonts w:eastAsia="Times New Roman"/>
          <w:vanish/>
        </w:rPr>
        <w:t>aap:USGovernmentDebtSecuritiesMember2020-09-300001012477us-gaap:DevelopedTechnologyRightsMemberavdl:VazculepMember2020-09-300001012477us-gaap:DevelopedTechnologyRightsMemberavdl:VazculepMember2019-12-310001012477avdl:BloxiverzVazculepAkovazandNouressMember</w:t>
      </w:r>
      <w:r>
        <w:rPr>
          <w:rFonts w:eastAsia="Times New Roman"/>
          <w:vanish/>
        </w:rPr>
        <w:t>us-gaap:DisposalGroupDisposedOfBySaleNotDiscontinuedOperationsMember2020-09-300001012477avdl:EarnOutPaymentsMemberus-gaap:AcquisitionRelatedCostsMember2019-12-310001012477avdl:EarnOutPaymentsMemberus-gaap:AcquisitionRelatedCostsMember2020-01-012020-09-3000</w:t>
      </w:r>
      <w:r>
        <w:rPr>
          <w:rFonts w:eastAsia="Times New Roman"/>
          <w:vanish/>
        </w:rPr>
        <w:t>01012477avdl:EarnOutPaymentsMemberus-gaap:AcquisitionRelatedCostsMember2020-09-300001012477avdl:DeerfieldRoyaltyAgreementMemberavdl:FinancingRelatedCostsMember2019-12-310001012477avdl:DeerfieldRoyaltyAgreementMemberavdl:FinancingRelatedCostsMember2020-01-0</w:t>
      </w:r>
      <w:r>
        <w:rPr>
          <w:rFonts w:eastAsia="Times New Roman"/>
          <w:vanish/>
        </w:rPr>
        <w:t>12020-09-300001012477avdl:DeerfieldRoyaltyAgreementMemberavdl:FinancingRelatedCostsMember2020-09-300001012477avdl:BroadfinRoyaltyAgreementMemberavdl:FinancingRelatedCostsMember2019-12-310001012477avdl:BroadfinRoyaltyAgreementMemberavdl:FinancingRelatedCost</w:t>
      </w:r>
      <w:r>
        <w:rPr>
          <w:rFonts w:eastAsia="Times New Roman"/>
          <w:vanish/>
        </w:rPr>
        <w:t>sMember2020-01-012020-09-300001012477avdl:BroadfinRoyaltyAgreementMemberavdl:FinancingRelatedCostsMember2020-09-300001012477avdl:EarnOutPaymentsMemberus-gaap:AcquisitionRelatedCostsMember2020-06-300001012477avdl:EarnOutPaymentsMemberus-gaap:AcquisitionRela</w:t>
      </w:r>
      <w:r>
        <w:rPr>
          <w:rFonts w:eastAsia="Times New Roman"/>
          <w:vanish/>
        </w:rPr>
        <w:t>tedCostsMember2020-07-012020-09-300001012477avdl:DeerfieldRoyaltyAgreementMemberavdl:FinancingRelatedCostsMember2020-06-300001012477avdl:DeerfieldRoyaltyAgreementMemberavdl:FinancingRelatedCostsMember2020-07-012020-09-300001012477avdl:BroadfinRoyaltyAgreem</w:t>
      </w:r>
      <w:r>
        <w:rPr>
          <w:rFonts w:eastAsia="Times New Roman"/>
          <w:vanish/>
        </w:rPr>
        <w:t>entMemberavdl:FinancingRelatedCostsMember2020-06-300001012477avdl:BroadfinRoyaltyAgreementMemberavdl:FinancingRelatedCostsMember2020-07-012020-09-300001012477avdl:EclatPharmaceuticalsMember2012-03-012012-03-310001012477avdl:DeerfieldCsfLlcMembersrt:Affilia</w:t>
      </w:r>
      <w:r>
        <w:rPr>
          <w:rFonts w:eastAsia="Times New Roman"/>
          <w:vanish/>
        </w:rPr>
        <w:t>tedEntityMember2013-02-012013-02-280001012477avdl:BroadfinDebtFinancingMember2013-12-012013-12-310001012477srt:MinimumMember2020-09-300001012477us-gaap:SeniorNotesMember2019-12-310001012477avdl:SpecialityPharamaMemberus-gaap:InternalRevenueServiceIRSMember</w:t>
      </w:r>
      <w:r>
        <w:rPr>
          <w:rFonts w:eastAsia="Times New Roman"/>
          <w:vanish/>
        </w:rPr>
        <w:t>2020-09-3000010124772020-02-2900010124772020-02-012020-02-290001012477us-gaap:AdditionalPaidInCapitalMember2020-01-012020-09-300001012477us-gaap:PrivatePlacementMember2020-02-212020-02-210001012477us-gaap:PrivatePlacementMembersic:Z88802020-02-212020-02-21</w:t>
      </w:r>
      <w:r>
        <w:rPr>
          <w:rFonts w:eastAsia="Times New Roman"/>
          <w:vanish/>
        </w:rPr>
        <w:t>0001012477us-gaap:PrivatePlacementMemberus-gaap:SeriesAPreferredStockMember2020-02-212020-02-210001012477us-gaap:PrivatePlacementMemberus-gaap:SeriesAPreferredStockMember2020-02-2100010124772020-02-212020-02-210001012477us-gaap:AdditionalPaidInCapitalMembe</w:t>
      </w:r>
      <w:r>
        <w:rPr>
          <w:rFonts w:eastAsia="Times New Roman"/>
          <w:vanish/>
        </w:rPr>
        <w:t>r2020-02-212020-02-210001012477avdl:AmericanDepositarySharesMemberavdl:PublicOfferingMember2020-04-282020-04-280001012477avdl:AmericanDepositarySharesMemberavdl:PublicOfferingMember2020-04-280001012477avdl:TwoThousandNineteenCorporateFrenchRestructuringObl</w:t>
      </w:r>
      <w:r>
        <w:rPr>
          <w:rFonts w:eastAsia="Times New Roman"/>
          <w:vanish/>
        </w:rPr>
        <w:t>igationMember2019-07-012019-09-300001012477avdl:TwoThousandNineteenCorporateFrenchRestructuringObligationMember2019-01-012019-09-300001012477us-gaap:EmployeeSeveranceMemberavdl:TwoThousandNineteenCorporateFrenchRestructuringObligationMember2019-01-012019-0</w:t>
      </w:r>
      <w:r>
        <w:rPr>
          <w:rFonts w:eastAsia="Times New Roman"/>
          <w:vanish/>
        </w:rPr>
        <w:t>9-300001012477us-gaap:FacilityClosingMemberavdl:TwoThousandNineteenCorporateFrenchRestructuringObligationMember2019-01-012019-09-300001012477avdl:TwoThousandNineteenCorporateFrenchRestructuringObligationMember2019-12-310001012477avdl:TwoThousandNineteenCor</w:t>
      </w:r>
      <w:r>
        <w:rPr>
          <w:rFonts w:eastAsia="Times New Roman"/>
          <w:vanish/>
        </w:rPr>
        <w:t>porateFrenchRestructuringObligationMember2018-12-310001012477us-gaap:EmployeeSeveranceMemberavdl:TwoThousandNineteenCorporateFrenchRestructuringObligationMember2020-01-012020-09-300001012477avdl:TwoThousandNineteenCorporateFrenchRestructuringObligationMemb</w:t>
      </w:r>
      <w:r>
        <w:rPr>
          <w:rFonts w:eastAsia="Times New Roman"/>
          <w:vanish/>
        </w:rPr>
        <w:t>er2020-01-012020-09-300001012477avdl:TwoThousandNineteenCorporateFrenchRestructuringObligationMember2020-09-300001012477avdl:TwoThousandNineteenCorporateFrenchRestructuringObligationMember2019-09-300001012477us-gaap:AccruedLiabilitiesMemberavdl:TwoThousand</w:t>
      </w:r>
      <w:r>
        <w:rPr>
          <w:rFonts w:eastAsia="Times New Roman"/>
          <w:vanish/>
        </w:rPr>
        <w:t>NineteenCorporateFrenchRestructuringObligationMember2020-09-300001012477avdl:CorporateWorkforceReductionMemberus-gaap:EmployeeSeveranceMember2019-09-300001012477avdl:TwoThousandNineteenCorporateRestructuringObligationsMember2019-07-012019-09-300001012477av</w:t>
      </w:r>
      <w:r>
        <w:rPr>
          <w:rFonts w:eastAsia="Times New Roman"/>
          <w:vanish/>
        </w:rPr>
        <w:t>dl:TwoThousandNineteenCorporateRestructuringObligationsMember2019-01-012019-09-300001012477avdl:TwoThousandNineteenCorporateRestructuringObligationsMemberus-gaap:EmployeeSeveranceMember2019-01-012019-09-300001012477avdl:TwoThousandNineteenCorporateRestruct</w:t>
      </w:r>
      <w:r>
        <w:rPr>
          <w:rFonts w:eastAsia="Times New Roman"/>
          <w:vanish/>
        </w:rPr>
        <w:t>uringObligationsMember2019-12-310001012477avdl:TwoThousandNineteenCorporateRestructuringObligationsMember2018-12-310001012477avdl:TwoThousandNineteenCorporateRestructuringObligationsMemberus-gaap:EmployeeSeveranceMember2020-01-012020-09-300001012477avdl:Tw</w:t>
      </w:r>
      <w:r>
        <w:rPr>
          <w:rFonts w:eastAsia="Times New Roman"/>
          <w:vanish/>
        </w:rPr>
        <w:t>oThousandNineteenCorporateRestructuringObligationsMember2020-01-012020-09-300001012477avdl:TwoThousandNineteenCorporateRestructuringObligationsMember2020-09-300001012477avdl:TwoThousandNineteenCorporateRestructuringObligationsMember2019-09-300001012477us-g</w:t>
      </w:r>
      <w:r>
        <w:rPr>
          <w:rFonts w:eastAsia="Times New Roman"/>
          <w:vanish/>
        </w:rPr>
        <w:t>aap:PerformanceSharesMember2020-09-300001012477us-gaap:PerformanceSharesMember2020-01-012020-09-300001012477us-gaap:PerformanceSharesMemberus-gaap:ShareBasedPaymentArrangementEmployeeMemberus-gaap:SubsequentEventMember2020-10-202020-10-200001012477us-gaap:</w:t>
      </w:r>
      <w:r>
        <w:rPr>
          <w:rFonts w:eastAsia="Times New Roman"/>
          <w:vanish/>
        </w:rPr>
        <w:t>AccumulatedTranslationAdjustmentMember2020-06-300001012477us-gaap:AccumulatedTranslationAdjustmentMember2019-06-300001012477us-gaap:AccumulatedTranslationAdjustmentMember2019-12-310001012477us-gaap:AccumulatedTranslationAdjustmentMember2018-12-310001012477</w:t>
      </w:r>
      <w:r>
        <w:rPr>
          <w:rFonts w:eastAsia="Times New Roman"/>
          <w:vanish/>
        </w:rPr>
        <w:t>us-gaap:AccumulatedTranslationAdjustmentMember2020-07-012020-09-300001012477us-gaap:AccumulatedTranslationAdjustmentMember2019-07-012019-09-300001012477us-gaap:AccumulatedTranslationAdjustmentMember2020-01-012020-09-300001012477us-gaap:AccumulatedTranslati</w:t>
      </w:r>
      <w:r>
        <w:rPr>
          <w:rFonts w:eastAsia="Times New Roman"/>
          <w:vanish/>
        </w:rPr>
        <w:t>onAdjustmentMember2019-01-012019-09-300001012477us-gaap:AccumulatedTranslationAdjustmentMember2020-09-300001012477us-gaap:AccumulatedTranslationAdjustmentMember2019-09-300001012477us-gaap:AccumulatedNetUnrealizedInvestmentGainLossMember2020-06-300001012477</w:t>
      </w:r>
      <w:r>
        <w:rPr>
          <w:rFonts w:eastAsia="Times New Roman"/>
          <w:vanish/>
        </w:rPr>
        <w:t>us-gaap:AccumulatedNetUnrealizedInvestmentGainLossMember2019-06-300001012477us-gaap:AccumulatedNetUnrealizedInvestmentGainLossMember2019-12-310001012477us-gaap:AccumulatedNetUnrealizedInvestmentGainLossMember2018-12-310001012477us-gaap:AccumulatedNetUnreal</w:t>
      </w:r>
      <w:r>
        <w:rPr>
          <w:rFonts w:eastAsia="Times New Roman"/>
          <w:vanish/>
        </w:rPr>
        <w:t>izedInvestmentGainLossMember2020-07-012020-09-300001012477us-gaap:AccumulatedNetUnrealizedInvestmentGainLossMember2019-07-012019-09-300001012477us-gaap:AccumulatedNetUnrealizedInvestmentGainLossMember2020-01-012020-09-300001012477us-gaap:AccumulatedNetUnre</w:t>
      </w:r>
      <w:r>
        <w:rPr>
          <w:rFonts w:eastAsia="Times New Roman"/>
          <w:vanish/>
        </w:rPr>
        <w:t>alizedInvestmentGainLossMember2019-01-012019-09-300001012477us-gaap:AccumulatedNetUnrealizedInvestmentGainLossMember2020-09-300001012477us-gaap:AccumulatedNetUnrealizedInvestmentGainLossMember2019-09-30avdl:segment0001012477avdl:BloxiverzMember2020-07-0120</w:t>
      </w:r>
      <w:r>
        <w:rPr>
          <w:rFonts w:eastAsia="Times New Roman"/>
          <w:vanish/>
        </w:rPr>
        <w:t>20-09-300001012477avdl:BloxiverzMember2019-07-012019-09-300001012477avdl:BloxiverzMember2020-01-012020-09-300001012477avdl:BloxiverzMember2019-01-012019-09-300001012477avdl:VazculepMember2020-07-012020-09-300001012477avdl:VazculepMember2019-07-012019-09-30</w:t>
      </w:r>
      <w:r>
        <w:rPr>
          <w:rFonts w:eastAsia="Times New Roman"/>
          <w:vanish/>
        </w:rPr>
        <w:t>0001012477avdl:VazculepMember2020-01-012020-09-300001012477avdl:VazculepMember2019-01-012019-09-300001012477avdl:AkovazMember2020-07-012020-09-300001012477avdl:AkovazMember2019-07-012019-09-300001012477avdl:AkovazMember2020-01-012020-09-300001012477avdl:Ak</w:t>
      </w:r>
      <w:r>
        <w:rPr>
          <w:rFonts w:eastAsia="Times New Roman"/>
          <w:vanish/>
        </w:rPr>
        <w:t>ovazMember2019-01-012019-09-300001012477avdl:OtherProductsMember2020-07-012020-09-300001012477avdl:OtherProductsMember2019-07-012019-09-300001012477avdl:OtherProductsMember2020-01-012020-09-300001012477avdl:OtherProductsMember2019-01-012019-09-300001012477</w:t>
      </w:r>
      <w:r>
        <w:rPr>
          <w:rFonts w:eastAsia="Times New Roman"/>
          <w:vanish/>
        </w:rPr>
        <w:t>srt:MaximumMember2020-09-30</w:t>
      </w:r>
    </w:p>
    <w:p w:rsidR="00000000" w:rsidRDefault="006629D3">
      <w:pPr>
        <w:divId w:val="1152021156"/>
        <w:rPr>
          <w:rFonts w:eastAsia="Times New Roman"/>
        </w:rPr>
      </w:pPr>
    </w:p>
    <w:p w:rsidR="00000000" w:rsidRDefault="006629D3">
      <w:pPr>
        <w:jc w:val="center"/>
        <w:rPr>
          <w:rFonts w:eastAsia="Times New Roman"/>
        </w:rPr>
      </w:pPr>
      <w:r>
        <w:rPr>
          <w:rFonts w:eastAsia="Times New Roman"/>
          <w:b/>
          <w:bCs/>
          <w:color w:val="000000"/>
          <w:sz w:val="28"/>
          <w:szCs w:val="28"/>
        </w:rPr>
        <w:t>UNITED STATES</w:t>
      </w:r>
    </w:p>
    <w:p w:rsidR="00000000" w:rsidRDefault="006629D3">
      <w:pPr>
        <w:jc w:val="center"/>
        <w:rPr>
          <w:rFonts w:eastAsia="Times New Roman"/>
        </w:rPr>
      </w:pPr>
      <w:r>
        <w:rPr>
          <w:rFonts w:eastAsia="Times New Roman"/>
          <w:b/>
          <w:bCs/>
          <w:color w:val="000000"/>
          <w:sz w:val="28"/>
          <w:szCs w:val="28"/>
        </w:rPr>
        <w:t>            SECURITIES AND EXCHANGE COMMISSION            </w:t>
      </w:r>
    </w:p>
    <w:p w:rsidR="00000000" w:rsidRDefault="006629D3">
      <w:pPr>
        <w:jc w:val="center"/>
        <w:rPr>
          <w:rFonts w:eastAsia="Times New Roman"/>
        </w:rPr>
      </w:pPr>
      <w:r>
        <w:rPr>
          <w:rFonts w:eastAsia="Times New Roman"/>
          <w:b/>
          <w:bCs/>
          <w:color w:val="000000"/>
        </w:rPr>
        <w:t>Washington, D.C. 20549</w:t>
      </w:r>
    </w:p>
    <w:p w:rsidR="00000000" w:rsidRDefault="006629D3">
      <w:pPr>
        <w:ind w:firstLine="720"/>
        <w:divId w:val="709573490"/>
        <w:rPr>
          <w:rFonts w:eastAsia="Times New Roman"/>
        </w:rPr>
      </w:pPr>
      <w:r>
        <w:rPr>
          <w:rFonts w:eastAsia="Times New Roman"/>
          <w:color w:val="000000"/>
          <w:sz w:val="20"/>
          <w:szCs w:val="20"/>
        </w:rPr>
        <w:t> </w:t>
      </w:r>
    </w:p>
    <w:p w:rsidR="00000000" w:rsidRDefault="006629D3">
      <w:pPr>
        <w:jc w:val="center"/>
        <w:rPr>
          <w:rFonts w:eastAsia="Times New Roman"/>
        </w:rPr>
      </w:pPr>
      <w:r>
        <w:rPr>
          <w:rFonts w:eastAsia="Times New Roman"/>
          <w:color w:val="000000"/>
          <w:sz w:val="20"/>
          <w:szCs w:val="20"/>
        </w:rPr>
        <w:t>———————</w:t>
      </w:r>
    </w:p>
    <w:p w:rsidR="00000000" w:rsidRDefault="006629D3">
      <w:pPr>
        <w:jc w:val="center"/>
        <w:divId w:val="215967728"/>
        <w:rPr>
          <w:rFonts w:eastAsia="Times New Roman"/>
        </w:rPr>
      </w:pPr>
      <w:r>
        <w:rPr>
          <w:rFonts w:eastAsia="Times New Roman"/>
          <w:b/>
          <w:bCs/>
          <w:color w:val="000000"/>
          <w:sz w:val="28"/>
          <w:szCs w:val="28"/>
        </w:rPr>
        <w:t xml:space="preserve">FORM 10-Q </w:t>
      </w:r>
    </w:p>
    <w:p w:rsidR="00000000" w:rsidRDefault="006629D3">
      <w:pPr>
        <w:jc w:val="center"/>
        <w:rPr>
          <w:rFonts w:eastAsia="Times New Roman"/>
        </w:rPr>
      </w:pPr>
      <w:r>
        <w:rPr>
          <w:rFonts w:eastAsia="Times New Roman"/>
          <w:color w:val="000000"/>
          <w:sz w:val="20"/>
          <w:szCs w:val="20"/>
        </w:rPr>
        <w:t>———————</w:t>
      </w:r>
    </w:p>
    <w:p w:rsidR="00000000" w:rsidRDefault="006629D3">
      <w:pPr>
        <w:ind w:hanging="540"/>
        <w:divId w:val="89590970"/>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QUARTERLY REPORT PURSUANT TO SECTION 13 OR 15(d) OF THE SECURITIES EXCHANGE ACT OF 1934</w:t>
      </w:r>
    </w:p>
    <w:p w:rsidR="00000000" w:rsidRDefault="006629D3">
      <w:pPr>
        <w:ind w:firstLine="720"/>
        <w:jc w:val="center"/>
        <w:rPr>
          <w:rFonts w:eastAsia="Times New Roman"/>
        </w:rPr>
      </w:pPr>
      <w:r>
        <w:rPr>
          <w:rFonts w:eastAsia="Times New Roman"/>
          <w:b/>
          <w:bCs/>
          <w:color w:val="000000"/>
          <w:sz w:val="20"/>
          <w:szCs w:val="20"/>
        </w:rPr>
        <w:t> </w:t>
      </w:r>
    </w:p>
    <w:p w:rsidR="00000000" w:rsidRDefault="006629D3">
      <w:pPr>
        <w:jc w:val="center"/>
        <w:rPr>
          <w:rFonts w:eastAsia="Times New Roman"/>
        </w:rPr>
      </w:pPr>
      <w:r>
        <w:rPr>
          <w:rFonts w:eastAsia="Times New Roman"/>
          <w:color w:val="000000"/>
          <w:sz w:val="20"/>
          <w:szCs w:val="20"/>
        </w:rPr>
        <w:t>For th</w:t>
      </w:r>
      <w:r>
        <w:rPr>
          <w:rFonts w:eastAsia="Times New Roman"/>
          <w:color w:val="000000"/>
          <w:sz w:val="20"/>
          <w:szCs w:val="20"/>
        </w:rPr>
        <w:t xml:space="preserve">e quarterly period ended: September 30, 2020 </w:t>
      </w:r>
    </w:p>
    <w:p w:rsidR="00000000" w:rsidRDefault="006629D3">
      <w:pPr>
        <w:jc w:val="center"/>
        <w:rPr>
          <w:rFonts w:eastAsia="Times New Roman"/>
        </w:rPr>
      </w:pPr>
    </w:p>
    <w:p w:rsidR="00000000" w:rsidRDefault="006629D3">
      <w:pPr>
        <w:jc w:val="center"/>
        <w:divId w:val="1283076814"/>
        <w:rPr>
          <w:rFonts w:eastAsia="Times New Roman"/>
        </w:rPr>
      </w:pPr>
      <w:r>
        <w:rPr>
          <w:rFonts w:eastAsia="Times New Roman"/>
          <w:color w:val="000000"/>
          <w:sz w:val="20"/>
          <w:szCs w:val="20"/>
        </w:rPr>
        <w:t>OR</w:t>
      </w:r>
    </w:p>
    <w:p w:rsidR="00000000" w:rsidRDefault="006629D3">
      <w:pPr>
        <w:ind w:hanging="540"/>
        <w:divId w:val="816798694"/>
        <w:rPr>
          <w:rFonts w:eastAsia="Times New Roman"/>
        </w:rPr>
      </w:pPr>
      <w:r>
        <w:rPr>
          <w:rFonts w:ascii="Segoe UI Symbol" w:eastAsia="Times New Roman" w:hAnsi="Segoe UI Symbol" w:cs="Segoe UI Symbol"/>
          <w:color w:val="000000"/>
        </w:rPr>
        <w:t>☐</w:t>
      </w:r>
      <w:r>
        <w:rPr>
          <w:rFonts w:eastAsia="Times New Roman"/>
          <w:color w:val="000000"/>
          <w:sz w:val="20"/>
          <w:szCs w:val="20"/>
        </w:rPr>
        <w:t>    </w:t>
      </w:r>
      <w:r>
        <w:rPr>
          <w:rFonts w:eastAsia="Times New Roman"/>
          <w:color w:val="000000"/>
        </w:rPr>
        <w:t>TRANSITION REPORT PURSUANT TO SECTION 13 OR 15(d) OF THE SECURITIES EXCHANGE ACT OF 1934</w:t>
      </w:r>
    </w:p>
    <w:p w:rsidR="00000000" w:rsidRDefault="006629D3">
      <w:pPr>
        <w:jc w:val="center"/>
        <w:divId w:val="937131991"/>
        <w:rPr>
          <w:rFonts w:eastAsia="Times New Roman"/>
        </w:rPr>
      </w:pPr>
      <w:r>
        <w:rPr>
          <w:rFonts w:eastAsia="Times New Roman"/>
          <w:color w:val="000000"/>
          <w:sz w:val="20"/>
          <w:szCs w:val="20"/>
        </w:rPr>
        <w:t xml:space="preserve">For the transition period from </w:t>
      </w:r>
      <w:r>
        <w:rPr>
          <w:rFonts w:eastAsia="Times New Roman"/>
          <w:color w:val="000000"/>
          <w:sz w:val="20"/>
          <w:szCs w:val="20"/>
          <w:u w:val="single"/>
        </w:rPr>
        <w:t>                    </w:t>
      </w:r>
      <w:r>
        <w:rPr>
          <w:rFonts w:eastAsia="Times New Roman"/>
          <w:color w:val="000000"/>
          <w:sz w:val="20"/>
          <w:szCs w:val="20"/>
        </w:rPr>
        <w:t xml:space="preserve"> to </w:t>
      </w:r>
      <w:r>
        <w:rPr>
          <w:rFonts w:eastAsia="Times New Roman"/>
          <w:color w:val="000000"/>
          <w:sz w:val="20"/>
          <w:szCs w:val="20"/>
          <w:u w:val="single"/>
        </w:rPr>
        <w:t>                    </w:t>
      </w:r>
    </w:p>
    <w:tbl>
      <w:tblPr>
        <w:tblW w:w="2134" w:type="pct"/>
        <w:jc w:val="center"/>
        <w:tblCellMar>
          <w:top w:w="15" w:type="dxa"/>
          <w:left w:w="15" w:type="dxa"/>
          <w:bottom w:w="15" w:type="dxa"/>
          <w:right w:w="15" w:type="dxa"/>
        </w:tblCellMar>
        <w:tblLook w:val="04A0" w:firstRow="1" w:lastRow="0" w:firstColumn="1" w:lastColumn="0" w:noHBand="0" w:noVBand="1"/>
      </w:tblPr>
      <w:tblGrid>
        <w:gridCol w:w="37"/>
        <w:gridCol w:w="3472"/>
        <w:gridCol w:w="36"/>
      </w:tblGrid>
      <w:tr w:rsidR="00000000">
        <w:trPr>
          <w:divId w:val="213852773"/>
          <w:jc w:val="center"/>
        </w:trPr>
        <w:tc>
          <w:tcPr>
            <w:tcW w:w="50" w:type="pct"/>
            <w:vAlign w:val="center"/>
            <w:hideMark/>
          </w:tcPr>
          <w:p w:rsidR="00000000" w:rsidRDefault="006629D3">
            <w:pPr>
              <w:jc w:val="center"/>
              <w:rPr>
                <w:rFonts w:eastAsia="Times New Roman"/>
              </w:rPr>
            </w:pPr>
          </w:p>
        </w:tc>
        <w:tc>
          <w:tcPr>
            <w:tcW w:w="49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213852773"/>
          <w:jc w:val="center"/>
        </w:trPr>
        <w:tc>
          <w:tcPr>
            <w:tcW w:w="0" w:type="auto"/>
            <w:gridSpan w:val="3"/>
            <w:tcMar>
              <w:top w:w="30" w:type="dxa"/>
              <w:left w:w="20" w:type="dxa"/>
              <w:bottom w:w="30" w:type="dxa"/>
              <w:right w:w="20" w:type="dxa"/>
            </w:tcMar>
            <w:vAlign w:val="center"/>
            <w:hideMark/>
          </w:tcPr>
          <w:p w:rsidR="00000000" w:rsidRDefault="006629D3">
            <w:pPr>
              <w:jc w:val="center"/>
              <w:rPr>
                <w:rFonts w:eastAsia="Times New Roman"/>
              </w:rPr>
            </w:pPr>
            <w:r>
              <w:rPr>
                <w:rFonts w:eastAsia="Times New Roman"/>
                <w:b/>
                <w:bCs/>
                <w:color w:val="000000"/>
                <w:sz w:val="20"/>
                <w:szCs w:val="20"/>
              </w:rPr>
              <w:t>Commission File Number: 000-28508</w:t>
            </w:r>
          </w:p>
        </w:tc>
      </w:tr>
    </w:tbl>
    <w:p w:rsidR="00000000" w:rsidRDefault="006629D3">
      <w:pPr>
        <w:ind w:firstLine="720"/>
        <w:divId w:val="128938100"/>
        <w:rPr>
          <w:rFonts w:eastAsia="Times New Roman"/>
        </w:rPr>
      </w:pPr>
      <w:r>
        <w:rPr>
          <w:rFonts w:eastAsia="Times New Roman"/>
          <w:color w:val="000000"/>
          <w:sz w:val="20"/>
          <w:szCs w:val="20"/>
        </w:rPr>
        <w:t> </w:t>
      </w:r>
    </w:p>
    <w:p w:rsidR="00000000" w:rsidRDefault="006629D3">
      <w:pPr>
        <w:jc w:val="center"/>
        <w:rPr>
          <w:rFonts w:eastAsia="Times New Roman"/>
        </w:rPr>
      </w:pPr>
      <w:r>
        <w:rPr>
          <w:rFonts w:eastAsia="Times New Roman"/>
          <w:color w:val="000000"/>
          <w:sz w:val="20"/>
          <w:szCs w:val="20"/>
        </w:rPr>
        <w:t>———————</w:t>
      </w:r>
    </w:p>
    <w:p w:rsidR="00000000" w:rsidRDefault="006629D3">
      <w:pPr>
        <w:jc w:val="center"/>
        <w:divId w:val="708267080"/>
        <w:rPr>
          <w:rFonts w:eastAsia="Times New Roman"/>
        </w:rPr>
      </w:pPr>
      <w:r>
        <w:rPr>
          <w:rFonts w:eastAsia="Times New Roman"/>
          <w:b/>
          <w:bCs/>
          <w:color w:val="000000"/>
          <w:sz w:val="36"/>
          <w:szCs w:val="36"/>
        </w:rPr>
        <w:t xml:space="preserve">AVADEL PHARMACEUTICALS PLC </w:t>
      </w:r>
    </w:p>
    <w:p w:rsidR="00000000" w:rsidRDefault="006629D3">
      <w:pPr>
        <w:jc w:val="center"/>
        <w:rPr>
          <w:rFonts w:eastAsia="Times New Roman"/>
        </w:rPr>
      </w:pPr>
      <w:r>
        <w:rPr>
          <w:rFonts w:eastAsia="Times New Roman"/>
          <w:color w:val="000000"/>
          <w:sz w:val="20"/>
          <w:szCs w:val="20"/>
        </w:rPr>
        <w:t>(Exact name of registrant as specified in its charter)</w:t>
      </w:r>
    </w:p>
    <w:p w:rsidR="00000000" w:rsidRDefault="006629D3">
      <w:pPr>
        <w:jc w:val="center"/>
        <w:rPr>
          <w:rFonts w:eastAsia="Times New Roman"/>
        </w:rPr>
      </w:pPr>
      <w:r>
        <w:rPr>
          <w:rFonts w:eastAsia="Times New Roman"/>
          <w:color w:val="000000"/>
          <w:sz w:val="20"/>
          <w:szCs w:val="20"/>
        </w:rPr>
        <w:t>———————</w:t>
      </w:r>
    </w:p>
    <w:p w:rsidR="00000000" w:rsidRDefault="006629D3">
      <w:pPr>
        <w:ind w:firstLine="720"/>
        <w:divId w:val="2074886395"/>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2942"/>
        <w:gridCol w:w="36"/>
        <w:gridCol w:w="69"/>
        <w:gridCol w:w="2092"/>
        <w:gridCol w:w="36"/>
        <w:gridCol w:w="70"/>
        <w:gridCol w:w="2943"/>
        <w:gridCol w:w="36"/>
      </w:tblGrid>
      <w:tr w:rsidR="00000000">
        <w:trPr>
          <w:divId w:val="2117434420"/>
        </w:trPr>
        <w:tc>
          <w:tcPr>
            <w:tcW w:w="50" w:type="pct"/>
            <w:vAlign w:val="center"/>
            <w:hideMark/>
          </w:tcPr>
          <w:p w:rsidR="00000000" w:rsidRDefault="006629D3">
            <w:pPr>
              <w:ind w:firstLine="720"/>
              <w:rPr>
                <w:rFonts w:eastAsia="Times New Roman"/>
              </w:rPr>
            </w:pPr>
          </w:p>
        </w:tc>
        <w:tc>
          <w:tcPr>
            <w:tcW w:w="178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12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178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2117434420"/>
        </w:trPr>
        <w:tc>
          <w:tcPr>
            <w:tcW w:w="0" w:type="auto"/>
            <w:gridSpan w:val="3"/>
            <w:tcMar>
              <w:top w:w="30" w:type="dxa"/>
              <w:left w:w="20" w:type="dxa"/>
              <w:bottom w:w="30" w:type="dxa"/>
              <w:right w:w="20" w:type="dxa"/>
            </w:tcMar>
            <w:vAlign w:val="center"/>
            <w:hideMark/>
          </w:tcPr>
          <w:p w:rsidR="00000000" w:rsidRDefault="006629D3">
            <w:pPr>
              <w:jc w:val="center"/>
              <w:rPr>
                <w:rFonts w:eastAsia="Times New Roman"/>
              </w:rPr>
            </w:pPr>
            <w:r>
              <w:rPr>
                <w:rFonts w:eastAsia="Times New Roman"/>
                <w:b/>
                <w:bCs/>
                <w:color w:val="000000"/>
                <w:sz w:val="20"/>
                <w:szCs w:val="20"/>
              </w:rPr>
              <w:t>Ireland</w:t>
            </w:r>
          </w:p>
        </w:tc>
        <w:tc>
          <w:tcPr>
            <w:tcW w:w="0" w:type="auto"/>
            <w:gridSpan w:val="3"/>
            <w:tcMar>
              <w:top w:w="30" w:type="dxa"/>
              <w:left w:w="20" w:type="dxa"/>
              <w:bottom w:w="30" w:type="dxa"/>
              <w:right w:w="20" w:type="dxa"/>
            </w:tcMar>
            <w:vAlign w:val="center"/>
            <w:hideMark/>
          </w:tcPr>
          <w:p w:rsidR="00000000" w:rsidRDefault="006629D3">
            <w:pPr>
              <w:jc w:val="center"/>
              <w:rPr>
                <w:rFonts w:eastAsia="Times New Roman"/>
              </w:rPr>
            </w:pPr>
            <w:r>
              <w:rPr>
                <w:rFonts w:eastAsia="Times New Roman"/>
                <w:b/>
                <w:bCs/>
                <w:color w:val="000000"/>
                <w:sz w:val="20"/>
                <w:szCs w:val="20"/>
              </w:rPr>
              <w:t>000-28508</w:t>
            </w:r>
          </w:p>
        </w:tc>
        <w:tc>
          <w:tcPr>
            <w:tcW w:w="0" w:type="auto"/>
            <w:gridSpan w:val="3"/>
            <w:tcMar>
              <w:top w:w="30" w:type="dxa"/>
              <w:left w:w="20" w:type="dxa"/>
              <w:bottom w:w="30" w:type="dxa"/>
              <w:right w:w="20" w:type="dxa"/>
            </w:tcMar>
            <w:vAlign w:val="center"/>
            <w:hideMark/>
          </w:tcPr>
          <w:p w:rsidR="00000000" w:rsidRDefault="006629D3">
            <w:pPr>
              <w:jc w:val="center"/>
              <w:rPr>
                <w:rFonts w:eastAsia="Times New Roman"/>
              </w:rPr>
            </w:pPr>
            <w:r>
              <w:rPr>
                <w:rFonts w:eastAsia="Times New Roman"/>
                <w:b/>
                <w:bCs/>
                <w:color w:val="000000"/>
                <w:sz w:val="20"/>
                <w:szCs w:val="20"/>
              </w:rPr>
              <w:t>98-1341933</w:t>
            </w:r>
          </w:p>
        </w:tc>
      </w:tr>
      <w:tr w:rsidR="00000000">
        <w:trPr>
          <w:divId w:val="2117434420"/>
        </w:trPr>
        <w:tc>
          <w:tcPr>
            <w:tcW w:w="0" w:type="auto"/>
            <w:gridSpan w:val="3"/>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(State or Other Jurisdiction of Incorporation)</w:t>
            </w:r>
          </w:p>
        </w:tc>
        <w:tc>
          <w:tcPr>
            <w:tcW w:w="0" w:type="auto"/>
            <w:gridSpan w:val="3"/>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(Commission File Number)</w:t>
            </w:r>
          </w:p>
        </w:tc>
        <w:tc>
          <w:tcPr>
            <w:tcW w:w="0" w:type="auto"/>
            <w:gridSpan w:val="3"/>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(I.R.S. Employer Identification No.)</w:t>
            </w:r>
          </w:p>
        </w:tc>
      </w:tr>
    </w:tbl>
    <w:p w:rsidR="00000000" w:rsidRDefault="006629D3">
      <w:pPr>
        <w:ind w:firstLine="720"/>
        <w:jc w:val="center"/>
        <w:rPr>
          <w:rFonts w:eastAsia="Times New Roman"/>
        </w:rPr>
      </w:pPr>
      <w:r>
        <w:rPr>
          <w:rFonts w:eastAsia="Times New Roman"/>
          <w:color w:val="000000"/>
          <w:sz w:val="20"/>
          <w:szCs w:val="20"/>
        </w:rPr>
        <w:t> </w:t>
      </w:r>
    </w:p>
    <w:p w:rsidR="00000000" w:rsidRDefault="006629D3">
      <w:pPr>
        <w:jc w:val="center"/>
        <w:rPr>
          <w:rFonts w:eastAsia="Times New Roman"/>
        </w:rPr>
      </w:pPr>
      <w:r>
        <w:rPr>
          <w:rFonts w:eastAsia="Times New Roman"/>
          <w:b/>
          <w:bCs/>
          <w:color w:val="000000"/>
          <w:sz w:val="20"/>
          <w:szCs w:val="20"/>
        </w:rPr>
        <w:t xml:space="preserve">10 Earlsfort Terrace </w:t>
      </w:r>
    </w:p>
    <w:p w:rsidR="00000000" w:rsidRDefault="006629D3">
      <w:pPr>
        <w:jc w:val="center"/>
        <w:rPr>
          <w:rFonts w:eastAsia="Times New Roman"/>
        </w:rPr>
      </w:pPr>
      <w:r>
        <w:rPr>
          <w:rFonts w:eastAsia="Times New Roman"/>
          <w:b/>
          <w:bCs/>
          <w:color w:val="000000"/>
          <w:sz w:val="20"/>
          <w:szCs w:val="20"/>
        </w:rPr>
        <w:t xml:space="preserve">Dublin 2, Ireland </w:t>
      </w:r>
    </w:p>
    <w:p w:rsidR="00000000" w:rsidRDefault="006629D3">
      <w:pPr>
        <w:jc w:val="center"/>
        <w:rPr>
          <w:rFonts w:eastAsia="Times New Roman"/>
        </w:rPr>
      </w:pPr>
      <w:r>
        <w:rPr>
          <w:rFonts w:eastAsia="Times New Roman"/>
          <w:b/>
          <w:bCs/>
          <w:color w:val="000000"/>
          <w:sz w:val="20"/>
          <w:szCs w:val="20"/>
        </w:rPr>
        <w:t xml:space="preserve">D02 T380 </w:t>
      </w:r>
    </w:p>
    <w:p w:rsidR="00000000" w:rsidRDefault="006629D3">
      <w:pPr>
        <w:ind w:firstLine="45"/>
        <w:jc w:val="center"/>
        <w:rPr>
          <w:rFonts w:eastAsia="Times New Roman"/>
        </w:rPr>
      </w:pPr>
      <w:r>
        <w:rPr>
          <w:rFonts w:eastAsia="Times New Roman"/>
          <w:color w:val="000000"/>
          <w:sz w:val="20"/>
          <w:szCs w:val="20"/>
        </w:rPr>
        <w:t>(Address of Principal Executive Office and Zip Code)</w:t>
      </w:r>
    </w:p>
    <w:p w:rsidR="00000000" w:rsidRDefault="006629D3">
      <w:pPr>
        <w:ind w:firstLine="720"/>
        <w:jc w:val="center"/>
        <w:rPr>
          <w:rFonts w:eastAsia="Times New Roman"/>
        </w:rPr>
      </w:pPr>
      <w:r>
        <w:rPr>
          <w:rFonts w:eastAsia="Times New Roman"/>
          <w:b/>
          <w:bCs/>
          <w:color w:val="000000"/>
          <w:sz w:val="20"/>
          <w:szCs w:val="20"/>
        </w:rPr>
        <w:t> </w:t>
      </w:r>
    </w:p>
    <w:p w:rsidR="00000000" w:rsidRDefault="006629D3">
      <w:pPr>
        <w:jc w:val="center"/>
        <w:rPr>
          <w:rFonts w:eastAsia="Times New Roman"/>
        </w:rPr>
      </w:pPr>
      <w:r>
        <w:rPr>
          <w:rFonts w:eastAsia="Times New Roman"/>
          <w:b/>
          <w:bCs/>
          <w:color w:val="000000"/>
          <w:sz w:val="20"/>
          <w:szCs w:val="20"/>
        </w:rPr>
        <w:t xml:space="preserve">+011-1-485-1200 </w:t>
      </w:r>
    </w:p>
    <w:p w:rsidR="00000000" w:rsidRDefault="006629D3">
      <w:pPr>
        <w:ind w:firstLine="45"/>
        <w:jc w:val="center"/>
        <w:rPr>
          <w:rFonts w:eastAsia="Times New Roman"/>
        </w:rPr>
      </w:pPr>
      <w:r>
        <w:rPr>
          <w:rFonts w:eastAsia="Times New Roman"/>
          <w:color w:val="000000"/>
          <w:sz w:val="20"/>
          <w:szCs w:val="20"/>
        </w:rPr>
        <w:t>(Registrant’s telephone number, including area code)</w:t>
      </w:r>
    </w:p>
    <w:p w:rsidR="00000000" w:rsidRDefault="006629D3">
      <w:pPr>
        <w:ind w:firstLine="720"/>
        <w:divId w:val="16078915"/>
        <w:rPr>
          <w:rFonts w:eastAsia="Times New Roman"/>
        </w:rPr>
      </w:pPr>
      <w:r>
        <w:rPr>
          <w:rFonts w:eastAsia="Times New Roman"/>
          <w:color w:val="000000"/>
          <w:sz w:val="20"/>
          <w:szCs w:val="20"/>
        </w:rPr>
        <w:t> </w:t>
      </w:r>
    </w:p>
    <w:p w:rsidR="00000000" w:rsidRDefault="006629D3">
      <w:pPr>
        <w:jc w:val="center"/>
        <w:rPr>
          <w:rFonts w:eastAsia="Times New Roman"/>
        </w:rPr>
      </w:pPr>
      <w:r>
        <w:rPr>
          <w:rFonts w:eastAsia="Times New Roman"/>
          <w:b/>
          <w:bCs/>
          <w:color w:val="000000"/>
          <w:sz w:val="20"/>
          <w:szCs w:val="20"/>
        </w:rPr>
        <w:t>N/A</w:t>
      </w:r>
    </w:p>
    <w:p w:rsidR="00000000" w:rsidRDefault="006629D3">
      <w:pPr>
        <w:jc w:val="center"/>
        <w:rPr>
          <w:rFonts w:eastAsia="Times New Roman"/>
        </w:rPr>
      </w:pPr>
      <w:r>
        <w:rPr>
          <w:rFonts w:eastAsia="Times New Roman"/>
          <w:color w:val="000000"/>
          <w:sz w:val="20"/>
          <w:szCs w:val="20"/>
        </w:rPr>
        <w:t>(Former name, former address and former fiscal year, if changed since last report) </w:t>
      </w:r>
    </w:p>
    <w:p w:rsidR="00000000" w:rsidRDefault="006629D3">
      <w:pPr>
        <w:jc w:val="center"/>
        <w:rPr>
          <w:rFonts w:eastAsia="Times New Roman"/>
        </w:rPr>
      </w:pPr>
      <w:r>
        <w:rPr>
          <w:rFonts w:eastAsia="Times New Roman"/>
          <w:color w:val="000000"/>
          <w:sz w:val="20"/>
          <w:szCs w:val="20"/>
        </w:rPr>
        <w:t>———————</w:t>
      </w:r>
    </w:p>
    <w:p w:rsidR="00000000" w:rsidRDefault="006629D3">
      <w:pPr>
        <w:jc w:val="both"/>
        <w:rPr>
          <w:rFonts w:eastAsia="Times New Roman"/>
        </w:rPr>
      </w:pPr>
      <w:r>
        <w:rPr>
          <w:rFonts w:eastAsia="Times New Roman"/>
          <w:color w:val="000000"/>
          <w:sz w:val="20"/>
          <w:szCs w:val="20"/>
        </w:rPr>
        <w:t>Securities registered pursuant to</w:t>
      </w:r>
      <w:r>
        <w:rPr>
          <w:rFonts w:eastAsia="Times New Roman"/>
          <w:color w:val="000000"/>
          <w:sz w:val="20"/>
          <w:szCs w:val="20"/>
        </w:rPr>
        <w:t xml:space="preserve"> Section 12(b) of the Act:</w:t>
      </w:r>
    </w:p>
    <w:p w:rsidR="00000000" w:rsidRDefault="006629D3">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trPr>
          <w:divId w:val="2030568233"/>
          <w:jc w:val="center"/>
        </w:trPr>
        <w:tc>
          <w:tcPr>
            <w:tcW w:w="50" w:type="pct"/>
            <w:vAlign w:val="center"/>
            <w:hideMark/>
          </w:tcPr>
          <w:p w:rsidR="00000000" w:rsidRDefault="006629D3">
            <w:pPr>
              <w:jc w:val="both"/>
              <w:rPr>
                <w:rFonts w:eastAsia="Times New Roman"/>
              </w:rPr>
            </w:pPr>
          </w:p>
        </w:tc>
        <w:tc>
          <w:tcPr>
            <w:tcW w:w="161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161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161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2030568233"/>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Name of each exchange on which registered</w:t>
            </w:r>
          </w:p>
        </w:tc>
      </w:tr>
      <w:tr w:rsidR="00000000">
        <w:trPr>
          <w:divId w:val="2030568233"/>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American Depositary Shares* </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AVDL </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rsidR="00000000" w:rsidRDefault="006629D3">
            <w:pPr>
              <w:jc w:val="center"/>
              <w:rPr>
                <w:rFonts w:eastAsia="Times New Roman"/>
              </w:rPr>
            </w:pPr>
            <w:r>
              <w:rPr>
                <w:rFonts w:eastAsia="Times New Roman"/>
                <w:color w:val="000000"/>
                <w:sz w:val="20"/>
                <w:szCs w:val="20"/>
              </w:rPr>
              <w:t>The Nasdaq Global Market</w:t>
            </w:r>
          </w:p>
        </w:tc>
      </w:tr>
      <w:tr w:rsidR="00000000">
        <w:trPr>
          <w:divId w:val="2030568233"/>
          <w:jc w:val="center"/>
        </w:trPr>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6629D3">
            <w:pPr>
              <w:jc w:val="center"/>
              <w:divId w:val="723407219"/>
              <w:rPr>
                <w:rFonts w:eastAsia="Times New Roman"/>
              </w:rPr>
            </w:pPr>
            <w:r>
              <w:rPr>
                <w:rFonts w:eastAsia="Times New Roman"/>
                <w:color w:val="000000"/>
                <w:sz w:val="20"/>
                <w:szCs w:val="20"/>
              </w:rPr>
              <w:t>Ordinary Shares, nominal value $0.01 per share**</w:t>
            </w:r>
          </w:p>
        </w:tc>
        <w:tc>
          <w:tcPr>
            <w:tcW w:w="0" w:type="auto"/>
            <w:gridSpan w:val="3"/>
            <w:tcBorders>
              <w:left w:val="single" w:sz="8" w:space="0" w:color="000000"/>
              <w:bottom w:val="single" w:sz="8" w:space="0" w:color="000000"/>
            </w:tcBorders>
            <w:tcMar>
              <w:top w:w="30" w:type="dxa"/>
              <w:left w:w="20" w:type="dxa"/>
              <w:bottom w:w="30" w:type="dxa"/>
              <w:right w:w="20" w:type="dxa"/>
            </w:tcMar>
            <w:hideMark/>
          </w:tcPr>
          <w:p w:rsidR="00000000" w:rsidRDefault="006629D3">
            <w:pPr>
              <w:jc w:val="center"/>
              <w:divId w:val="1319924549"/>
              <w:rPr>
                <w:rFonts w:eastAsia="Times New Roman"/>
              </w:rPr>
            </w:pPr>
            <w:r>
              <w:rPr>
                <w:rFonts w:eastAsia="Times New Roman"/>
                <w:color w:val="000000"/>
                <w:sz w:val="20"/>
                <w:szCs w:val="20"/>
              </w:rPr>
              <w:t>N/A</w:t>
            </w:r>
          </w:p>
        </w:tc>
        <w:tc>
          <w:tcPr>
            <w:tcW w:w="0" w:type="auto"/>
            <w:gridSpan w:val="3"/>
            <w:tcBorders>
              <w:left w:val="single" w:sz="8" w:space="0" w:color="000000"/>
              <w:bottom w:val="single" w:sz="8" w:space="0" w:color="000000"/>
              <w:right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r>
    </w:tbl>
    <w:p w:rsidR="00000000" w:rsidRDefault="006629D3">
      <w:pPr>
        <w:divId w:val="1046880048"/>
        <w:rPr>
          <w:rFonts w:eastAsia="Times New Roman"/>
        </w:rPr>
      </w:pPr>
      <w:r>
        <w:rPr>
          <w:rFonts w:eastAsia="Times New Roman"/>
          <w:color w:val="000000"/>
          <w:sz w:val="20"/>
          <w:szCs w:val="20"/>
        </w:rPr>
        <w:t>*American Depositary Shares may be evidenced by American Depositary Receipts. Each American Depositary Share represents one (1) Ordinary Share.</w:t>
      </w:r>
    </w:p>
    <w:p w:rsidR="00000000" w:rsidRDefault="006629D3">
      <w:pPr>
        <w:divId w:val="2007786356"/>
        <w:rPr>
          <w:rFonts w:eastAsia="Times New Roman"/>
        </w:rPr>
      </w:pPr>
      <w:r>
        <w:rPr>
          <w:rFonts w:eastAsia="Times New Roman"/>
          <w:color w:val="000000"/>
          <w:sz w:val="20"/>
          <w:szCs w:val="20"/>
        </w:rPr>
        <w:lastRenderedPageBreak/>
        <w:t> </w:t>
      </w:r>
    </w:p>
    <w:p w:rsidR="00000000" w:rsidRDefault="006629D3">
      <w:pPr>
        <w:divId w:val="2071997421"/>
        <w:rPr>
          <w:rFonts w:eastAsia="Times New Roman"/>
        </w:rPr>
      </w:pPr>
      <w:r>
        <w:rPr>
          <w:rFonts w:eastAsia="Times New Roman"/>
          <w:color w:val="000000"/>
          <w:sz w:val="20"/>
          <w:szCs w:val="20"/>
        </w:rPr>
        <w:t>** Not for trading, but only in connection with the listing of American Depositary Shares on The Nasdaq Global</w:t>
      </w:r>
      <w:r>
        <w:rPr>
          <w:rFonts w:eastAsia="Times New Roman"/>
          <w:color w:val="000000"/>
          <w:sz w:val="20"/>
          <w:szCs w:val="20"/>
        </w:rPr>
        <w:t xml:space="preserve"> Market.</w:t>
      </w:r>
    </w:p>
    <w:p w:rsidR="00000000" w:rsidRDefault="006629D3">
      <w:pPr>
        <w:divId w:val="1019623864"/>
        <w:rPr>
          <w:rFonts w:eastAsia="Times New Roman"/>
        </w:rPr>
      </w:pPr>
    </w:p>
    <w:p w:rsidR="00000000" w:rsidRDefault="006629D3">
      <w:pPr>
        <w:rPr>
          <w:rFonts w:eastAsia="Times New Roman"/>
        </w:rPr>
      </w:pPr>
      <w:r>
        <w:rPr>
          <w:rFonts w:eastAsia="Times New Roman"/>
        </w:rPr>
        <w:pict>
          <v:rect id="_x0000_i1025" style="width:0;height:1.5pt" o:hralign="center" o:hrstd="t" o:hr="t" fillcolor="#a0a0a0" stroked="f"/>
        </w:pict>
      </w:r>
    </w:p>
    <w:p w:rsidR="00000000" w:rsidRDefault="006629D3">
      <w:pPr>
        <w:divId w:val="1097748872"/>
        <w:rPr>
          <w:rFonts w:eastAsia="Times New Roman"/>
        </w:rPr>
      </w:pP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w:t>
      </w:r>
      <w:r>
        <w:rPr>
          <w:rFonts w:eastAsia="Times New Roman"/>
          <w:color w:val="000000"/>
          <w:sz w:val="20"/>
          <w:szCs w:val="20"/>
        </w:rPr>
        <w:t xml:space="preserve">er period that the Registrant was required to file such reports), and (2) has been subject to such filing requirements for the past 90 days.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6629D3">
      <w:pPr>
        <w:ind w:firstLine="720"/>
        <w:divId w:val="541944493"/>
        <w:rPr>
          <w:rFonts w:eastAsia="Times New Roman"/>
        </w:rPr>
      </w:pPr>
      <w:r>
        <w:rPr>
          <w:rFonts w:eastAsia="Times New Roman"/>
          <w:color w:val="000000"/>
          <w:sz w:val="20"/>
          <w:szCs w:val="20"/>
        </w:rPr>
        <w:t> </w:t>
      </w:r>
    </w:p>
    <w:p w:rsidR="00000000" w:rsidRDefault="006629D3">
      <w:pPr>
        <w:jc w:val="both"/>
        <w:rPr>
          <w:rFonts w:eastAsia="Times New Roman"/>
        </w:rPr>
      </w:pPr>
      <w:r>
        <w:rPr>
          <w:rFonts w:eastAsia="Times New Roman"/>
          <w:color w:val="000000"/>
          <w:sz w:val="20"/>
          <w:szCs w:val="20"/>
        </w:rPr>
        <w:t>Indicate by check mark whether the registrant has submitted electronically and posted on its corporate Web site, if any, every Interactive Data File required to be submitted and posted pursuant to Rule 405 of Regulation S-T during the preceding 12 months (</w:t>
      </w:r>
      <w:r>
        <w:rPr>
          <w:rFonts w:eastAsia="Times New Roman"/>
          <w:color w:val="000000"/>
          <w:sz w:val="20"/>
          <w:szCs w:val="20"/>
        </w:rPr>
        <w:t xml:space="preserve">or for such shorter period that the registrant was required to submit and post such files).  Yes </w:t>
      </w:r>
      <w:r>
        <w:rPr>
          <w:rFonts w:ascii="Wingdings" w:eastAsia="Times New Roman" w:hAnsi="Wingdings"/>
          <w:color w:val="000000"/>
          <w:sz w:val="20"/>
          <w:szCs w:val="20"/>
        </w:rPr>
        <w:t>þ</w:t>
      </w:r>
      <w:r>
        <w:rPr>
          <w:rFonts w:eastAsia="Times New Roman"/>
          <w:color w:val="000000"/>
          <w:sz w:val="20"/>
          <w:szCs w:val="20"/>
        </w:rPr>
        <w:t xml:space="preserve"> No </w:t>
      </w:r>
      <w:r>
        <w:rPr>
          <w:rFonts w:ascii="Wingdings" w:eastAsia="Times New Roman" w:hAnsi="Wingdings"/>
          <w:color w:val="000000"/>
          <w:sz w:val="20"/>
          <w:szCs w:val="20"/>
        </w:rPr>
        <w:t>¨</w:t>
      </w:r>
    </w:p>
    <w:p w:rsidR="00000000" w:rsidRDefault="006629D3">
      <w:pPr>
        <w:ind w:firstLine="720"/>
        <w:divId w:val="104812133"/>
        <w:rPr>
          <w:rFonts w:eastAsia="Times New Roman"/>
        </w:rPr>
      </w:pPr>
      <w:r>
        <w:rPr>
          <w:rFonts w:eastAsia="Times New Roman"/>
          <w:color w:val="000000"/>
          <w:sz w:val="20"/>
          <w:szCs w:val="20"/>
        </w:rPr>
        <w:t> </w:t>
      </w:r>
    </w:p>
    <w:p w:rsidR="00000000" w:rsidRDefault="006629D3">
      <w:pPr>
        <w:jc w:val="both"/>
        <w:divId w:val="490871824"/>
        <w:rPr>
          <w:rFonts w:eastAsia="Times New Roman"/>
        </w:rPr>
      </w:pPr>
      <w:r>
        <w:rPr>
          <w:rFonts w:eastAsia="Times New Roman"/>
          <w:color w:val="000000"/>
          <w:sz w:val="20"/>
          <w:szCs w:val="20"/>
        </w:rPr>
        <w:t xml:space="preserve">Indicate by check mark whether the registrant is a large accelerated filer, an accelerated filer, a non-accelerated filer, smaller reporting company, </w:t>
      </w:r>
      <w:r>
        <w:rPr>
          <w:rFonts w:eastAsia="Times New Roman"/>
          <w:color w:val="000000"/>
          <w:sz w:val="20"/>
          <w:szCs w:val="20"/>
        </w:rPr>
        <w:t xml:space="preserve">or an emerging growth company. See the definitions of “large accelerated filer,” “accelerated filer,” “smaller reporting company,” and “emerging growth company” in Rule 12b-2 of the Exchange Act. </w:t>
      </w:r>
    </w:p>
    <w:tbl>
      <w:tblPr>
        <w:tblW w:w="4985" w:type="pct"/>
        <w:tblCellMar>
          <w:top w:w="15" w:type="dxa"/>
          <w:left w:w="15" w:type="dxa"/>
          <w:bottom w:w="15" w:type="dxa"/>
          <w:right w:w="15" w:type="dxa"/>
        </w:tblCellMar>
        <w:tblLook w:val="04A0" w:firstRow="1" w:lastRow="0" w:firstColumn="1" w:lastColumn="0" w:noHBand="0" w:noVBand="1"/>
      </w:tblPr>
      <w:tblGrid>
        <w:gridCol w:w="69"/>
        <w:gridCol w:w="3199"/>
        <w:gridCol w:w="36"/>
        <w:gridCol w:w="69"/>
        <w:gridCol w:w="731"/>
        <w:gridCol w:w="36"/>
        <w:gridCol w:w="69"/>
        <w:gridCol w:w="3199"/>
        <w:gridCol w:w="36"/>
        <w:gridCol w:w="69"/>
        <w:gridCol w:w="732"/>
        <w:gridCol w:w="36"/>
      </w:tblGrid>
      <w:tr w:rsidR="00000000">
        <w:trPr>
          <w:divId w:val="132455400"/>
        </w:trPr>
        <w:tc>
          <w:tcPr>
            <w:tcW w:w="50" w:type="pct"/>
            <w:vAlign w:val="center"/>
            <w:hideMark/>
          </w:tcPr>
          <w:p w:rsidR="00000000" w:rsidRDefault="006629D3">
            <w:pPr>
              <w:jc w:val="both"/>
              <w:rPr>
                <w:rFonts w:eastAsia="Times New Roman"/>
              </w:rPr>
            </w:pPr>
          </w:p>
        </w:tc>
        <w:tc>
          <w:tcPr>
            <w:tcW w:w="193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5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193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5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3245540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xml:space="preserve">Large accelerated filer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xml:space="preserve">Accelerated filer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ascii="Wingdings" w:eastAsia="Times New Roman" w:hAnsi="Wingdings"/>
                <w:color w:val="000000"/>
                <w:sz w:val="20"/>
                <w:szCs w:val="20"/>
              </w:rPr>
              <w:t>þ</w:t>
            </w:r>
          </w:p>
        </w:tc>
      </w:tr>
      <w:tr w:rsidR="00000000">
        <w:trPr>
          <w:divId w:val="13245540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xml:space="preserve">Non-accelerated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ascii="Segoe UI Symbol" w:eastAsia="Times New Roman" w:hAnsi="Segoe UI Symbol" w:cs="Segoe UI Symbol"/>
                <w:color w:val="000000"/>
                <w:sz w:val="20"/>
                <w:szCs w:val="20"/>
              </w:rPr>
              <w:t>☐</w:t>
            </w:r>
          </w:p>
        </w:tc>
      </w:tr>
      <w:tr w:rsidR="00000000">
        <w:trPr>
          <w:divId w:val="132455400"/>
        </w:trPr>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ascii="Segoe UI Symbol" w:eastAsia="Times New Roman" w:hAnsi="Segoe UI Symbol" w:cs="Segoe UI Symbol"/>
                <w:color w:val="000000"/>
                <w:sz w:val="20"/>
                <w:szCs w:val="20"/>
              </w:rPr>
              <w:t>☐</w:t>
            </w:r>
          </w:p>
        </w:tc>
      </w:tr>
    </w:tbl>
    <w:p w:rsidR="00000000" w:rsidRDefault="006629D3">
      <w:pPr>
        <w:jc w:val="both"/>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w:t>
      </w:r>
    </w:p>
    <w:p w:rsidR="00000000" w:rsidRDefault="006629D3">
      <w:pPr>
        <w:ind w:firstLine="720"/>
        <w:jc w:val="both"/>
        <w:rPr>
          <w:rFonts w:eastAsia="Times New Roman"/>
        </w:rPr>
      </w:pPr>
      <w:r>
        <w:rPr>
          <w:rFonts w:eastAsia="Times New Roman"/>
          <w:color w:val="000000"/>
          <w:sz w:val="20"/>
          <w:szCs w:val="20"/>
        </w:rPr>
        <w:t> </w:t>
      </w:r>
    </w:p>
    <w:p w:rsidR="00000000" w:rsidRDefault="006629D3">
      <w:pPr>
        <w:jc w:val="both"/>
        <w:rPr>
          <w:rFonts w:eastAsia="Times New Roman"/>
        </w:rPr>
      </w:pPr>
      <w:r>
        <w:rPr>
          <w:rFonts w:eastAsia="Times New Roman"/>
          <w:color w:val="000000"/>
          <w:sz w:val="20"/>
          <w:szCs w:val="20"/>
        </w:rPr>
        <w:t>In</w:t>
      </w:r>
      <w:r>
        <w:rPr>
          <w:rFonts w:eastAsia="Times New Roman"/>
          <w:color w:val="000000"/>
          <w:sz w:val="20"/>
          <w:szCs w:val="20"/>
        </w:rPr>
        <w:t xml:space="preserve">dicate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 </w:t>
      </w:r>
      <w:r>
        <w:rPr>
          <w:rFonts w:ascii="Wingdings" w:eastAsia="Times New Roman" w:hAnsi="Wingdings"/>
          <w:color w:val="000000"/>
          <w:sz w:val="20"/>
          <w:szCs w:val="20"/>
        </w:rPr>
        <w:t>þ</w:t>
      </w:r>
    </w:p>
    <w:p w:rsidR="00000000" w:rsidRDefault="006629D3">
      <w:pPr>
        <w:ind w:firstLine="720"/>
        <w:jc w:val="both"/>
        <w:rPr>
          <w:rFonts w:eastAsia="Times New Roman"/>
        </w:rPr>
      </w:pPr>
      <w:r>
        <w:rPr>
          <w:rFonts w:eastAsia="Times New Roman"/>
          <w:color w:val="000000"/>
          <w:sz w:val="20"/>
          <w:szCs w:val="20"/>
        </w:rPr>
        <w:t> </w:t>
      </w:r>
    </w:p>
    <w:p w:rsidR="00000000" w:rsidRDefault="006629D3">
      <w:pPr>
        <w:jc w:val="both"/>
        <w:rPr>
          <w:rFonts w:eastAsia="Times New Roman"/>
        </w:rPr>
      </w:pPr>
      <w:r>
        <w:rPr>
          <w:rFonts w:eastAsia="Times New Roman"/>
          <w:color w:val="000000"/>
          <w:sz w:val="20"/>
          <w:szCs w:val="20"/>
        </w:rPr>
        <w:t>At November 5, 2020, 58,272,734 ordinary shares, nominal value $0.01 each, of the Company were outstanding.</w:t>
      </w:r>
    </w:p>
    <w:p w:rsidR="00000000" w:rsidRDefault="006629D3">
      <w:pPr>
        <w:jc w:val="center"/>
        <w:rPr>
          <w:rFonts w:eastAsia="Times New Roman"/>
        </w:rPr>
      </w:pPr>
    </w:p>
    <w:p w:rsidR="00000000" w:rsidRDefault="006629D3">
      <w:pPr>
        <w:jc w:val="center"/>
        <w:rPr>
          <w:rFonts w:eastAsia="Times New Roman"/>
        </w:rPr>
      </w:pPr>
    </w:p>
    <w:p w:rsidR="00000000" w:rsidRDefault="006629D3">
      <w:pPr>
        <w:divId w:val="461730048"/>
        <w:rPr>
          <w:rFonts w:eastAsia="Times New Roman"/>
        </w:rPr>
      </w:pPr>
    </w:p>
    <w:p w:rsidR="00000000" w:rsidRDefault="006629D3">
      <w:pPr>
        <w:rPr>
          <w:rFonts w:eastAsia="Times New Roman"/>
        </w:rPr>
      </w:pPr>
      <w:r>
        <w:rPr>
          <w:rFonts w:eastAsia="Times New Roman"/>
        </w:rPr>
        <w:pict>
          <v:rect id="_x0000_i1026" style="width:0;height:1.5pt" o:hralign="center" o:hrstd="t" o:hr="t" fillcolor="#a0a0a0" stroked="f"/>
        </w:pict>
      </w:r>
    </w:p>
    <w:p w:rsidR="00000000" w:rsidRDefault="006629D3">
      <w:pPr>
        <w:divId w:val="1098258042"/>
        <w:rPr>
          <w:rFonts w:eastAsia="Times New Roman"/>
        </w:rPr>
      </w:pPr>
    </w:p>
    <w:p w:rsidR="00000000" w:rsidRDefault="006629D3">
      <w:pPr>
        <w:jc w:val="center"/>
        <w:divId w:val="747847436"/>
        <w:rPr>
          <w:rFonts w:eastAsia="Times New Roman"/>
        </w:rPr>
      </w:pPr>
      <w:r>
        <w:rPr>
          <w:rFonts w:eastAsia="Times New Roman"/>
          <w:b/>
          <w:bCs/>
          <w:color w:val="000000"/>
          <w:sz w:val="20"/>
          <w:szCs w:val="20"/>
        </w:rPr>
        <w:t>TABLE OF CONTENTS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572"/>
        <w:gridCol w:w="39"/>
        <w:gridCol w:w="68"/>
        <w:gridCol w:w="6939"/>
        <w:gridCol w:w="37"/>
        <w:gridCol w:w="69"/>
        <w:gridCol w:w="465"/>
        <w:gridCol w:w="36"/>
      </w:tblGrid>
      <w:tr w:rsidR="00000000">
        <w:trPr>
          <w:divId w:val="351422822"/>
        </w:trPr>
        <w:tc>
          <w:tcPr>
            <w:tcW w:w="50" w:type="pct"/>
            <w:vAlign w:val="center"/>
            <w:hideMark/>
          </w:tcPr>
          <w:p w:rsidR="00000000" w:rsidRDefault="006629D3">
            <w:pPr>
              <w:jc w:val="center"/>
              <w:rPr>
                <w:rFonts w:eastAsia="Times New Roman"/>
              </w:rPr>
            </w:pPr>
          </w:p>
        </w:tc>
        <w:tc>
          <w:tcPr>
            <w:tcW w:w="35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9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8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351422822"/>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20"/>
                <w:szCs w:val="20"/>
              </w:rPr>
              <w:t>Page #</w:t>
            </w:r>
          </w:p>
        </w:tc>
      </w:tr>
      <w:tr w:rsidR="00000000">
        <w:trPr>
          <w:divId w:val="351422822"/>
        </w:trPr>
        <w:tc>
          <w:tcPr>
            <w:tcW w:w="0" w:type="auto"/>
            <w:gridSpan w:val="6"/>
            <w:shd w:val="clear" w:color="auto" w:fill="CCEEFF"/>
            <w:tcMar>
              <w:top w:w="30" w:type="dxa"/>
              <w:left w:w="20" w:type="dxa"/>
              <w:bottom w:w="30" w:type="dxa"/>
              <w:right w:w="20" w:type="dxa"/>
            </w:tcMar>
            <w:vAlign w:val="bottom"/>
            <w:hideMark/>
          </w:tcPr>
          <w:p w:rsidR="00000000" w:rsidRDefault="006629D3">
            <w:pPr>
              <w:divId w:val="1077170379"/>
              <w:rPr>
                <w:rFonts w:eastAsia="Times New Roman"/>
              </w:rPr>
            </w:pPr>
            <w:hyperlink w:anchor="i0f56e44ee4f343eba7c69ed670bddc8b_10" w:history="1">
              <w:r>
                <w:rPr>
                  <w:rStyle w:val="a3"/>
                  <w:rFonts w:eastAsia="Times New Roman"/>
                  <w:b/>
                  <w:bCs/>
                  <w:sz w:val="20"/>
                  <w:szCs w:val="20"/>
                </w:rPr>
                <w:t>Cautionary Note Regarding Forward Looking Statements</w:t>
              </w:r>
            </w:hyperlink>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0" w:history="1">
              <w:r>
                <w:rPr>
                  <w:rStyle w:val="a3"/>
                  <w:rFonts w:eastAsia="Times New Roman"/>
                  <w:sz w:val="20"/>
                  <w:szCs w:val="20"/>
                </w:rPr>
                <w:t>3</w:t>
              </w:r>
            </w:hyperlink>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20"/>
                <w:szCs w:val="20"/>
              </w:rPr>
              <w:t> </w:t>
            </w:r>
          </w:p>
        </w:tc>
      </w:tr>
      <w:tr w:rsidR="00000000">
        <w:trPr>
          <w:divId w:val="351422822"/>
        </w:trPr>
        <w:tc>
          <w:tcPr>
            <w:tcW w:w="0" w:type="auto"/>
            <w:gridSpan w:val="6"/>
            <w:shd w:val="clear" w:color="auto" w:fill="CCEEFF"/>
            <w:tcMar>
              <w:top w:w="30" w:type="dxa"/>
              <w:left w:w="20" w:type="dxa"/>
              <w:bottom w:w="30" w:type="dxa"/>
              <w:right w:w="20" w:type="dxa"/>
            </w:tcMar>
            <w:vAlign w:val="bottom"/>
            <w:hideMark/>
          </w:tcPr>
          <w:p w:rsidR="00000000" w:rsidRDefault="006629D3">
            <w:pPr>
              <w:divId w:val="437604667"/>
              <w:rPr>
                <w:rFonts w:eastAsia="Times New Roman"/>
              </w:rPr>
            </w:pPr>
            <w:hyperlink w:anchor="i0f56e44ee4f343eba7c69ed670bddc8b_13" w:history="1">
              <w:r>
                <w:rPr>
                  <w:rStyle w:val="a3"/>
                  <w:rFonts w:eastAsia="Times New Roman"/>
                  <w:b/>
                  <w:bCs/>
                  <w:sz w:val="20"/>
                  <w:szCs w:val="20"/>
                </w:rPr>
                <w:t>PART I - FINANCIAL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20"/>
                <w:szCs w:val="20"/>
              </w:rPr>
              <w:t> </w:t>
            </w:r>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1.</w:t>
            </w:r>
          </w:p>
        </w:tc>
        <w:tc>
          <w:tcPr>
            <w:tcW w:w="0" w:type="auto"/>
            <w:gridSpan w:val="3"/>
            <w:shd w:val="clear" w:color="auto" w:fill="FFFFFF"/>
            <w:tcMar>
              <w:top w:w="30" w:type="dxa"/>
              <w:left w:w="20" w:type="dxa"/>
              <w:bottom w:w="30" w:type="dxa"/>
              <w:right w:w="20" w:type="dxa"/>
            </w:tcMar>
            <w:vAlign w:val="bottom"/>
            <w:hideMark/>
          </w:tcPr>
          <w:p w:rsidR="00000000" w:rsidRDefault="006629D3">
            <w:pPr>
              <w:divId w:val="1474059230"/>
              <w:rPr>
                <w:rFonts w:eastAsia="Times New Roman"/>
              </w:rPr>
            </w:pPr>
            <w:hyperlink w:anchor="i0f56e44ee4f343eba7c69ed670bddc8b_16"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6" w:history="1">
              <w:r>
                <w:rPr>
                  <w:rStyle w:val="a3"/>
                  <w:rFonts w:eastAsia="Times New Roman"/>
                  <w:sz w:val="20"/>
                  <w:szCs w:val="20"/>
                </w:rPr>
                <w:t>4</w:t>
              </w:r>
            </w:hyperlink>
          </w:p>
        </w:tc>
      </w:tr>
      <w:tr w:rsidR="00000000">
        <w:trPr>
          <w:divId w:val="351422822"/>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2.</w:t>
            </w:r>
          </w:p>
        </w:tc>
        <w:tc>
          <w:tcPr>
            <w:tcW w:w="0" w:type="auto"/>
            <w:gridSpan w:val="3"/>
            <w:shd w:val="clear" w:color="auto" w:fill="CCEEFF"/>
            <w:tcMar>
              <w:top w:w="30" w:type="dxa"/>
              <w:left w:w="20" w:type="dxa"/>
              <w:bottom w:w="30" w:type="dxa"/>
              <w:right w:w="20" w:type="dxa"/>
            </w:tcMar>
            <w:vAlign w:val="bottom"/>
            <w:hideMark/>
          </w:tcPr>
          <w:p w:rsidR="00000000" w:rsidRDefault="006629D3">
            <w:pPr>
              <w:divId w:val="73867689"/>
              <w:rPr>
                <w:rFonts w:eastAsia="Times New Roman"/>
              </w:rPr>
            </w:pPr>
            <w:hyperlink w:anchor="i0f56e44ee4f343eba7c69ed670bddc8b_127" w:history="1">
              <w:r>
                <w:rPr>
                  <w:rStyle w:val="a3"/>
                  <w:rFonts w:eastAsia="Times New Roman"/>
                  <w:sz w:val="20"/>
                  <w:szCs w:val="20"/>
                </w:rPr>
                <w:t xml:space="preserve">Management’s Discussion and Analysis of </w:t>
              </w:r>
              <w:r>
                <w:rPr>
                  <w:rStyle w:val="a3"/>
                  <w:rFonts w:eastAsia="Times New Roman"/>
                  <w:sz w:val="20"/>
                  <w:szCs w:val="20"/>
                </w:rPr>
                <w:t>Financial Condition and Results of Operations</w:t>
              </w:r>
            </w:hyperlink>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27" w:history="1">
              <w:r>
                <w:rPr>
                  <w:rStyle w:val="a3"/>
                  <w:rFonts w:eastAsia="Times New Roman"/>
                  <w:sz w:val="20"/>
                  <w:szCs w:val="20"/>
                </w:rPr>
                <w:t>30</w:t>
              </w:r>
            </w:hyperlink>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3.</w:t>
            </w:r>
          </w:p>
        </w:tc>
        <w:tc>
          <w:tcPr>
            <w:tcW w:w="0" w:type="auto"/>
            <w:gridSpan w:val="3"/>
            <w:shd w:val="clear" w:color="auto" w:fill="FFFFFF"/>
            <w:tcMar>
              <w:top w:w="30" w:type="dxa"/>
              <w:left w:w="20" w:type="dxa"/>
              <w:bottom w:w="30" w:type="dxa"/>
              <w:right w:w="20" w:type="dxa"/>
            </w:tcMar>
            <w:vAlign w:val="bottom"/>
            <w:hideMark/>
          </w:tcPr>
          <w:p w:rsidR="00000000" w:rsidRDefault="006629D3">
            <w:pPr>
              <w:divId w:val="1818381517"/>
              <w:rPr>
                <w:rFonts w:eastAsia="Times New Roman"/>
              </w:rPr>
            </w:pPr>
            <w:hyperlink w:anchor="i0f56e44ee4f343eba7c69ed670bddc8b_148"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51" w:history="1">
              <w:r>
                <w:rPr>
                  <w:rStyle w:val="a3"/>
                  <w:rFonts w:eastAsia="Times New Roman"/>
                  <w:sz w:val="20"/>
                  <w:szCs w:val="20"/>
                </w:rPr>
                <w:t>44</w:t>
              </w:r>
            </w:hyperlink>
          </w:p>
        </w:tc>
      </w:tr>
      <w:tr w:rsidR="00000000">
        <w:trPr>
          <w:divId w:val="351422822"/>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4.</w:t>
            </w:r>
          </w:p>
        </w:tc>
        <w:tc>
          <w:tcPr>
            <w:tcW w:w="0" w:type="auto"/>
            <w:gridSpan w:val="3"/>
            <w:shd w:val="clear" w:color="auto" w:fill="CCEEFF"/>
            <w:tcMar>
              <w:top w:w="30" w:type="dxa"/>
              <w:left w:w="20" w:type="dxa"/>
              <w:bottom w:w="30" w:type="dxa"/>
              <w:right w:w="20" w:type="dxa"/>
            </w:tcMar>
            <w:vAlign w:val="bottom"/>
            <w:hideMark/>
          </w:tcPr>
          <w:p w:rsidR="00000000" w:rsidRDefault="006629D3">
            <w:pPr>
              <w:divId w:val="105124686"/>
              <w:rPr>
                <w:rFonts w:eastAsia="Times New Roman"/>
              </w:rPr>
            </w:pPr>
            <w:hyperlink w:anchor="i0f56e44ee4f343eba7c69ed670bddc8b_151"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51" w:history="1">
              <w:r>
                <w:rPr>
                  <w:rStyle w:val="a3"/>
                  <w:rFonts w:eastAsia="Times New Roman"/>
                  <w:sz w:val="20"/>
                  <w:szCs w:val="20"/>
                </w:rPr>
                <w:t>44</w:t>
              </w:r>
            </w:hyperlink>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20"/>
                <w:szCs w:val="20"/>
              </w:rPr>
              <w:t> </w:t>
            </w:r>
          </w:p>
        </w:tc>
      </w:tr>
      <w:tr w:rsidR="00000000">
        <w:trPr>
          <w:divId w:val="351422822"/>
        </w:trPr>
        <w:tc>
          <w:tcPr>
            <w:tcW w:w="0" w:type="auto"/>
            <w:gridSpan w:val="6"/>
            <w:shd w:val="clear" w:color="auto" w:fill="CCEEFF"/>
            <w:tcMar>
              <w:top w:w="30" w:type="dxa"/>
              <w:left w:w="20" w:type="dxa"/>
              <w:bottom w:w="30" w:type="dxa"/>
              <w:right w:w="20" w:type="dxa"/>
            </w:tcMar>
            <w:vAlign w:val="bottom"/>
            <w:hideMark/>
          </w:tcPr>
          <w:p w:rsidR="00000000" w:rsidRDefault="006629D3">
            <w:pPr>
              <w:divId w:val="664210641"/>
              <w:rPr>
                <w:rFonts w:eastAsia="Times New Roman"/>
              </w:rPr>
            </w:pPr>
            <w:hyperlink w:anchor="i0f56e44ee4f343eba7c69ed670bddc8b_154" w:history="1">
              <w:r>
                <w:rPr>
                  <w:rStyle w:val="a3"/>
                  <w:rFonts w:eastAsia="Times New Roman"/>
                  <w:b/>
                  <w:bCs/>
                  <w:sz w:val="20"/>
                  <w:szCs w:val="20"/>
                </w:rPr>
                <w:t>PART II - 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20"/>
                <w:szCs w:val="20"/>
              </w:rPr>
              <w:t> </w:t>
            </w:r>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lastRenderedPageBreak/>
              <w:t>Item 1.</w:t>
            </w:r>
          </w:p>
        </w:tc>
        <w:tc>
          <w:tcPr>
            <w:tcW w:w="0" w:type="auto"/>
            <w:gridSpan w:val="3"/>
            <w:shd w:val="clear" w:color="auto" w:fill="FFFFFF"/>
            <w:tcMar>
              <w:top w:w="30" w:type="dxa"/>
              <w:left w:w="20" w:type="dxa"/>
              <w:bottom w:w="30" w:type="dxa"/>
              <w:right w:w="20" w:type="dxa"/>
            </w:tcMar>
            <w:vAlign w:val="bottom"/>
            <w:hideMark/>
          </w:tcPr>
          <w:p w:rsidR="00000000" w:rsidRDefault="006629D3">
            <w:pPr>
              <w:divId w:val="779253169"/>
              <w:rPr>
                <w:rFonts w:eastAsia="Times New Roman"/>
              </w:rPr>
            </w:pPr>
            <w:hyperlink w:anchor="i0f56e44ee4f343eba7c69ed670bddc8b_157"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57" w:history="1">
              <w:r>
                <w:rPr>
                  <w:rStyle w:val="a3"/>
                  <w:rFonts w:eastAsia="Times New Roman"/>
                  <w:sz w:val="20"/>
                  <w:szCs w:val="20"/>
                </w:rPr>
                <w:t>45</w:t>
              </w:r>
            </w:hyperlink>
          </w:p>
        </w:tc>
      </w:tr>
      <w:tr w:rsidR="00000000">
        <w:trPr>
          <w:divId w:val="351422822"/>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1A.</w:t>
            </w:r>
          </w:p>
        </w:tc>
        <w:tc>
          <w:tcPr>
            <w:tcW w:w="0" w:type="auto"/>
            <w:gridSpan w:val="3"/>
            <w:shd w:val="clear" w:color="auto" w:fill="CCEEFF"/>
            <w:tcMar>
              <w:top w:w="30" w:type="dxa"/>
              <w:left w:w="20" w:type="dxa"/>
              <w:bottom w:w="30" w:type="dxa"/>
              <w:right w:w="20" w:type="dxa"/>
            </w:tcMar>
            <w:vAlign w:val="bottom"/>
            <w:hideMark/>
          </w:tcPr>
          <w:p w:rsidR="00000000" w:rsidRDefault="006629D3">
            <w:pPr>
              <w:divId w:val="825977641"/>
              <w:rPr>
                <w:rFonts w:eastAsia="Times New Roman"/>
              </w:rPr>
            </w:pPr>
            <w:hyperlink w:anchor="i0f56e44ee4f343eba7c69ed670bddc8b_160"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60" w:history="1">
              <w:r>
                <w:rPr>
                  <w:rStyle w:val="a3"/>
                  <w:rFonts w:eastAsia="Times New Roman"/>
                  <w:sz w:val="20"/>
                  <w:szCs w:val="20"/>
                </w:rPr>
                <w:t>45</w:t>
              </w:r>
            </w:hyperlink>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rsidR="00000000" w:rsidRDefault="006629D3">
            <w:pPr>
              <w:divId w:val="893662030"/>
              <w:rPr>
                <w:rFonts w:eastAsia="Times New Roman"/>
              </w:rPr>
            </w:pPr>
            <w:hyperlink w:anchor="i0f56e44ee4f343eba7c69ed670bddc8b_163" w:history="1">
              <w:r>
                <w:rPr>
                  <w:rStyle w:val="a3"/>
                  <w:rFonts w:eastAsia="Times New Roman"/>
                  <w:sz w:val="20"/>
                  <w:szCs w:val="20"/>
                </w:rPr>
                <w:t>Unregistered Sales of Equity Securities and U</w:t>
              </w:r>
              <w:r>
                <w:rPr>
                  <w:rStyle w:val="a3"/>
                  <w:rFonts w:eastAsia="Times New Roman"/>
                  <w:sz w:val="20"/>
                  <w:szCs w:val="20"/>
                </w:rPr>
                <w:t>se of Proceeds</w:t>
              </w:r>
            </w:hyperlink>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63" w:history="1">
              <w:r>
                <w:rPr>
                  <w:rStyle w:val="a3"/>
                  <w:rFonts w:eastAsia="Times New Roman"/>
                  <w:sz w:val="20"/>
                  <w:szCs w:val="20"/>
                </w:rPr>
                <w:t>46</w:t>
              </w:r>
            </w:hyperlink>
          </w:p>
        </w:tc>
      </w:tr>
      <w:tr w:rsidR="00000000">
        <w:trPr>
          <w:divId w:val="351422822"/>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rsidR="00000000" w:rsidRDefault="006629D3">
            <w:pPr>
              <w:divId w:val="1328248256"/>
              <w:rPr>
                <w:rFonts w:eastAsia="Times New Roman"/>
              </w:rPr>
            </w:pPr>
            <w:hyperlink w:anchor="i0f56e44ee4f343eba7c69ed670bddc8b_166"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66" w:history="1">
              <w:r>
                <w:rPr>
                  <w:rStyle w:val="a3"/>
                  <w:rFonts w:eastAsia="Times New Roman"/>
                  <w:sz w:val="20"/>
                  <w:szCs w:val="20"/>
                </w:rPr>
                <w:t>46</w:t>
              </w:r>
            </w:hyperlink>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rsidR="00000000" w:rsidRDefault="006629D3">
            <w:pPr>
              <w:divId w:val="1978605029"/>
              <w:rPr>
                <w:rFonts w:eastAsia="Times New Roman"/>
              </w:rPr>
            </w:pPr>
            <w:hyperlink w:anchor="i0f56e44ee4f343eba7c69ed670bddc8b_169"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69" w:history="1">
              <w:r>
                <w:rPr>
                  <w:rStyle w:val="a3"/>
                  <w:rFonts w:eastAsia="Times New Roman"/>
                  <w:sz w:val="20"/>
                  <w:szCs w:val="20"/>
                </w:rPr>
                <w:t>46</w:t>
              </w:r>
            </w:hyperlink>
          </w:p>
        </w:tc>
      </w:tr>
      <w:tr w:rsidR="00000000">
        <w:trPr>
          <w:divId w:val="351422822"/>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5.</w:t>
            </w:r>
          </w:p>
        </w:tc>
        <w:tc>
          <w:tcPr>
            <w:tcW w:w="0" w:type="auto"/>
            <w:gridSpan w:val="3"/>
            <w:shd w:val="clear" w:color="auto" w:fill="CCEEFF"/>
            <w:tcMar>
              <w:top w:w="30" w:type="dxa"/>
              <w:left w:w="20" w:type="dxa"/>
              <w:bottom w:w="30" w:type="dxa"/>
              <w:right w:w="20" w:type="dxa"/>
            </w:tcMar>
            <w:vAlign w:val="bottom"/>
            <w:hideMark/>
          </w:tcPr>
          <w:p w:rsidR="00000000" w:rsidRDefault="006629D3">
            <w:pPr>
              <w:divId w:val="1646886561"/>
              <w:rPr>
                <w:rFonts w:eastAsia="Times New Roman"/>
              </w:rPr>
            </w:pPr>
            <w:hyperlink w:anchor="i0f56e44ee4f343eba7c69ed670bddc8b_172"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72" w:history="1">
              <w:r>
                <w:rPr>
                  <w:rStyle w:val="a3"/>
                  <w:rFonts w:eastAsia="Times New Roman"/>
                  <w:sz w:val="20"/>
                  <w:szCs w:val="20"/>
                </w:rPr>
                <w:t>46</w:t>
              </w:r>
            </w:hyperlink>
          </w:p>
        </w:tc>
      </w:tr>
      <w:tr w:rsidR="00000000">
        <w:trPr>
          <w:divId w:val="35142282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rsidR="00000000" w:rsidRDefault="006629D3">
            <w:pPr>
              <w:divId w:val="636843021"/>
              <w:rPr>
                <w:rFonts w:eastAsia="Times New Roman"/>
              </w:rPr>
            </w:pPr>
            <w:hyperlink w:anchor="i0f56e44ee4f343eba7c69ed670bddc8b_175"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hyperlink w:anchor="i0f56e44ee4f343eba7c69ed670bddc8b_175" w:history="1">
              <w:r>
                <w:rPr>
                  <w:rStyle w:val="a3"/>
                  <w:rFonts w:eastAsia="Times New Roman"/>
                  <w:sz w:val="20"/>
                  <w:szCs w:val="20"/>
                </w:rPr>
                <w:t>47</w:t>
              </w:r>
            </w:hyperlink>
          </w:p>
        </w:tc>
      </w:tr>
    </w:tbl>
    <w:p w:rsidR="00000000" w:rsidRDefault="006629D3">
      <w:pPr>
        <w:ind w:firstLine="720"/>
        <w:divId w:val="1520049488"/>
        <w:rPr>
          <w:rFonts w:eastAsia="Times New Roman"/>
        </w:rPr>
      </w:pPr>
      <w:r>
        <w:rPr>
          <w:rFonts w:eastAsia="Times New Roman"/>
          <w:color w:val="000000"/>
          <w:sz w:val="20"/>
          <w:szCs w:val="20"/>
        </w:rPr>
        <w:t> </w:t>
      </w:r>
    </w:p>
    <w:p w:rsidR="00000000" w:rsidRDefault="006629D3">
      <w:pPr>
        <w:divId w:val="568269431"/>
        <w:rPr>
          <w:rFonts w:eastAsia="Times New Roman"/>
        </w:rPr>
      </w:pPr>
    </w:p>
    <w:p w:rsidR="00000000" w:rsidRDefault="006629D3">
      <w:pPr>
        <w:jc w:val="both"/>
        <w:rPr>
          <w:rFonts w:eastAsia="Times New Roman"/>
        </w:rPr>
      </w:pPr>
      <w:r>
        <w:rPr>
          <w:rFonts w:eastAsia="Times New Roman"/>
          <w:color w:val="000000"/>
          <w:sz w:val="20"/>
          <w:szCs w:val="20"/>
        </w:rPr>
        <w:t>We own various trademark registrations and applications, and unregistered trademarks, including Avadel and MicroPump.  All other trade names, trademarks and service marks of other companies appearing in this Quarterly Report are the property of their respe</w:t>
      </w:r>
      <w:r>
        <w:rPr>
          <w:rFonts w:eastAsia="Times New Roman"/>
          <w:color w:val="000000"/>
          <w:sz w:val="20"/>
          <w:szCs w:val="20"/>
        </w:rPr>
        <w:t>ctive holders. Solely for convenience, the trademarks and trade names in this Quarterly Report may be referred to without the</w:t>
      </w:r>
      <w:r>
        <w:rPr>
          <w:rFonts w:eastAsia="Times New Roman"/>
          <w:color w:val="000000"/>
          <w:sz w:val="20"/>
          <w:szCs w:val="20"/>
        </w:rPr>
        <w:t> </w:t>
      </w:r>
      <w:r>
        <w:rPr>
          <w:rFonts w:eastAsia="Times New Roman"/>
          <w:color w:val="000000"/>
          <w:sz w:val="13"/>
          <w:szCs w:val="13"/>
        </w:rPr>
        <w:t>®</w:t>
      </w:r>
      <w:r>
        <w:rPr>
          <w:rFonts w:eastAsia="Times New Roman"/>
          <w:color w:val="000000"/>
          <w:sz w:val="20"/>
          <w:szCs w:val="20"/>
        </w:rPr>
        <w:t> and ™ symbols, but such references should not be construed as any indicator that their respective owners will not assert, to the</w:t>
      </w:r>
      <w:r>
        <w:rPr>
          <w:rFonts w:eastAsia="Times New Roman"/>
          <w:color w:val="000000"/>
          <w:sz w:val="20"/>
          <w:szCs w:val="20"/>
        </w:rPr>
        <w:t xml:space="preserve"> fullest extent under applicable law, their rights thereto. We do not intend to use or display other companies’ trademarks and trade names to imply a relationship with, or endorsement or sponsorship of us by, any other companies.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From time to time, we m</w:t>
      </w:r>
      <w:r>
        <w:rPr>
          <w:rFonts w:eastAsia="Times New Roman"/>
          <w:color w:val="000000"/>
          <w:sz w:val="20"/>
          <w:szCs w:val="20"/>
        </w:rPr>
        <w:t>ay use our website or our Twitter account (@AvadelPharma) to distribute material information. Our financial and other material information is routinely posted to and accessible on the Investors section of our website, available at </w:t>
      </w:r>
      <w:r>
        <w:rPr>
          <w:rFonts w:eastAsia="Times New Roman"/>
          <w:b/>
          <w:bCs/>
          <w:color w:val="000000"/>
          <w:sz w:val="20"/>
          <w:szCs w:val="20"/>
        </w:rPr>
        <w:t>www.avadelpharmaceuticals</w:t>
      </w:r>
      <w:r>
        <w:rPr>
          <w:rFonts w:eastAsia="Times New Roman"/>
          <w:b/>
          <w:bCs/>
          <w:color w:val="000000"/>
          <w:sz w:val="20"/>
          <w:szCs w:val="20"/>
        </w:rPr>
        <w:t>.com</w:t>
      </w:r>
      <w:r>
        <w:rPr>
          <w:rFonts w:eastAsia="Times New Roman"/>
          <w:color w:val="000000"/>
          <w:sz w:val="20"/>
          <w:szCs w:val="20"/>
        </w:rPr>
        <w:t>. Investors are encouraged to review the Investors section of our website because we may post material information on that site that is not otherwise disseminated by us. Information that is contained in and can be accessed through our website or our Tw</w:t>
      </w:r>
      <w:r>
        <w:rPr>
          <w:rFonts w:eastAsia="Times New Roman"/>
          <w:color w:val="000000"/>
          <w:sz w:val="20"/>
          <w:szCs w:val="20"/>
        </w:rPr>
        <w:t xml:space="preserve">itter posts are not incorporated into, and does not form a part of, this Quarterly Report. </w:t>
      </w:r>
    </w:p>
    <w:p w:rsidR="00000000" w:rsidRDefault="006629D3">
      <w:pPr>
        <w:jc w:val="both"/>
        <w:rPr>
          <w:rFonts w:eastAsia="Times New Roman"/>
        </w:rPr>
      </w:pPr>
    </w:p>
    <w:p w:rsidR="00000000" w:rsidRDefault="006629D3">
      <w:pPr>
        <w:jc w:val="center"/>
        <w:divId w:val="1627541311"/>
        <w:rPr>
          <w:rFonts w:eastAsia="Times New Roman"/>
        </w:rPr>
      </w:pPr>
      <w:r>
        <w:rPr>
          <w:rFonts w:eastAsia="Times New Roman"/>
          <w:color w:val="000000"/>
          <w:sz w:val="20"/>
          <w:szCs w:val="20"/>
        </w:rPr>
        <w:t>- 2 -</w:t>
      </w:r>
    </w:p>
    <w:p w:rsidR="00000000" w:rsidRDefault="006629D3">
      <w:pPr>
        <w:rPr>
          <w:rFonts w:eastAsia="Times New Roman"/>
        </w:rPr>
      </w:pPr>
      <w:r>
        <w:rPr>
          <w:rFonts w:eastAsia="Times New Roman"/>
        </w:rPr>
        <w:pict>
          <v:rect id="_x0000_i1027" style="width:0;height:1.5pt" o:hralign="center" o:hrstd="t" o:hr="t" fillcolor="#a0a0a0" stroked="f"/>
        </w:pict>
      </w:r>
    </w:p>
    <w:p w:rsidR="00000000" w:rsidRDefault="006629D3">
      <w:pPr>
        <w:divId w:val="735280611"/>
        <w:rPr>
          <w:rFonts w:eastAsia="Times New Roman"/>
        </w:rPr>
      </w:pPr>
    </w:p>
    <w:p w:rsidR="00000000" w:rsidRDefault="006629D3">
      <w:pPr>
        <w:jc w:val="center"/>
        <w:divId w:val="1637024222"/>
        <w:rPr>
          <w:rFonts w:eastAsia="Times New Roman"/>
        </w:rPr>
      </w:pPr>
      <w:r>
        <w:rPr>
          <w:rFonts w:eastAsia="Times New Roman"/>
          <w:b/>
          <w:bCs/>
          <w:color w:val="000000"/>
          <w:sz w:val="20"/>
          <w:szCs w:val="20"/>
        </w:rPr>
        <w:t>Cautionary Disclosure Regarding Forward-Looking Statements</w:t>
      </w:r>
    </w:p>
    <w:p w:rsidR="00000000" w:rsidRDefault="006629D3">
      <w:pPr>
        <w:ind w:firstLine="720"/>
        <w:jc w:val="center"/>
        <w:rPr>
          <w:rFonts w:eastAsia="Times New Roman"/>
        </w:rPr>
      </w:pPr>
      <w:r>
        <w:rPr>
          <w:rFonts w:eastAsia="Times New Roman"/>
          <w:b/>
          <w:bCs/>
          <w:color w:val="000000"/>
          <w:sz w:val="20"/>
          <w:szCs w:val="20"/>
        </w:rPr>
        <w:t> </w:t>
      </w:r>
    </w:p>
    <w:p w:rsidR="00000000" w:rsidRDefault="006629D3">
      <w:pPr>
        <w:jc w:val="both"/>
        <w:rPr>
          <w:rFonts w:eastAsia="Times New Roman"/>
        </w:rPr>
      </w:pPr>
      <w:r>
        <w:rPr>
          <w:rFonts w:eastAsia="Times New Roman"/>
          <w:color w:val="000000"/>
          <w:sz w:val="20"/>
          <w:szCs w:val="20"/>
        </w:rPr>
        <w:t>This quarterly report on Form 10-Q includes “forward-looking statements” within the meaning of Section 27A of the Securities Act of 1933, as amended (the “Se</w:t>
      </w:r>
      <w:r>
        <w:rPr>
          <w:rFonts w:eastAsia="Times New Roman"/>
          <w:color w:val="000000"/>
          <w:sz w:val="20"/>
          <w:szCs w:val="20"/>
        </w:rPr>
        <w:t>curities Act”), and Section 21E of the Securities Exchange Act of 1934, as amended, or the Exchange Act. Any statements about our expectations, beliefs, plans, objectives, assumptions or future events or performance are not historical facts and may be forw</w:t>
      </w:r>
      <w:r>
        <w:rPr>
          <w:rFonts w:eastAsia="Times New Roman"/>
          <w:color w:val="000000"/>
          <w:sz w:val="20"/>
          <w:szCs w:val="20"/>
        </w:rPr>
        <w:t>ard-looking. These statements are often, but are not always, made through the use of words or phrases such as “may,” “will,” “could,” “should,” “expects,” “intends,” “plans,” “anticipates,” “believes,” “estimates,” “predicts,” “projects,” “potential,” “con</w:t>
      </w:r>
      <w:r>
        <w:rPr>
          <w:rFonts w:eastAsia="Times New Roman"/>
          <w:color w:val="000000"/>
          <w:sz w:val="20"/>
          <w:szCs w:val="20"/>
        </w:rPr>
        <w:t>tinue,” and similar expressions, or the negative of these terms, or similar expressions. Accordingly, these statements involve estimates, assumptions, risks and uncertainties which could cause actual results to differ materially from those expressed in the</w:t>
      </w:r>
      <w:r>
        <w:rPr>
          <w:rFonts w:eastAsia="Times New Roman"/>
          <w:color w:val="000000"/>
          <w:sz w:val="20"/>
          <w:szCs w:val="20"/>
        </w:rPr>
        <w:t xml:space="preserve">m.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This Quarterly Report on Form 10-Q contains forward-looking statements that are based on our management’</w:t>
      </w:r>
      <w:r>
        <w:rPr>
          <w:rFonts w:eastAsia="Times New Roman"/>
          <w:color w:val="000000"/>
          <w:sz w:val="20"/>
          <w:szCs w:val="20"/>
        </w:rPr>
        <w:t xml:space="preserve">s belief and assumptions and on information currently available to our management. These statements relate to future events or our future financial performance, and involve known and unknown risks, uncertainties and other factors that may cause our actual </w:t>
      </w:r>
      <w:r>
        <w:rPr>
          <w:rFonts w:eastAsia="Times New Roman"/>
          <w:color w:val="000000"/>
          <w:sz w:val="20"/>
          <w:szCs w:val="20"/>
        </w:rPr>
        <w:t>results, levels of activity, performance or achievements to be materially different from any future results, levels of activity, performance or achievements expressed or implied by these forward-looking statements. Forward-looking statements include, but a</w:t>
      </w:r>
      <w:r>
        <w:rPr>
          <w:rFonts w:eastAsia="Times New Roman"/>
          <w:color w:val="000000"/>
          <w:sz w:val="20"/>
          <w:szCs w:val="20"/>
        </w:rPr>
        <w:t>re not limited to, statements about:</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•Our reliance on a single product candidate, FT218, and our ability to obtain regulatory approval of and successfully commercialize FT218, including any delays in submission or approval related to COVID-19;</w:t>
      </w:r>
    </w:p>
    <w:p w:rsidR="00000000" w:rsidRDefault="006629D3">
      <w:pPr>
        <w:ind w:hanging="360"/>
        <w:jc w:val="both"/>
        <w:rPr>
          <w:rFonts w:eastAsia="Times New Roman"/>
        </w:rPr>
      </w:pPr>
      <w:r>
        <w:rPr>
          <w:rFonts w:eastAsia="Times New Roman"/>
          <w:color w:val="000000"/>
          <w:sz w:val="20"/>
          <w:szCs w:val="20"/>
        </w:rPr>
        <w:t>•Any furth</w:t>
      </w:r>
      <w:r>
        <w:rPr>
          <w:rFonts w:eastAsia="Times New Roman"/>
          <w:color w:val="000000"/>
          <w:sz w:val="20"/>
          <w:szCs w:val="20"/>
        </w:rPr>
        <w:t>er restructuring actions that may be required and our ability to obtain any required consents (including any consents required pursuant to the Indenture governing our exchange notes due 2023, or the 2023 Notes);</w:t>
      </w:r>
    </w:p>
    <w:p w:rsidR="00000000" w:rsidRDefault="006629D3">
      <w:pPr>
        <w:ind w:hanging="360"/>
        <w:jc w:val="both"/>
        <w:rPr>
          <w:rFonts w:eastAsia="Times New Roman"/>
        </w:rPr>
      </w:pPr>
      <w:r>
        <w:rPr>
          <w:rFonts w:eastAsia="Times New Roman"/>
          <w:color w:val="000000"/>
          <w:sz w:val="20"/>
          <w:szCs w:val="20"/>
        </w:rPr>
        <w:lastRenderedPageBreak/>
        <w:t>•Our ability to continue to service the 2023</w:t>
      </w:r>
      <w:r>
        <w:rPr>
          <w:rFonts w:eastAsia="Times New Roman"/>
          <w:color w:val="000000"/>
          <w:sz w:val="20"/>
          <w:szCs w:val="20"/>
        </w:rPr>
        <w:t xml:space="preserve"> Notes, including making the ongoing interest payments on the 2023 Notes, settling exchanges of the 2023 Notes in cash or completing any required repurchases of the 2023 Notes;</w:t>
      </w:r>
    </w:p>
    <w:p w:rsidR="00000000" w:rsidRDefault="006629D3">
      <w:pPr>
        <w:ind w:hanging="360"/>
        <w:jc w:val="both"/>
        <w:rPr>
          <w:rFonts w:eastAsia="Times New Roman"/>
        </w:rPr>
      </w:pPr>
      <w:r>
        <w:rPr>
          <w:rFonts w:eastAsia="Times New Roman"/>
          <w:color w:val="000000"/>
          <w:sz w:val="20"/>
          <w:szCs w:val="20"/>
        </w:rPr>
        <w:t>•The ability of our product candidates, if approved, to gain market acceptance;</w:t>
      </w:r>
    </w:p>
    <w:p w:rsidR="00000000" w:rsidRDefault="006629D3">
      <w:pPr>
        <w:ind w:hanging="360"/>
        <w:jc w:val="both"/>
        <w:rPr>
          <w:rFonts w:eastAsia="Times New Roman"/>
        </w:rPr>
      </w:pPr>
      <w:r>
        <w:rPr>
          <w:rFonts w:eastAsia="Times New Roman"/>
          <w:color w:val="000000"/>
          <w:sz w:val="20"/>
          <w:szCs w:val="20"/>
        </w:rPr>
        <w:t>•Our ability to enter into strategic partnerships for the development, commercialization, manufacturing and distribution of our product candidates;</w:t>
      </w:r>
    </w:p>
    <w:p w:rsidR="00000000" w:rsidRDefault="006629D3">
      <w:pPr>
        <w:ind w:hanging="360"/>
        <w:jc w:val="both"/>
        <w:rPr>
          <w:rFonts w:eastAsia="Times New Roman"/>
        </w:rPr>
      </w:pPr>
      <w:r>
        <w:rPr>
          <w:rFonts w:eastAsia="Times New Roman"/>
          <w:color w:val="000000"/>
          <w:sz w:val="20"/>
          <w:szCs w:val="20"/>
        </w:rPr>
        <w:t>•Our dependence on a limited number of suppliers for the manufacturing of our products and certain raw mate</w:t>
      </w:r>
      <w:r>
        <w:rPr>
          <w:rFonts w:eastAsia="Times New Roman"/>
          <w:color w:val="000000"/>
          <w:sz w:val="20"/>
          <w:szCs w:val="20"/>
        </w:rPr>
        <w:t>rials in our products and any failure of such suppliers to deliver sufficient quantities of these raw materials, which could have a material adverse effect on our business;</w:t>
      </w:r>
    </w:p>
    <w:p w:rsidR="00000000" w:rsidRDefault="006629D3">
      <w:pPr>
        <w:ind w:hanging="360"/>
        <w:jc w:val="both"/>
        <w:rPr>
          <w:rFonts w:eastAsia="Times New Roman"/>
        </w:rPr>
      </w:pPr>
      <w:r>
        <w:rPr>
          <w:rFonts w:eastAsia="Times New Roman"/>
          <w:color w:val="000000"/>
          <w:sz w:val="20"/>
          <w:szCs w:val="20"/>
        </w:rPr>
        <w:t>•Our ability to finance our operations on acceptable terms, either through the rais</w:t>
      </w:r>
      <w:r>
        <w:rPr>
          <w:rFonts w:eastAsia="Times New Roman"/>
          <w:color w:val="000000"/>
          <w:sz w:val="20"/>
          <w:szCs w:val="20"/>
        </w:rPr>
        <w:t>ing of capital, the incurrence of convertible or other indebtedness or through strategic financing or commercialization partnerships;</w:t>
      </w:r>
    </w:p>
    <w:p w:rsidR="00000000" w:rsidRDefault="006629D3">
      <w:pPr>
        <w:ind w:hanging="360"/>
        <w:jc w:val="both"/>
        <w:rPr>
          <w:rFonts w:eastAsia="Times New Roman"/>
        </w:rPr>
      </w:pPr>
      <w:r>
        <w:rPr>
          <w:rFonts w:eastAsia="Times New Roman"/>
          <w:color w:val="000000"/>
          <w:sz w:val="20"/>
          <w:szCs w:val="20"/>
        </w:rPr>
        <w:t>•Our expectations about the potential market sizes and market participation potential for our approved or proposed product</w:t>
      </w:r>
      <w:r>
        <w:rPr>
          <w:rFonts w:eastAsia="Times New Roman"/>
          <w:color w:val="000000"/>
          <w:sz w:val="20"/>
          <w:szCs w:val="20"/>
        </w:rPr>
        <w:t>s;</w:t>
      </w:r>
    </w:p>
    <w:p w:rsidR="00000000" w:rsidRDefault="006629D3">
      <w:pPr>
        <w:ind w:hanging="360"/>
        <w:divId w:val="734548867"/>
        <w:rPr>
          <w:rFonts w:eastAsia="Times New Roman"/>
        </w:rPr>
      </w:pPr>
      <w:r>
        <w:rPr>
          <w:rFonts w:eastAsia="Times New Roman"/>
          <w:color w:val="000000"/>
          <w:sz w:val="20"/>
          <w:szCs w:val="20"/>
        </w:rPr>
        <w:t>•The potential impact of COVID-19 on our business and future operating results;</w:t>
      </w:r>
    </w:p>
    <w:p w:rsidR="00000000" w:rsidRDefault="006629D3">
      <w:pPr>
        <w:ind w:hanging="360"/>
        <w:jc w:val="both"/>
        <w:rPr>
          <w:rFonts w:eastAsia="Times New Roman"/>
        </w:rPr>
      </w:pPr>
      <w:r>
        <w:rPr>
          <w:rFonts w:eastAsia="Times New Roman"/>
          <w:color w:val="000000"/>
          <w:sz w:val="20"/>
          <w:szCs w:val="20"/>
        </w:rPr>
        <w:t>•Our ability to retain members of our management team and our employees; and</w:t>
      </w:r>
    </w:p>
    <w:p w:rsidR="00000000" w:rsidRDefault="006629D3">
      <w:pPr>
        <w:ind w:hanging="360"/>
        <w:jc w:val="both"/>
        <w:rPr>
          <w:rFonts w:eastAsia="Times New Roman"/>
        </w:rPr>
      </w:pPr>
      <w:r>
        <w:rPr>
          <w:rFonts w:eastAsia="Times New Roman"/>
          <w:color w:val="000000"/>
          <w:sz w:val="20"/>
          <w:szCs w:val="20"/>
        </w:rPr>
        <w:t>•Competition existing today or that will likely arise in the future.</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These forward-looking sta</w:t>
      </w:r>
      <w:r>
        <w:rPr>
          <w:rFonts w:eastAsia="Times New Roman"/>
          <w:color w:val="000000"/>
          <w:sz w:val="20"/>
          <w:szCs w:val="20"/>
        </w:rPr>
        <w:t>tements are neither promises nor guarantees of future performance due to a variety of risks and uncertainties and other factors more fully discussed in the “Risk Factors” section in Part I, Item 1A of the Annual Report on Form 10-K filed with the U.S. Secu</w:t>
      </w:r>
      <w:r>
        <w:rPr>
          <w:rFonts w:eastAsia="Times New Roman"/>
          <w:color w:val="000000"/>
          <w:sz w:val="20"/>
          <w:szCs w:val="20"/>
        </w:rPr>
        <w:t>rities and Exchange Commission (“SEC”) on March 16, 2020 and the risk factors and cautionary statements described in other documents that we file from time to time with the SEC. Given these uncertainties, readers should not place undue reliance on our forw</w:t>
      </w:r>
      <w:r>
        <w:rPr>
          <w:rFonts w:eastAsia="Times New Roman"/>
          <w:color w:val="000000"/>
          <w:sz w:val="20"/>
          <w:szCs w:val="20"/>
        </w:rPr>
        <w:t>ard-looking statements. These forward-looking statements speak only as of the date on which the statements were made and are not guarantees of future performance. Except as required by law, we assume no obligation to update these forward-looking statements</w:t>
      </w:r>
      <w:r>
        <w:rPr>
          <w:rFonts w:eastAsia="Times New Roman"/>
          <w:color w:val="000000"/>
          <w:sz w:val="20"/>
          <w:szCs w:val="20"/>
        </w:rPr>
        <w:t xml:space="preserve"> publicly, or to revise any forward-looking statements to reflect events or developments occurring after the date of this quarterly report, even if new information becomes available in the future.</w:t>
      </w:r>
    </w:p>
    <w:p w:rsidR="00000000" w:rsidRDefault="006629D3">
      <w:pPr>
        <w:divId w:val="2024085287"/>
        <w:rPr>
          <w:rFonts w:eastAsia="Times New Roman"/>
        </w:rPr>
      </w:pPr>
    </w:p>
    <w:p w:rsidR="00000000" w:rsidRDefault="006629D3">
      <w:pPr>
        <w:jc w:val="center"/>
        <w:divId w:val="1015766214"/>
        <w:rPr>
          <w:rFonts w:eastAsia="Times New Roman"/>
        </w:rPr>
      </w:pPr>
      <w:r>
        <w:rPr>
          <w:rFonts w:eastAsia="Times New Roman"/>
          <w:color w:val="000000"/>
          <w:sz w:val="20"/>
          <w:szCs w:val="20"/>
        </w:rPr>
        <w:t>- 3 -</w:t>
      </w:r>
    </w:p>
    <w:p w:rsidR="00000000" w:rsidRDefault="006629D3">
      <w:pPr>
        <w:rPr>
          <w:rFonts w:eastAsia="Times New Roman"/>
        </w:rPr>
      </w:pPr>
      <w:r>
        <w:rPr>
          <w:rFonts w:eastAsia="Times New Roman"/>
        </w:rPr>
        <w:pict>
          <v:rect id="_x0000_i1028" style="width:0;height:1.5pt" o:hralign="center" o:hrstd="t" o:hr="t" fillcolor="#a0a0a0" stroked="f"/>
        </w:pict>
      </w:r>
    </w:p>
    <w:p w:rsidR="00000000" w:rsidRDefault="006629D3">
      <w:pPr>
        <w:divId w:val="859398687"/>
        <w:rPr>
          <w:rFonts w:eastAsia="Times New Roman"/>
        </w:rPr>
      </w:pPr>
    </w:p>
    <w:p w:rsidR="00000000" w:rsidRDefault="006629D3">
      <w:pPr>
        <w:jc w:val="center"/>
        <w:divId w:val="1628705896"/>
        <w:rPr>
          <w:rFonts w:eastAsia="Times New Roman"/>
        </w:rPr>
      </w:pPr>
      <w:r>
        <w:rPr>
          <w:rFonts w:eastAsia="Times New Roman"/>
          <w:b/>
          <w:bCs/>
          <w:color w:val="000000"/>
          <w:sz w:val="20"/>
          <w:szCs w:val="20"/>
        </w:rPr>
        <w:t xml:space="preserve">PART I – </w:t>
      </w:r>
      <w:r>
        <w:rPr>
          <w:rFonts w:eastAsia="Times New Roman"/>
          <w:b/>
          <w:bCs/>
          <w:color w:val="000000"/>
          <w:sz w:val="20"/>
          <w:szCs w:val="20"/>
        </w:rPr>
        <w:t>FINANCIAL INFORMATION </w:t>
      </w:r>
    </w:p>
    <w:p w:rsidR="00000000" w:rsidRDefault="006629D3">
      <w:pPr>
        <w:divId w:val="1875999085"/>
        <w:rPr>
          <w:rFonts w:eastAsia="Times New Roman"/>
        </w:rPr>
      </w:pPr>
      <w:r>
        <w:rPr>
          <w:rFonts w:eastAsia="Times New Roman"/>
          <w:b/>
          <w:bCs/>
          <w:color w:val="000000"/>
          <w:sz w:val="20"/>
          <w:szCs w:val="20"/>
        </w:rPr>
        <w:t>ITEM 1.  FINANCIAL STATEMENTS </w:t>
      </w:r>
    </w:p>
    <w:p w:rsidR="00000000" w:rsidRDefault="006629D3">
      <w:pPr>
        <w:jc w:val="center"/>
        <w:divId w:val="1918436547"/>
        <w:rPr>
          <w:rFonts w:eastAsia="Times New Roman"/>
        </w:rPr>
      </w:pPr>
      <w:r>
        <w:rPr>
          <w:rFonts w:eastAsia="Times New Roman"/>
          <w:b/>
          <w:bCs/>
          <w:color w:val="000000"/>
          <w:sz w:val="20"/>
          <w:szCs w:val="20"/>
        </w:rPr>
        <w:t>AVADEL PHARMACEUTICALS PLC</w:t>
      </w:r>
    </w:p>
    <w:p w:rsidR="00000000" w:rsidRDefault="006629D3">
      <w:pPr>
        <w:jc w:val="center"/>
        <w:rPr>
          <w:rFonts w:eastAsia="Times New Roman"/>
        </w:rPr>
      </w:pPr>
      <w:r>
        <w:rPr>
          <w:rFonts w:eastAsia="Times New Roman"/>
          <w:b/>
          <w:bCs/>
          <w:color w:val="000000"/>
          <w:sz w:val="20"/>
          <w:szCs w:val="20"/>
        </w:rPr>
        <w:t>UNAUDITED CONDENSED CONSOLIDATED STATEMENTS OF (LOSS) INCOME</w:t>
      </w:r>
    </w:p>
    <w:p w:rsidR="00000000" w:rsidRDefault="006629D3">
      <w:pPr>
        <w:jc w:val="center"/>
        <w:rPr>
          <w:rFonts w:eastAsia="Times New Roman"/>
        </w:rPr>
      </w:pPr>
      <w:r>
        <w:rPr>
          <w:rFonts w:eastAsia="Times New Roman"/>
          <w:i/>
          <w:iCs/>
          <w:color w:val="000000"/>
          <w:sz w:val="20"/>
          <w:szCs w:val="20"/>
        </w:rPr>
        <w:t>(In thousands, except per share data)</w:t>
      </w:r>
    </w:p>
    <w:p w:rsidR="00000000" w:rsidRDefault="006629D3">
      <w:pPr>
        <w:jc w:val="center"/>
        <w:rPr>
          <w:rFonts w:eastAsia="Times New Roman"/>
        </w:rPr>
      </w:pPr>
      <w:r>
        <w:rPr>
          <w:rFonts w:eastAsia="Times New Roman"/>
          <w:i/>
          <w:iCs/>
          <w:color w:val="000000"/>
          <w:sz w:val="20"/>
          <w:szCs w:val="20"/>
        </w:rPr>
        <w:t>(Unaudited)</w:t>
      </w:r>
    </w:p>
    <w:p w:rsidR="00000000" w:rsidRDefault="006629D3">
      <w:pPr>
        <w:ind w:firstLine="720"/>
        <w:jc w:val="center"/>
        <w:rPr>
          <w:rFonts w:eastAsia="Times New Roman"/>
        </w:rPr>
      </w:pPr>
      <w:r>
        <w:rPr>
          <w:rFonts w:eastAsia="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41"/>
        <w:gridCol w:w="3221"/>
        <w:gridCol w:w="40"/>
        <w:gridCol w:w="36"/>
        <w:gridCol w:w="36"/>
        <w:gridCol w:w="36"/>
        <w:gridCol w:w="110"/>
        <w:gridCol w:w="986"/>
        <w:gridCol w:w="36"/>
        <w:gridCol w:w="36"/>
        <w:gridCol w:w="36"/>
        <w:gridCol w:w="36"/>
        <w:gridCol w:w="110"/>
        <w:gridCol w:w="987"/>
        <w:gridCol w:w="36"/>
        <w:gridCol w:w="36"/>
        <w:gridCol w:w="36"/>
        <w:gridCol w:w="36"/>
        <w:gridCol w:w="110"/>
        <w:gridCol w:w="988"/>
        <w:gridCol w:w="36"/>
        <w:gridCol w:w="36"/>
        <w:gridCol w:w="36"/>
        <w:gridCol w:w="36"/>
        <w:gridCol w:w="110"/>
        <w:gridCol w:w="990"/>
        <w:gridCol w:w="36"/>
      </w:tblGrid>
      <w:tr w:rsidR="00000000">
        <w:trPr>
          <w:divId w:val="361827651"/>
        </w:trPr>
        <w:tc>
          <w:tcPr>
            <w:tcW w:w="50" w:type="pct"/>
            <w:vAlign w:val="center"/>
            <w:hideMark/>
          </w:tcPr>
          <w:p w:rsidR="00000000" w:rsidRDefault="006629D3">
            <w:pPr>
              <w:ind w:firstLine="720"/>
              <w:jc w:val="center"/>
              <w:rPr>
                <w:rFonts w:eastAsia="Times New Roman"/>
              </w:rPr>
            </w:pPr>
          </w:p>
        </w:tc>
        <w:tc>
          <w:tcPr>
            <w:tcW w:w="197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5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361827651"/>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r>
      <w:tr w:rsidR="00000000">
        <w:trPr>
          <w:divId w:val="361827651"/>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r>
      <w:tr w:rsidR="00000000">
        <w:trPr>
          <w:divId w:val="361827651"/>
          <w:trHeight w:val="60"/>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361827651"/>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36182765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14,229 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48,220 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361827651"/>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36182765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36182765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9,711 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5,569 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7,539 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15,156 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25,160 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8,423 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5,316 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23,431 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22,520 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2,384 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(226)</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1,866 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4,600 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13,697 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64,985 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(loss) income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(13,697)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(4,147)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lastRenderedPageBreak/>
              <w:t>Investment and other income (expense), net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781 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(906)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2,548 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(3,259)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(3,125)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(9,686)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(9,293)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Loss on deconsolidation of subsidiary</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(2,840)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36182765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(Loss)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(16,743)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(6,630)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(26,846)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Income tax (benefit) provision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(5,040)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(9,258)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3,641 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(30,487)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Height w:val="28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36182765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 income per share - basic</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0.36 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(0.82)</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(0.82)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Height w:val="280"/>
        </w:trPr>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36182765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58,213 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37,436 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51,206 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37,382 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6182765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58,213 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37,436 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52,849 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37,382 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divId w:val="1166165891"/>
        <w:rPr>
          <w:rFonts w:eastAsia="Times New Roman"/>
        </w:rPr>
      </w:pPr>
      <w:r>
        <w:rPr>
          <w:rFonts w:eastAsia="Times New Roman"/>
          <w:i/>
          <w:iCs/>
          <w:color w:val="000000"/>
          <w:sz w:val="20"/>
          <w:szCs w:val="20"/>
        </w:rPr>
        <w:t> </w:t>
      </w:r>
    </w:p>
    <w:p w:rsidR="00000000" w:rsidRDefault="006629D3">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6629D3">
      <w:pPr>
        <w:jc w:val="center"/>
        <w:divId w:val="290863664"/>
        <w:rPr>
          <w:rFonts w:eastAsia="Times New Roman"/>
        </w:rPr>
      </w:pPr>
      <w:r>
        <w:rPr>
          <w:rFonts w:eastAsia="Times New Roman"/>
          <w:color w:val="000000"/>
          <w:sz w:val="20"/>
          <w:szCs w:val="20"/>
        </w:rPr>
        <w:t>- 4 -</w:t>
      </w:r>
    </w:p>
    <w:p w:rsidR="00000000" w:rsidRDefault="006629D3">
      <w:pPr>
        <w:rPr>
          <w:rFonts w:eastAsia="Times New Roman"/>
        </w:rPr>
      </w:pPr>
      <w:r>
        <w:rPr>
          <w:rFonts w:eastAsia="Times New Roman"/>
        </w:rPr>
        <w:pict>
          <v:rect id="_x0000_i1029" style="width:0;height:1.5pt" o:hralign="center" o:hrstd="t" o:hr="t" fillcolor="#a0a0a0" stroked="f"/>
        </w:pict>
      </w:r>
    </w:p>
    <w:p w:rsidR="00000000" w:rsidRDefault="006629D3">
      <w:pPr>
        <w:divId w:val="712657073"/>
        <w:rPr>
          <w:rFonts w:eastAsia="Times New Roman"/>
        </w:rPr>
      </w:pPr>
    </w:p>
    <w:p w:rsidR="00000000" w:rsidRDefault="006629D3">
      <w:pPr>
        <w:jc w:val="center"/>
        <w:divId w:val="506528779"/>
        <w:rPr>
          <w:rFonts w:eastAsia="Times New Roman"/>
        </w:rPr>
      </w:pPr>
      <w:r>
        <w:rPr>
          <w:rFonts w:eastAsia="Times New Roman"/>
          <w:b/>
          <w:bCs/>
          <w:color w:val="000000"/>
          <w:sz w:val="20"/>
          <w:szCs w:val="20"/>
        </w:rPr>
        <w:t>AVADEL PHARMACEUTICALS PLC</w:t>
      </w:r>
    </w:p>
    <w:p w:rsidR="00000000" w:rsidRDefault="006629D3">
      <w:pPr>
        <w:jc w:val="center"/>
        <w:rPr>
          <w:rFonts w:eastAsia="Times New Roman"/>
        </w:rPr>
      </w:pPr>
      <w:r>
        <w:rPr>
          <w:rFonts w:eastAsia="Times New Roman"/>
          <w:b/>
          <w:bCs/>
          <w:color w:val="000000"/>
          <w:sz w:val="20"/>
          <w:szCs w:val="20"/>
        </w:rPr>
        <w:t>UNAUDITED CONDENSED CONSOLIDATED STATEMENTS OF COMPREHENSIVE (LOSS) INCOME</w:t>
      </w:r>
    </w:p>
    <w:p w:rsidR="00000000" w:rsidRDefault="006629D3">
      <w:pPr>
        <w:jc w:val="center"/>
        <w:rPr>
          <w:rFonts w:eastAsia="Times New Roman"/>
        </w:rPr>
      </w:pPr>
      <w:r>
        <w:rPr>
          <w:rFonts w:eastAsia="Times New Roman"/>
          <w:i/>
          <w:iCs/>
          <w:color w:val="000000"/>
          <w:sz w:val="20"/>
          <w:szCs w:val="20"/>
        </w:rPr>
        <w:t>(In thousands)</w:t>
      </w:r>
    </w:p>
    <w:p w:rsidR="00000000" w:rsidRDefault="006629D3">
      <w:pPr>
        <w:jc w:val="center"/>
        <w:rPr>
          <w:rFonts w:eastAsia="Times New Roman"/>
        </w:rPr>
      </w:pPr>
      <w:r>
        <w:rPr>
          <w:rFonts w:eastAsia="Times New Roman"/>
          <w:i/>
          <w:iCs/>
          <w:color w:val="000000"/>
          <w:sz w:val="20"/>
          <w:szCs w:val="20"/>
        </w:rPr>
        <w:t>(Unaudited)</w:t>
      </w:r>
    </w:p>
    <w:p w:rsidR="00000000" w:rsidRDefault="006629D3">
      <w:pPr>
        <w:jc w:val="center"/>
        <w:rPr>
          <w:rFonts w:eastAsia="Times New Roman"/>
        </w:rPr>
      </w:pPr>
      <w:r>
        <w:rPr>
          <w:rFonts w:eastAsia="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38"/>
        <w:gridCol w:w="3224"/>
        <w:gridCol w:w="37"/>
        <w:gridCol w:w="36"/>
        <w:gridCol w:w="36"/>
        <w:gridCol w:w="36"/>
        <w:gridCol w:w="110"/>
        <w:gridCol w:w="988"/>
        <w:gridCol w:w="36"/>
        <w:gridCol w:w="36"/>
        <w:gridCol w:w="36"/>
        <w:gridCol w:w="36"/>
        <w:gridCol w:w="110"/>
        <w:gridCol w:w="988"/>
        <w:gridCol w:w="36"/>
        <w:gridCol w:w="36"/>
        <w:gridCol w:w="36"/>
        <w:gridCol w:w="36"/>
        <w:gridCol w:w="110"/>
        <w:gridCol w:w="988"/>
        <w:gridCol w:w="36"/>
        <w:gridCol w:w="36"/>
        <w:gridCol w:w="36"/>
        <w:gridCol w:w="36"/>
        <w:gridCol w:w="110"/>
        <w:gridCol w:w="990"/>
        <w:gridCol w:w="36"/>
      </w:tblGrid>
      <w:tr w:rsidR="00000000">
        <w:trPr>
          <w:divId w:val="1245185713"/>
        </w:trPr>
        <w:tc>
          <w:tcPr>
            <w:tcW w:w="50" w:type="pct"/>
            <w:vAlign w:val="center"/>
            <w:hideMark/>
          </w:tcPr>
          <w:p w:rsidR="00000000" w:rsidRDefault="006629D3">
            <w:pPr>
              <w:jc w:val="center"/>
              <w:rPr>
                <w:rFonts w:eastAsia="Times New Roman"/>
              </w:rPr>
            </w:pPr>
          </w:p>
        </w:tc>
        <w:tc>
          <w:tcPr>
            <w:tcW w:w="197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5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245185713"/>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r>
      <w:tr w:rsidR="00000000">
        <w:trPr>
          <w:divId w:val="1245185713"/>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r>
      <w:tr w:rsidR="00000000">
        <w:trPr>
          <w:divId w:val="1245185713"/>
          <w:trHeight w:val="60"/>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245185713"/>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(11,703)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(8,864)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18,306 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(30,487)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45185713"/>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comprehensive (loss) income, net of tax:</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1245185713"/>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Foreign currency translation gain (loss)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45185713"/>
        </w:trPr>
        <w:tc>
          <w:tcPr>
            <w:tcW w:w="0" w:type="auto"/>
            <w:gridSpan w:val="3"/>
            <w:tcMar>
              <w:top w:w="30" w:type="dxa"/>
              <w:left w:w="20" w:type="dxa"/>
              <w:bottom w:w="30" w:type="dxa"/>
              <w:right w:w="20" w:type="dxa"/>
            </w:tcMar>
            <w:vAlign w:val="bottom"/>
            <w:hideMark/>
          </w:tcPr>
          <w:p w:rsidR="00000000" w:rsidRDefault="006629D3">
            <w:pPr>
              <w:divId w:val="500632129"/>
              <w:rPr>
                <w:rFonts w:eastAsia="Times New Roman"/>
              </w:rPr>
            </w:pPr>
            <w:r>
              <w:rPr>
                <w:rFonts w:eastAsia="Times New Roman"/>
                <w:color w:val="000000"/>
                <w:sz w:val="18"/>
                <w:szCs w:val="18"/>
              </w:rPr>
              <w:t>Net other comprehensive income, net of $(1), $(5), $(131) and $(46</w:t>
            </w:r>
            <w:r>
              <w:rPr>
                <w:rFonts w:eastAsia="Times New Roman"/>
                <w:color w:val="000000"/>
                <w:sz w:val="18"/>
                <w:szCs w:val="18"/>
              </w:rPr>
              <w:t>) tax, respectively</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349 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753 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45185713"/>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45185713"/>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comprehensive (loss) income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(11,103)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(8,988)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19,194 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(30,043)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ind w:firstLine="720"/>
        <w:jc w:val="center"/>
        <w:rPr>
          <w:rFonts w:eastAsia="Times New Roman"/>
        </w:rPr>
      </w:pPr>
      <w:r>
        <w:rPr>
          <w:rFonts w:eastAsia="Times New Roman"/>
          <w:color w:val="000000"/>
          <w:sz w:val="20"/>
          <w:szCs w:val="20"/>
        </w:rPr>
        <w:t> </w:t>
      </w:r>
    </w:p>
    <w:p w:rsidR="00000000" w:rsidRDefault="006629D3">
      <w:pPr>
        <w:jc w:val="center"/>
        <w:rPr>
          <w:rFonts w:eastAsia="Times New Roman"/>
        </w:rPr>
      </w:pPr>
      <w:r>
        <w:rPr>
          <w:rFonts w:eastAsia="Times New Roman"/>
          <w:i/>
          <w:iCs/>
          <w:color w:val="000000"/>
          <w:sz w:val="20"/>
          <w:szCs w:val="20"/>
        </w:rPr>
        <w:t>See accompanying notes to unaudited condensed consolidated financial statements.</w:t>
      </w:r>
    </w:p>
    <w:p w:rsidR="00000000" w:rsidRDefault="006629D3">
      <w:pPr>
        <w:jc w:val="center"/>
        <w:divId w:val="840238977"/>
        <w:rPr>
          <w:rFonts w:eastAsia="Times New Roman"/>
        </w:rPr>
      </w:pPr>
      <w:r>
        <w:rPr>
          <w:rFonts w:eastAsia="Times New Roman"/>
          <w:color w:val="000000"/>
          <w:sz w:val="20"/>
          <w:szCs w:val="20"/>
        </w:rPr>
        <w:t>- 5 -</w:t>
      </w:r>
    </w:p>
    <w:p w:rsidR="00000000" w:rsidRDefault="006629D3">
      <w:pPr>
        <w:rPr>
          <w:rFonts w:eastAsia="Times New Roman"/>
        </w:rPr>
      </w:pPr>
      <w:r>
        <w:rPr>
          <w:rFonts w:eastAsia="Times New Roman"/>
        </w:rPr>
        <w:pict>
          <v:rect id="_x0000_i1030" style="width:0;height:1.5pt" o:hralign="center" o:hrstd="t" o:hr="t" fillcolor="#a0a0a0" stroked="f"/>
        </w:pict>
      </w:r>
    </w:p>
    <w:p w:rsidR="00000000" w:rsidRDefault="006629D3">
      <w:pPr>
        <w:divId w:val="899633663"/>
        <w:rPr>
          <w:rFonts w:eastAsia="Times New Roman"/>
        </w:rPr>
      </w:pPr>
    </w:p>
    <w:p w:rsidR="00000000" w:rsidRDefault="006629D3">
      <w:pPr>
        <w:jc w:val="center"/>
        <w:divId w:val="1244027468"/>
        <w:rPr>
          <w:rFonts w:eastAsia="Times New Roman"/>
        </w:rPr>
      </w:pPr>
      <w:r>
        <w:rPr>
          <w:rFonts w:eastAsia="Times New Roman"/>
          <w:b/>
          <w:bCs/>
          <w:color w:val="000000"/>
          <w:sz w:val="20"/>
          <w:szCs w:val="20"/>
        </w:rPr>
        <w:t>AVADEL PHARMACEUTICALS PLC</w:t>
      </w:r>
    </w:p>
    <w:p w:rsidR="00000000" w:rsidRDefault="006629D3">
      <w:pPr>
        <w:jc w:val="center"/>
        <w:rPr>
          <w:rFonts w:eastAsia="Times New Roman"/>
        </w:rPr>
      </w:pPr>
      <w:r>
        <w:rPr>
          <w:rFonts w:eastAsia="Times New Roman"/>
          <w:b/>
          <w:bCs/>
          <w:color w:val="000000"/>
          <w:sz w:val="20"/>
          <w:szCs w:val="20"/>
        </w:rPr>
        <w:t>UNAUDITED CONDENSED CONSOLIDATED BALANCE SHEETS</w:t>
      </w:r>
    </w:p>
    <w:p w:rsidR="00000000" w:rsidRDefault="006629D3">
      <w:pPr>
        <w:jc w:val="center"/>
        <w:rPr>
          <w:rFonts w:eastAsia="Times New Roman"/>
        </w:rPr>
      </w:pPr>
      <w:r>
        <w:rPr>
          <w:rFonts w:eastAsia="Times New Roman"/>
          <w:i/>
          <w:iCs/>
          <w:color w:val="000000"/>
          <w:sz w:val="20"/>
          <w:szCs w:val="20"/>
        </w:rPr>
        <w:t>(In thousands, except per share data)</w:t>
      </w:r>
    </w:p>
    <w:tbl>
      <w:tblPr>
        <w:tblW w:w="4985" w:type="pct"/>
        <w:tblCellMar>
          <w:top w:w="15" w:type="dxa"/>
          <w:left w:w="15" w:type="dxa"/>
          <w:bottom w:w="15" w:type="dxa"/>
          <w:right w:w="15" w:type="dxa"/>
        </w:tblCellMar>
        <w:tblLook w:val="04A0" w:firstRow="1" w:lastRow="0" w:firstColumn="1" w:lastColumn="0" w:noHBand="0" w:noVBand="1"/>
      </w:tblPr>
      <w:tblGrid>
        <w:gridCol w:w="41"/>
        <w:gridCol w:w="5211"/>
        <w:gridCol w:w="38"/>
        <w:gridCol w:w="36"/>
        <w:gridCol w:w="36"/>
        <w:gridCol w:w="36"/>
        <w:gridCol w:w="111"/>
        <w:gridCol w:w="1240"/>
        <w:gridCol w:w="36"/>
        <w:gridCol w:w="36"/>
        <w:gridCol w:w="36"/>
        <w:gridCol w:w="36"/>
        <w:gridCol w:w="111"/>
        <w:gridCol w:w="1241"/>
        <w:gridCol w:w="36"/>
      </w:tblGrid>
      <w:tr w:rsidR="00000000">
        <w:trPr>
          <w:divId w:val="1160577402"/>
        </w:trPr>
        <w:tc>
          <w:tcPr>
            <w:tcW w:w="50" w:type="pct"/>
            <w:vAlign w:val="center"/>
            <w:hideMark/>
          </w:tcPr>
          <w:p w:rsidR="00000000" w:rsidRDefault="006629D3">
            <w:pPr>
              <w:jc w:val="center"/>
              <w:rPr>
                <w:rFonts w:eastAsia="Times New Roman"/>
              </w:rPr>
            </w:pPr>
          </w:p>
        </w:tc>
        <w:tc>
          <w:tcPr>
            <w:tcW w:w="31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79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79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160577402"/>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divId w:val="1160577402"/>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i/>
                <w:i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160577402"/>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lastRenderedPageBreak/>
              <w:t>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1160577402"/>
        </w:trPr>
        <w:tc>
          <w:tcPr>
            <w:tcW w:w="0" w:type="auto"/>
            <w:gridSpan w:val="3"/>
            <w:shd w:val="clear" w:color="auto" w:fill="CCEE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83,109 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9,774 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148,467 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54,384 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8,281 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3,570 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3,058 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2,107 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47,054 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4,264 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281,688 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82,380 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2,866 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3,612 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18,491 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assets, net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Research and development tax credit receivable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3,608 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6,322 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22,264 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39,274 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327,635 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151,436 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Height w:val="12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160577402"/>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LIABILITIES AND 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1160577402"/>
        </w:trPr>
        <w:tc>
          <w:tcPr>
            <w:tcW w:w="0" w:type="auto"/>
            <w:gridSpan w:val="3"/>
            <w:shd w:val="clear" w:color="auto" w:fill="FFFF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Current portion of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5,554 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Current portion of operating lease liability</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645 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2,660 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16,398 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19,810 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60577402"/>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3,431 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3,875 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23,009 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126,520 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121,686 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Long-term contingent consideration payable, less current portion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11,773 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Long-term operating lease liability</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1,968 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2,319 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4,938 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8,873 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156,435 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180,635 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Height w:val="12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1605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1160577402"/>
        </w:trPr>
        <w:tc>
          <w:tcPr>
            <w:tcW w:w="0" w:type="auto"/>
            <w:gridSpan w:val="3"/>
            <w:shd w:val="clear" w:color="auto" w:fill="CCEEFF"/>
            <w:tcMar>
              <w:top w:w="30" w:type="dxa"/>
              <w:left w:w="20" w:type="dxa"/>
              <w:bottom w:w="30" w:type="dxa"/>
              <w:right w:w="20" w:type="dxa"/>
            </w:tcMar>
            <w:vAlign w:val="center"/>
            <w:hideMark/>
          </w:tcPr>
          <w:p w:rsidR="00000000" w:rsidRDefault="006629D3">
            <w:pPr>
              <w:divId w:val="1249846059"/>
              <w:rPr>
                <w:rFonts w:eastAsia="Times New Roman"/>
              </w:rPr>
            </w:pPr>
            <w:r>
              <w:rPr>
                <w:rFonts w:eastAsia="Times New Roman"/>
                <w:color w:val="000000"/>
                <w:sz w:val="18"/>
                <w:szCs w:val="18"/>
              </w:rPr>
              <w:t xml:space="preserve">Preferred shares, nominal value of $0.01 per share; 50,000 shares authorized; 488 issued and outstanding at September 30, 2020 and none </w:t>
            </w:r>
            <w:r>
              <w:rPr>
                <w:rFonts w:eastAsia="Times New Roman"/>
                <w:color w:val="000000"/>
                <w:sz w:val="18"/>
                <w:szCs w:val="18"/>
              </w:rPr>
              <w:t>issued and outstanding at December 31, 2019, respectively</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20" w:type="dxa"/>
              <w:bottom w:w="30" w:type="dxa"/>
              <w:right w:w="20" w:type="dxa"/>
            </w:tcMar>
            <w:vAlign w:val="bottom"/>
            <w:hideMark/>
          </w:tcPr>
          <w:p w:rsidR="00000000" w:rsidRDefault="006629D3">
            <w:pPr>
              <w:divId w:val="994378187"/>
              <w:rPr>
                <w:rFonts w:eastAsia="Times New Roman"/>
              </w:rPr>
            </w:pPr>
            <w:r>
              <w:rPr>
                <w:rFonts w:eastAsia="Times New Roman"/>
                <w:color w:val="000000"/>
                <w:sz w:val="18"/>
                <w:szCs w:val="18"/>
              </w:rPr>
              <w:t xml:space="preserve">Ordinary shares, nominal value of $0.01 per share; 500,000 shares authorized; 58,243 </w:t>
            </w:r>
            <w:r>
              <w:rPr>
                <w:rFonts w:eastAsia="Times New Roman"/>
                <w:color w:val="000000"/>
                <w:sz w:val="18"/>
                <w:szCs w:val="18"/>
              </w:rPr>
              <w:t>issued and outstanding at September 30, 2020 and 42,927 issued and 37,520 outstanding at December 31, 2019</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0" w:type="dxa"/>
              <w:bottom w:w="30" w:type="dxa"/>
              <w:right w:w="20" w:type="dxa"/>
            </w:tcMar>
            <w:vAlign w:val="center"/>
            <w:hideMark/>
          </w:tcPr>
          <w:p w:rsidR="00000000" w:rsidRDefault="006629D3">
            <w:pPr>
              <w:divId w:val="1518933548"/>
              <w:rPr>
                <w:rFonts w:eastAsia="Times New Roman"/>
              </w:rPr>
            </w:pPr>
            <w:r>
              <w:rPr>
                <w:rFonts w:eastAsia="Times New Roman"/>
                <w:color w:val="000000"/>
                <w:sz w:val="18"/>
                <w:szCs w:val="18"/>
              </w:rPr>
              <w:t>Treasury shares, at cost, 0 and 5,407 shares held at September 30, 2020 and December 31, 2019, respectively</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w:t>
            </w:r>
            <w:r>
              <w:rPr>
                <w:rFonts w:eastAsia="Times New Roman"/>
                <w:color w:val="000000"/>
                <w:sz w:val="18"/>
                <w:szCs w:val="18"/>
              </w:rPr>
              <w:t>49,998)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565,440 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434,391 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(372,909)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(391,215)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(21,918)</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(22,806)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shareholders’ equity (deficit)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171,200 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w:t>
            </w:r>
            <w:r>
              <w:rPr>
                <w:rFonts w:eastAsia="Times New Roman"/>
                <w:color w:val="000000"/>
                <w:sz w:val="18"/>
                <w:szCs w:val="18"/>
              </w:rPr>
              <w:t>29,199)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60577402"/>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liabilities and 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327,635 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151,436 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ind w:firstLine="720"/>
        <w:jc w:val="center"/>
        <w:divId w:val="611783613"/>
        <w:rPr>
          <w:rFonts w:eastAsia="Times New Roman"/>
        </w:rPr>
      </w:pPr>
      <w:r>
        <w:rPr>
          <w:rFonts w:eastAsia="Times New Roman"/>
          <w:i/>
          <w:iCs/>
          <w:color w:val="000000"/>
          <w:sz w:val="20"/>
          <w:szCs w:val="20"/>
        </w:rPr>
        <w:t> See accompanying notes to unaudited condensed consolidated financial statements.</w:t>
      </w:r>
    </w:p>
    <w:p w:rsidR="00000000" w:rsidRDefault="006629D3">
      <w:pPr>
        <w:jc w:val="center"/>
        <w:divId w:val="1294403684"/>
        <w:rPr>
          <w:rFonts w:eastAsia="Times New Roman"/>
        </w:rPr>
      </w:pPr>
      <w:r>
        <w:rPr>
          <w:rFonts w:eastAsia="Times New Roman"/>
          <w:color w:val="000000"/>
          <w:sz w:val="20"/>
          <w:szCs w:val="20"/>
        </w:rPr>
        <w:t>- 6 -</w:t>
      </w:r>
    </w:p>
    <w:p w:rsidR="00000000" w:rsidRDefault="006629D3">
      <w:pPr>
        <w:rPr>
          <w:rFonts w:eastAsia="Times New Roman"/>
        </w:rPr>
      </w:pPr>
      <w:r>
        <w:rPr>
          <w:rFonts w:eastAsia="Times New Roman"/>
        </w:rPr>
        <w:pict>
          <v:rect id="_x0000_i1031" style="width:0;height:1.5pt" o:hralign="center" o:hrstd="t" o:hr="t" fillcolor="#a0a0a0" stroked="f"/>
        </w:pict>
      </w:r>
    </w:p>
    <w:p w:rsidR="00000000" w:rsidRDefault="006629D3">
      <w:pPr>
        <w:divId w:val="658535413"/>
        <w:rPr>
          <w:rFonts w:eastAsia="Times New Roman"/>
        </w:rPr>
      </w:pPr>
    </w:p>
    <w:p w:rsidR="00000000" w:rsidRDefault="006629D3">
      <w:pPr>
        <w:jc w:val="center"/>
        <w:rPr>
          <w:rFonts w:eastAsia="Times New Roman"/>
        </w:rPr>
      </w:pPr>
      <w:r>
        <w:rPr>
          <w:rFonts w:eastAsia="Times New Roman"/>
          <w:b/>
          <w:bCs/>
          <w:color w:val="000000"/>
          <w:sz w:val="20"/>
          <w:szCs w:val="20"/>
        </w:rPr>
        <w:t>AVADEL PHARMACEUTICALS PLC</w:t>
      </w:r>
    </w:p>
    <w:p w:rsidR="00000000" w:rsidRDefault="006629D3">
      <w:pPr>
        <w:jc w:val="center"/>
        <w:rPr>
          <w:rFonts w:eastAsia="Times New Roman"/>
        </w:rPr>
      </w:pPr>
      <w:r>
        <w:rPr>
          <w:rFonts w:eastAsia="Times New Roman"/>
          <w:b/>
          <w:bCs/>
          <w:color w:val="000000"/>
          <w:sz w:val="20"/>
          <w:szCs w:val="20"/>
        </w:rPr>
        <w:t>UNAUDITED CONDENSED CONSOLIDATED STATEMENTS OF SHAREHOLDERS’ EQUITY (DEFICIT)</w:t>
      </w:r>
    </w:p>
    <w:p w:rsidR="00000000" w:rsidRDefault="006629D3">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p w:rsidR="00000000" w:rsidRDefault="006629D3">
      <w:pPr>
        <w:jc w:val="center"/>
        <w:rPr>
          <w:rFonts w:eastAsia="Times New Roman"/>
        </w:rPr>
      </w:pPr>
      <w:r>
        <w:rPr>
          <w:rFonts w:eastAsia="Times New Roman"/>
          <w:i/>
          <w:iCs/>
          <w:color w:val="000000"/>
          <w:sz w:val="20"/>
          <w:szCs w:val="20"/>
        </w:rPr>
        <w:t>(Unaudited)</w:t>
      </w:r>
    </w:p>
    <w:p w:rsidR="00000000" w:rsidRDefault="006629D3">
      <w:pPr>
        <w:divId w:val="1985233707"/>
        <w:rPr>
          <w:rFonts w:eastAsia="Times New Roman"/>
        </w:rPr>
      </w:pPr>
    </w:p>
    <w:p w:rsidR="00000000" w:rsidRDefault="006629D3">
      <w:pPr>
        <w:jc w:val="center"/>
        <w:rPr>
          <w:rFonts w:eastAsia="Times New Roman"/>
        </w:rPr>
      </w:pPr>
      <w:r>
        <w:rPr>
          <w:rFonts w:eastAsia="Times New Roman"/>
          <w:b/>
          <w:bCs/>
          <w:color w:val="000000"/>
          <w:sz w:val="20"/>
          <w:szCs w:val="20"/>
        </w:rPr>
        <w:t xml:space="preserve">Nine Months Ended September 30, 2020 </w:t>
      </w:r>
    </w:p>
    <w:tbl>
      <w:tblPr>
        <w:tblW w:w="4972" w:type="pct"/>
        <w:jc w:val="center"/>
        <w:tblCellMar>
          <w:top w:w="15" w:type="dxa"/>
          <w:left w:w="15" w:type="dxa"/>
          <w:bottom w:w="15" w:type="dxa"/>
          <w:right w:w="15" w:type="dxa"/>
        </w:tblCellMar>
        <w:tblLook w:val="04A0" w:firstRow="1" w:lastRow="0" w:firstColumn="1" w:lastColumn="0" w:noHBand="0" w:noVBand="1"/>
      </w:tblPr>
      <w:tblGrid>
        <w:gridCol w:w="57"/>
        <w:gridCol w:w="1062"/>
        <w:gridCol w:w="37"/>
        <w:gridCol w:w="36"/>
        <w:gridCol w:w="36"/>
        <w:gridCol w:w="36"/>
        <w:gridCol w:w="78"/>
        <w:gridCol w:w="418"/>
        <w:gridCol w:w="37"/>
        <w:gridCol w:w="37"/>
        <w:gridCol w:w="36"/>
        <w:gridCol w:w="36"/>
        <w:gridCol w:w="101"/>
        <w:gridCol w:w="499"/>
        <w:gridCol w:w="36"/>
        <w:gridCol w:w="36"/>
        <w:gridCol w:w="36"/>
        <w:gridCol w:w="36"/>
        <w:gridCol w:w="78"/>
        <w:gridCol w:w="418"/>
        <w:gridCol w:w="36"/>
        <w:gridCol w:w="36"/>
        <w:gridCol w:w="36"/>
        <w:gridCol w:w="36"/>
        <w:gridCol w:w="101"/>
        <w:gridCol w:w="499"/>
        <w:gridCol w:w="36"/>
        <w:gridCol w:w="36"/>
        <w:gridCol w:w="36"/>
        <w:gridCol w:w="36"/>
        <w:gridCol w:w="110"/>
        <w:gridCol w:w="650"/>
        <w:gridCol w:w="36"/>
        <w:gridCol w:w="36"/>
        <w:gridCol w:w="36"/>
        <w:gridCol w:w="36"/>
        <w:gridCol w:w="108"/>
        <w:gridCol w:w="829"/>
        <w:gridCol w:w="36"/>
        <w:gridCol w:w="36"/>
        <w:gridCol w:w="36"/>
        <w:gridCol w:w="36"/>
        <w:gridCol w:w="113"/>
        <w:gridCol w:w="939"/>
        <w:gridCol w:w="36"/>
        <w:gridCol w:w="36"/>
        <w:gridCol w:w="36"/>
        <w:gridCol w:w="36"/>
        <w:gridCol w:w="78"/>
        <w:gridCol w:w="418"/>
        <w:gridCol w:w="36"/>
        <w:gridCol w:w="36"/>
        <w:gridCol w:w="36"/>
        <w:gridCol w:w="36"/>
        <w:gridCol w:w="100"/>
        <w:gridCol w:w="547"/>
        <w:gridCol w:w="36"/>
        <w:gridCol w:w="36"/>
        <w:gridCol w:w="36"/>
        <w:gridCol w:w="36"/>
        <w:gridCol w:w="101"/>
        <w:gridCol w:w="876"/>
        <w:gridCol w:w="36"/>
      </w:tblGrid>
      <w:tr w:rsidR="00000000">
        <w:trPr>
          <w:divId w:val="419716079"/>
          <w:jc w:val="center"/>
        </w:trPr>
        <w:tc>
          <w:tcPr>
            <w:tcW w:w="50" w:type="pct"/>
            <w:vAlign w:val="center"/>
            <w:hideMark/>
          </w:tcPr>
          <w:p w:rsidR="00000000" w:rsidRDefault="006629D3">
            <w:pPr>
              <w:jc w:val="center"/>
              <w:rPr>
                <w:rFonts w:eastAsia="Times New Roman"/>
              </w:rPr>
            </w:pPr>
          </w:p>
        </w:tc>
        <w:tc>
          <w:tcPr>
            <w:tcW w:w="94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9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38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5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419716079"/>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Ordinary shares</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Preferred shares</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Additional</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Accumulated</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Treasury shares</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p>
        </w:tc>
        <w:tc>
          <w:tcPr>
            <w:tcW w:w="0" w:type="auto"/>
            <w:vAlign w:val="center"/>
            <w:hideMark/>
          </w:tcPr>
          <w:p w:rsidR="00000000" w:rsidRDefault="006629D3">
            <w:pPr>
              <w:rPr>
                <w:rFonts w:eastAsia="Times New Roman"/>
                <w:sz w:val="20"/>
                <w:szCs w:val="20"/>
              </w:rPr>
            </w:pPr>
          </w:p>
        </w:tc>
      </w:tr>
      <w:tr w:rsidR="00000000">
        <w:trPr>
          <w:divId w:val="419716079"/>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deficit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loss</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 equity (deficit)</w:t>
            </w:r>
          </w:p>
        </w:tc>
        <w:tc>
          <w:tcPr>
            <w:tcW w:w="0" w:type="auto"/>
            <w:vAlign w:val="center"/>
            <w:hideMark/>
          </w:tcPr>
          <w:p w:rsidR="00000000" w:rsidRDefault="006629D3">
            <w:pPr>
              <w:rPr>
                <w:rFonts w:eastAsia="Times New Roman"/>
                <w:sz w:val="20"/>
                <w:szCs w:val="20"/>
              </w:rPr>
            </w:pPr>
          </w:p>
        </w:tc>
      </w:tr>
      <w:tr w:rsidR="006629D3">
        <w:trPr>
          <w:divId w:val="419716079"/>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6"/>
                <w:szCs w:val="16"/>
              </w:rPr>
              <w:t>Balance, December 31, 2019</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42,927 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434,391 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(391,215)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(22,806)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w:t>
            </w:r>
            <w:r>
              <w:rPr>
                <w:rFonts w:eastAsia="Times New Roman"/>
                <w:color w:val="000000"/>
                <w:sz w:val="16"/>
                <w:szCs w:val="16"/>
              </w:rPr>
              <w:t>29,199)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(865)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(865)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(821)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(821)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146 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1,387 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1,389 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8,680 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488 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60,641 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60,733 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742 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742 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6"/>
                <w:szCs w:val="16"/>
              </w:rPr>
              <w:t>Balance, March 31, 2020</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51,812 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497,249 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(392,080)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(23,627)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w:t>
            </w: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32,067 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30,874 </w:t>
            </w:r>
          </w:p>
        </w:tc>
        <w:tc>
          <w:tcPr>
            <w:tcW w:w="0" w:type="auto"/>
            <w:tcBorders>
              <w:top w:val="double" w:sz="6" w:space="0" w:color="000000"/>
            </w:tcBorders>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30,874 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1,109 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1,109 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392 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393 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(94)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(94)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May 2020 public offering</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11,630 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116,858 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116,974 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769 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769 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6"/>
                <w:szCs w:val="16"/>
              </w:rPr>
              <w:t>Balance, June 30, 2020</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63,537 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615,207 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(361,206)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(22,518)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w:t>
            </w: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182,125 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(11,703)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(11,703)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February 2020 private placement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May 2020 public offering</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194 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Retirement of treasury shares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(5,407)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(49,944)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(5,407)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49,998 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419716079"/>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6"/>
                <w:szCs w:val="16"/>
              </w:rPr>
              <w:t>Balance, September 30, 2020</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58,243 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565,440 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(372,909)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w:t>
            </w:r>
            <w:r>
              <w:rPr>
                <w:rFonts w:eastAsia="Times New Roman"/>
                <w:color w:val="000000"/>
                <w:sz w:val="16"/>
                <w:szCs w:val="16"/>
              </w:rPr>
              <w:t>21,918)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171,200 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419716079"/>
          <w:jc w:val="center"/>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2"/>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419716079"/>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2"/>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419716079"/>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2"/>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419716079"/>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2"/>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419716079"/>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2"/>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419716079"/>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2"/>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bl>
    <w:p w:rsidR="00000000" w:rsidRDefault="006629D3">
      <w:pPr>
        <w:jc w:val="center"/>
        <w:rPr>
          <w:rFonts w:eastAsia="Times New Roman"/>
        </w:rPr>
      </w:pPr>
    </w:p>
    <w:p w:rsidR="00000000" w:rsidRDefault="006629D3">
      <w:pPr>
        <w:jc w:val="center"/>
        <w:rPr>
          <w:rFonts w:eastAsia="Times New Roman"/>
        </w:rPr>
      </w:pPr>
    </w:p>
    <w:p w:rsidR="00000000" w:rsidRDefault="006629D3">
      <w:pPr>
        <w:jc w:val="center"/>
        <w:divId w:val="1980071748"/>
        <w:rPr>
          <w:rFonts w:eastAsia="Times New Roman"/>
        </w:rPr>
      </w:pPr>
      <w:r>
        <w:rPr>
          <w:rFonts w:eastAsia="Times New Roman"/>
          <w:color w:val="000000"/>
          <w:sz w:val="20"/>
          <w:szCs w:val="20"/>
        </w:rPr>
        <w:t>- 7 -</w:t>
      </w:r>
    </w:p>
    <w:p w:rsidR="00000000" w:rsidRDefault="006629D3">
      <w:pPr>
        <w:rPr>
          <w:rFonts w:eastAsia="Times New Roman"/>
        </w:rPr>
      </w:pPr>
      <w:r>
        <w:rPr>
          <w:rFonts w:eastAsia="Times New Roman"/>
        </w:rPr>
        <w:pict>
          <v:rect id="_x0000_i1032" style="width:0;height:1.5pt" o:hralign="center" o:hrstd="t" o:hr="t" fillcolor="#a0a0a0" stroked="f"/>
        </w:pict>
      </w:r>
    </w:p>
    <w:p w:rsidR="00000000" w:rsidRDefault="006629D3">
      <w:pPr>
        <w:divId w:val="1410074021"/>
        <w:rPr>
          <w:rFonts w:eastAsia="Times New Roman"/>
        </w:rPr>
      </w:pPr>
    </w:p>
    <w:p w:rsidR="00000000" w:rsidRDefault="006629D3">
      <w:pPr>
        <w:jc w:val="center"/>
        <w:rPr>
          <w:rFonts w:eastAsia="Times New Roman"/>
        </w:rPr>
      </w:pPr>
    </w:p>
    <w:p w:rsidR="00000000" w:rsidRDefault="006629D3">
      <w:pPr>
        <w:jc w:val="center"/>
        <w:rPr>
          <w:rFonts w:eastAsia="Times New Roman"/>
        </w:rPr>
      </w:pPr>
      <w:r>
        <w:rPr>
          <w:rFonts w:eastAsia="Times New Roman"/>
          <w:b/>
          <w:bCs/>
          <w:color w:val="000000"/>
          <w:sz w:val="20"/>
          <w:szCs w:val="20"/>
        </w:rPr>
        <w:t>AVADEL PHARMACEUTICALS PLC</w:t>
      </w:r>
    </w:p>
    <w:p w:rsidR="00000000" w:rsidRDefault="006629D3">
      <w:pPr>
        <w:jc w:val="center"/>
        <w:rPr>
          <w:rFonts w:eastAsia="Times New Roman"/>
        </w:rPr>
      </w:pPr>
      <w:r>
        <w:rPr>
          <w:rFonts w:eastAsia="Times New Roman"/>
          <w:b/>
          <w:bCs/>
          <w:color w:val="000000"/>
          <w:sz w:val="20"/>
          <w:szCs w:val="20"/>
        </w:rPr>
        <w:t>UNAUDITED CONDENSED CONSOLIDATED STATEMENTS OF SHAREHOLDERS’ (DEFICIT) EQUITY</w:t>
      </w:r>
    </w:p>
    <w:p w:rsidR="00000000" w:rsidRDefault="006629D3">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p w:rsidR="00000000" w:rsidRDefault="006629D3">
      <w:pPr>
        <w:jc w:val="center"/>
        <w:rPr>
          <w:rFonts w:eastAsia="Times New Roman"/>
        </w:rPr>
      </w:pPr>
      <w:r>
        <w:rPr>
          <w:rFonts w:eastAsia="Times New Roman"/>
          <w:i/>
          <w:iCs/>
          <w:color w:val="000000"/>
          <w:sz w:val="20"/>
          <w:szCs w:val="20"/>
        </w:rPr>
        <w:t>(Unaudited)</w:t>
      </w:r>
    </w:p>
    <w:p w:rsidR="00000000" w:rsidRDefault="006629D3">
      <w:pPr>
        <w:jc w:val="center"/>
        <w:rPr>
          <w:rFonts w:eastAsia="Times New Roman"/>
        </w:rPr>
      </w:pPr>
    </w:p>
    <w:p w:rsidR="00000000" w:rsidRDefault="006629D3">
      <w:pPr>
        <w:jc w:val="center"/>
        <w:rPr>
          <w:rFonts w:eastAsia="Times New Roman"/>
        </w:rPr>
      </w:pPr>
      <w:r>
        <w:rPr>
          <w:rFonts w:eastAsia="Times New Roman"/>
          <w:b/>
          <w:bCs/>
          <w:color w:val="000000"/>
          <w:sz w:val="20"/>
          <w:szCs w:val="20"/>
        </w:rPr>
        <w:t xml:space="preserve">Nine Months Ended September 30, 2019 </w:t>
      </w:r>
    </w:p>
    <w:p w:rsidR="00000000" w:rsidRDefault="006629D3">
      <w:pPr>
        <w:jc w:val="center"/>
        <w:rPr>
          <w:rFonts w:eastAsia="Times New Roman"/>
        </w:rPr>
      </w:pPr>
    </w:p>
    <w:tbl>
      <w:tblPr>
        <w:tblW w:w="4989" w:type="pct"/>
        <w:jc w:val="center"/>
        <w:tblCellMar>
          <w:top w:w="15" w:type="dxa"/>
          <w:left w:w="15" w:type="dxa"/>
          <w:bottom w:w="15" w:type="dxa"/>
          <w:right w:w="15" w:type="dxa"/>
        </w:tblCellMar>
        <w:tblLook w:val="04A0" w:firstRow="1" w:lastRow="0" w:firstColumn="1" w:lastColumn="0" w:noHBand="0" w:noVBand="1"/>
      </w:tblPr>
      <w:tblGrid>
        <w:gridCol w:w="62"/>
        <w:gridCol w:w="1178"/>
        <w:gridCol w:w="37"/>
        <w:gridCol w:w="36"/>
        <w:gridCol w:w="36"/>
        <w:gridCol w:w="36"/>
        <w:gridCol w:w="60"/>
        <w:gridCol w:w="496"/>
        <w:gridCol w:w="37"/>
        <w:gridCol w:w="37"/>
        <w:gridCol w:w="37"/>
        <w:gridCol w:w="37"/>
        <w:gridCol w:w="112"/>
        <w:gridCol w:w="592"/>
        <w:gridCol w:w="36"/>
        <w:gridCol w:w="36"/>
        <w:gridCol w:w="36"/>
        <w:gridCol w:w="36"/>
        <w:gridCol w:w="111"/>
        <w:gridCol w:w="758"/>
        <w:gridCol w:w="36"/>
        <w:gridCol w:w="36"/>
        <w:gridCol w:w="36"/>
        <w:gridCol w:w="36"/>
        <w:gridCol w:w="113"/>
        <w:gridCol w:w="936"/>
        <w:gridCol w:w="36"/>
        <w:gridCol w:w="36"/>
        <w:gridCol w:w="36"/>
        <w:gridCol w:w="36"/>
        <w:gridCol w:w="127"/>
        <w:gridCol w:w="1051"/>
        <w:gridCol w:w="36"/>
        <w:gridCol w:w="36"/>
        <w:gridCol w:w="36"/>
        <w:gridCol w:w="36"/>
        <w:gridCol w:w="60"/>
        <w:gridCol w:w="496"/>
        <w:gridCol w:w="36"/>
        <w:gridCol w:w="36"/>
        <w:gridCol w:w="36"/>
        <w:gridCol w:w="36"/>
        <w:gridCol w:w="110"/>
        <w:gridCol w:w="615"/>
        <w:gridCol w:w="36"/>
        <w:gridCol w:w="36"/>
        <w:gridCol w:w="36"/>
        <w:gridCol w:w="36"/>
        <w:gridCol w:w="116"/>
        <w:gridCol w:w="963"/>
        <w:gridCol w:w="36"/>
      </w:tblGrid>
      <w:tr w:rsidR="00000000">
        <w:trPr>
          <w:divId w:val="1114401234"/>
          <w:jc w:val="center"/>
        </w:trPr>
        <w:tc>
          <w:tcPr>
            <w:tcW w:w="50" w:type="pct"/>
            <w:vAlign w:val="center"/>
            <w:hideMark/>
          </w:tcPr>
          <w:p w:rsidR="00000000" w:rsidRDefault="006629D3">
            <w:pPr>
              <w:jc w:val="center"/>
              <w:rPr>
                <w:rFonts w:eastAsia="Times New Roman"/>
              </w:rPr>
            </w:pPr>
          </w:p>
        </w:tc>
        <w:tc>
          <w:tcPr>
            <w:tcW w:w="96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0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1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11440123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Ordinary shares</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Additional</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Accumulated</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other</w:t>
            </w:r>
            <w:r>
              <w:rPr>
                <w:rFonts w:eastAsia="Times New Roman"/>
                <w:b/>
                <w:bCs/>
                <w:color w:val="000000"/>
                <w:sz w:val="18"/>
                <w:szCs w:val="18"/>
              </w:rPr>
              <w:br/>
              <w:t>comprehensive</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Treasury shares</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Total</w:t>
            </w:r>
            <w:r>
              <w:rPr>
                <w:rFonts w:eastAsia="Times New Roman"/>
                <w:b/>
                <w:bCs/>
                <w:color w:val="000000"/>
                <w:sz w:val="18"/>
                <w:szCs w:val="18"/>
              </w:rPr>
              <w:br/>
              <w:t>shareholders’</w:t>
            </w:r>
          </w:p>
        </w:tc>
      </w:tr>
      <w:tr w:rsidR="00000000">
        <w:trPr>
          <w:divId w:val="111440123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paid-in capital</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deficit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(loss) income</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Amount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 xml:space="preserve">(deficit) equity </w:t>
            </w:r>
          </w:p>
        </w:tc>
      </w:tr>
      <w:tr w:rsidR="006629D3">
        <w:trPr>
          <w:divId w:val="111440123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Balance, December 31, 2018</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433,756 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(357,989)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(23,416)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(13,018)</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(13,018)</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Vesting of restricted shares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351 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6629D3">
        <w:trPr>
          <w:divId w:val="111440123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Balance, March 31, 2019</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434,199 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(371,007)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(23,203)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(9,582)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(8,605)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(8,605)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comprehensive income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111440123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Balance, June 30, 2019</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434,254 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(379,612)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(22,848)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w:t>
            </w:r>
            <w:r>
              <w:rPr>
                <w:rFonts w:eastAsia="Times New Roman"/>
                <w:color w:val="000000"/>
                <w:sz w:val="18"/>
                <w:szCs w:val="18"/>
              </w:rPr>
              <w:t>17,777)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(8,864)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(8,864)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Vesting of restricted shares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6629D3">
        <w:trPr>
          <w:divId w:val="111440123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Balance, September 30, 2019</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42,857 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434,055 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(388,476)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(22,972)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(49,998)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w:t>
            </w:r>
            <w:r>
              <w:rPr>
                <w:rFonts w:eastAsia="Times New Roman"/>
                <w:color w:val="000000"/>
                <w:sz w:val="18"/>
                <w:szCs w:val="18"/>
              </w:rPr>
              <w:t>26,963)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14401234"/>
          <w:jc w:val="center"/>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1440123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center"/>
        <w:rPr>
          <w:rFonts w:eastAsia="Times New Roman"/>
        </w:rPr>
      </w:pPr>
    </w:p>
    <w:p w:rsidR="00000000" w:rsidRDefault="006629D3">
      <w:pPr>
        <w:jc w:val="center"/>
        <w:rPr>
          <w:rFonts w:eastAsia="Times New Roman"/>
        </w:rPr>
      </w:pPr>
    </w:p>
    <w:p w:rsidR="00000000" w:rsidRDefault="006629D3">
      <w:pPr>
        <w:jc w:val="center"/>
        <w:rPr>
          <w:rFonts w:eastAsia="Times New Roman"/>
        </w:rPr>
      </w:pPr>
    </w:p>
    <w:p w:rsidR="00000000" w:rsidRDefault="006629D3">
      <w:pPr>
        <w:jc w:val="center"/>
        <w:rPr>
          <w:rFonts w:eastAsia="Times New Roman"/>
        </w:rPr>
      </w:pPr>
    </w:p>
    <w:p w:rsidR="00000000" w:rsidRDefault="006629D3">
      <w:pPr>
        <w:divId w:val="1243948088"/>
        <w:rPr>
          <w:rFonts w:eastAsia="Times New Roman"/>
        </w:rPr>
      </w:pPr>
    </w:p>
    <w:p w:rsidR="00000000" w:rsidRDefault="006629D3">
      <w:pPr>
        <w:jc w:val="center"/>
        <w:divId w:val="263460693"/>
        <w:rPr>
          <w:rFonts w:eastAsia="Times New Roman"/>
        </w:rPr>
      </w:pPr>
      <w:r>
        <w:rPr>
          <w:rFonts w:eastAsia="Times New Roman"/>
          <w:color w:val="000000"/>
          <w:sz w:val="20"/>
          <w:szCs w:val="20"/>
        </w:rPr>
        <w:t>- 8 -</w:t>
      </w:r>
    </w:p>
    <w:p w:rsidR="00000000" w:rsidRDefault="006629D3">
      <w:pPr>
        <w:rPr>
          <w:rFonts w:eastAsia="Times New Roman"/>
        </w:rPr>
      </w:pPr>
      <w:r>
        <w:rPr>
          <w:rFonts w:eastAsia="Times New Roman"/>
        </w:rPr>
        <w:pict>
          <v:rect id="_x0000_i1033" style="width:0;height:1.5pt" o:hralign="center" o:hrstd="t" o:hr="t" fillcolor="#a0a0a0" stroked="f"/>
        </w:pict>
      </w:r>
    </w:p>
    <w:p w:rsidR="00000000" w:rsidRDefault="006629D3">
      <w:pPr>
        <w:divId w:val="1389065014"/>
        <w:rPr>
          <w:rFonts w:eastAsia="Times New Roman"/>
        </w:rPr>
      </w:pPr>
    </w:p>
    <w:p w:rsidR="00000000" w:rsidRDefault="006629D3">
      <w:pPr>
        <w:jc w:val="center"/>
        <w:divId w:val="10838318"/>
        <w:rPr>
          <w:rFonts w:eastAsia="Times New Roman"/>
        </w:rPr>
      </w:pPr>
      <w:r>
        <w:rPr>
          <w:rFonts w:eastAsia="Times New Roman"/>
          <w:b/>
          <w:bCs/>
          <w:color w:val="000000"/>
          <w:sz w:val="20"/>
          <w:szCs w:val="20"/>
        </w:rPr>
        <w:t>AVADEL PHARMACEUTICALS PLC</w:t>
      </w:r>
    </w:p>
    <w:p w:rsidR="00000000" w:rsidRDefault="006629D3">
      <w:pPr>
        <w:jc w:val="center"/>
        <w:rPr>
          <w:rFonts w:eastAsia="Times New Roman"/>
        </w:rPr>
      </w:pPr>
      <w:r>
        <w:rPr>
          <w:rFonts w:eastAsia="Times New Roman"/>
          <w:b/>
          <w:bCs/>
          <w:color w:val="000000"/>
          <w:sz w:val="20"/>
          <w:szCs w:val="20"/>
        </w:rPr>
        <w:t>UNAUDITED CONDENSED CONSOLIDATED STATEMENTS OF CASH FLOWS</w:t>
      </w:r>
    </w:p>
    <w:p w:rsidR="00000000" w:rsidRDefault="006629D3">
      <w:pPr>
        <w:jc w:val="center"/>
        <w:rPr>
          <w:rFonts w:eastAsia="Times New Roman"/>
        </w:rPr>
      </w:pPr>
      <w:r>
        <w:rPr>
          <w:rFonts w:eastAsia="Times New Roman"/>
          <w:i/>
          <w:iCs/>
          <w:color w:val="000000"/>
          <w:sz w:val="16"/>
          <w:szCs w:val="16"/>
        </w:rPr>
        <w:t>(In thousands)</w:t>
      </w:r>
      <w:r>
        <w:rPr>
          <w:rFonts w:eastAsia="Times New Roman"/>
          <w:color w:val="000000"/>
          <w:sz w:val="16"/>
          <w:szCs w:val="16"/>
        </w:rPr>
        <w:t> </w:t>
      </w:r>
    </w:p>
    <w:p w:rsidR="00000000" w:rsidRDefault="006629D3">
      <w:pPr>
        <w:jc w:val="center"/>
        <w:rPr>
          <w:rFonts w:eastAsia="Times New Roman"/>
        </w:rPr>
      </w:pPr>
      <w:r>
        <w:rPr>
          <w:rFonts w:eastAsia="Times New Roman"/>
          <w:i/>
          <w:iCs/>
          <w:color w:val="000000"/>
          <w:sz w:val="16"/>
          <w:szCs w:val="16"/>
        </w:rPr>
        <w:t>(Unaudited)</w:t>
      </w:r>
    </w:p>
    <w:tbl>
      <w:tblPr>
        <w:tblW w:w="4985" w:type="pct"/>
        <w:tblCellMar>
          <w:top w:w="15" w:type="dxa"/>
          <w:left w:w="15" w:type="dxa"/>
          <w:bottom w:w="15" w:type="dxa"/>
          <w:right w:w="15" w:type="dxa"/>
        </w:tblCellMar>
        <w:tblLook w:val="04A0" w:firstRow="1" w:lastRow="0" w:firstColumn="1" w:lastColumn="0" w:noHBand="0" w:noVBand="1"/>
      </w:tblPr>
      <w:tblGrid>
        <w:gridCol w:w="44"/>
        <w:gridCol w:w="5602"/>
        <w:gridCol w:w="39"/>
        <w:gridCol w:w="36"/>
        <w:gridCol w:w="36"/>
        <w:gridCol w:w="36"/>
        <w:gridCol w:w="101"/>
        <w:gridCol w:w="1053"/>
        <w:gridCol w:w="36"/>
        <w:gridCol w:w="36"/>
        <w:gridCol w:w="36"/>
        <w:gridCol w:w="36"/>
        <w:gridCol w:w="100"/>
        <w:gridCol w:w="1054"/>
        <w:gridCol w:w="36"/>
      </w:tblGrid>
      <w:tr w:rsidR="00000000">
        <w:trPr>
          <w:divId w:val="658657828"/>
        </w:trPr>
        <w:tc>
          <w:tcPr>
            <w:tcW w:w="50" w:type="pct"/>
            <w:vAlign w:val="center"/>
            <w:hideMark/>
          </w:tcPr>
          <w:p w:rsidR="00000000" w:rsidRDefault="006629D3">
            <w:pPr>
              <w:jc w:val="center"/>
              <w:rPr>
                <w:rFonts w:eastAsia="Times New Roman"/>
              </w:rPr>
            </w:pPr>
          </w:p>
        </w:tc>
        <w:tc>
          <w:tcPr>
            <w:tcW w:w="340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7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7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658657828"/>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Nine Months Ended September 30,</w:t>
            </w:r>
          </w:p>
        </w:tc>
      </w:tr>
      <w:tr w:rsidR="00000000">
        <w:trPr>
          <w:divId w:val="658657828"/>
        </w:trPr>
        <w:tc>
          <w:tcPr>
            <w:tcW w:w="0" w:type="auto"/>
            <w:gridSpan w:val="3"/>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6"/>
                <w:szCs w:val="16"/>
              </w:rPr>
              <w:t>2019</w:t>
            </w:r>
          </w:p>
        </w:tc>
      </w:tr>
      <w:tr w:rsidR="00000000">
        <w:trPr>
          <w:divId w:val="658657828"/>
          <w:trHeight w:val="60"/>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58657828"/>
        </w:trPr>
        <w:tc>
          <w:tcPr>
            <w:tcW w:w="0" w:type="auto"/>
            <w:gridSpan w:val="3"/>
            <w:tcMar>
              <w:top w:w="30" w:type="dxa"/>
              <w:left w:w="135" w:type="dxa"/>
              <w:bottom w:w="30" w:type="dxa"/>
              <w:right w:w="20" w:type="dxa"/>
            </w:tcMar>
            <w:vAlign w:val="bottom"/>
            <w:hideMark/>
          </w:tcPr>
          <w:p w:rsidR="00000000" w:rsidRDefault="006629D3">
            <w:pPr>
              <w:rPr>
                <w:rFonts w:eastAsia="Times New Roman"/>
              </w:rPr>
            </w:pPr>
            <w:r>
              <w:rPr>
                <w:rFonts w:eastAsia="Times New Roman"/>
                <w:b/>
                <w:bCs/>
                <w:color w:val="000000"/>
                <w:sz w:val="16"/>
                <w:szCs w:val="16"/>
              </w:rPr>
              <w:t>Cash flows from operating activities: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r>
      <w:tr w:rsidR="00000000">
        <w:trPr>
          <w:divId w:val="65865782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income (loss)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6"/>
                <w:szCs w:val="16"/>
              </w:rPr>
              <w:t>18,306 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6"/>
                <w:szCs w:val="16"/>
              </w:rPr>
              <w:t>(30,487)</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Adjustments to reconcile net income (loss) to net cash provided by operating activities: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1,297 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1,690 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Loss on disposal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478 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658657828"/>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658657828"/>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Remeasurement of acquisition-related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3,327 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2,384 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Remeasurement of financing-related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435 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496 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Amortization of debt discount and debt issuance costs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4,835 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4,424 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Change in deferred tax and income tax deferred charge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(4,582)</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1,333 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Stock-based compensation expense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1,705 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Gain on the 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(45,760)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Loss on deconsolidation of subsidiary</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1,750 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Other adjustments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306 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(667)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changes in assets and liabilities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Accounts receivable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8,281 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2,026 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Inventories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(1,352)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2,465 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1,759 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(1,859)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2,036 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(749)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Accounts payable &amp; other current liabilities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(4,051)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259 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(6,625)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(2,379)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Earn-out payments for contingent consideration in excess of acquisition-date fair value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(5,323)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(8,640)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Royalty payments for contingent consideration payable in excess of original fair value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(866)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(1,374)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6"/>
                <w:szCs w:val="16"/>
              </w:rPr>
              <w:t>Other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(3,337)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(1,399)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cash used in operating activities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(29,609)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(30,072)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Height w:val="120"/>
        </w:trPr>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b/>
                <w:bCs/>
                <w:color w:val="000000"/>
                <w:sz w:val="16"/>
                <w:szCs w:val="16"/>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r>
      <w:tr w:rsidR="00000000">
        <w:trPr>
          <w:divId w:val="65865782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Purchases of 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Proceeds from the disposal of property and equipment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154 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Proceeds from the disposition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17,250 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Proceeds from sales of marketable securities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30,075 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57,242 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Purchases of marketable securities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(124,254)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(23,814)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cash (used in) provided by investing activities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(76,962)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33,553 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Height w:val="120"/>
        </w:trPr>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b/>
                <w:bCs/>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6"/>
                <w:szCs w:val="16"/>
              </w:rPr>
              <w:t> </w:t>
            </w:r>
          </w:p>
        </w:tc>
      </w:tr>
      <w:tr w:rsidR="00000000">
        <w:trPr>
          <w:divId w:val="65865782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Proceeds from the February 2020 private placement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60,570 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Proceeds from the May 2020 public offering</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116,924 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Proceeds from stock option exercises and ESPP</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2,006 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123 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6"/>
                <w:szCs w:val="16"/>
              </w:rPr>
              <w:t>Other financing activities, net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cash provided by financing activities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179,500 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Height w:val="12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Effect of foreign currency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406 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47 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Height w:val="12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Net change in 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73,335 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3,542 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Cash and cash equivalents at January 1,</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9,774 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9,325 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Cash and cash equivalents at September 30,</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83,109 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12,867 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Height w:val="6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Supplemental disclosures of cash flow information:</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58657828"/>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     Interest paid</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6,469 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6,469 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658657828"/>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6"/>
                <w:szCs w:val="16"/>
              </w:rPr>
              <w:t>     Income taxes (refund) paid, net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(1,788)</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center"/>
        <w:rPr>
          <w:rFonts w:eastAsia="Times New Roman"/>
        </w:rPr>
      </w:pPr>
      <w:r>
        <w:rPr>
          <w:rFonts w:eastAsia="Times New Roman"/>
          <w:i/>
          <w:iCs/>
          <w:color w:val="000000"/>
          <w:sz w:val="16"/>
          <w:szCs w:val="16"/>
        </w:rPr>
        <w:t>See accompanying notes to unaudited condensed consolidated financial statements.</w:t>
      </w:r>
    </w:p>
    <w:p w:rsidR="00000000" w:rsidRDefault="006629D3">
      <w:pPr>
        <w:jc w:val="center"/>
        <w:divId w:val="1158036556"/>
        <w:rPr>
          <w:rFonts w:eastAsia="Times New Roman"/>
        </w:rPr>
      </w:pPr>
      <w:r>
        <w:rPr>
          <w:rFonts w:eastAsia="Times New Roman"/>
          <w:color w:val="000000"/>
          <w:sz w:val="20"/>
          <w:szCs w:val="20"/>
        </w:rPr>
        <w:t>- 9 -</w:t>
      </w:r>
    </w:p>
    <w:p w:rsidR="00000000" w:rsidRDefault="006629D3">
      <w:pPr>
        <w:rPr>
          <w:rFonts w:eastAsia="Times New Roman"/>
        </w:rPr>
      </w:pPr>
      <w:r>
        <w:rPr>
          <w:rFonts w:eastAsia="Times New Roman"/>
        </w:rPr>
        <w:pict>
          <v:rect id="_x0000_i1034" style="width:0;height:1.5pt" o:hralign="center" o:hrstd="t" o:hr="t" fillcolor="#a0a0a0" stroked="f"/>
        </w:pict>
      </w:r>
    </w:p>
    <w:p w:rsidR="00000000" w:rsidRDefault="006629D3">
      <w:pPr>
        <w:divId w:val="1555266723"/>
        <w:rPr>
          <w:rFonts w:eastAsia="Times New Roman"/>
        </w:rPr>
      </w:pPr>
    </w:p>
    <w:p w:rsidR="00000000" w:rsidRDefault="006629D3">
      <w:pPr>
        <w:jc w:val="center"/>
        <w:divId w:val="1538543474"/>
        <w:rPr>
          <w:rFonts w:eastAsia="Times New Roman"/>
        </w:rPr>
      </w:pPr>
      <w:r>
        <w:rPr>
          <w:rFonts w:eastAsia="Times New Roman"/>
          <w:b/>
          <w:bCs/>
          <w:color w:val="000000"/>
          <w:sz w:val="20"/>
          <w:szCs w:val="20"/>
        </w:rPr>
        <w:t>AVADEL PHARMACEUTICALS PLC</w:t>
      </w:r>
    </w:p>
    <w:p w:rsidR="00000000" w:rsidRDefault="006629D3">
      <w:pPr>
        <w:jc w:val="center"/>
        <w:rPr>
          <w:rFonts w:eastAsia="Times New Roman"/>
        </w:rPr>
      </w:pPr>
      <w:r>
        <w:rPr>
          <w:rFonts w:eastAsia="Times New Roman"/>
          <w:b/>
          <w:bCs/>
          <w:color w:val="000000"/>
          <w:sz w:val="20"/>
          <w:szCs w:val="20"/>
        </w:rPr>
        <w:t>NOTES TO THE UNAUDITED CONDENSED CONSOLIDATED FINANCIAL STATEMENTS</w:t>
      </w:r>
    </w:p>
    <w:p w:rsidR="00000000" w:rsidRDefault="006629D3">
      <w:pPr>
        <w:jc w:val="center"/>
        <w:rPr>
          <w:rFonts w:eastAsia="Times New Roman"/>
        </w:rPr>
      </w:pPr>
      <w:r>
        <w:rPr>
          <w:rFonts w:eastAsia="Times New Roman"/>
          <w:i/>
          <w:iCs/>
          <w:color w:val="000000"/>
          <w:sz w:val="20"/>
          <w:szCs w:val="20"/>
        </w:rPr>
        <w:t>(In thousands, except per share data) </w:t>
      </w:r>
    </w:p>
    <w:p w:rsidR="00000000" w:rsidRDefault="006629D3">
      <w:pPr>
        <w:jc w:val="both"/>
        <w:divId w:val="1724018781"/>
        <w:rPr>
          <w:rFonts w:eastAsia="Times New Roman"/>
        </w:rPr>
      </w:pPr>
    </w:p>
    <w:p w:rsidR="00000000" w:rsidRDefault="006629D3">
      <w:pPr>
        <w:jc w:val="both"/>
        <w:divId w:val="1049300441"/>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rsidR="00000000" w:rsidRDefault="006629D3">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Avadel Pharmaceuticals plc (Nasdaq: AVDL) (“Avadel,” the “Company,” “we,” “our,” or “us”) is an emerging biopharmaceutical company. Our lead product candidate, FT218, is an investigational o</w:t>
      </w:r>
      <w:r>
        <w:rPr>
          <w:rFonts w:eastAsia="Times New Roman"/>
          <w:color w:val="000000"/>
          <w:sz w:val="20"/>
          <w:szCs w:val="20"/>
        </w:rPr>
        <w:t xml:space="preserve">nce-nightly formulation of sodium oxybate for the treatment of excessive daytime sleepiness (“EDS”) and cataplexy in narcolepsy patients. FT218 uses our Micropump controlled release drug-delivery technology. </w:t>
      </w:r>
    </w:p>
    <w:p w:rsidR="00000000" w:rsidRDefault="006629D3">
      <w:pPr>
        <w:divId w:val="960650993"/>
        <w:rPr>
          <w:rFonts w:eastAsia="Times New Roman"/>
        </w:rPr>
      </w:pPr>
    </w:p>
    <w:p w:rsidR="00000000" w:rsidRDefault="006629D3">
      <w:pPr>
        <w:jc w:val="both"/>
        <w:rPr>
          <w:rFonts w:eastAsia="Times New Roman"/>
        </w:rPr>
      </w:pPr>
      <w:r>
        <w:rPr>
          <w:rFonts w:eastAsia="Times New Roman"/>
          <w:color w:val="000000"/>
          <w:sz w:val="20"/>
          <w:szCs w:val="20"/>
        </w:rPr>
        <w:t>We are primarily focused on the development a</w:t>
      </w:r>
      <w:r>
        <w:rPr>
          <w:rFonts w:eastAsia="Times New Roman"/>
          <w:color w:val="000000"/>
          <w:sz w:val="20"/>
          <w:szCs w:val="20"/>
        </w:rPr>
        <w:t>nd potential United States (“U.S.”) Food and Drug Administration (“FDA”) approval of FT218. Outside of our lead product candidate, we continue to evaluate opportunities to expand our product portfolio.</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We were incorporated in Ireland on December 1, 2015 </w:t>
      </w:r>
      <w:r>
        <w:rPr>
          <w:rFonts w:eastAsia="Times New Roman"/>
          <w:color w:val="000000"/>
          <w:sz w:val="20"/>
          <w:szCs w:val="20"/>
        </w:rPr>
        <w:t>as a private limited company, and re-registered as an Irish public limited company on November 21, 2016. Our headquarters are in Dublin, Ireland and we have operations in St. Louis, Missouri, U.S.</w:t>
      </w:r>
    </w:p>
    <w:p w:rsidR="00000000" w:rsidRDefault="006629D3">
      <w:pPr>
        <w:jc w:val="both"/>
        <w:rPr>
          <w:rFonts w:eastAsia="Times New Roman"/>
        </w:rPr>
      </w:pPr>
    </w:p>
    <w:p w:rsidR="00000000" w:rsidRDefault="006629D3">
      <w:pPr>
        <w:divId w:val="1886481160"/>
        <w:rPr>
          <w:rFonts w:eastAsia="Times New Roman"/>
        </w:rPr>
      </w:pPr>
      <w:r>
        <w:rPr>
          <w:rFonts w:eastAsia="Times New Roman"/>
          <w:b/>
          <w:bCs/>
          <w:i/>
          <w:iCs/>
          <w:color w:val="000000"/>
          <w:sz w:val="20"/>
          <w:szCs w:val="20"/>
        </w:rPr>
        <w:t>FT218 (Micropump sodium oxybate)</w:t>
      </w:r>
    </w:p>
    <w:p w:rsidR="00000000" w:rsidRDefault="006629D3">
      <w:pPr>
        <w:divId w:val="1182738944"/>
        <w:rPr>
          <w:rFonts w:eastAsia="Times New Roman"/>
        </w:rPr>
      </w:pPr>
    </w:p>
    <w:p w:rsidR="00000000" w:rsidRDefault="006629D3">
      <w:pPr>
        <w:jc w:val="both"/>
        <w:rPr>
          <w:rFonts w:eastAsia="Times New Roman"/>
        </w:rPr>
      </w:pPr>
      <w:r>
        <w:rPr>
          <w:rFonts w:eastAsia="Times New Roman"/>
          <w:color w:val="000000"/>
          <w:sz w:val="20"/>
          <w:szCs w:val="20"/>
        </w:rPr>
        <w:t>FT218 is a once-nightl</w:t>
      </w:r>
      <w:r>
        <w:rPr>
          <w:rFonts w:eastAsia="Times New Roman"/>
          <w:color w:val="000000"/>
          <w:sz w:val="20"/>
          <w:szCs w:val="20"/>
        </w:rPr>
        <w:t>y formulation of sodium oxybate that uses our Micropump controlled release drug-delivery technology for the treatment of EDS and cataplexy in patients suffering from narcolepsy. Sodium oxybate is the sodium salt of gamma hydroxybutyrate, an endogenous comp</w:t>
      </w:r>
      <w:r>
        <w:rPr>
          <w:rFonts w:eastAsia="Times New Roman"/>
          <w:color w:val="000000"/>
          <w:sz w:val="20"/>
          <w:szCs w:val="20"/>
        </w:rPr>
        <w:t>ound and metabolite of the neurotransmitter gamma-aminobutyric acid. Sodium oxybate is approved in Europe and the U.S. as a twice-nightly formulation indicated for the treatment of EDS and cataplexy in patients with narcolepsy. In December 2019, we complet</w:t>
      </w:r>
      <w:r>
        <w:rPr>
          <w:rFonts w:eastAsia="Times New Roman"/>
          <w:color w:val="000000"/>
          <w:sz w:val="20"/>
          <w:szCs w:val="20"/>
        </w:rPr>
        <w:t>ed patient enrollment of our Phase 3 REST-ON clinical trial of FT218 to assess the safety and efficacy of a once-nightly formulation of FT218 for the treatment of EDS and cataplexy in patients suffering from narcolepsy and on April 27, 2020, we announced t</w:t>
      </w:r>
      <w:r>
        <w:rPr>
          <w:rFonts w:eastAsia="Times New Roman"/>
          <w:color w:val="000000"/>
          <w:sz w:val="20"/>
          <w:szCs w:val="20"/>
        </w:rPr>
        <w:t>opline results from our Phase 3 REST-ON clinical trial of FT218. On July 13, 2020, we announced the dosing of the first patient of our open-label extension/switch study of FT218 as a potential treatment for EDS and cataplexy in patients with narcolepsy.</w:t>
      </w:r>
    </w:p>
    <w:p w:rsidR="00000000" w:rsidRDefault="006629D3">
      <w:pPr>
        <w:divId w:val="1200359807"/>
        <w:rPr>
          <w:rFonts w:eastAsia="Times New Roman"/>
        </w:rPr>
      </w:pPr>
    </w:p>
    <w:p w:rsidR="00000000" w:rsidRDefault="006629D3">
      <w:pPr>
        <w:divId w:val="1758284605"/>
        <w:rPr>
          <w:rFonts w:eastAsia="Times New Roman"/>
        </w:rPr>
      </w:pPr>
      <w:r>
        <w:rPr>
          <w:rFonts w:eastAsia="Times New Roman"/>
          <w:i/>
          <w:iCs/>
          <w:color w:val="000000"/>
          <w:sz w:val="20"/>
          <w:szCs w:val="20"/>
        </w:rPr>
        <w:t>Previously Approved FDA Products</w:t>
      </w:r>
    </w:p>
    <w:p w:rsidR="00000000" w:rsidRDefault="006629D3">
      <w:pPr>
        <w:divId w:val="2027245860"/>
        <w:rPr>
          <w:rFonts w:eastAsia="Times New Roman"/>
        </w:rPr>
      </w:pPr>
    </w:p>
    <w:p w:rsidR="00000000" w:rsidRDefault="006629D3">
      <w:pPr>
        <w:jc w:val="both"/>
        <w:rPr>
          <w:rFonts w:eastAsia="Times New Roman"/>
        </w:rPr>
      </w:pPr>
      <w:r>
        <w:rPr>
          <w:rFonts w:eastAsia="Times New Roman"/>
          <w:color w:val="000000"/>
          <w:sz w:val="20"/>
          <w:szCs w:val="20"/>
        </w:rPr>
        <w:t xml:space="preserve">On June 30, 2020 (“Closing Date”), we announced the sale of our portfolio of sterile injectable drugs used in the hospital setting (the “Hospital Products”), including our three commercial products, Akovaz, Bloxiverz and </w:t>
      </w:r>
      <w:r>
        <w:rPr>
          <w:rFonts w:eastAsia="Times New Roman"/>
          <w:color w:val="000000"/>
          <w:sz w:val="20"/>
          <w:szCs w:val="20"/>
        </w:rPr>
        <w:t>Vazculep, as well as Nouress, which is approved by the FDA to Exela Sterile Medicines LLC (“Exela Buyer”) (the “Transaction”) pursuant to an asset purchase agreement between Avadel U.S. Holdings Inc., Avadel Legacy Pharmaceuticals, LLC, Exela Holdings, Inc</w:t>
      </w:r>
      <w:r>
        <w:rPr>
          <w:rFonts w:eastAsia="Times New Roman"/>
          <w:color w:val="000000"/>
          <w:sz w:val="20"/>
          <w:szCs w:val="20"/>
        </w:rPr>
        <w:t>. and the Exela Buyer (“Purchase Agreement”). Pursuant to the Purchase Agreement, Exela Buyer paid us $14,500 on the Closing Date and will pay an additional $27,500 in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equal monthly installments which began in September 2020 for total aggregate conside</w:t>
      </w:r>
      <w:r>
        <w:rPr>
          <w:rFonts w:eastAsia="Times New Roman"/>
          <w:color w:val="000000"/>
          <w:sz w:val="20"/>
          <w:szCs w:val="20"/>
        </w:rPr>
        <w:t>ration of $42,000. The following four FDA approved products were included in the sale of the hospital products:</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Bloxiverz (neostigmine methylsulfate injection)</w:t>
      </w:r>
      <w:r>
        <w:rPr>
          <w:rFonts w:eastAsia="Times New Roman"/>
          <w:color w:val="000000"/>
          <w:sz w:val="20"/>
          <w:szCs w:val="20"/>
        </w:rPr>
        <w:t xml:space="preserve"> - Bloxiverz was approved by the FDA in May 2013 and was launched in July 2013. Bloxiverz is a</w:t>
      </w:r>
      <w:r>
        <w:rPr>
          <w:rFonts w:eastAsia="Times New Roman"/>
          <w:color w:val="000000"/>
          <w:sz w:val="20"/>
          <w:szCs w:val="20"/>
        </w:rPr>
        <w:t xml:space="preserve"> drug used intravenously in the operating room to reverse the effects of non-depolarizing neuromuscular blocking agents after surgery. Bloxiverz was the first FDA-approved version of neostigmine methylsulfate. Today, neostigmine is one of the two most freq</w:t>
      </w:r>
      <w:r>
        <w:rPr>
          <w:rFonts w:eastAsia="Times New Roman"/>
          <w:color w:val="000000"/>
          <w:sz w:val="20"/>
          <w:szCs w:val="20"/>
        </w:rPr>
        <w:t xml:space="preserve">uently used products for the reversal of the effects of other agents used for neuromuscular blocks. </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w:t>
      </w:r>
      <w:r>
        <w:rPr>
          <w:rFonts w:eastAsia="Times New Roman"/>
          <w:b/>
          <w:bCs/>
          <w:color w:val="000000"/>
          <w:sz w:val="20"/>
          <w:szCs w:val="20"/>
        </w:rPr>
        <w:t>Vazculep (phenylephrine hydrochloride injection)</w:t>
      </w:r>
      <w:r>
        <w:rPr>
          <w:rFonts w:eastAsia="Times New Roman"/>
          <w:color w:val="000000"/>
          <w:sz w:val="20"/>
          <w:szCs w:val="20"/>
        </w:rPr>
        <w:t xml:space="preserve"> - Vazculep was approved by the FDA in June 2014 and was launched in October 2014. Vazculep is indicated</w:t>
      </w:r>
      <w:r>
        <w:rPr>
          <w:rFonts w:eastAsia="Times New Roman"/>
          <w:color w:val="000000"/>
          <w:sz w:val="20"/>
          <w:szCs w:val="20"/>
        </w:rPr>
        <w:t xml:space="preserve"> for the treatment of clinically important hypotension occurring in the setting of anesthesia. </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w:t>
      </w:r>
      <w:r>
        <w:rPr>
          <w:rFonts w:eastAsia="Times New Roman"/>
          <w:b/>
          <w:bCs/>
          <w:color w:val="000000"/>
          <w:sz w:val="20"/>
          <w:szCs w:val="20"/>
        </w:rPr>
        <w:t>Akovaz (ephedrine sulfate injection)</w:t>
      </w:r>
      <w:r>
        <w:rPr>
          <w:rFonts w:eastAsia="Times New Roman"/>
          <w:color w:val="000000"/>
          <w:sz w:val="20"/>
          <w:szCs w:val="20"/>
        </w:rPr>
        <w:t xml:space="preserve"> - Akovaz, was approved by the FDA in April 2016 and was launched in August 2016. Akovaz was the first FDA approved formu</w:t>
      </w:r>
      <w:r>
        <w:rPr>
          <w:rFonts w:eastAsia="Times New Roman"/>
          <w:color w:val="000000"/>
          <w:sz w:val="20"/>
          <w:szCs w:val="20"/>
        </w:rPr>
        <w:t xml:space="preserve">lation of ephedrine sulfate, an alpha- and beta- adrenergic agonist and a norepinephrine-releasing agent that is indicated for the treatment of clinically important hypotension occurring in the setting of anesthesia. </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 Nouress was approved by the FDA in December 2019. Nouress is a sterile injectable product for use in the hospital setting, and two issued U.S. patents currently cover that product. Several additional patent appl</w:t>
      </w:r>
      <w:r>
        <w:rPr>
          <w:rFonts w:eastAsia="Times New Roman"/>
          <w:color w:val="000000"/>
          <w:sz w:val="20"/>
          <w:szCs w:val="20"/>
        </w:rPr>
        <w:t xml:space="preserve">ications for Nouress are pending with the U.S. Patent and Trademark Office (“USPTO”). </w:t>
      </w:r>
    </w:p>
    <w:p w:rsidR="00000000" w:rsidRDefault="006629D3">
      <w:pPr>
        <w:jc w:val="center"/>
        <w:divId w:val="1928540593"/>
        <w:rPr>
          <w:rFonts w:eastAsia="Times New Roman"/>
        </w:rPr>
      </w:pPr>
      <w:r>
        <w:rPr>
          <w:rFonts w:eastAsia="Times New Roman"/>
          <w:color w:val="000000"/>
          <w:sz w:val="20"/>
          <w:szCs w:val="20"/>
        </w:rPr>
        <w:t>- 10 -</w:t>
      </w:r>
    </w:p>
    <w:p w:rsidR="00000000" w:rsidRDefault="006629D3">
      <w:pPr>
        <w:rPr>
          <w:rFonts w:eastAsia="Times New Roman"/>
        </w:rPr>
      </w:pPr>
      <w:r>
        <w:rPr>
          <w:rFonts w:eastAsia="Times New Roman"/>
        </w:rPr>
        <w:pict>
          <v:rect id="_x0000_i1035" style="width:0;height:1.5pt" o:hralign="center" o:hrstd="t" o:hr="t" fillcolor="#a0a0a0" stroked="f"/>
        </w:pict>
      </w:r>
    </w:p>
    <w:p w:rsidR="00000000" w:rsidRDefault="006629D3">
      <w:pPr>
        <w:divId w:val="1913274603"/>
        <w:rPr>
          <w:rFonts w:eastAsia="Times New Roman"/>
        </w:rPr>
      </w:pPr>
    </w:p>
    <w:p w:rsidR="00000000" w:rsidRDefault="006629D3">
      <w:pPr>
        <w:divId w:val="2060468816"/>
        <w:rPr>
          <w:rFonts w:eastAsia="Times New Roman"/>
        </w:rPr>
      </w:pPr>
    </w:p>
    <w:p w:rsidR="00000000" w:rsidRDefault="006629D3">
      <w:pPr>
        <w:jc w:val="both"/>
        <w:divId w:val="130366721"/>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 unaudited condensed consolidated balance sheet as of September 30, 2020, which is derived from </w:t>
      </w:r>
      <w:r>
        <w:rPr>
          <w:rFonts w:eastAsia="Times New Roman"/>
          <w:color w:val="000000"/>
          <w:sz w:val="20"/>
          <w:szCs w:val="20"/>
        </w:rPr>
        <w:t>the prior year 2019 audited consolidated financial statements, and the interim unaudited condensed consolidated financial statements presented herein, have been prepared in accordance with accounting principles generally accepted in the U.S. (U.S. GAAP), t</w:t>
      </w:r>
      <w:r>
        <w:rPr>
          <w:rFonts w:eastAsia="Times New Roman"/>
          <w:color w:val="000000"/>
          <w:sz w:val="20"/>
          <w:szCs w:val="20"/>
        </w:rPr>
        <w:t>he requirements of Form 10-Q and Article 10 of Regulation S-X and, consequently, do not include all information or footnotes required by U.S. GAAP for complete financial statements or all the disclosures normally made in an Annual Report on Form 10-K. Acco</w:t>
      </w:r>
      <w:r>
        <w:rPr>
          <w:rFonts w:eastAsia="Times New Roman"/>
          <w:color w:val="000000"/>
          <w:sz w:val="20"/>
          <w:szCs w:val="20"/>
        </w:rPr>
        <w:t>rdingly, the unaudited condensed consolidated financial statements included herein should be read in conjunction with the audited consolidated financial statements and footnotes included in the Company’s 2019 Annual Report on Form 10-K filed with the SEC o</w:t>
      </w:r>
      <w:r>
        <w:rPr>
          <w:rFonts w:eastAsia="Times New Roman"/>
          <w:color w:val="000000"/>
          <w:sz w:val="20"/>
          <w:szCs w:val="20"/>
        </w:rPr>
        <w:t>n March 16, 2020.</w:t>
      </w:r>
    </w:p>
    <w:p w:rsidR="00000000" w:rsidRDefault="006629D3">
      <w:pPr>
        <w:jc w:val="both"/>
        <w:divId w:val="1634798005"/>
        <w:rPr>
          <w:rFonts w:eastAsia="Times New Roman"/>
        </w:rPr>
      </w:pPr>
      <w:r>
        <w:rPr>
          <w:rFonts w:eastAsia="Times New Roman"/>
          <w:color w:val="000000"/>
          <w:sz w:val="20"/>
          <w:szCs w:val="20"/>
        </w:rPr>
        <w:t>The unaudited condensed consolidated financial statements include the accounts of the Company and subsidiaries, and reflect all adjustments (consisting only of normal recurring adjustments) that are, in the opinion of management, necessar</w:t>
      </w:r>
      <w:r>
        <w:rPr>
          <w:rFonts w:eastAsia="Times New Roman"/>
          <w:color w:val="000000"/>
          <w:sz w:val="20"/>
          <w:szCs w:val="20"/>
        </w:rPr>
        <w:t>y for a fair presentation of the Company’s financial position, results of operations and cash flows for the dates and periods presented. All intercompany accounts and transactions have been eliminated. Results for interim periods are not necessarily indica</w:t>
      </w:r>
      <w:r>
        <w:rPr>
          <w:rFonts w:eastAsia="Times New Roman"/>
          <w:color w:val="000000"/>
          <w:sz w:val="20"/>
          <w:szCs w:val="20"/>
        </w:rPr>
        <w:t>tive of the results to be expected during the remainder of the current year or for any future period. </w:t>
      </w:r>
    </w:p>
    <w:p w:rsidR="00000000" w:rsidRDefault="006629D3">
      <w:pPr>
        <w:jc w:val="both"/>
        <w:rPr>
          <w:rFonts w:eastAsia="Times New Roman"/>
        </w:rPr>
      </w:pPr>
      <w:r>
        <w:rPr>
          <w:rFonts w:eastAsia="Times New Roman"/>
          <w:color w:val="000000"/>
          <w:sz w:val="20"/>
          <w:szCs w:val="20"/>
        </w:rPr>
        <w:t>On February 6, 2019, our indirect wholly-owned subsidiary, Avadel Specialty Pharmaceuticals, LLC (“Specialty Pharma”), filed a voluntary petition for reo</w:t>
      </w:r>
      <w:r>
        <w:rPr>
          <w:rFonts w:eastAsia="Times New Roman"/>
          <w:color w:val="000000"/>
          <w:sz w:val="20"/>
          <w:szCs w:val="20"/>
        </w:rPr>
        <w:t>rganization under Chapter 11 of the U.S. Code (the “Bankruptcy Code”). in the U.S. District Bankruptcy Court for the District of Delaware (the “Bankruptcy Court”), Case No. 19-10248. Specialty Pharma is operating and managing its business as “debtors-in-po</w:t>
      </w:r>
      <w:r>
        <w:rPr>
          <w:rFonts w:eastAsia="Times New Roman"/>
          <w:color w:val="000000"/>
          <w:sz w:val="20"/>
          <w:szCs w:val="20"/>
        </w:rPr>
        <w:t>ssession” under the jurisdiction of the Bankruptcy Court and in accordance with the applicable provisions of the Bankruptcy Code and order of the Bankruptcy Court. As a result of Specialty Pharma’s voluntary bankruptcy filing on February 6, 2019, we no lon</w:t>
      </w:r>
      <w:r>
        <w:rPr>
          <w:rFonts w:eastAsia="Times New Roman"/>
          <w:color w:val="000000"/>
          <w:sz w:val="20"/>
          <w:szCs w:val="20"/>
        </w:rPr>
        <w:t xml:space="preserve">ger controlled the operations of Specialty Pharma; therefore, we deconsolidated Specialty Pharma effective with the bankruptcy filing and the Company recorded its investment in Specialty Pharma under the cost method. See </w:t>
      </w:r>
      <w:r>
        <w:rPr>
          <w:rFonts w:eastAsia="Times New Roman"/>
          <w:i/>
          <w:iCs/>
          <w:color w:val="000000"/>
          <w:sz w:val="20"/>
          <w:szCs w:val="20"/>
        </w:rPr>
        <w:t>Note 3: Subsidiary Bankruptcy and D</w:t>
      </w:r>
      <w:r>
        <w:rPr>
          <w:rFonts w:eastAsia="Times New Roman"/>
          <w:i/>
          <w:iCs/>
          <w:color w:val="000000"/>
          <w:sz w:val="20"/>
          <w:szCs w:val="20"/>
        </w:rPr>
        <w:t xml:space="preserve">econsolidation. </w:t>
      </w:r>
      <w:r>
        <w:rPr>
          <w:rFonts w:eastAsia="Times New Roman"/>
          <w:color w:val="000000"/>
          <w:sz w:val="20"/>
          <w:szCs w:val="20"/>
        </w:rPr>
        <w:t>Our results of operations for the period January 1, 2019 through February 6, 2019 include the results of Specialty Pharma prior to its February 6, 2019 voluntary petition for reorganization under Chapter 11 of the U.S. Bankruptcy Code.</w:t>
      </w:r>
    </w:p>
    <w:p w:rsidR="00000000" w:rsidRDefault="006629D3">
      <w:pPr>
        <w:jc w:val="both"/>
        <w:rPr>
          <w:rFonts w:eastAsia="Times New Roman"/>
        </w:rPr>
      </w:pPr>
    </w:p>
    <w:p w:rsidR="00000000" w:rsidRDefault="006629D3">
      <w:pPr>
        <w:divId w:val="1807893479"/>
        <w:rPr>
          <w:rFonts w:eastAsia="Times New Roman"/>
        </w:rPr>
      </w:pPr>
      <w:r>
        <w:rPr>
          <w:rFonts w:eastAsia="Times New Roman"/>
          <w:i/>
          <w:iCs/>
          <w:color w:val="000000"/>
          <w:sz w:val="20"/>
          <w:szCs w:val="20"/>
        </w:rPr>
        <w:t>Re</w:t>
      </w:r>
      <w:r>
        <w:rPr>
          <w:rFonts w:eastAsia="Times New Roman"/>
          <w:i/>
          <w:iCs/>
          <w:color w:val="000000"/>
          <w:sz w:val="20"/>
          <w:szCs w:val="20"/>
        </w:rPr>
        <w:t>classifications</w:t>
      </w:r>
      <w:r>
        <w:rPr>
          <w:rFonts w:eastAsia="Times New Roman"/>
          <w:color w:val="000000"/>
          <w:sz w:val="20"/>
          <w:szCs w:val="20"/>
        </w:rPr>
        <w:t xml:space="preserve"> </w:t>
      </w:r>
    </w:p>
    <w:p w:rsidR="00000000" w:rsidRDefault="006629D3">
      <w:pPr>
        <w:divId w:val="222525273"/>
        <w:rPr>
          <w:rFonts w:eastAsia="Times New Roman"/>
        </w:rPr>
      </w:pPr>
    </w:p>
    <w:p w:rsidR="00000000" w:rsidRDefault="006629D3">
      <w:pPr>
        <w:jc w:val="both"/>
        <w:rPr>
          <w:rFonts w:eastAsia="Times New Roman"/>
        </w:rPr>
      </w:pPr>
      <w:r>
        <w:rPr>
          <w:rFonts w:eastAsia="Times New Roman"/>
          <w:color w:val="000000"/>
          <w:sz w:val="20"/>
          <w:szCs w:val="20"/>
        </w:rPr>
        <w:t xml:space="preserve">Certain reclassifications are made to prior year amounts whenever necessary to conform with the current year presentation.  In </w:t>
      </w:r>
      <w:r>
        <w:rPr>
          <w:rFonts w:eastAsia="Times New Roman"/>
          <w:i/>
          <w:iCs/>
          <w:color w:val="000000"/>
          <w:sz w:val="20"/>
          <w:szCs w:val="20"/>
        </w:rPr>
        <w:t>Note 9: Goodwill and Intangible Assets</w:t>
      </w:r>
      <w:r>
        <w:rPr>
          <w:rFonts w:eastAsia="Times New Roman"/>
          <w:color w:val="000000"/>
          <w:sz w:val="20"/>
          <w:szCs w:val="20"/>
        </w:rPr>
        <w:t>, we presented the December 31, 2019 amortizable intangible assets - Acq</w:t>
      </w:r>
      <w:r>
        <w:rPr>
          <w:rFonts w:eastAsia="Times New Roman"/>
          <w:color w:val="000000"/>
          <w:sz w:val="20"/>
          <w:szCs w:val="20"/>
        </w:rPr>
        <w:t xml:space="preserve">uired developed technology - Vazculep amount as total accumulated depreciation in this Form 10-Q as compared to showing year-to-date amortization in the Company’s 2019 Annual Report on Form 10-K filed with the SEC on March 16, 2020. </w:t>
      </w:r>
    </w:p>
    <w:p w:rsidR="00000000" w:rsidRDefault="006629D3">
      <w:pPr>
        <w:jc w:val="both"/>
        <w:rPr>
          <w:rFonts w:eastAsia="Times New Roman"/>
        </w:rPr>
      </w:pPr>
    </w:p>
    <w:p w:rsidR="00000000" w:rsidRDefault="006629D3">
      <w:pPr>
        <w:jc w:val="both"/>
        <w:rPr>
          <w:rFonts w:eastAsia="Times New Roman"/>
        </w:rPr>
      </w:pPr>
      <w:r>
        <w:rPr>
          <w:rFonts w:eastAsia="Times New Roman"/>
          <w:b/>
          <w:bCs/>
          <w:i/>
          <w:iCs/>
          <w:color w:val="000000"/>
          <w:sz w:val="20"/>
          <w:szCs w:val="20"/>
        </w:rPr>
        <w:t>Revenue.</w:t>
      </w:r>
      <w:r>
        <w:rPr>
          <w:rFonts w:eastAsia="Times New Roman"/>
          <w:color w:val="000000"/>
          <w:sz w:val="20"/>
          <w:szCs w:val="20"/>
        </w:rPr>
        <w:t xml:space="preserve"> Prior to Ju</w:t>
      </w:r>
      <w:r>
        <w:rPr>
          <w:rFonts w:eastAsia="Times New Roman"/>
          <w:color w:val="000000"/>
          <w:sz w:val="20"/>
          <w:szCs w:val="20"/>
        </w:rPr>
        <w:t xml:space="preserve">ne 30, 2020, we generated revenue primarily from the sale of pharmaceutical products to customers, which we refer to as the Hospital Products. On June 30, 2020, we sold the Hospital Products. See </w:t>
      </w:r>
      <w:r>
        <w:rPr>
          <w:rFonts w:eastAsia="Times New Roman"/>
          <w:i/>
          <w:iCs/>
          <w:color w:val="000000"/>
          <w:sz w:val="20"/>
          <w:szCs w:val="20"/>
        </w:rPr>
        <w:t>Note 4: Disposition of the Hospital Products.</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00000"/>
          <w:sz w:val="20"/>
          <w:szCs w:val="20"/>
        </w:rPr>
        <w:t>Product Sale</w:t>
      </w:r>
      <w:r>
        <w:rPr>
          <w:rFonts w:eastAsia="Times New Roman"/>
          <w:i/>
          <w:iCs/>
          <w:color w:val="000000"/>
          <w:sz w:val="20"/>
          <w:szCs w:val="20"/>
        </w:rPr>
        <w:t>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Prior to June 30, 2020, we sold products primarily through wholesalers and considered these wholesalers to be our customers. Revenue from product sales was recognized when the customer obtained control of our product and our performance obligations wer</w:t>
      </w:r>
      <w:r>
        <w:rPr>
          <w:rFonts w:eastAsia="Times New Roman"/>
          <w:color w:val="000000"/>
          <w:sz w:val="20"/>
          <w:szCs w:val="20"/>
        </w:rPr>
        <w:t>e met, which occurred typically upon receipt of delivery to the customer. As is customary in the pharmaceutical industry, our gross product sales were subject to a variety of price adjustments in arriving at reported net product sales. These adjustments in</w:t>
      </w:r>
      <w:r>
        <w:rPr>
          <w:rFonts w:eastAsia="Times New Roman"/>
          <w:color w:val="000000"/>
          <w:sz w:val="20"/>
          <w:szCs w:val="20"/>
        </w:rPr>
        <w:t>cluded estimates for product returns, chargebacks, payment discounts, rebates, and other sales allowances and are estimated when the product is delivered based on analysis of historical data for the product or comparable products, as well as future expecta</w:t>
      </w:r>
      <w:r>
        <w:rPr>
          <w:rFonts w:eastAsia="Times New Roman"/>
          <w:color w:val="000000"/>
          <w:sz w:val="20"/>
          <w:szCs w:val="20"/>
        </w:rPr>
        <w:t>tions for such products.</w:t>
      </w:r>
    </w:p>
    <w:p w:rsidR="00000000" w:rsidRDefault="006629D3">
      <w:pPr>
        <w:jc w:val="both"/>
        <w:rPr>
          <w:rFonts w:eastAsia="Times New Roman"/>
        </w:rPr>
      </w:pPr>
    </w:p>
    <w:p w:rsidR="00000000" w:rsidRDefault="006629D3">
      <w:pPr>
        <w:jc w:val="both"/>
        <w:rPr>
          <w:rFonts w:eastAsia="Times New Roman"/>
        </w:rPr>
      </w:pPr>
      <w:r>
        <w:rPr>
          <w:rFonts w:eastAsia="Times New Roman"/>
          <w:color w:val="0D0D0D"/>
          <w:sz w:val="20"/>
          <w:szCs w:val="20"/>
        </w:rPr>
        <w:t xml:space="preserve">For a complete discussion of the accounting for net product revenue, see </w:t>
      </w:r>
      <w:r>
        <w:rPr>
          <w:rFonts w:eastAsia="Times New Roman"/>
          <w:i/>
          <w:iCs/>
          <w:color w:val="0D0D0D"/>
          <w:sz w:val="20"/>
          <w:szCs w:val="20"/>
        </w:rPr>
        <w:t xml:space="preserve">Note </w:t>
      </w:r>
      <w:r>
        <w:rPr>
          <w:rFonts w:eastAsia="Times New Roman"/>
          <w:i/>
          <w:iCs/>
          <w:color w:val="000000"/>
          <w:sz w:val="20"/>
          <w:szCs w:val="20"/>
        </w:rPr>
        <w:t>5</w:t>
      </w:r>
      <w:r>
        <w:rPr>
          <w:rFonts w:eastAsia="Times New Roman"/>
          <w:i/>
          <w:iCs/>
          <w:color w:val="0D0D0D"/>
          <w:sz w:val="20"/>
          <w:szCs w:val="20"/>
        </w:rPr>
        <w:t>: Revenue Recognition</w:t>
      </w:r>
      <w:r>
        <w:rPr>
          <w:rFonts w:eastAsia="Times New Roman"/>
          <w:color w:val="0D0D0D"/>
          <w:sz w:val="20"/>
          <w:szCs w:val="20"/>
        </w:rPr>
        <w:t>.</w:t>
      </w:r>
    </w:p>
    <w:p w:rsidR="00000000" w:rsidRDefault="006629D3">
      <w:pPr>
        <w:jc w:val="both"/>
        <w:rPr>
          <w:rFonts w:eastAsia="Times New Roman"/>
        </w:rPr>
      </w:pPr>
    </w:p>
    <w:p w:rsidR="00000000" w:rsidRDefault="006629D3">
      <w:pPr>
        <w:jc w:val="both"/>
        <w:rPr>
          <w:rFonts w:eastAsia="Times New Roman"/>
        </w:rPr>
      </w:pPr>
      <w:r>
        <w:rPr>
          <w:rFonts w:eastAsia="Times New Roman"/>
          <w:b/>
          <w:bCs/>
          <w:i/>
          <w:iCs/>
          <w:color w:val="0D0D0D"/>
          <w:sz w:val="20"/>
          <w:szCs w:val="20"/>
        </w:rPr>
        <w:t xml:space="preserve">Accounts Receivable. </w:t>
      </w:r>
      <w:r>
        <w:rPr>
          <w:rFonts w:eastAsia="Times New Roman"/>
          <w:color w:val="0D0D0D"/>
          <w:sz w:val="20"/>
          <w:szCs w:val="20"/>
        </w:rPr>
        <w:t>Prior to the sale of the Hospital Products on June 30, 2020, a</w:t>
      </w:r>
      <w:r>
        <w:rPr>
          <w:rFonts w:eastAsia="Times New Roman"/>
          <w:color w:val="000000"/>
          <w:sz w:val="20"/>
          <w:szCs w:val="20"/>
        </w:rPr>
        <w:t>ccounts receivable are stated at amounts invoiced and certain other gross to net variable consideration deductions. An allowance for credit losses is established based on expected losses. Expect</w:t>
      </w:r>
      <w:r>
        <w:rPr>
          <w:rFonts w:eastAsia="Times New Roman"/>
          <w:color w:val="000000"/>
          <w:sz w:val="20"/>
          <w:szCs w:val="20"/>
        </w:rPr>
        <w:t>ed losses are estimated by reviewing individual accounts, considering aging, financial condition of the debtor, payment history, current and forecast economic conditions and other relevant factors. A majority of our accounts receivable are due from four si</w:t>
      </w:r>
      <w:r>
        <w:rPr>
          <w:rFonts w:eastAsia="Times New Roman"/>
          <w:color w:val="000000"/>
          <w:sz w:val="20"/>
          <w:szCs w:val="20"/>
        </w:rPr>
        <w:t xml:space="preserve">gnificant customers. As of September 30, 2020, we have collected all of the accounts receivable outstanding as of June 30, 2020. </w:t>
      </w:r>
    </w:p>
    <w:p w:rsidR="00000000" w:rsidRDefault="006629D3">
      <w:pPr>
        <w:jc w:val="both"/>
        <w:rPr>
          <w:rFonts w:eastAsia="Times New Roman"/>
        </w:rPr>
      </w:pPr>
    </w:p>
    <w:p w:rsidR="00000000" w:rsidRDefault="006629D3">
      <w:pPr>
        <w:jc w:val="center"/>
        <w:divId w:val="811991323"/>
        <w:rPr>
          <w:rFonts w:eastAsia="Times New Roman"/>
        </w:rPr>
      </w:pPr>
      <w:r>
        <w:rPr>
          <w:rFonts w:eastAsia="Times New Roman"/>
          <w:color w:val="000000"/>
          <w:sz w:val="20"/>
          <w:szCs w:val="20"/>
        </w:rPr>
        <w:t>- 11 -</w:t>
      </w:r>
    </w:p>
    <w:p w:rsidR="00000000" w:rsidRDefault="006629D3">
      <w:pPr>
        <w:rPr>
          <w:rFonts w:eastAsia="Times New Roman"/>
        </w:rPr>
      </w:pPr>
      <w:r>
        <w:rPr>
          <w:rFonts w:eastAsia="Times New Roman"/>
        </w:rPr>
        <w:pict>
          <v:rect id="_x0000_i1036" style="width:0;height:1.5pt" o:hralign="center" o:hrstd="t" o:hr="t" fillcolor="#a0a0a0" stroked="f"/>
        </w:pict>
      </w:r>
    </w:p>
    <w:p w:rsidR="00000000" w:rsidRDefault="006629D3">
      <w:pPr>
        <w:divId w:val="711030675"/>
        <w:rPr>
          <w:rFonts w:eastAsia="Times New Roman"/>
        </w:rPr>
      </w:pPr>
    </w:p>
    <w:p w:rsidR="00000000" w:rsidRDefault="006629D3">
      <w:pPr>
        <w:jc w:val="both"/>
        <w:divId w:val="1501316076"/>
        <w:rPr>
          <w:rFonts w:eastAsia="Times New Roman"/>
        </w:rPr>
      </w:pPr>
      <w:r>
        <w:rPr>
          <w:rFonts w:eastAsia="Times New Roman"/>
          <w:b/>
          <w:bCs/>
          <w:color w:val="000000"/>
          <w:sz w:val="20"/>
          <w:szCs w:val="20"/>
        </w:rPr>
        <w:t>NOTE 2: Newly Issued Accounting Standards</w:t>
      </w:r>
    </w:p>
    <w:p w:rsidR="00000000" w:rsidRDefault="006629D3">
      <w:pPr>
        <w:divId w:val="1096483972"/>
        <w:rPr>
          <w:rFonts w:eastAsia="Times New Roman"/>
        </w:rPr>
      </w:pPr>
      <w:r>
        <w:rPr>
          <w:rFonts w:eastAsia="Times New Roman"/>
          <w:b/>
          <w:bCs/>
          <w:i/>
          <w:iCs/>
          <w:color w:val="000000"/>
          <w:sz w:val="20"/>
          <w:szCs w:val="20"/>
        </w:rPr>
        <w:t>Recent Accounting Guidance Not Yet Adopted</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December 2019, the Financial Accounting Standards Board (“FASB”) issued Accounting Standards Update (“ASU”) 2019-12, </w:t>
      </w:r>
      <w:r>
        <w:rPr>
          <w:rFonts w:eastAsia="Times New Roman"/>
          <w:i/>
          <w:iCs/>
          <w:color w:val="000000"/>
          <w:sz w:val="20"/>
          <w:szCs w:val="20"/>
        </w:rPr>
        <w:t>Income Taxes (Topic 740): Simplifying the Accounting for Income Taxes</w:t>
      </w:r>
      <w:r>
        <w:rPr>
          <w:rFonts w:eastAsia="Times New Roman"/>
          <w:color w:val="000000"/>
          <w:sz w:val="20"/>
          <w:szCs w:val="20"/>
        </w:rPr>
        <w:t>, as part of its overa</w:t>
      </w:r>
      <w:r>
        <w:rPr>
          <w:rFonts w:eastAsia="Times New Roman"/>
          <w:color w:val="000000"/>
          <w:sz w:val="20"/>
          <w:szCs w:val="20"/>
        </w:rPr>
        <w:t xml:space="preserve">ll simplification initiative to reduce costs and complexity of applying accounting standards while maintaining or improving the usefulness of the information provided to users of financial statements. The FASB’s amendments primarily impact </w:t>
      </w:r>
      <w:r>
        <w:rPr>
          <w:rFonts w:eastAsia="Times New Roman"/>
          <w:i/>
          <w:iCs/>
          <w:color w:val="000000"/>
          <w:sz w:val="20"/>
          <w:szCs w:val="20"/>
        </w:rPr>
        <w:t xml:space="preserve">ASC 740, Income </w:t>
      </w:r>
      <w:r>
        <w:rPr>
          <w:rFonts w:eastAsia="Times New Roman"/>
          <w:i/>
          <w:iCs/>
          <w:color w:val="000000"/>
          <w:sz w:val="20"/>
          <w:szCs w:val="20"/>
        </w:rPr>
        <w:t>Taxes</w:t>
      </w:r>
      <w:r>
        <w:rPr>
          <w:rFonts w:eastAsia="Times New Roman"/>
          <w:color w:val="000000"/>
          <w:sz w:val="20"/>
          <w:szCs w:val="20"/>
        </w:rPr>
        <w:t>, and may impact both interim and annual reporting periods. ASU 2019-12 will be effective for fiscal years beginning after December 15, 2020, and interim periods within those fiscal years and early adoption is permitted. We are currently evaluating th</w:t>
      </w:r>
      <w:r>
        <w:rPr>
          <w:rFonts w:eastAsia="Times New Roman"/>
          <w:color w:val="000000"/>
          <w:sz w:val="20"/>
          <w:szCs w:val="20"/>
        </w:rPr>
        <w:t>e impact of adopting ASU 2019-12.</w:t>
      </w:r>
    </w:p>
    <w:p w:rsidR="00000000" w:rsidRDefault="006629D3">
      <w:pPr>
        <w:jc w:val="both"/>
        <w:rPr>
          <w:rFonts w:eastAsia="Times New Roman"/>
        </w:rPr>
      </w:pPr>
    </w:p>
    <w:p w:rsidR="00000000" w:rsidRDefault="006629D3">
      <w:pPr>
        <w:divId w:val="945891827"/>
        <w:rPr>
          <w:rFonts w:eastAsia="Times New Roman"/>
        </w:rPr>
      </w:pPr>
      <w:r>
        <w:rPr>
          <w:rFonts w:eastAsia="Times New Roman"/>
          <w:b/>
          <w:bCs/>
          <w:color w:val="000000"/>
          <w:sz w:val="20"/>
          <w:szCs w:val="20"/>
        </w:rPr>
        <w:t xml:space="preserve">NOTE </w:t>
      </w:r>
      <w:r>
        <w:rPr>
          <w:rFonts w:eastAsia="Times New Roman"/>
          <w:color w:val="000000"/>
          <w:sz w:val="20"/>
          <w:szCs w:val="20"/>
        </w:rPr>
        <w:t>3</w:t>
      </w:r>
      <w:r>
        <w:rPr>
          <w:rFonts w:eastAsia="Times New Roman"/>
          <w:b/>
          <w:bCs/>
          <w:color w:val="000000"/>
          <w:sz w:val="20"/>
          <w:szCs w:val="20"/>
        </w:rPr>
        <w:t>: Subsidiary Bankruptcy and Deconsolidation</w:t>
      </w:r>
    </w:p>
    <w:p w:rsidR="00000000" w:rsidRDefault="006629D3">
      <w:pPr>
        <w:divId w:val="1614481533"/>
        <w:rPr>
          <w:rFonts w:eastAsia="Times New Roman"/>
        </w:rPr>
      </w:pPr>
    </w:p>
    <w:p w:rsidR="00000000" w:rsidRDefault="006629D3">
      <w:pPr>
        <w:divId w:val="1051806836"/>
        <w:rPr>
          <w:rFonts w:eastAsia="Times New Roman"/>
        </w:rPr>
      </w:pPr>
      <w:r>
        <w:rPr>
          <w:rFonts w:eastAsia="Times New Roman"/>
          <w:i/>
          <w:iCs/>
          <w:color w:val="000000"/>
          <w:sz w:val="20"/>
          <w:szCs w:val="20"/>
        </w:rPr>
        <w:t>Bankruptcy Filing and Deconsolidation</w:t>
      </w:r>
    </w:p>
    <w:p w:rsidR="00000000" w:rsidRDefault="006629D3">
      <w:pPr>
        <w:divId w:val="412901191"/>
        <w:rPr>
          <w:rFonts w:eastAsia="Times New Roman"/>
        </w:rPr>
      </w:pPr>
    </w:p>
    <w:p w:rsidR="00000000" w:rsidRDefault="006629D3">
      <w:pPr>
        <w:jc w:val="both"/>
        <w:rPr>
          <w:rFonts w:eastAsia="Times New Roman"/>
        </w:rPr>
      </w:pPr>
      <w:r>
        <w:rPr>
          <w:rFonts w:eastAsia="Times New Roman"/>
          <w:color w:val="000000"/>
          <w:sz w:val="20"/>
          <w:szCs w:val="20"/>
        </w:rPr>
        <w:t>As a result of Specialty Pharma’s bankruptcy filing on February 6, 2019, Avadel has ceded authority for managing the business to</w:t>
      </w:r>
      <w:r>
        <w:rPr>
          <w:rFonts w:eastAsia="Times New Roman"/>
          <w:color w:val="000000"/>
          <w:sz w:val="20"/>
          <w:szCs w:val="20"/>
        </w:rPr>
        <w:t xml:space="preserve"> the Bankruptcy Court, and Avadel management cannot carry on Specialty Pharma’s activities in the ordinary course of business without Bankruptcy Court approval. Avadel manages the day-to-day operations of Specialty Pharma but does not have discretion to ma</w:t>
      </w:r>
      <w:r>
        <w:rPr>
          <w:rFonts w:eastAsia="Times New Roman"/>
          <w:color w:val="000000"/>
          <w:sz w:val="20"/>
          <w:szCs w:val="20"/>
        </w:rPr>
        <w:t>ke significant capital or operating budgetary changes or decisions and purchase or sell significant assets, as Specialty Pharma’s material decisions are subject to review by the Bankruptcy Court. For these reasons, we concluded that Avadel has lost control</w:t>
      </w:r>
      <w:r>
        <w:rPr>
          <w:rFonts w:eastAsia="Times New Roman"/>
          <w:color w:val="000000"/>
          <w:sz w:val="20"/>
          <w:szCs w:val="20"/>
        </w:rPr>
        <w:t xml:space="preserve"> of Specialty Pharma, and no longer has significant influence over Specialty Pharma during the pendency of the bankruptcy. Therefore, we deconsolidated Specialty Pharma effective with the filing of the Chapter 11 bankruptcy in February 2019.</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In order to </w:t>
      </w:r>
      <w:r>
        <w:rPr>
          <w:rFonts w:eastAsia="Times New Roman"/>
          <w:color w:val="000000"/>
          <w:sz w:val="20"/>
          <w:szCs w:val="20"/>
        </w:rPr>
        <w:t>deconsolidate Specialty Pharma, the carrying values of the assets and certain liabilities of Specialty Pharma were removed from our unaudited condensed consolidated balance sheet as of February 5, 2019, and we recorded our investment in Specialty Pharma at</w:t>
      </w:r>
      <w:r>
        <w:rPr>
          <w:rFonts w:eastAsia="Times New Roman"/>
          <w:color w:val="000000"/>
          <w:sz w:val="20"/>
          <w:szCs w:val="20"/>
        </w:rPr>
        <w:t xml:space="preserve"> its estimated fair value of $0. As the estimated fair value of our investment in Specialty Pharma was lower than its net book value immediately prior to the deconsolidation, we recorded a non-cash charge of approximately $2,840 for the nine months ended S</w:t>
      </w:r>
      <w:r>
        <w:rPr>
          <w:rFonts w:eastAsia="Times New Roman"/>
          <w:color w:val="000000"/>
          <w:sz w:val="20"/>
          <w:szCs w:val="20"/>
        </w:rPr>
        <w:t xml:space="preserve">eptember 30, 2019 associated with the deconsolidation of Specialty Pharma. Subsequent to the deconsolidation of Specialty Pharma, we are accounting for our investment in Specialty Pharma using the cost method of accounting because Avadel does not exercise </w:t>
      </w:r>
      <w:r>
        <w:rPr>
          <w:rFonts w:eastAsia="Times New Roman"/>
          <w:color w:val="000000"/>
          <w:sz w:val="20"/>
          <w:szCs w:val="20"/>
        </w:rPr>
        <w:t>significant influence over the operations of Specialty Pharma due to the Chapter 11 filing.</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On April 26, 2019, Specialty Pharma sold its intangible assets and remaining inventory to an unaffiliated third party in exchange for aggregate cash proceeds of a</w:t>
      </w:r>
      <w:r>
        <w:rPr>
          <w:rFonts w:eastAsia="Times New Roman"/>
          <w:color w:val="000000"/>
          <w:sz w:val="20"/>
          <w:szCs w:val="20"/>
        </w:rPr>
        <w:t>pproximately $250, pursuant to an order approving such sale which was issued by the Bankruptcy Court on April 15, 2019. As a result of such sale, Specialty Pharma has completed its divestment of the assets of the Noctiva business.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On July 2, 2019, Specia</w:t>
      </w:r>
      <w:r>
        <w:rPr>
          <w:rFonts w:eastAsia="Times New Roman"/>
          <w:color w:val="000000"/>
          <w:sz w:val="20"/>
          <w:szCs w:val="20"/>
        </w:rPr>
        <w:t>lty Pharma was made aware of a $50,695 claim made by the Internal Revenue Service (IRS) as part of the bankruptcy claims process against Specialty Pharma. On October 2, 2019 the IRS amended the original claim filed in July, reducing the claim to $9,302. Sp</w:t>
      </w:r>
      <w:r>
        <w:rPr>
          <w:rFonts w:eastAsia="Times New Roman"/>
          <w:color w:val="000000"/>
          <w:sz w:val="20"/>
          <w:szCs w:val="20"/>
        </w:rPr>
        <w:t>ecialty Pharma files its U.S. federal tax return as a member of the Company’s consolidated U.S. tax group. As such, the IRS claim was filed against Specialty Pharma in the bankruptcy proceedings due to IRS tax law requirements for joint and several liabili</w:t>
      </w:r>
      <w:r>
        <w:rPr>
          <w:rFonts w:eastAsia="Times New Roman"/>
          <w:color w:val="000000"/>
          <w:sz w:val="20"/>
          <w:szCs w:val="20"/>
        </w:rPr>
        <w:t xml:space="preserve">ty of all members in a consolidated U.S. tax group. </w:t>
      </w:r>
      <w:r>
        <w:rPr>
          <w:rFonts w:eastAsia="Times New Roman"/>
          <w:color w:val="0D0D0D"/>
          <w:sz w:val="20"/>
          <w:szCs w:val="20"/>
        </w:rPr>
        <w:t>On November 19, 2019, Specialty Pharma and the IRS resolved their dispute, subject to the Bankruptcy Court’s approval of Specialty Pharma's Chapter 11 plan, and without prejudice to the claims, rights and</w:t>
      </w:r>
      <w:r>
        <w:rPr>
          <w:rFonts w:eastAsia="Times New Roman"/>
          <w:color w:val="0D0D0D"/>
          <w:sz w:val="20"/>
          <w:szCs w:val="20"/>
        </w:rPr>
        <w:t xml:space="preserve"> defenses of the IRS and other Avadel entities outside of the bankruptcy case.  The resolution provided for allowance of the IRS claim as a priority claim but for the IRS to receive a distribution of 50% of the proceeds, but in no event less than $125 from</w:t>
      </w:r>
      <w:r>
        <w:rPr>
          <w:rFonts w:eastAsia="Times New Roman"/>
          <w:color w:val="0D0D0D"/>
          <w:sz w:val="20"/>
          <w:szCs w:val="20"/>
        </w:rPr>
        <w:t xml:space="preserve"> Specialty Pharma following confirmation of its disclosure statement and Chapter 11 plan of liquidation.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On July 24, 2020, Specialty Pharma sought bankruptcy court approval of a settlement agreement by and between it, Avadel US Holdings, Inc. and Sereni</w:t>
      </w:r>
      <w:r>
        <w:rPr>
          <w:rFonts w:eastAsia="Times New Roman"/>
          <w:color w:val="000000"/>
          <w:sz w:val="20"/>
          <w:szCs w:val="20"/>
        </w:rPr>
        <w:t>ty Pharmaceuticals, LLC (“Serenity”) (the “Serenity Settlement Agreement”).  Before the commencement of Specialty Pharma's bankruptcy case, Serenity asserted claims against Specialty Pharma and Avadel US Holdings collectively in an amount no less than $50,</w:t>
      </w:r>
      <w:r>
        <w:rPr>
          <w:rFonts w:eastAsia="Times New Roman"/>
          <w:color w:val="000000"/>
          <w:sz w:val="20"/>
          <w:szCs w:val="20"/>
        </w:rPr>
        <w:t xml:space="preserve">000, and after the commencement of the bankruptcy case, Serenity asserted a $3,096 claim against Specialty Pharma and voted to reject its Chapter 11 plan of liquidation.  The Serenity Settlement Agreement provides for a global resolution of these disputes </w:t>
      </w:r>
      <w:r>
        <w:rPr>
          <w:rFonts w:eastAsia="Times New Roman"/>
          <w:color w:val="000000"/>
          <w:sz w:val="20"/>
          <w:szCs w:val="20"/>
        </w:rPr>
        <w:t>by way of an $800 payment from Avadel US Holdings to Serenity, a mutual exchange of general releases, and the withdrawal of Serenity's claim and vote in Specialty Pharma's bankruptcy case.  The Serenity Settlement Agreement was approved by order of the Ban</w:t>
      </w:r>
      <w:r>
        <w:rPr>
          <w:rFonts w:eastAsia="Times New Roman"/>
          <w:color w:val="000000"/>
          <w:sz w:val="20"/>
          <w:szCs w:val="20"/>
        </w:rPr>
        <w:t>kruptcy Court on August 12, 2020.</w:t>
      </w:r>
    </w:p>
    <w:p w:rsidR="00000000" w:rsidRDefault="006629D3">
      <w:pPr>
        <w:jc w:val="center"/>
        <w:divId w:val="1395272073"/>
        <w:rPr>
          <w:rFonts w:eastAsia="Times New Roman"/>
        </w:rPr>
      </w:pPr>
      <w:r>
        <w:rPr>
          <w:rFonts w:eastAsia="Times New Roman"/>
          <w:color w:val="000000"/>
          <w:sz w:val="20"/>
          <w:szCs w:val="20"/>
        </w:rPr>
        <w:t>- 12 -</w:t>
      </w:r>
    </w:p>
    <w:p w:rsidR="00000000" w:rsidRDefault="006629D3">
      <w:pPr>
        <w:rPr>
          <w:rFonts w:eastAsia="Times New Roman"/>
        </w:rPr>
      </w:pPr>
      <w:r>
        <w:rPr>
          <w:rFonts w:eastAsia="Times New Roman"/>
        </w:rPr>
        <w:pict>
          <v:rect id="_x0000_i1037" style="width:0;height:1.5pt" o:hralign="center" o:hrstd="t" o:hr="t" fillcolor="#a0a0a0" stroked="f"/>
        </w:pict>
      </w:r>
    </w:p>
    <w:p w:rsidR="00000000" w:rsidRDefault="006629D3">
      <w:pPr>
        <w:divId w:val="671298210"/>
        <w:rPr>
          <w:rFonts w:eastAsia="Times New Roman"/>
        </w:rPr>
      </w:pPr>
    </w:p>
    <w:p w:rsidR="00000000" w:rsidRDefault="006629D3">
      <w:pPr>
        <w:jc w:val="both"/>
        <w:rPr>
          <w:rFonts w:eastAsia="Times New Roman"/>
        </w:rPr>
      </w:pPr>
      <w:r>
        <w:rPr>
          <w:rFonts w:eastAsia="Times New Roman"/>
          <w:color w:val="000000"/>
          <w:sz w:val="20"/>
          <w:szCs w:val="20"/>
        </w:rPr>
        <w:t>At a hearing conducted on October 6, 2020, the Bankruptcy Court granted final approval of Specialty Pharma’s disclosure statement and confirmed its Chapter 11 plan of liquidati</w:t>
      </w:r>
      <w:r>
        <w:rPr>
          <w:rFonts w:eastAsia="Times New Roman"/>
          <w:color w:val="000000"/>
          <w:sz w:val="20"/>
          <w:szCs w:val="20"/>
        </w:rPr>
        <w:t xml:space="preserve">on. Pursuant to the plan, the appointment of a Plan Administrator was also approved. The Plan Administrator will be responsible for making distributions to creditors, managing the final windup and dissolution of Specialty Pharma, and taking other steps in </w:t>
      </w:r>
      <w:r>
        <w:rPr>
          <w:rFonts w:eastAsia="Times New Roman"/>
          <w:color w:val="000000"/>
          <w:sz w:val="20"/>
          <w:szCs w:val="20"/>
        </w:rPr>
        <w:t>accordance with the plan of liquidation. The plan of liquidation became effective on October 20, 2020.</w:t>
      </w:r>
    </w:p>
    <w:p w:rsidR="00000000" w:rsidRDefault="006629D3">
      <w:pPr>
        <w:jc w:val="both"/>
        <w:rPr>
          <w:rFonts w:eastAsia="Times New Roman"/>
        </w:rPr>
      </w:pPr>
    </w:p>
    <w:p w:rsidR="00000000" w:rsidRDefault="006629D3">
      <w:pPr>
        <w:divId w:val="412626897"/>
        <w:rPr>
          <w:rFonts w:eastAsia="Times New Roman"/>
        </w:rPr>
      </w:pPr>
      <w:r>
        <w:rPr>
          <w:rFonts w:eastAsia="Times New Roman"/>
          <w:i/>
          <w:iCs/>
          <w:color w:val="000000"/>
          <w:sz w:val="20"/>
          <w:szCs w:val="20"/>
        </w:rPr>
        <w:t>Debtor in Possession (“DIP”) Financing – Related Party Relationship</w:t>
      </w:r>
    </w:p>
    <w:p w:rsidR="00000000" w:rsidRDefault="006629D3">
      <w:pPr>
        <w:divId w:val="2070953217"/>
        <w:rPr>
          <w:rFonts w:eastAsia="Times New Roman"/>
        </w:rPr>
      </w:pPr>
    </w:p>
    <w:p w:rsidR="00000000" w:rsidRDefault="006629D3">
      <w:pPr>
        <w:jc w:val="both"/>
        <w:rPr>
          <w:rFonts w:eastAsia="Times New Roman"/>
        </w:rPr>
      </w:pPr>
      <w:r>
        <w:rPr>
          <w:rFonts w:eastAsia="Times New Roman"/>
          <w:color w:val="000000"/>
          <w:sz w:val="20"/>
          <w:szCs w:val="20"/>
        </w:rPr>
        <w:t xml:space="preserve">In connection with the bankruptcy filing, Specialty Pharma entered into a Debtor </w:t>
      </w:r>
      <w:r>
        <w:rPr>
          <w:rFonts w:eastAsia="Times New Roman"/>
          <w:color w:val="000000"/>
          <w:sz w:val="20"/>
          <w:szCs w:val="20"/>
        </w:rPr>
        <w:t>in Possession Credit and Security Agreement with Avadel US Holdings (“DIP Credit Agreement”) dated as of February 8, 2019, in an aggregate amount of up to $2,700, of which the funds are to be used by Specialty Pharma solely to fund operations through Febru</w:t>
      </w:r>
      <w:r>
        <w:rPr>
          <w:rFonts w:eastAsia="Times New Roman"/>
          <w:color w:val="000000"/>
          <w:sz w:val="20"/>
          <w:szCs w:val="20"/>
        </w:rPr>
        <w:t>ary 6, 2020. As of September 30, 2020, the Company had funded $407 under the DIP Credit Agreement. As the Company has assessed that it is unlikely that Specialty Pharma will pay back the loan to Avadel, the $407 was recorded as part of the loss on deconsol</w:t>
      </w:r>
      <w:r>
        <w:rPr>
          <w:rFonts w:eastAsia="Times New Roman"/>
          <w:color w:val="000000"/>
          <w:sz w:val="20"/>
          <w:szCs w:val="20"/>
        </w:rPr>
        <w:t xml:space="preserve">idation of subsidiary within the unaudited condensed consolidated statements of (loss) income for the nine months ended September 30, 2019. </w:t>
      </w:r>
    </w:p>
    <w:p w:rsidR="00000000" w:rsidRDefault="006629D3">
      <w:pPr>
        <w:jc w:val="both"/>
        <w:rPr>
          <w:rFonts w:eastAsia="Times New Roman"/>
        </w:rPr>
      </w:pPr>
    </w:p>
    <w:p w:rsidR="00000000" w:rsidRDefault="006629D3">
      <w:pPr>
        <w:divId w:val="1989821311"/>
        <w:rPr>
          <w:rFonts w:eastAsia="Times New Roman"/>
        </w:rPr>
      </w:pPr>
      <w:r>
        <w:rPr>
          <w:rFonts w:eastAsia="Times New Roman"/>
          <w:b/>
          <w:bCs/>
          <w:color w:val="000000"/>
          <w:sz w:val="20"/>
          <w:szCs w:val="20"/>
        </w:rPr>
        <w:t xml:space="preserve">NOTE 4: Disposition of the Hospital Products </w:t>
      </w:r>
    </w:p>
    <w:p w:rsidR="00000000" w:rsidRDefault="006629D3">
      <w:pPr>
        <w:divId w:val="1763839702"/>
        <w:rPr>
          <w:rFonts w:eastAsia="Times New Roman"/>
        </w:rPr>
      </w:pPr>
    </w:p>
    <w:p w:rsidR="00000000" w:rsidRDefault="006629D3">
      <w:pPr>
        <w:jc w:val="both"/>
        <w:rPr>
          <w:rFonts w:eastAsia="Times New Roman"/>
        </w:rPr>
      </w:pPr>
      <w:r>
        <w:rPr>
          <w:rFonts w:eastAsia="Times New Roman"/>
          <w:color w:val="000000"/>
          <w:sz w:val="20"/>
          <w:szCs w:val="20"/>
        </w:rPr>
        <w:t>On the Closing Date, we announced the sale of our Hospital Products, to the Exela Buyer pursuant to the Purchase Agreement.</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Pursuant to the Purchase Agreement, the Exela Buyer paid $14,500 on the Closing Date and will pay an additional $27,500 in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equ</w:t>
      </w:r>
      <w:r>
        <w:rPr>
          <w:rFonts w:eastAsia="Times New Roman"/>
          <w:color w:val="000000"/>
          <w:sz w:val="20"/>
          <w:szCs w:val="20"/>
        </w:rPr>
        <w:t>al monthly installments beginning 90 days following the Closing Date for total aggregate consideration of $42,000. During the three months ended September 30, 2020, we collected the first installment payment of $2,750. In connection with the sale of the Ho</w:t>
      </w:r>
      <w:r>
        <w:rPr>
          <w:rFonts w:eastAsia="Times New Roman"/>
          <w:color w:val="000000"/>
          <w:sz w:val="20"/>
          <w:szCs w:val="20"/>
        </w:rPr>
        <w:t>spital Products, the parties also agreed to cause the dismissal of the pending civil litigation related to Nouress in the District Court for the District of Delaware.</w:t>
      </w:r>
    </w:p>
    <w:p w:rsidR="00000000" w:rsidRDefault="006629D3">
      <w:pPr>
        <w:divId w:val="1030105429"/>
        <w:rPr>
          <w:rFonts w:eastAsia="Times New Roman"/>
        </w:rPr>
      </w:pPr>
      <w:r>
        <w:rPr>
          <w:rFonts w:eastAsia="Times New Roman"/>
          <w:color w:val="000000"/>
          <w:sz w:val="20"/>
          <w:szCs w:val="20"/>
        </w:rPr>
        <w:t> </w:t>
      </w:r>
    </w:p>
    <w:p w:rsidR="00000000" w:rsidRDefault="006629D3">
      <w:pPr>
        <w:jc w:val="both"/>
        <w:rPr>
          <w:rFonts w:eastAsia="Times New Roman"/>
        </w:rPr>
      </w:pPr>
      <w:r>
        <w:rPr>
          <w:rFonts w:eastAsia="Times New Roman"/>
          <w:color w:val="000000"/>
          <w:sz w:val="20"/>
          <w:szCs w:val="20"/>
        </w:rPr>
        <w:t>We were party to a Membership Interest Purchase Agreement, dated March 13, 2012, by and among us, Avadel Legacy, Breaking Stick Holdings, LLC, Deerfield Private Design International II, L.P. (“Deerfield International”), Deerfield Private Design Fund II, L.</w:t>
      </w:r>
      <w:r>
        <w:rPr>
          <w:rFonts w:eastAsia="Times New Roman"/>
          <w:color w:val="000000"/>
          <w:sz w:val="20"/>
          <w:szCs w:val="20"/>
        </w:rPr>
        <w:t>P. (“Deerfield Fund”) and Horizon Santé FLML, Sarl (“Horizon”) (the “Deerfield MIPA”) and a Royalty Agreement, dated February 4, 2013, by and among us, Avadel Legacy, the Deerfield Fund and Horizon (the “Deerfield Royalty Agreement”). In connection with th</w:t>
      </w:r>
      <w:r>
        <w:rPr>
          <w:rFonts w:eastAsia="Times New Roman"/>
          <w:color w:val="000000"/>
          <w:sz w:val="20"/>
          <w:szCs w:val="20"/>
        </w:rPr>
        <w:t>e closing of the sale of the Hospital Products, the Deerfield MIPA (with respect to certain sections thereof) and the Royalty Agreement were assigned to the Exela Buyer. Pursuant to the Purchase Agreement, the Exela Buyer assumed and will pay, perform, sat</w:t>
      </w:r>
      <w:r>
        <w:rPr>
          <w:rFonts w:eastAsia="Times New Roman"/>
          <w:color w:val="000000"/>
          <w:sz w:val="20"/>
          <w:szCs w:val="20"/>
        </w:rPr>
        <w:t xml:space="preserve">isfy and discharge the liabilities and obligations of Avadel Legacy under the Deerfield Royalty Agreement for obligations that arise after the Closing date. </w:t>
      </w:r>
    </w:p>
    <w:p w:rsidR="00000000" w:rsidRDefault="006629D3">
      <w:pPr>
        <w:jc w:val="both"/>
        <w:rPr>
          <w:rFonts w:eastAsia="Times New Roman"/>
        </w:rPr>
      </w:pPr>
      <w:r>
        <w:rPr>
          <w:rFonts w:eastAsia="Times New Roman"/>
          <w:color w:val="000000"/>
          <w:sz w:val="20"/>
          <w:szCs w:val="20"/>
        </w:rPr>
        <w:t> </w:t>
      </w:r>
    </w:p>
    <w:p w:rsidR="00000000" w:rsidRDefault="006629D3">
      <w:pPr>
        <w:jc w:val="both"/>
        <w:rPr>
          <w:rFonts w:eastAsia="Times New Roman"/>
        </w:rPr>
      </w:pPr>
      <w:r>
        <w:rPr>
          <w:rFonts w:eastAsia="Times New Roman"/>
          <w:color w:val="000000"/>
          <w:sz w:val="20"/>
          <w:szCs w:val="20"/>
        </w:rPr>
        <w:t>We were also party to a Royalty Agreement, dated December 3, 2013, by and between us, Avadel Leg</w:t>
      </w:r>
      <w:r>
        <w:rPr>
          <w:rFonts w:eastAsia="Times New Roman"/>
          <w:color w:val="000000"/>
          <w:sz w:val="20"/>
          <w:szCs w:val="20"/>
        </w:rPr>
        <w:t>acy and Broadfin Healthcare Master Fund, Ltd. (the “Broadfin Royalty Agreement”). In connection with the closing of the sale of the Hospital Products, the Broadfin Royalty Agreement was assigned to the Exela Buyer and the Exela Buyer assumed and shall pay,</w:t>
      </w:r>
      <w:r>
        <w:rPr>
          <w:rFonts w:eastAsia="Times New Roman"/>
          <w:color w:val="000000"/>
          <w:sz w:val="20"/>
          <w:szCs w:val="20"/>
        </w:rPr>
        <w:t xml:space="preserve"> perform, satisfy and discharge the liabilities and obligations of Avadel Legacy under the Broadfin Royalty Agreement for obligations that arise after the Closing Date. </w:t>
      </w:r>
    </w:p>
    <w:p w:rsidR="00000000" w:rsidRDefault="006629D3">
      <w:pPr>
        <w:jc w:val="both"/>
        <w:rPr>
          <w:rFonts w:eastAsia="Times New Roman"/>
        </w:rPr>
      </w:pPr>
    </w:p>
    <w:p w:rsidR="00000000" w:rsidRDefault="006629D3">
      <w:pPr>
        <w:jc w:val="center"/>
        <w:divId w:val="824316590"/>
        <w:rPr>
          <w:rFonts w:eastAsia="Times New Roman"/>
        </w:rPr>
      </w:pPr>
      <w:r>
        <w:rPr>
          <w:rFonts w:eastAsia="Times New Roman"/>
          <w:color w:val="000000"/>
          <w:sz w:val="20"/>
          <w:szCs w:val="20"/>
        </w:rPr>
        <w:t>- 13 -</w:t>
      </w:r>
    </w:p>
    <w:p w:rsidR="00000000" w:rsidRDefault="006629D3">
      <w:pPr>
        <w:rPr>
          <w:rFonts w:eastAsia="Times New Roman"/>
        </w:rPr>
      </w:pPr>
      <w:r>
        <w:rPr>
          <w:rFonts w:eastAsia="Times New Roman"/>
        </w:rPr>
        <w:pict>
          <v:rect id="_x0000_i1038" style="width:0;height:1.5pt" o:hralign="center" o:hrstd="t" o:hr="t" fillcolor="#a0a0a0" stroked="f"/>
        </w:pict>
      </w:r>
    </w:p>
    <w:p w:rsidR="00000000" w:rsidRDefault="006629D3">
      <w:pPr>
        <w:divId w:val="1088572747"/>
        <w:rPr>
          <w:rFonts w:eastAsia="Times New Roman"/>
        </w:rPr>
      </w:pPr>
    </w:p>
    <w:p w:rsidR="00000000" w:rsidRDefault="006629D3">
      <w:pPr>
        <w:jc w:val="both"/>
        <w:rPr>
          <w:rFonts w:eastAsia="Times New Roman"/>
        </w:rPr>
      </w:pPr>
      <w:r>
        <w:rPr>
          <w:rFonts w:eastAsia="Times New Roman"/>
          <w:color w:val="000000"/>
          <w:sz w:val="20"/>
          <w:szCs w:val="20"/>
        </w:rPr>
        <w:t xml:space="preserve">We recorded a net gain on the sale of </w:t>
      </w:r>
      <w:r>
        <w:rPr>
          <w:rFonts w:eastAsia="Times New Roman"/>
          <w:color w:val="000000"/>
          <w:sz w:val="20"/>
          <w:szCs w:val="20"/>
        </w:rPr>
        <w:t>the Hospital Products of $45,760 during the nine months ended September 30, 2020 which has been recorded on the unaudited condensed consolidated statement of income (loss). The $45,760 gain represents the aggregate consideration of $42,000, transaction fee</w:t>
      </w:r>
      <w:r>
        <w:rPr>
          <w:rFonts w:eastAsia="Times New Roman"/>
          <w:color w:val="000000"/>
          <w:sz w:val="20"/>
          <w:szCs w:val="20"/>
        </w:rPr>
        <w:t xml:space="preserve">s of $2,928, plus the assets and liabilities either transferred to the Exela Buyer or eliminated by us due to the sale of the Hospital Products, which are listed below. </w:t>
      </w:r>
    </w:p>
    <w:p w:rsidR="00000000" w:rsidRDefault="006629D3">
      <w:pPr>
        <w:jc w:val="both"/>
        <w:rPr>
          <w:rFonts w:eastAsia="Times New Roman"/>
        </w:rPr>
      </w:pPr>
    </w:p>
    <w:tbl>
      <w:tblPr>
        <w:tblW w:w="3194" w:type="pct"/>
        <w:jc w:val="center"/>
        <w:tblCellMar>
          <w:top w:w="15" w:type="dxa"/>
          <w:left w:w="15" w:type="dxa"/>
          <w:bottom w:w="15" w:type="dxa"/>
          <w:right w:w="15" w:type="dxa"/>
        </w:tblCellMar>
        <w:tblLook w:val="04A0" w:firstRow="1" w:lastRow="0" w:firstColumn="1" w:lastColumn="0" w:noHBand="0" w:noVBand="1"/>
      </w:tblPr>
      <w:tblGrid>
        <w:gridCol w:w="39"/>
        <w:gridCol w:w="3445"/>
        <w:gridCol w:w="38"/>
        <w:gridCol w:w="36"/>
        <w:gridCol w:w="36"/>
        <w:gridCol w:w="36"/>
        <w:gridCol w:w="111"/>
        <w:gridCol w:w="1457"/>
        <w:gridCol w:w="36"/>
        <w:gridCol w:w="36"/>
        <w:gridCol w:w="36"/>
      </w:tblGrid>
      <w:tr w:rsidR="00000000">
        <w:trPr>
          <w:divId w:val="1472090853"/>
          <w:jc w:val="center"/>
        </w:trPr>
        <w:tc>
          <w:tcPr>
            <w:tcW w:w="50" w:type="pct"/>
            <w:vAlign w:val="center"/>
            <w:hideMark/>
          </w:tcPr>
          <w:p w:rsidR="00000000" w:rsidRDefault="006629D3">
            <w:pPr>
              <w:jc w:val="both"/>
              <w:rPr>
                <w:rFonts w:eastAsia="Times New Roman"/>
              </w:rPr>
            </w:pPr>
          </w:p>
        </w:tc>
        <w:tc>
          <w:tcPr>
            <w:tcW w:w="336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4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146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vAlign w:val="center"/>
            <w:hideMark/>
          </w:tcPr>
          <w:p w:rsidR="00000000" w:rsidRDefault="006629D3">
            <w:pPr>
              <w:jc w:val="center"/>
              <w:rPr>
                <w:rFonts w:eastAsia="Times New Roman"/>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(4,922)</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(1,095)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long-term contingent consideration payable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14,900 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Net liabilities disposed of</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Aggregate consideration</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42,000 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Less transaction fees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(2,928)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47209085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Net gain on the sale of the Hospital Products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45,760 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bl>
    <w:p w:rsidR="00000000" w:rsidRDefault="006629D3">
      <w:pPr>
        <w:jc w:val="center"/>
        <w:rPr>
          <w:rFonts w:eastAsia="Times New Roman"/>
        </w:rPr>
      </w:pPr>
    </w:p>
    <w:p w:rsidR="00000000" w:rsidRDefault="006629D3">
      <w:pPr>
        <w:jc w:val="both"/>
        <w:rPr>
          <w:rFonts w:eastAsia="Times New Roman"/>
        </w:rPr>
      </w:pPr>
      <w:r>
        <w:rPr>
          <w:rFonts w:eastAsia="Times New Roman"/>
          <w:color w:val="000000"/>
          <w:sz w:val="20"/>
          <w:szCs w:val="20"/>
        </w:rPr>
        <w:t>We evaluated various qualitative and quantitative factors related to the disposition of the Hospital Products and determined that it did not meet the criteria for presentation as a discontinued operation.</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unaudited pro forma condensed combined financ</w:t>
      </w:r>
      <w:r>
        <w:rPr>
          <w:rFonts w:eastAsia="Times New Roman"/>
          <w:color w:val="000000"/>
          <w:sz w:val="20"/>
          <w:szCs w:val="20"/>
        </w:rPr>
        <w:t>ial statements included below are being provided for information purposes only and are not necessarily indicative of the results of operations or financial position that would have resulted if the Transaction had actually occurred on the date indicated. Th</w:t>
      </w:r>
      <w:r>
        <w:rPr>
          <w:rFonts w:eastAsia="Times New Roman"/>
          <w:color w:val="000000"/>
          <w:sz w:val="20"/>
          <w:szCs w:val="20"/>
        </w:rPr>
        <w:t>e pro forma adjustments are based on available information and assumptions that the Company believes are attributable to the sale.</w:t>
      </w:r>
    </w:p>
    <w:p w:rsidR="00000000" w:rsidRDefault="006629D3">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3"/>
        <w:gridCol w:w="3233"/>
        <w:gridCol w:w="37"/>
        <w:gridCol w:w="36"/>
        <w:gridCol w:w="36"/>
        <w:gridCol w:w="36"/>
        <w:gridCol w:w="110"/>
        <w:gridCol w:w="1000"/>
        <w:gridCol w:w="36"/>
        <w:gridCol w:w="36"/>
        <w:gridCol w:w="36"/>
        <w:gridCol w:w="36"/>
        <w:gridCol w:w="111"/>
        <w:gridCol w:w="1000"/>
        <w:gridCol w:w="37"/>
        <w:gridCol w:w="36"/>
        <w:gridCol w:w="36"/>
        <w:gridCol w:w="36"/>
        <w:gridCol w:w="37"/>
        <w:gridCol w:w="1007"/>
        <w:gridCol w:w="36"/>
        <w:gridCol w:w="36"/>
        <w:gridCol w:w="36"/>
        <w:gridCol w:w="36"/>
        <w:gridCol w:w="110"/>
        <w:gridCol w:w="1004"/>
        <w:gridCol w:w="36"/>
      </w:tblGrid>
      <w:tr w:rsidR="00000000">
        <w:trPr>
          <w:divId w:val="1430420310"/>
        </w:trPr>
        <w:tc>
          <w:tcPr>
            <w:tcW w:w="50" w:type="pct"/>
            <w:vAlign w:val="center"/>
            <w:hideMark/>
          </w:tcPr>
          <w:p w:rsidR="00000000" w:rsidRDefault="006629D3">
            <w:pPr>
              <w:jc w:val="both"/>
              <w:rPr>
                <w:rFonts w:eastAsia="Times New Roman"/>
              </w:rPr>
            </w:pPr>
          </w:p>
        </w:tc>
        <w:tc>
          <w:tcPr>
            <w:tcW w:w="197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5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430420310"/>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Unaudited Pro Forma Condensed Combined Balance Sheets</w:t>
            </w:r>
          </w:p>
        </w:tc>
      </w:tr>
      <w:tr w:rsidR="00000000">
        <w:trPr>
          <w:divId w:val="1430420310"/>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As of December 31, 2019</w:t>
            </w:r>
          </w:p>
        </w:tc>
      </w:tr>
      <w:tr w:rsidR="00000000">
        <w:trPr>
          <w:divId w:val="143042031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Pro Forma</w:t>
            </w:r>
          </w:p>
        </w:tc>
      </w:tr>
      <w:tr w:rsidR="00000000">
        <w:trPr>
          <w:divId w:val="1430420310"/>
          <w:trHeight w:val="60"/>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Cash and cash equivalents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9,774 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12,935 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(a)</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22,709 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Inventories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3,570 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(3,570)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(b)</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4,264 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27,500 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(c)</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31,764 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18,491 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(d)</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16,837 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813 </w:t>
            </w:r>
          </w:p>
        </w:tc>
        <w:tc>
          <w:tcPr>
            <w:tcW w:w="0" w:type="auto"/>
            <w:shd w:val="clear" w:color="auto" w:fill="FFFF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(813)</w:t>
            </w:r>
          </w:p>
        </w:tc>
        <w:tc>
          <w:tcPr>
            <w:tcW w:w="0" w:type="auto"/>
            <w:shd w:val="clear" w:color="auto" w:fill="FFFF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6629D3">
            <w:pPr>
              <w:jc w:val="center"/>
              <w:rPr>
                <w:rFonts w:eastAsia="Times New Roman"/>
              </w:rPr>
            </w:pPr>
            <w:r>
              <w:rPr>
                <w:rFonts w:eastAsia="Times New Roman"/>
                <w:color w:val="000000"/>
                <w:sz w:val="18"/>
                <w:szCs w:val="18"/>
              </w:rPr>
              <w:t>(e)</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39,274 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(9,702)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(f)</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29,572 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assets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151,436 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24,696 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176,132 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Height w:val="180"/>
        </w:trPr>
        <w:tc>
          <w:tcPr>
            <w:tcW w:w="0" w:type="auto"/>
            <w:gridSpan w:val="3"/>
            <w:shd w:val="clear" w:color="auto" w:fill="CCEEFF"/>
            <w:tcMar>
              <w:top w:w="0" w:type="dxa"/>
              <w:left w:w="135"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LIABILITIES AND 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Current portion of long-term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5,554 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(5,054)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(g)</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19,810 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(h)</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22,610 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Long-term contingent consideration payable, less current portion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11,773 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(11,773)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(g)</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180,635 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(14,027)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166,608 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Height w:val="220"/>
        </w:trPr>
        <w:tc>
          <w:tcPr>
            <w:tcW w:w="0" w:type="auto"/>
            <w:gridSpan w:val="3"/>
            <w:shd w:val="clear" w:color="auto" w:fill="CCEEFF"/>
            <w:tcMar>
              <w:top w:w="0" w:type="dxa"/>
              <w:left w:w="135"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Shareholders’ equity (deficit):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(391,215)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38,723 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(i)</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(352,492)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43042031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shareholders’ (deficit) equity</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(29,199)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38,723 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9,524 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430420310"/>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liabilities and shareholders’ equity (deficit)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151,436 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24,696 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176,132 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p>
    <w:p w:rsidR="00000000" w:rsidRDefault="006629D3">
      <w:pPr>
        <w:jc w:val="center"/>
        <w:divId w:val="888691872"/>
        <w:rPr>
          <w:rFonts w:eastAsia="Times New Roman"/>
        </w:rPr>
      </w:pPr>
      <w:r>
        <w:rPr>
          <w:rFonts w:eastAsia="Times New Roman"/>
          <w:color w:val="000000"/>
          <w:sz w:val="20"/>
          <w:szCs w:val="20"/>
        </w:rPr>
        <w:t>- 14 -</w:t>
      </w:r>
    </w:p>
    <w:p w:rsidR="00000000" w:rsidRDefault="006629D3">
      <w:pPr>
        <w:rPr>
          <w:rFonts w:eastAsia="Times New Roman"/>
        </w:rPr>
      </w:pPr>
      <w:r>
        <w:rPr>
          <w:rFonts w:eastAsia="Times New Roman"/>
        </w:rPr>
        <w:pict>
          <v:rect id="_x0000_i1039" style="width:0;height:1.5pt" o:hralign="center" o:hrstd="t" o:hr="t" fillcolor="#a0a0a0" stroked="f"/>
        </w:pict>
      </w:r>
    </w:p>
    <w:p w:rsidR="00000000" w:rsidRDefault="006629D3">
      <w:pPr>
        <w:divId w:val="1099106359"/>
        <w:rPr>
          <w:rFonts w:eastAsia="Times New Roman"/>
        </w:rPr>
      </w:pPr>
    </w:p>
    <w:p w:rsidR="00000000" w:rsidRDefault="006629D3">
      <w:pPr>
        <w:jc w:val="both"/>
        <w:rPr>
          <w:rFonts w:eastAsia="Times New Roman"/>
        </w:rPr>
      </w:pPr>
      <w:r>
        <w:rPr>
          <w:rFonts w:eastAsia="Times New Roman"/>
          <w:b/>
          <w:bCs/>
          <w:i/>
          <w:iCs/>
          <w:color w:val="000000"/>
          <w:sz w:val="20"/>
          <w:szCs w:val="20"/>
        </w:rPr>
        <w:t>Adjustments to the pro forma unaudited condensed combined balance sheet</w:t>
      </w:r>
    </w:p>
    <w:p w:rsidR="00000000" w:rsidRDefault="006629D3">
      <w:pPr>
        <w:divId w:val="1649362031"/>
        <w:rPr>
          <w:rFonts w:eastAsia="Times New Roman"/>
        </w:rPr>
      </w:pPr>
    </w:p>
    <w:p w:rsidR="00000000" w:rsidRDefault="006629D3">
      <w:pPr>
        <w:jc w:val="both"/>
        <w:rPr>
          <w:rFonts w:eastAsia="Times New Roman"/>
        </w:rPr>
      </w:pPr>
      <w:r>
        <w:rPr>
          <w:rFonts w:eastAsia="Times New Roman"/>
          <w:color w:val="000000"/>
          <w:sz w:val="20"/>
          <w:szCs w:val="20"/>
        </w:rPr>
        <w:t>(a)</w:t>
      </w:r>
      <w:r>
        <w:rPr>
          <w:rFonts w:eastAsia="Times New Roman"/>
          <w:color w:val="000000"/>
        </w:rPr>
        <w:t xml:space="preserve"> </w:t>
      </w:r>
      <w:r>
        <w:rPr>
          <w:rFonts w:eastAsia="Times New Roman"/>
          <w:color w:val="000000"/>
          <w:sz w:val="20"/>
          <w:szCs w:val="20"/>
        </w:rPr>
        <w:t>This adjustment represents the receipt of $14,500 cash consideration from the Exela Buyer at the closing of the Transaction less $1,565 plac</w:t>
      </w:r>
      <w:r>
        <w:rPr>
          <w:rFonts w:eastAsia="Times New Roman"/>
          <w:color w:val="000000"/>
          <w:sz w:val="20"/>
          <w:szCs w:val="20"/>
        </w:rPr>
        <w:t>ed into escrow for the estimated earn outs and royalties payable to Breaking Stick Holdings L.L.C., Horizon Santé FLML, Sarl,</w:t>
      </w:r>
      <w:r>
        <w:rPr>
          <w:rFonts w:eastAsia="Times New Roman"/>
          <w:color w:val="000000"/>
        </w:rPr>
        <w:t xml:space="preserve"> </w:t>
      </w:r>
      <w:r>
        <w:rPr>
          <w:rFonts w:eastAsia="Times New Roman"/>
          <w:color w:val="000000"/>
          <w:sz w:val="20"/>
          <w:szCs w:val="20"/>
        </w:rPr>
        <w:t>Deerfield Private Design Fund II, L.P., all affiliates of Deerfield Capital L.P. ("Deerfield") and Broadfin Healthcare Master Fund</w:t>
      </w:r>
      <w:r>
        <w:rPr>
          <w:rFonts w:eastAsia="Times New Roman"/>
          <w:color w:val="000000"/>
          <w:sz w:val="20"/>
          <w:szCs w:val="20"/>
        </w:rPr>
        <w:t xml:space="preserve"> ("Broadfin") for the current quarter ended.</w:t>
      </w:r>
    </w:p>
    <w:p w:rsidR="00000000" w:rsidRDefault="006629D3">
      <w:pPr>
        <w:divId w:val="1649019446"/>
        <w:rPr>
          <w:rFonts w:eastAsia="Times New Roman"/>
        </w:rPr>
      </w:pPr>
    </w:p>
    <w:p w:rsidR="00000000" w:rsidRDefault="006629D3">
      <w:pPr>
        <w:jc w:val="both"/>
        <w:rPr>
          <w:rFonts w:eastAsia="Times New Roman"/>
        </w:rPr>
      </w:pPr>
      <w:r>
        <w:rPr>
          <w:rFonts w:eastAsia="Times New Roman"/>
          <w:color w:val="000000"/>
          <w:sz w:val="20"/>
          <w:szCs w:val="20"/>
        </w:rPr>
        <w:t>(b)</w:t>
      </w:r>
      <w:r>
        <w:rPr>
          <w:rFonts w:eastAsia="Times New Roman"/>
          <w:color w:val="000000"/>
        </w:rPr>
        <w:t xml:space="preserve"> </w:t>
      </w:r>
      <w:r>
        <w:rPr>
          <w:rFonts w:eastAsia="Times New Roman"/>
          <w:color w:val="000000"/>
          <w:sz w:val="20"/>
          <w:szCs w:val="20"/>
        </w:rPr>
        <w:t>This adjustment reflects the elimination of Inventories that were purchased as part of the Transaction.</w:t>
      </w:r>
    </w:p>
    <w:p w:rsidR="00000000" w:rsidRDefault="006629D3">
      <w:pPr>
        <w:divId w:val="1085762722"/>
        <w:rPr>
          <w:rFonts w:eastAsia="Times New Roman"/>
        </w:rPr>
      </w:pPr>
    </w:p>
    <w:p w:rsidR="00000000" w:rsidRDefault="006629D3">
      <w:pPr>
        <w:jc w:val="both"/>
        <w:rPr>
          <w:rFonts w:eastAsia="Times New Roman"/>
        </w:rPr>
      </w:pPr>
      <w:r>
        <w:rPr>
          <w:rFonts w:eastAsia="Times New Roman"/>
          <w:color w:val="000000"/>
          <w:sz w:val="20"/>
          <w:szCs w:val="20"/>
        </w:rPr>
        <w:t>(c)</w:t>
      </w:r>
      <w:r>
        <w:rPr>
          <w:rFonts w:eastAsia="Times New Roman"/>
          <w:color w:val="000000"/>
        </w:rPr>
        <w:t xml:space="preserve"> </w:t>
      </w:r>
      <w:r>
        <w:rPr>
          <w:rFonts w:eastAsia="Times New Roman"/>
          <w:color w:val="000000"/>
          <w:sz w:val="20"/>
          <w:szCs w:val="20"/>
        </w:rPr>
        <w:t>This adjustment reflects the Transaction consideration in the form of</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monthly installment p</w:t>
      </w:r>
      <w:r>
        <w:rPr>
          <w:rFonts w:eastAsia="Times New Roman"/>
          <w:color w:val="000000"/>
          <w:sz w:val="20"/>
          <w:szCs w:val="20"/>
        </w:rPr>
        <w:t>ayments of $2,750 (totaling $27,500) beginning 90 days from the Closing date.</w:t>
      </w:r>
    </w:p>
    <w:p w:rsidR="00000000" w:rsidRDefault="006629D3">
      <w:pPr>
        <w:divId w:val="471217956"/>
        <w:rPr>
          <w:rFonts w:eastAsia="Times New Roman"/>
        </w:rPr>
      </w:pPr>
    </w:p>
    <w:p w:rsidR="00000000" w:rsidRDefault="006629D3">
      <w:pPr>
        <w:jc w:val="both"/>
        <w:rPr>
          <w:rFonts w:eastAsia="Times New Roman"/>
        </w:rPr>
      </w:pPr>
      <w:r>
        <w:rPr>
          <w:rFonts w:eastAsia="Times New Roman"/>
          <w:color w:val="000000"/>
          <w:sz w:val="20"/>
          <w:szCs w:val="20"/>
        </w:rPr>
        <w:t>(d)</w:t>
      </w:r>
      <w:r>
        <w:rPr>
          <w:rFonts w:eastAsia="Times New Roman"/>
          <w:color w:val="000000"/>
        </w:rPr>
        <w:t xml:space="preserve"> </w:t>
      </w:r>
      <w:r>
        <w:rPr>
          <w:rFonts w:eastAsia="Times New Roman"/>
          <w:color w:val="000000"/>
          <w:sz w:val="20"/>
          <w:szCs w:val="20"/>
        </w:rPr>
        <w:t>This adjustment reflects the elimination of $1,654 of Goodwill based on the relative fair value of the Hospital Products as a portion of the overall value of the Company.</w:t>
      </w:r>
    </w:p>
    <w:p w:rsidR="00000000" w:rsidRDefault="006629D3">
      <w:pPr>
        <w:divId w:val="2034571258"/>
        <w:rPr>
          <w:rFonts w:eastAsia="Times New Roman"/>
        </w:rPr>
      </w:pPr>
    </w:p>
    <w:p w:rsidR="00000000" w:rsidRDefault="006629D3">
      <w:pPr>
        <w:jc w:val="both"/>
        <w:rPr>
          <w:rFonts w:eastAsia="Times New Roman"/>
        </w:rPr>
      </w:pPr>
      <w:r>
        <w:rPr>
          <w:rFonts w:eastAsia="Times New Roman"/>
          <w:color w:val="000000"/>
          <w:sz w:val="20"/>
          <w:szCs w:val="20"/>
        </w:rPr>
        <w:t>(e)</w:t>
      </w:r>
      <w:r>
        <w:rPr>
          <w:rFonts w:eastAsia="Times New Roman"/>
          <w:color w:val="000000"/>
        </w:rPr>
        <w:t xml:space="preserve"> </w:t>
      </w:r>
      <w:r>
        <w:rPr>
          <w:rFonts w:eastAsia="Times New Roman"/>
          <w:color w:val="000000"/>
          <w:sz w:val="20"/>
          <w:szCs w:val="20"/>
        </w:rPr>
        <w:t>This adjustment reflects the elimination of the unamortized balance of the Intangible asset on acquired developed technology for Vazculep.</w:t>
      </w:r>
    </w:p>
    <w:p w:rsidR="00000000" w:rsidRDefault="006629D3">
      <w:pPr>
        <w:divId w:val="1899507613"/>
        <w:rPr>
          <w:rFonts w:eastAsia="Times New Roman"/>
        </w:rPr>
      </w:pPr>
    </w:p>
    <w:p w:rsidR="00000000" w:rsidRDefault="006629D3">
      <w:pPr>
        <w:jc w:val="both"/>
        <w:rPr>
          <w:rFonts w:eastAsia="Times New Roman"/>
        </w:rPr>
      </w:pPr>
      <w:r>
        <w:rPr>
          <w:rFonts w:eastAsia="Times New Roman"/>
          <w:color w:val="000000"/>
          <w:sz w:val="20"/>
          <w:szCs w:val="20"/>
        </w:rPr>
        <w:t>(f)</w:t>
      </w:r>
      <w:r>
        <w:rPr>
          <w:rFonts w:eastAsia="Times New Roman"/>
          <w:color w:val="000000"/>
        </w:rPr>
        <w:t xml:space="preserve"> </w:t>
      </w:r>
      <w:r>
        <w:rPr>
          <w:rFonts w:eastAsia="Times New Roman"/>
          <w:color w:val="000000"/>
          <w:sz w:val="20"/>
          <w:szCs w:val="20"/>
        </w:rPr>
        <w:t xml:space="preserve">This adjustment reflects the elimination of $1,228 </w:t>
      </w:r>
      <w:r>
        <w:rPr>
          <w:rFonts w:eastAsia="Times New Roman"/>
          <w:color w:val="000000"/>
          <w:sz w:val="20"/>
          <w:szCs w:val="20"/>
        </w:rPr>
        <w:t>of other long-term assets and $8,474 of deferred tax assets at December 31, 2019.</w:t>
      </w:r>
      <w:r>
        <w:rPr>
          <w:rFonts w:eastAsia="Times New Roman"/>
          <w:color w:val="000000"/>
        </w:rPr>
        <w:t xml:space="preserve"> </w:t>
      </w:r>
      <w:r>
        <w:rPr>
          <w:rFonts w:eastAsia="Times New Roman"/>
          <w:color w:val="000000"/>
          <w:sz w:val="20"/>
          <w:szCs w:val="20"/>
        </w:rPr>
        <w:t>The eliminated deferred tax assets are tax attributes of the Hospital Products.</w:t>
      </w:r>
    </w:p>
    <w:p w:rsidR="00000000" w:rsidRDefault="006629D3">
      <w:pPr>
        <w:divId w:val="726878959"/>
        <w:rPr>
          <w:rFonts w:eastAsia="Times New Roman"/>
        </w:rPr>
      </w:pPr>
    </w:p>
    <w:p w:rsidR="00000000" w:rsidRDefault="006629D3">
      <w:pPr>
        <w:jc w:val="both"/>
        <w:rPr>
          <w:rFonts w:eastAsia="Times New Roman"/>
        </w:rPr>
      </w:pPr>
      <w:r>
        <w:rPr>
          <w:rFonts w:eastAsia="Times New Roman"/>
          <w:color w:val="000000"/>
          <w:sz w:val="20"/>
          <w:szCs w:val="20"/>
        </w:rPr>
        <w:t>(g)</w:t>
      </w:r>
      <w:r>
        <w:rPr>
          <w:rFonts w:eastAsia="Times New Roman"/>
          <w:color w:val="000000"/>
        </w:rPr>
        <w:t xml:space="preserve"> </w:t>
      </w:r>
      <w:r>
        <w:rPr>
          <w:rFonts w:eastAsia="Times New Roman"/>
          <w:color w:val="000000"/>
          <w:sz w:val="20"/>
          <w:szCs w:val="20"/>
        </w:rPr>
        <w:t xml:space="preserve">This adjustment reflects the elimination of short and long term related party payables, </w:t>
      </w:r>
      <w:r>
        <w:rPr>
          <w:rFonts w:eastAsia="Times New Roman"/>
          <w:color w:val="000000"/>
          <w:sz w:val="20"/>
          <w:szCs w:val="20"/>
        </w:rPr>
        <w:t>less the expected amounts due to Deerfield and Broadfin after taking into consideration the escrow discussed in Note (a).</w:t>
      </w:r>
      <w:r>
        <w:rPr>
          <w:rFonts w:eastAsia="Times New Roman"/>
          <w:color w:val="000000"/>
        </w:rPr>
        <w:t xml:space="preserve"> </w:t>
      </w:r>
      <w:r>
        <w:rPr>
          <w:rFonts w:eastAsia="Times New Roman"/>
          <w:color w:val="000000"/>
          <w:sz w:val="20"/>
          <w:szCs w:val="20"/>
        </w:rPr>
        <w:t xml:space="preserve">As part of the Transaction, the buyer agreed to assume the quarterly earn-out and royalty payments for periods after the close of the </w:t>
      </w:r>
      <w:r>
        <w:rPr>
          <w:rFonts w:eastAsia="Times New Roman"/>
          <w:color w:val="000000"/>
          <w:sz w:val="20"/>
          <w:szCs w:val="20"/>
        </w:rPr>
        <w:t>Transaction.</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6629D3">
      <w:pPr>
        <w:divId w:val="1243830814"/>
        <w:rPr>
          <w:rFonts w:eastAsia="Times New Roman"/>
        </w:rPr>
      </w:pPr>
    </w:p>
    <w:p w:rsidR="00000000" w:rsidRDefault="006629D3">
      <w:pPr>
        <w:jc w:val="both"/>
        <w:rPr>
          <w:rFonts w:eastAsia="Times New Roman"/>
        </w:rPr>
      </w:pPr>
      <w:r>
        <w:rPr>
          <w:rFonts w:eastAsia="Times New Roman"/>
          <w:color w:val="000000"/>
          <w:sz w:val="20"/>
          <w:szCs w:val="20"/>
        </w:rPr>
        <w:t>(h)</w:t>
      </w:r>
      <w:r>
        <w:rPr>
          <w:rFonts w:eastAsia="Times New Roman"/>
          <w:color w:val="000000"/>
        </w:rPr>
        <w:t xml:space="preserve"> </w:t>
      </w:r>
      <w:r>
        <w:rPr>
          <w:rFonts w:eastAsia="Times New Roman"/>
          <w:color w:val="000000"/>
          <w:sz w:val="20"/>
          <w:szCs w:val="20"/>
        </w:rPr>
        <w:t>This adjustment reflects the estimated transaction fees payable related to the Transaction.</w:t>
      </w:r>
    </w:p>
    <w:p w:rsidR="00000000" w:rsidRDefault="006629D3">
      <w:pPr>
        <w:divId w:val="1451047929"/>
        <w:rPr>
          <w:rFonts w:eastAsia="Times New Roman"/>
        </w:rPr>
      </w:pPr>
    </w:p>
    <w:p w:rsidR="00000000" w:rsidRDefault="006629D3">
      <w:pPr>
        <w:jc w:val="both"/>
        <w:rPr>
          <w:rFonts w:eastAsia="Times New Roman"/>
        </w:rPr>
      </w:pPr>
      <w:r>
        <w:rPr>
          <w:rFonts w:eastAsia="Times New Roman"/>
          <w:color w:val="000000"/>
          <w:sz w:val="20"/>
          <w:szCs w:val="20"/>
        </w:rPr>
        <w:t>(i)</w:t>
      </w:r>
      <w:r>
        <w:rPr>
          <w:rFonts w:eastAsia="Times New Roman"/>
          <w:color w:val="000000"/>
        </w:rPr>
        <w:t xml:space="preserve"> </w:t>
      </w:r>
      <w:r>
        <w:rPr>
          <w:rFonts w:eastAsia="Times New Roman"/>
          <w:color w:val="000000"/>
          <w:sz w:val="20"/>
          <w:szCs w:val="20"/>
        </w:rPr>
        <w:t>This adjustment reflects the estimated gain of $38,723 arising from the Trans</w:t>
      </w:r>
      <w:r>
        <w:rPr>
          <w:rFonts w:eastAsia="Times New Roman"/>
          <w:color w:val="000000"/>
          <w:sz w:val="20"/>
          <w:szCs w:val="20"/>
        </w:rPr>
        <w:t>action for the year ended December 31, 2019.</w:t>
      </w:r>
      <w:r>
        <w:rPr>
          <w:rFonts w:eastAsia="Times New Roman"/>
          <w:color w:val="000000"/>
        </w:rPr>
        <w:t xml:space="preserve"> </w:t>
      </w:r>
      <w:r>
        <w:rPr>
          <w:rFonts w:eastAsia="Times New Roman"/>
          <w:color w:val="000000"/>
          <w:sz w:val="20"/>
          <w:szCs w:val="20"/>
        </w:rPr>
        <w:t>This estimated gain has not been reflected in the pro forma unaudited condensed combined statements of loss as it is considered to be nonrecurring in nature. No adjustment has been made to the sale proceeds to g</w:t>
      </w:r>
      <w:r>
        <w:rPr>
          <w:rFonts w:eastAsia="Times New Roman"/>
          <w:color w:val="000000"/>
          <w:sz w:val="20"/>
          <w:szCs w:val="20"/>
        </w:rPr>
        <w:t xml:space="preserve">ive effect to any potential post-closing adjustments under the terms of the Purchase Agreement. </w:t>
      </w:r>
    </w:p>
    <w:p w:rsidR="00000000" w:rsidRDefault="006629D3">
      <w:pPr>
        <w:jc w:val="both"/>
        <w:rPr>
          <w:rFonts w:eastAsia="Times New Roman"/>
        </w:rPr>
      </w:pPr>
    </w:p>
    <w:p w:rsidR="00000000" w:rsidRDefault="006629D3">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1"/>
        <w:gridCol w:w="1000"/>
        <w:gridCol w:w="37"/>
        <w:gridCol w:w="36"/>
        <w:gridCol w:w="36"/>
        <w:gridCol w:w="36"/>
        <w:gridCol w:w="111"/>
        <w:gridCol w:w="1000"/>
        <w:gridCol w:w="37"/>
        <w:gridCol w:w="36"/>
        <w:gridCol w:w="36"/>
        <w:gridCol w:w="36"/>
        <w:gridCol w:w="37"/>
        <w:gridCol w:w="1005"/>
        <w:gridCol w:w="36"/>
        <w:gridCol w:w="36"/>
        <w:gridCol w:w="36"/>
        <w:gridCol w:w="36"/>
        <w:gridCol w:w="110"/>
        <w:gridCol w:w="1004"/>
        <w:gridCol w:w="36"/>
      </w:tblGrid>
      <w:tr w:rsidR="00000000">
        <w:trPr>
          <w:divId w:val="708844807"/>
        </w:trPr>
        <w:tc>
          <w:tcPr>
            <w:tcW w:w="50" w:type="pct"/>
            <w:vAlign w:val="center"/>
            <w:hideMark/>
          </w:tcPr>
          <w:p w:rsidR="00000000" w:rsidRDefault="006629D3">
            <w:pPr>
              <w:jc w:val="both"/>
              <w:rPr>
                <w:rFonts w:eastAsia="Times New Roman"/>
              </w:rPr>
            </w:pPr>
          </w:p>
        </w:tc>
        <w:tc>
          <w:tcPr>
            <w:tcW w:w="197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5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708844807"/>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Unaudited Pro Forma Condensed Combined Statement of Income (Loss)</w:t>
            </w:r>
          </w:p>
        </w:tc>
      </w:tr>
      <w:tr w:rsidR="00000000">
        <w:trPr>
          <w:divId w:val="708844807"/>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 2020</w:t>
            </w:r>
          </w:p>
        </w:tc>
      </w:tr>
      <w:tr w:rsidR="00000000">
        <w:trPr>
          <w:divId w:val="708844807"/>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Pro Forma</w:t>
            </w:r>
          </w:p>
        </w:tc>
      </w:tr>
      <w:tr w:rsidR="00000000">
        <w:trPr>
          <w:divId w:val="708844807"/>
          <w:trHeight w:val="60"/>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(22,175)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(j)</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08844807"/>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2,259 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(8,489)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(k)</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(6,230)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08844807"/>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income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20,075 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(13,686)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6,389 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08844807"/>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08844807"/>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9,048 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(13,251)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(l)</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(4,203)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p>
    <w:p w:rsidR="00000000" w:rsidRDefault="006629D3">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0"/>
        <w:gridCol w:w="1000"/>
        <w:gridCol w:w="36"/>
        <w:gridCol w:w="36"/>
        <w:gridCol w:w="36"/>
        <w:gridCol w:w="36"/>
        <w:gridCol w:w="111"/>
        <w:gridCol w:w="1000"/>
        <w:gridCol w:w="37"/>
        <w:gridCol w:w="36"/>
        <w:gridCol w:w="36"/>
        <w:gridCol w:w="36"/>
        <w:gridCol w:w="37"/>
        <w:gridCol w:w="1007"/>
        <w:gridCol w:w="36"/>
        <w:gridCol w:w="36"/>
        <w:gridCol w:w="36"/>
        <w:gridCol w:w="36"/>
        <w:gridCol w:w="110"/>
        <w:gridCol w:w="1004"/>
        <w:gridCol w:w="36"/>
      </w:tblGrid>
      <w:tr w:rsidR="00000000">
        <w:trPr>
          <w:divId w:val="822626634"/>
        </w:trPr>
        <w:tc>
          <w:tcPr>
            <w:tcW w:w="50" w:type="pct"/>
            <w:vAlign w:val="center"/>
            <w:hideMark/>
          </w:tcPr>
          <w:p w:rsidR="00000000" w:rsidRDefault="006629D3">
            <w:pPr>
              <w:jc w:val="both"/>
              <w:rPr>
                <w:rFonts w:eastAsia="Times New Roman"/>
              </w:rPr>
            </w:pPr>
          </w:p>
        </w:tc>
        <w:tc>
          <w:tcPr>
            <w:tcW w:w="197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5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822626634"/>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Unaudited Pro Forma Condensed Combined Statement of Loss</w:t>
            </w:r>
          </w:p>
        </w:tc>
      </w:tr>
      <w:tr w:rsidR="00000000">
        <w:trPr>
          <w:divId w:val="822626634"/>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 2019</w:t>
            </w:r>
          </w:p>
        </w:tc>
      </w:tr>
      <w:tr w:rsidR="00000000">
        <w:trPr>
          <w:divId w:val="822626634"/>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Pro Forma</w:t>
            </w:r>
          </w:p>
        </w:tc>
      </w:tr>
      <w:tr w:rsidR="00000000">
        <w:trPr>
          <w:divId w:val="822626634"/>
          <w:trHeight w:val="60"/>
        </w:trPr>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48,220 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(48,007)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(j)</w:t>
            </w:r>
          </w:p>
        </w:tc>
        <w:tc>
          <w:tcPr>
            <w:tcW w:w="0" w:type="auto"/>
            <w:gridSpan w:val="3"/>
            <w:shd w:val="clear" w:color="auto" w:fill="CCEEFF"/>
            <w:tcMar>
              <w:top w:w="0" w:type="dxa"/>
              <w:left w:w="20" w:type="dxa"/>
              <w:bottom w:w="0" w:type="dxa"/>
              <w:right w:w="20" w:type="dxa"/>
            </w:tcMar>
            <w:vAlign w:val="center"/>
            <w:hideMark/>
          </w:tcPr>
          <w:p w:rsidR="00000000" w:rsidRDefault="006629D3">
            <w:pPr>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822626634"/>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64,985 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(14,398)</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(m)</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50,587 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822626634"/>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loss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(16,765)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(33,609)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(50,374)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822626634"/>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22626634"/>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(26,846)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(33,113)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color w:val="000000"/>
                <w:sz w:val="18"/>
                <w:szCs w:val="18"/>
              </w:rPr>
              <w:t>(n)</w:t>
            </w:r>
          </w:p>
        </w:tc>
        <w:tc>
          <w:tcPr>
            <w:tcW w:w="0" w:type="auto"/>
            <w:gridSpan w:val="3"/>
            <w:shd w:val="clear" w:color="auto" w:fill="FFFFFF"/>
            <w:tcMar>
              <w:top w:w="0" w:type="dxa"/>
              <w:left w:w="20" w:type="dxa"/>
              <w:bottom w:w="0" w:type="dxa"/>
              <w:right w:w="20" w:type="dxa"/>
            </w:tcMar>
            <w:vAlign w:val="center"/>
            <w:hideMark/>
          </w:tcPr>
          <w:p w:rsidR="00000000" w:rsidRDefault="006629D3">
            <w:pPr>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(59,959)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p>
    <w:p w:rsidR="00000000" w:rsidRDefault="006629D3">
      <w:pPr>
        <w:jc w:val="center"/>
        <w:divId w:val="1078482577"/>
        <w:rPr>
          <w:rFonts w:eastAsia="Times New Roman"/>
        </w:rPr>
      </w:pPr>
      <w:r>
        <w:rPr>
          <w:rFonts w:eastAsia="Times New Roman"/>
          <w:color w:val="000000"/>
          <w:sz w:val="20"/>
          <w:szCs w:val="20"/>
        </w:rPr>
        <w:t>- 15 -</w:t>
      </w:r>
    </w:p>
    <w:p w:rsidR="00000000" w:rsidRDefault="006629D3">
      <w:pPr>
        <w:rPr>
          <w:rFonts w:eastAsia="Times New Roman"/>
        </w:rPr>
      </w:pPr>
      <w:r>
        <w:rPr>
          <w:rFonts w:eastAsia="Times New Roman"/>
        </w:rPr>
        <w:pict>
          <v:rect id="_x0000_i1040" style="width:0;height:1.5pt" o:hralign="center" o:hrstd="t" o:hr="t" fillcolor="#a0a0a0" stroked="f"/>
        </w:pict>
      </w:r>
    </w:p>
    <w:p w:rsidR="00000000" w:rsidRDefault="006629D3">
      <w:pPr>
        <w:divId w:val="1417901298"/>
        <w:rPr>
          <w:rFonts w:eastAsia="Times New Roman"/>
        </w:rPr>
      </w:pPr>
    </w:p>
    <w:p w:rsidR="00000000" w:rsidRDefault="006629D3">
      <w:pPr>
        <w:jc w:val="both"/>
        <w:rPr>
          <w:rFonts w:eastAsia="Times New Roman"/>
        </w:rPr>
      </w:pPr>
      <w:r>
        <w:rPr>
          <w:rFonts w:eastAsia="Times New Roman"/>
          <w:b/>
          <w:bCs/>
          <w:i/>
          <w:iCs/>
          <w:color w:val="000000"/>
          <w:sz w:val="20"/>
          <w:szCs w:val="20"/>
        </w:rPr>
        <w:t>Adjustments to the pro forma unaudited condensed combined statements of income (loss)</w:t>
      </w:r>
    </w:p>
    <w:p w:rsidR="00000000" w:rsidRDefault="006629D3">
      <w:pPr>
        <w:divId w:val="1982273495"/>
        <w:rPr>
          <w:rFonts w:eastAsia="Times New Roman"/>
        </w:rPr>
      </w:pPr>
    </w:p>
    <w:p w:rsidR="00000000" w:rsidRDefault="006629D3">
      <w:pPr>
        <w:jc w:val="both"/>
        <w:rPr>
          <w:rFonts w:eastAsia="Times New Roman"/>
        </w:rPr>
      </w:pPr>
      <w:r>
        <w:rPr>
          <w:rFonts w:eastAsia="Times New Roman"/>
          <w:color w:val="000000"/>
          <w:sz w:val="20"/>
          <w:szCs w:val="20"/>
        </w:rPr>
        <w:t>(j)</w:t>
      </w:r>
      <w:r>
        <w:rPr>
          <w:rFonts w:eastAsia="Times New Roman"/>
          <w:color w:val="000000"/>
        </w:rPr>
        <w:t xml:space="preserve"> </w:t>
      </w:r>
      <w:r>
        <w:rPr>
          <w:rFonts w:eastAsia="Times New Roman"/>
          <w:color w:val="000000"/>
          <w:sz w:val="20"/>
          <w:szCs w:val="20"/>
        </w:rPr>
        <w:t>This adjustment reflects Product sales attributable to the Hospital Products.</w:t>
      </w:r>
    </w:p>
    <w:p w:rsidR="00000000" w:rsidRDefault="006629D3">
      <w:pPr>
        <w:divId w:val="816340409"/>
        <w:rPr>
          <w:rFonts w:eastAsia="Times New Roman"/>
        </w:rPr>
      </w:pPr>
    </w:p>
    <w:p w:rsidR="00000000" w:rsidRDefault="006629D3">
      <w:pPr>
        <w:jc w:val="both"/>
        <w:rPr>
          <w:rFonts w:eastAsia="Times New Roman"/>
        </w:rPr>
      </w:pPr>
      <w:r>
        <w:rPr>
          <w:rFonts w:eastAsia="Times New Roman"/>
          <w:color w:val="000000"/>
          <w:sz w:val="20"/>
          <w:szCs w:val="20"/>
        </w:rPr>
        <w:t>(k)</w:t>
      </w:r>
      <w:r>
        <w:rPr>
          <w:rFonts w:eastAsia="Times New Roman"/>
          <w:color w:val="000000"/>
        </w:rPr>
        <w:t xml:space="preserve"> </w:t>
      </w:r>
      <w:r>
        <w:rPr>
          <w:rFonts w:eastAsia="Times New Roman"/>
          <w:color w:val="000000"/>
          <w:sz w:val="20"/>
          <w:szCs w:val="20"/>
        </w:rPr>
        <w:t>This adjustment reflects the following estimated expenses attributable to the Hospital Products:</w:t>
      </w:r>
    </w:p>
    <w:p w:rsidR="00000000" w:rsidRDefault="006629D3">
      <w:pPr>
        <w:jc w:val="both"/>
        <w:rPr>
          <w:rFonts w:eastAsia="Times New Roman"/>
        </w:rPr>
      </w:pP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Cost of products of $3,540.</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Research and Development expenses of $407.</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Selling, general and administrative expenses of $809.</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Intangible asset amortizatio</w:t>
      </w:r>
      <w:r>
        <w:rPr>
          <w:rFonts w:eastAsia="Times New Roman"/>
          <w:color w:val="000000"/>
          <w:sz w:val="20"/>
          <w:szCs w:val="20"/>
        </w:rPr>
        <w:t xml:space="preserve">n on acquired development technology for Vazculep of $406. </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Changes in fair value of related party contingent consideration of $3,327.</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6629D3">
      <w:pPr>
        <w:divId w:val="833451671"/>
        <w:rPr>
          <w:rFonts w:eastAsia="Times New Roman"/>
        </w:rPr>
      </w:pPr>
    </w:p>
    <w:p w:rsidR="00000000" w:rsidRDefault="006629D3">
      <w:pPr>
        <w:jc w:val="both"/>
        <w:rPr>
          <w:rFonts w:eastAsia="Times New Roman"/>
        </w:rPr>
      </w:pPr>
      <w:r>
        <w:rPr>
          <w:rFonts w:eastAsia="Times New Roman"/>
          <w:color w:val="000000"/>
          <w:sz w:val="20"/>
          <w:szCs w:val="20"/>
        </w:rPr>
        <w:t>(l)</w:t>
      </w:r>
      <w:r>
        <w:rPr>
          <w:rFonts w:eastAsia="Times New Roman"/>
          <w:color w:val="000000"/>
        </w:rPr>
        <w:t xml:space="preserve"> </w:t>
      </w:r>
      <w:r>
        <w:rPr>
          <w:rFonts w:eastAsia="Times New Roman"/>
          <w:color w:val="000000"/>
          <w:sz w:val="20"/>
          <w:szCs w:val="20"/>
        </w:rPr>
        <w:t>This amount reflects the adjustments noted in (j) an</w:t>
      </w:r>
      <w:r>
        <w:rPr>
          <w:rFonts w:eastAsia="Times New Roman"/>
          <w:color w:val="000000"/>
          <w:sz w:val="20"/>
          <w:szCs w:val="20"/>
        </w:rPr>
        <w:t>d (k) above, as well as estimated Changes in fair value of related party payable</w:t>
      </w:r>
      <w:r>
        <w:rPr>
          <w:rFonts w:eastAsia="Times New Roman"/>
          <w:color w:val="000000"/>
        </w:rPr>
        <w:t xml:space="preserve"> </w:t>
      </w:r>
      <w:r>
        <w:rPr>
          <w:rFonts w:eastAsia="Times New Roman"/>
          <w:color w:val="000000"/>
          <w:sz w:val="20"/>
          <w:szCs w:val="20"/>
        </w:rPr>
        <w:t>of $435 attributable to the Hospital Products.</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6629D3">
      <w:pPr>
        <w:divId w:val="640234347"/>
        <w:rPr>
          <w:rFonts w:eastAsia="Times New Roman"/>
        </w:rPr>
      </w:pPr>
    </w:p>
    <w:p w:rsidR="00000000" w:rsidRDefault="006629D3">
      <w:pPr>
        <w:jc w:val="both"/>
        <w:rPr>
          <w:rFonts w:eastAsia="Times New Roman"/>
        </w:rPr>
      </w:pPr>
      <w:r>
        <w:rPr>
          <w:rFonts w:eastAsia="Times New Roman"/>
          <w:color w:val="000000"/>
          <w:sz w:val="20"/>
          <w:szCs w:val="20"/>
        </w:rPr>
        <w:t>(m)</w:t>
      </w:r>
      <w:r>
        <w:rPr>
          <w:rFonts w:eastAsia="Times New Roman"/>
          <w:color w:val="000000"/>
        </w:rPr>
        <w:t xml:space="preserve"> </w:t>
      </w:r>
      <w:r>
        <w:rPr>
          <w:rFonts w:eastAsia="Times New Roman"/>
          <w:color w:val="000000"/>
          <w:sz w:val="20"/>
          <w:szCs w:val="20"/>
        </w:rPr>
        <w:t>This adjustment reflects the following estimated expenses at</w:t>
      </w:r>
      <w:r>
        <w:rPr>
          <w:rFonts w:eastAsia="Times New Roman"/>
          <w:color w:val="000000"/>
          <w:sz w:val="20"/>
          <w:szCs w:val="20"/>
        </w:rPr>
        <w:t>tributable to the Hospital Products:</w:t>
      </w:r>
    </w:p>
    <w:p w:rsidR="00000000" w:rsidRDefault="006629D3">
      <w:pPr>
        <w:jc w:val="both"/>
        <w:rPr>
          <w:rFonts w:eastAsia="Times New Roman"/>
        </w:rPr>
      </w:pP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Cost of products of $8,972.</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Research and Development expenses of $1,604.</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Selling, general and administrative expenses of $828.</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Intangible asset amortization on acquired development technology for Vazculep of $610.</w:t>
      </w:r>
      <w:r>
        <w:rPr>
          <w:rFonts w:eastAsia="Times New Roman"/>
          <w:color w:val="000000"/>
          <w:sz w:val="20"/>
          <w:szCs w:val="20"/>
        </w:rPr>
        <w:t xml:space="preserve"> </w:t>
      </w:r>
    </w:p>
    <w:p w:rsidR="00000000" w:rsidRDefault="006629D3">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Changes in fair value of related party contingent consideration of $2,384.</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6629D3">
      <w:pPr>
        <w:divId w:val="868031182"/>
        <w:rPr>
          <w:rFonts w:eastAsia="Times New Roman"/>
        </w:rPr>
      </w:pPr>
    </w:p>
    <w:p w:rsidR="00000000" w:rsidRDefault="006629D3">
      <w:pPr>
        <w:jc w:val="both"/>
        <w:rPr>
          <w:rFonts w:eastAsia="Times New Roman"/>
        </w:rPr>
      </w:pPr>
      <w:r>
        <w:rPr>
          <w:rFonts w:eastAsia="Times New Roman"/>
          <w:color w:val="000000"/>
          <w:sz w:val="20"/>
          <w:szCs w:val="20"/>
        </w:rPr>
        <w:t>(n)</w:t>
      </w:r>
      <w:r>
        <w:rPr>
          <w:rFonts w:eastAsia="Times New Roman"/>
          <w:color w:val="000000"/>
        </w:rPr>
        <w:t xml:space="preserve"> </w:t>
      </w:r>
      <w:r>
        <w:rPr>
          <w:rFonts w:eastAsia="Times New Roman"/>
          <w:color w:val="000000"/>
          <w:sz w:val="20"/>
          <w:szCs w:val="20"/>
        </w:rPr>
        <w:t xml:space="preserve">This amount reflects the adjustments noted in (j) and (m) above, as well as the reversal of estimated Changes </w:t>
      </w:r>
      <w:r>
        <w:rPr>
          <w:rFonts w:eastAsia="Times New Roman"/>
          <w:color w:val="000000"/>
          <w:sz w:val="20"/>
          <w:szCs w:val="20"/>
        </w:rPr>
        <w:t>in fair value of related party payable of $496 attributable to the Hospital Products.</w:t>
      </w:r>
      <w:r>
        <w:rPr>
          <w:rFonts w:eastAsia="Times New Roman"/>
          <w:color w:val="000000"/>
        </w:rPr>
        <w:t xml:space="preserve"> </w:t>
      </w:r>
      <w:r>
        <w:rPr>
          <w:rFonts w:eastAsia="Times New Roman"/>
          <w:color w:val="000000"/>
          <w:sz w:val="20"/>
          <w:szCs w:val="20"/>
        </w:rPr>
        <w:t>The Company will no longer be responsible for these payments.</w:t>
      </w:r>
    </w:p>
    <w:p w:rsidR="00000000" w:rsidRDefault="006629D3">
      <w:pPr>
        <w:divId w:val="1940331719"/>
        <w:rPr>
          <w:rFonts w:eastAsia="Times New Roman"/>
        </w:rPr>
      </w:pPr>
    </w:p>
    <w:p w:rsidR="00000000" w:rsidRDefault="006629D3">
      <w:pPr>
        <w:divId w:val="178740730"/>
        <w:rPr>
          <w:rFonts w:eastAsia="Times New Roman"/>
        </w:rPr>
      </w:pPr>
      <w:r>
        <w:rPr>
          <w:rFonts w:eastAsia="Times New Roman"/>
          <w:b/>
          <w:bCs/>
          <w:color w:val="000000"/>
          <w:sz w:val="20"/>
          <w:szCs w:val="20"/>
        </w:rPr>
        <w:t>NOTE 5: Revenue Recognition</w:t>
      </w:r>
    </w:p>
    <w:p w:rsidR="00000000" w:rsidRDefault="006629D3">
      <w:pPr>
        <w:divId w:val="1620988471"/>
        <w:rPr>
          <w:rFonts w:eastAsia="Times New Roman"/>
        </w:rPr>
      </w:pPr>
    </w:p>
    <w:p w:rsidR="00000000" w:rsidRDefault="006629D3">
      <w:pPr>
        <w:jc w:val="both"/>
        <w:rPr>
          <w:rFonts w:eastAsia="Times New Roman"/>
        </w:rPr>
      </w:pPr>
      <w:r>
        <w:rPr>
          <w:rFonts w:eastAsia="Times New Roman"/>
          <w:color w:val="000000"/>
          <w:sz w:val="20"/>
          <w:szCs w:val="20"/>
        </w:rPr>
        <w:t>Prior to June 30, 2020, we generated revenue primarily from the sale of phar</w:t>
      </w:r>
      <w:r>
        <w:rPr>
          <w:rFonts w:eastAsia="Times New Roman"/>
          <w:color w:val="000000"/>
          <w:sz w:val="20"/>
          <w:szCs w:val="20"/>
        </w:rPr>
        <w:t xml:space="preserve">maceutical products to customers. On June 30, 2020, we sold the Hospital Products. See </w:t>
      </w:r>
      <w:r>
        <w:rPr>
          <w:rFonts w:eastAsia="Times New Roman"/>
          <w:i/>
          <w:iCs/>
          <w:color w:val="000000"/>
          <w:sz w:val="20"/>
          <w:szCs w:val="20"/>
        </w:rPr>
        <w:t>Note 4: Disposition of the Hospital Products.</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D0D0D"/>
          <w:sz w:val="20"/>
          <w:szCs w:val="20"/>
        </w:rPr>
        <w:t xml:space="preserve">Product Sales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Prior to June 30, 2020, we sold products primarily through wholesalers and considered these wholesalers to be our customers. Revenue from product sales was recognized when the customer obtained control of our product and our performance obligations were me</w:t>
      </w:r>
      <w:r>
        <w:rPr>
          <w:rFonts w:eastAsia="Times New Roman"/>
          <w:color w:val="000000"/>
          <w:sz w:val="20"/>
          <w:szCs w:val="20"/>
        </w:rPr>
        <w:t>t, which occurred typically upon receipt of delivery to the customer. As is customary in the pharmaceutical industry, our gross product sales were subject to a variety of price adjustments in arriving at reported net product sales. These adjustments includ</w:t>
      </w:r>
      <w:r>
        <w:rPr>
          <w:rFonts w:eastAsia="Times New Roman"/>
          <w:color w:val="000000"/>
          <w:sz w:val="20"/>
          <w:szCs w:val="20"/>
        </w:rPr>
        <w:t>ed estimates for product returns, chargebacks, payment discounts, rebates, and other sales allowances and are estimated when the product is delivered based on analysis of historical data for the product or comparable products, as well as future expectation</w:t>
      </w:r>
      <w:r>
        <w:rPr>
          <w:rFonts w:eastAsia="Times New Roman"/>
          <w:color w:val="000000"/>
          <w:sz w:val="20"/>
          <w:szCs w:val="20"/>
        </w:rPr>
        <w:t xml:space="preserve">s for such products. </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D0D0D"/>
          <w:sz w:val="20"/>
          <w:szCs w:val="20"/>
        </w:rPr>
        <w:t>Reserves to Reduce Gross Revenues to Net Revenues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Revenues from product sales were recorded at the net selling price, which included estimated reserves to reduce gross product sales to net product sales resulting from product retu</w:t>
      </w:r>
      <w:r>
        <w:rPr>
          <w:rFonts w:eastAsia="Times New Roman"/>
          <w:color w:val="000000"/>
          <w:sz w:val="20"/>
          <w:szCs w:val="20"/>
        </w:rPr>
        <w:t>rns, chargebacks, payment discounts, rebates, and other sales allowances that are offered within contracts between the Company and its customers and end users. These reserves were based on the amounts earned or to be claimed on the related sales and were c</w:t>
      </w:r>
      <w:r>
        <w:rPr>
          <w:rFonts w:eastAsia="Times New Roman"/>
          <w:color w:val="000000"/>
          <w:sz w:val="20"/>
          <w:szCs w:val="20"/>
        </w:rPr>
        <w:t xml:space="preserve">lassified as reductions of accounts receivable if the amount is payable to the customer, except in the case of the estimated reserve for future expired product returns, which are classified as a liability. The reserves are classified as a liability if the </w:t>
      </w:r>
      <w:r>
        <w:rPr>
          <w:rFonts w:eastAsia="Times New Roman"/>
          <w:color w:val="000000"/>
          <w:sz w:val="20"/>
          <w:szCs w:val="20"/>
        </w:rPr>
        <w:t>amount is payable to a party other than a customer. Where appropriate, these estimated reserves take into consideration relevant factors such as the Company’s historical experience, current contractual and statutory requirements, specific known market even</w:t>
      </w:r>
      <w:r>
        <w:rPr>
          <w:rFonts w:eastAsia="Times New Roman"/>
          <w:color w:val="000000"/>
          <w:sz w:val="20"/>
          <w:szCs w:val="20"/>
        </w:rPr>
        <w:t>ts and trends, industry data and forecasted customer buying and payment patterns. Overall, these reserves reflect the Company’s best estimates to reduce gross selling price to net selling price to which it expects to be entitled based on the terms of its c</w:t>
      </w:r>
      <w:r>
        <w:rPr>
          <w:rFonts w:eastAsia="Times New Roman"/>
          <w:color w:val="000000"/>
          <w:sz w:val="20"/>
          <w:szCs w:val="20"/>
        </w:rPr>
        <w:t>ontracts. The actual selling price ultimately received may differ from the Company’s estimates. If actual results in the future vary from the Company’s estimates, the Company adjusts these estimates, which would affect net product revenue and earnings in t</w:t>
      </w:r>
      <w:r>
        <w:rPr>
          <w:rFonts w:eastAsia="Times New Roman"/>
          <w:color w:val="000000"/>
          <w:sz w:val="20"/>
          <w:szCs w:val="20"/>
        </w:rPr>
        <w:t>he period such variances become known.</w:t>
      </w:r>
    </w:p>
    <w:p w:rsidR="00000000" w:rsidRDefault="006629D3">
      <w:pPr>
        <w:jc w:val="center"/>
        <w:divId w:val="455635502"/>
        <w:rPr>
          <w:rFonts w:eastAsia="Times New Roman"/>
        </w:rPr>
      </w:pPr>
      <w:r>
        <w:rPr>
          <w:rFonts w:eastAsia="Times New Roman"/>
          <w:color w:val="000000"/>
          <w:sz w:val="20"/>
          <w:szCs w:val="20"/>
        </w:rPr>
        <w:t>- 16 -</w:t>
      </w:r>
    </w:p>
    <w:p w:rsidR="00000000" w:rsidRDefault="006629D3">
      <w:pPr>
        <w:rPr>
          <w:rFonts w:eastAsia="Times New Roman"/>
        </w:rPr>
      </w:pPr>
      <w:r>
        <w:rPr>
          <w:rFonts w:eastAsia="Times New Roman"/>
        </w:rPr>
        <w:pict>
          <v:rect id="_x0000_i1041" style="width:0;height:1.5pt" o:hralign="center" o:hrstd="t" o:hr="t" fillcolor="#a0a0a0" stroked="f"/>
        </w:pict>
      </w:r>
    </w:p>
    <w:p w:rsidR="00000000" w:rsidRDefault="006629D3">
      <w:pPr>
        <w:divId w:val="639458784"/>
        <w:rPr>
          <w:rFonts w:eastAsia="Times New Roman"/>
        </w:rPr>
      </w:pP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D0D0D"/>
          <w:sz w:val="20"/>
          <w:szCs w:val="20"/>
        </w:rPr>
        <w:t>Product Returns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Consistent with industry practice, the Company maintains a returns policy that generally offers customers a right of return for product that has been pu</w:t>
      </w:r>
      <w:r>
        <w:rPr>
          <w:rFonts w:eastAsia="Times New Roman"/>
          <w:color w:val="000000"/>
          <w:sz w:val="20"/>
          <w:szCs w:val="20"/>
        </w:rPr>
        <w:t>rchased from the Company. The Company estimates the amount of product returns and records this estimate as a reduction of revenue in the period the related product revenue is recognized. The Company currently estimates product return liabilities based on a</w:t>
      </w:r>
      <w:r>
        <w:rPr>
          <w:rFonts w:eastAsia="Times New Roman"/>
          <w:color w:val="000000"/>
          <w:sz w:val="20"/>
          <w:szCs w:val="20"/>
        </w:rPr>
        <w:t xml:space="preserve">nalysis of historical data for the product or comparable products, as well as future expectations for such products </w:t>
      </w:r>
      <w:r>
        <w:rPr>
          <w:rFonts w:eastAsia="Times New Roman"/>
          <w:color w:val="0D0D0D"/>
          <w:sz w:val="20"/>
          <w:szCs w:val="20"/>
        </w:rPr>
        <w:t xml:space="preserve">and other judgments and analysis. </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D0D0D"/>
          <w:sz w:val="20"/>
          <w:szCs w:val="20"/>
        </w:rPr>
        <w:t xml:space="preserve">Chargebacks, Discounts and Rebates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Chargebacks, discounts and rebates represent the estimated obliga</w:t>
      </w:r>
      <w:r>
        <w:rPr>
          <w:rFonts w:eastAsia="Times New Roman"/>
          <w:color w:val="000000"/>
          <w:sz w:val="20"/>
          <w:szCs w:val="20"/>
        </w:rPr>
        <w:t>tions resulting from contractual commitments to sell products to its customers or end users at prices lower than the list prices charged to our wholesale customers. Customers charge the Company for the difference between the gross selling price they pay fo</w:t>
      </w:r>
      <w:r>
        <w:rPr>
          <w:rFonts w:eastAsia="Times New Roman"/>
          <w:color w:val="000000"/>
          <w:sz w:val="20"/>
          <w:szCs w:val="20"/>
        </w:rPr>
        <w:t>r the product and the ultimate contractual price agreed to between the Company and these end users. These reserves are established in the same period that the related revenue is recognized, resulting in a reduction of product revenue and accounts receivabl</w:t>
      </w:r>
      <w:r>
        <w:rPr>
          <w:rFonts w:eastAsia="Times New Roman"/>
          <w:color w:val="000000"/>
          <w:sz w:val="20"/>
          <w:szCs w:val="20"/>
        </w:rPr>
        <w:t>e. Chargebacks, discounts and rebates are estimated at the time of sale to the customer.</w:t>
      </w:r>
    </w:p>
    <w:p w:rsidR="00000000" w:rsidRDefault="006629D3">
      <w:pPr>
        <w:jc w:val="both"/>
        <w:rPr>
          <w:rFonts w:eastAsia="Times New Roman"/>
        </w:rPr>
      </w:pPr>
    </w:p>
    <w:p w:rsidR="00000000" w:rsidRDefault="006629D3">
      <w:pPr>
        <w:jc w:val="both"/>
        <w:rPr>
          <w:rFonts w:eastAsia="Times New Roman"/>
        </w:rPr>
      </w:pPr>
      <w:r>
        <w:rPr>
          <w:rFonts w:eastAsia="Times New Roman"/>
          <w:b/>
          <w:bCs/>
          <w:i/>
          <w:iCs/>
          <w:color w:val="0D0D0D"/>
          <w:sz w:val="20"/>
          <w:szCs w:val="20"/>
        </w:rPr>
        <w:t>Disaggregation of revenue</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The Company’s source of revenue was from the sale of pharmaceutical products, which are equally affected by the same economic factors as </w:t>
      </w:r>
      <w:r>
        <w:rPr>
          <w:rFonts w:eastAsia="Times New Roman"/>
          <w:color w:val="000000"/>
          <w:sz w:val="20"/>
          <w:szCs w:val="20"/>
        </w:rPr>
        <w:t xml:space="preserve">it relates to the nature, amount, timing, and uncertainty of revenue and cash flows. For further detail about the Company’s revenues by product, see </w:t>
      </w:r>
      <w:r>
        <w:rPr>
          <w:rFonts w:eastAsia="Times New Roman"/>
          <w:i/>
          <w:iCs/>
          <w:color w:val="000000"/>
          <w:sz w:val="20"/>
          <w:szCs w:val="20"/>
        </w:rPr>
        <w:t>Note 19: Revenue by Product</w:t>
      </w:r>
      <w:r>
        <w:rPr>
          <w:rFonts w:eastAsia="Times New Roman"/>
          <w:color w:val="000000"/>
          <w:sz w:val="20"/>
          <w:szCs w:val="20"/>
        </w:rPr>
        <w:t>.</w:t>
      </w:r>
    </w:p>
    <w:p w:rsidR="00000000" w:rsidRDefault="006629D3">
      <w:pPr>
        <w:divId w:val="1909489355"/>
        <w:rPr>
          <w:rFonts w:eastAsia="Times New Roman"/>
        </w:rPr>
      </w:pPr>
    </w:p>
    <w:p w:rsidR="00000000" w:rsidRDefault="006629D3">
      <w:pPr>
        <w:jc w:val="both"/>
        <w:rPr>
          <w:rFonts w:eastAsia="Times New Roman"/>
        </w:rPr>
      </w:pPr>
      <w:r>
        <w:rPr>
          <w:rFonts w:eastAsia="Times New Roman"/>
          <w:b/>
          <w:bCs/>
          <w:i/>
          <w:iCs/>
          <w:color w:val="0D0D0D"/>
          <w:sz w:val="20"/>
          <w:szCs w:val="20"/>
        </w:rPr>
        <w:t>Contract Balances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Company does not recognize revenue in advance of inv</w:t>
      </w:r>
      <w:r>
        <w:rPr>
          <w:rFonts w:eastAsia="Times New Roman"/>
          <w:color w:val="000000"/>
          <w:sz w:val="20"/>
          <w:szCs w:val="20"/>
        </w:rPr>
        <w:t>oicing its customers and therefore has no related contract assets.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A receivable is recognized in the period the Company sells its products and when the Company’s right to consideration is unconditional. </w:t>
      </w:r>
    </w:p>
    <w:p w:rsidR="00000000" w:rsidRDefault="006629D3">
      <w:pPr>
        <w:jc w:val="both"/>
        <w:rPr>
          <w:rFonts w:eastAsia="Times New Roman"/>
        </w:rPr>
      </w:pPr>
    </w:p>
    <w:p w:rsidR="00000000" w:rsidRDefault="006629D3">
      <w:pPr>
        <w:jc w:val="both"/>
        <w:rPr>
          <w:rFonts w:eastAsia="Times New Roman"/>
        </w:rPr>
      </w:pPr>
      <w:r>
        <w:rPr>
          <w:rFonts w:eastAsia="Times New Roman"/>
          <w:color w:val="0D0D0D"/>
          <w:sz w:val="20"/>
          <w:szCs w:val="20"/>
        </w:rPr>
        <w:t>There were no material deferred contract costs a</w:t>
      </w:r>
      <w:r>
        <w:rPr>
          <w:rFonts w:eastAsia="Times New Roman"/>
          <w:color w:val="0D0D0D"/>
          <w:sz w:val="20"/>
          <w:szCs w:val="20"/>
        </w:rPr>
        <w:t>t September 30, 2020.</w:t>
      </w:r>
    </w:p>
    <w:p w:rsidR="00000000" w:rsidRDefault="006629D3">
      <w:pPr>
        <w:divId w:val="1516384364"/>
        <w:rPr>
          <w:rFonts w:eastAsia="Times New Roman"/>
        </w:rPr>
      </w:pPr>
    </w:p>
    <w:p w:rsidR="00000000" w:rsidRDefault="006629D3">
      <w:pPr>
        <w:jc w:val="both"/>
        <w:rPr>
          <w:rFonts w:eastAsia="Times New Roman"/>
        </w:rPr>
      </w:pPr>
      <w:r>
        <w:rPr>
          <w:rFonts w:eastAsia="Times New Roman"/>
          <w:b/>
          <w:bCs/>
          <w:i/>
          <w:iCs/>
          <w:color w:val="0D0D0D"/>
          <w:sz w:val="20"/>
          <w:szCs w:val="20"/>
        </w:rPr>
        <w:t>Transaction Price Allocated to the Remaining Performance Obligation</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For product sales, the Company generally satisfied its performance obligations within the same period the product was delivered. Product sales recognized in the second quarter of 2020 from performance obligations satisfied (or partially satisfied) in previ</w:t>
      </w:r>
      <w:r>
        <w:rPr>
          <w:rFonts w:eastAsia="Times New Roman"/>
          <w:color w:val="000000"/>
          <w:sz w:val="20"/>
          <w:szCs w:val="20"/>
        </w:rPr>
        <w:t>ous periods were immaterial.</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Company has elected certain of the practical expedients from the disclosure requirement for remaining performance obligations for specific situations in which an entity need not estimate variable consideration to recogniz</w:t>
      </w:r>
      <w:r>
        <w:rPr>
          <w:rFonts w:eastAsia="Times New Roman"/>
          <w:color w:val="000000"/>
          <w:sz w:val="20"/>
          <w:szCs w:val="20"/>
        </w:rPr>
        <w:t>e revenue. Accordingly, the Company applies the practical expedient in ASC 606 to its stand-alone contracts and does not disclose information about variable consideration from remaining performance obligations for which the Company recognizes revenue.</w:t>
      </w:r>
    </w:p>
    <w:p w:rsidR="00000000" w:rsidRDefault="006629D3">
      <w:pPr>
        <w:jc w:val="both"/>
        <w:divId w:val="1153062405"/>
        <w:rPr>
          <w:rFonts w:eastAsia="Times New Roman"/>
        </w:rPr>
      </w:pPr>
      <w:r>
        <w:rPr>
          <w:rFonts w:eastAsia="Times New Roman"/>
          <w:b/>
          <w:bCs/>
          <w:color w:val="000000"/>
          <w:sz w:val="20"/>
          <w:szCs w:val="20"/>
        </w:rPr>
        <w:t>NOTE</w:t>
      </w:r>
      <w:r>
        <w:rPr>
          <w:rFonts w:eastAsia="Times New Roman"/>
          <w:b/>
          <w:bCs/>
          <w:color w:val="000000"/>
          <w:sz w:val="20"/>
          <w:szCs w:val="20"/>
        </w:rPr>
        <w:t xml:space="preserve"> 6: Fair Value Measurement</w:t>
      </w:r>
    </w:p>
    <w:p w:rsidR="00000000" w:rsidRDefault="006629D3">
      <w:pPr>
        <w:jc w:val="both"/>
        <w:rPr>
          <w:rFonts w:eastAsia="Times New Roman"/>
        </w:rPr>
      </w:pPr>
      <w:r>
        <w:rPr>
          <w:rFonts w:eastAsia="Times New Roman"/>
          <w:color w:val="000000"/>
          <w:sz w:val="20"/>
          <w:szCs w:val="20"/>
        </w:rPr>
        <w:t>The Company is required to measure certain assets and liabilities at fair value, either upon initial recognition or for subsequent accounting or reporting. For example, we use fair value extensively when accounting for and report</w:t>
      </w:r>
      <w:r>
        <w:rPr>
          <w:rFonts w:eastAsia="Times New Roman"/>
          <w:color w:val="000000"/>
          <w:sz w:val="20"/>
          <w:szCs w:val="20"/>
        </w:rPr>
        <w:t>ing certain financial instruments, when measuring certain contingent consideration liabilities and in the initial recognition of net assets acquired in a business combination. Fair value is estimated by applying the hierarchy described below, which priorit</w:t>
      </w:r>
      <w:r>
        <w:rPr>
          <w:rFonts w:eastAsia="Times New Roman"/>
          <w:color w:val="000000"/>
          <w:sz w:val="20"/>
          <w:szCs w:val="20"/>
        </w:rPr>
        <w:t>izes the inputs used to measure fair value into three levels and bases the categorization within the hierarchy upon the lowest level of input that is available and significant to the fair value measurement.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ASC 820, “Fair Value Measurements and Disclos</w:t>
      </w:r>
      <w:r>
        <w:rPr>
          <w:rFonts w:eastAsia="Times New Roman"/>
          <w:color w:val="000000"/>
          <w:sz w:val="20"/>
          <w:szCs w:val="20"/>
        </w:rPr>
        <w:t>ures,” defines fair value as a market-based measurement that should be determined based on the assumptions that marketplace participants would use in pricing an asset or liability. When estimating fair value, depending on the nature and complexity of the a</w:t>
      </w:r>
      <w:r>
        <w:rPr>
          <w:rFonts w:eastAsia="Times New Roman"/>
          <w:color w:val="000000"/>
          <w:sz w:val="20"/>
          <w:szCs w:val="20"/>
        </w:rPr>
        <w:t>sset or liability, we may generally use one or each of the following techniques:  </w:t>
      </w:r>
    </w:p>
    <w:p w:rsidR="00000000" w:rsidRDefault="006629D3">
      <w:pPr>
        <w:jc w:val="both"/>
        <w:rPr>
          <w:rFonts w:eastAsia="Times New Roman"/>
        </w:rPr>
      </w:pPr>
    </w:p>
    <w:p w:rsidR="00000000" w:rsidRDefault="006629D3">
      <w:pPr>
        <w:ind w:hanging="360"/>
        <w:jc w:val="both"/>
        <w:divId w:val="661587912"/>
        <w:rPr>
          <w:rFonts w:eastAsia="Times New Roman"/>
        </w:rPr>
      </w:pPr>
      <w:r>
        <w:rPr>
          <w:rFonts w:eastAsia="Times New Roman"/>
          <w:color w:val="000000"/>
          <w:sz w:val="20"/>
          <w:szCs w:val="20"/>
        </w:rPr>
        <w:t xml:space="preserve">•Income approach, which is based on the present value of a future stream of net cash flows. </w:t>
      </w:r>
    </w:p>
    <w:p w:rsidR="00000000" w:rsidRDefault="006629D3">
      <w:pPr>
        <w:jc w:val="center"/>
        <w:divId w:val="411126282"/>
        <w:rPr>
          <w:rFonts w:eastAsia="Times New Roman"/>
        </w:rPr>
      </w:pPr>
      <w:r>
        <w:rPr>
          <w:rFonts w:eastAsia="Times New Roman"/>
          <w:color w:val="000000"/>
          <w:sz w:val="20"/>
          <w:szCs w:val="20"/>
        </w:rPr>
        <w:t>- 17 -</w:t>
      </w:r>
    </w:p>
    <w:p w:rsidR="00000000" w:rsidRDefault="006629D3">
      <w:pPr>
        <w:rPr>
          <w:rFonts w:eastAsia="Times New Roman"/>
        </w:rPr>
      </w:pPr>
      <w:r>
        <w:rPr>
          <w:rFonts w:eastAsia="Times New Roman"/>
        </w:rPr>
        <w:pict>
          <v:rect id="_x0000_i1042" style="width:0;height:1.5pt" o:hralign="center" o:hrstd="t" o:hr="t" fillcolor="#a0a0a0" stroked="f"/>
        </w:pict>
      </w:r>
    </w:p>
    <w:p w:rsidR="00000000" w:rsidRDefault="006629D3">
      <w:pPr>
        <w:divId w:val="1705717046"/>
        <w:rPr>
          <w:rFonts w:eastAsia="Times New Roman"/>
        </w:rPr>
      </w:pPr>
    </w:p>
    <w:p w:rsidR="00000000" w:rsidRDefault="006629D3">
      <w:pPr>
        <w:ind w:hanging="360"/>
        <w:jc w:val="both"/>
        <w:divId w:val="811823788"/>
        <w:rPr>
          <w:rFonts w:eastAsia="Times New Roman"/>
        </w:rPr>
      </w:pPr>
      <w:r>
        <w:rPr>
          <w:rFonts w:eastAsia="Times New Roman"/>
          <w:color w:val="000000"/>
          <w:sz w:val="20"/>
          <w:szCs w:val="20"/>
        </w:rPr>
        <w:t>•Market approach, which is based</w:t>
      </w:r>
      <w:r>
        <w:rPr>
          <w:rFonts w:eastAsia="Times New Roman"/>
          <w:color w:val="000000"/>
          <w:sz w:val="20"/>
          <w:szCs w:val="20"/>
        </w:rPr>
        <w:t xml:space="preserve"> on market prices and other information from market transactions involving identical or comparable assets or liabilities.</w:t>
      </w:r>
    </w:p>
    <w:p w:rsidR="00000000" w:rsidRDefault="006629D3">
      <w:pPr>
        <w:jc w:val="both"/>
        <w:divId w:val="1687290972"/>
        <w:rPr>
          <w:rFonts w:eastAsia="Times New Roman"/>
        </w:rPr>
      </w:pPr>
      <w:r>
        <w:rPr>
          <w:rFonts w:eastAsia="Times New Roman"/>
          <w:color w:val="000000"/>
          <w:sz w:val="20"/>
          <w:szCs w:val="20"/>
        </w:rPr>
        <w:t xml:space="preserve">As a basis for considering the assumptions used in these techniques, the standard establishes a three-tier fair value hierarchy which </w:t>
      </w:r>
      <w:r>
        <w:rPr>
          <w:rFonts w:eastAsia="Times New Roman"/>
          <w:color w:val="000000"/>
          <w:sz w:val="20"/>
          <w:szCs w:val="20"/>
        </w:rPr>
        <w:t>prioritizes the inputs used in measuring fair value as follows:  </w:t>
      </w:r>
    </w:p>
    <w:p w:rsidR="00000000" w:rsidRDefault="006629D3">
      <w:pPr>
        <w:ind w:hanging="360"/>
        <w:jc w:val="both"/>
        <w:divId w:val="1392581345"/>
        <w:rPr>
          <w:rFonts w:eastAsia="Times New Roman"/>
        </w:rPr>
      </w:pPr>
      <w:r>
        <w:rPr>
          <w:rFonts w:eastAsia="Times New Roman"/>
          <w:color w:val="000000"/>
          <w:sz w:val="20"/>
          <w:szCs w:val="20"/>
        </w:rPr>
        <w:t xml:space="preserve">•Level 1 - Quoted prices for identical assets or liabilities in active markets. </w:t>
      </w:r>
    </w:p>
    <w:p w:rsidR="00000000" w:rsidRDefault="006629D3">
      <w:pPr>
        <w:ind w:hanging="360"/>
        <w:jc w:val="both"/>
        <w:divId w:val="742727995"/>
        <w:rPr>
          <w:rFonts w:eastAsia="Times New Roman"/>
        </w:rPr>
      </w:pPr>
      <w:r>
        <w:rPr>
          <w:rFonts w:eastAsia="Times New Roman"/>
          <w:color w:val="000000"/>
          <w:sz w:val="20"/>
          <w:szCs w:val="20"/>
        </w:rPr>
        <w:t xml:space="preserve">•Level 2 - Quoted prices for similar assets or liabilities in active markets, or quoted prices for identical </w:t>
      </w:r>
      <w:r>
        <w:rPr>
          <w:rFonts w:eastAsia="Times New Roman"/>
          <w:color w:val="000000"/>
          <w:sz w:val="20"/>
          <w:szCs w:val="20"/>
        </w:rPr>
        <w:t xml:space="preserve">or similar assets or liabilities in markets that are not active, or inputs other than quoted prices that are directly or indirectly observable, or inputs that are derived principally from, or corroborated by, observable market data by correlation or other </w:t>
      </w:r>
      <w:r>
        <w:rPr>
          <w:rFonts w:eastAsia="Times New Roman"/>
          <w:color w:val="000000"/>
          <w:sz w:val="20"/>
          <w:szCs w:val="20"/>
        </w:rPr>
        <w:t xml:space="preserve">means. </w:t>
      </w:r>
    </w:p>
    <w:p w:rsidR="00000000" w:rsidRDefault="006629D3">
      <w:pPr>
        <w:ind w:hanging="360"/>
        <w:jc w:val="both"/>
        <w:divId w:val="1716461924"/>
        <w:rPr>
          <w:rFonts w:eastAsia="Times New Roman"/>
        </w:rPr>
      </w:pPr>
      <w:r>
        <w:rPr>
          <w:rFonts w:eastAsia="Times New Roman"/>
          <w:color w:val="000000"/>
          <w:sz w:val="20"/>
          <w:szCs w:val="20"/>
        </w:rPr>
        <w:t xml:space="preserve">•Level 3 - Unobservable inputs that reflect estimates and assumptions. </w:t>
      </w:r>
    </w:p>
    <w:p w:rsidR="00000000" w:rsidRDefault="006629D3">
      <w:pPr>
        <w:jc w:val="both"/>
        <w:divId w:val="76364777"/>
        <w:rPr>
          <w:rFonts w:eastAsia="Times New Roman"/>
        </w:rPr>
      </w:pPr>
      <w:r>
        <w:rPr>
          <w:rFonts w:eastAsia="Times New Roman"/>
          <w:color w:val="000000"/>
          <w:sz w:val="20"/>
          <w:szCs w:val="20"/>
        </w:rPr>
        <w:t>The following table summarizes the financial instruments measured at fair value on a recurring basis classified in the fair value hierarchy (Level 1, 2 or 3) based on the inputs used for valuation in the accompanying unaudited condensed consolidated balanc</w:t>
      </w:r>
      <w:r>
        <w:rPr>
          <w:rFonts w:eastAsia="Times New Roman"/>
          <w:color w:val="000000"/>
          <w:sz w:val="20"/>
          <w:szCs w:val="20"/>
        </w:rPr>
        <w:t>e sheets:</w:t>
      </w: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2"/>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0"/>
        <w:gridCol w:w="632"/>
        <w:gridCol w:w="36"/>
      </w:tblGrid>
      <w:tr w:rsidR="00000000">
        <w:trPr>
          <w:divId w:val="1643732583"/>
        </w:trPr>
        <w:tc>
          <w:tcPr>
            <w:tcW w:w="50" w:type="pct"/>
            <w:vAlign w:val="center"/>
            <w:hideMark/>
          </w:tcPr>
          <w:p w:rsidR="00000000" w:rsidRDefault="006629D3">
            <w:pPr>
              <w:jc w:val="both"/>
              <w:rPr>
                <w:rFonts w:eastAsia="Times New Roman"/>
              </w:rPr>
            </w:pPr>
          </w:p>
        </w:tc>
        <w:tc>
          <w:tcPr>
            <w:tcW w:w="178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643732583"/>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As of 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As of December 31, 2019</w:t>
            </w:r>
          </w:p>
        </w:tc>
      </w:tr>
      <w:tr w:rsidR="00000000">
        <w:trPr>
          <w:divId w:val="1643732583"/>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Level 3</w:t>
            </w:r>
          </w:p>
        </w:tc>
      </w:tr>
      <w:tr w:rsidR="00000000">
        <w:trPr>
          <w:divId w:val="164373258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643732583"/>
        </w:trPr>
        <w:tc>
          <w:tcPr>
            <w:tcW w:w="0" w:type="auto"/>
            <w:gridSpan w:val="3"/>
            <w:shd w:val="clear" w:color="auto" w:fill="CCEEFF"/>
            <w:tcMar>
              <w:top w:w="30" w:type="dxa"/>
              <w:left w:w="20" w:type="dxa"/>
              <w:bottom w:w="30" w:type="dxa"/>
              <w:right w:w="20" w:type="dxa"/>
            </w:tcMar>
            <w:vAlign w:val="bottom"/>
            <w:hideMark/>
          </w:tcPr>
          <w:p w:rsidR="00000000" w:rsidRDefault="006629D3">
            <w:pPr>
              <w:divId w:val="1762990900"/>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Note 7</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643732583"/>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Equity securities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4,404 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43732583"/>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Money market and mutual funds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104,186 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38,799 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43732583"/>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20,415 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4,098 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43732583"/>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20,216 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5,446 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43732583"/>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643732583"/>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1,637 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43732583"/>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643732583"/>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104,236 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44,231 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43,203 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11,181 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43732583"/>
          <w:trHeight w:val="280"/>
        </w:trPr>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643732583"/>
        </w:trPr>
        <w:tc>
          <w:tcPr>
            <w:tcW w:w="0" w:type="auto"/>
            <w:gridSpan w:val="3"/>
            <w:shd w:val="clear" w:color="auto" w:fill="CCEEFF"/>
            <w:tcMar>
              <w:top w:w="30" w:type="dxa"/>
              <w:left w:w="20" w:type="dxa"/>
              <w:bottom w:w="30" w:type="dxa"/>
              <w:right w:w="20" w:type="dxa"/>
            </w:tcMar>
            <w:vAlign w:val="bottom"/>
            <w:hideMark/>
          </w:tcPr>
          <w:p w:rsidR="00000000" w:rsidRDefault="006629D3">
            <w:pPr>
              <w:divId w:val="382296955"/>
              <w:rPr>
                <w:rFonts w:eastAsia="Times New Roman"/>
              </w:rPr>
            </w:pPr>
            <w:r>
              <w:rPr>
                <w:rFonts w:eastAsia="Times New Roman"/>
                <w:color w:val="000000"/>
                <w:sz w:val="18"/>
                <w:szCs w:val="18"/>
              </w:rPr>
              <w:t xml:space="preserve">Contingent consideration payable (see </w:t>
            </w:r>
            <w:r>
              <w:rPr>
                <w:rFonts w:eastAsia="Times New Roman"/>
                <w:i/>
                <w:iCs/>
                <w:color w:val="000000"/>
                <w:sz w:val="18"/>
                <w:szCs w:val="18"/>
              </w:rPr>
              <w:t>Note 10</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17,327 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43732583"/>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liabilities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17,327 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divId w:val="1155339313"/>
        <w:rPr>
          <w:rFonts w:eastAsia="Times New Roman"/>
        </w:rPr>
      </w:pPr>
      <w:r>
        <w:rPr>
          <w:rFonts w:eastAsia="Times New Roman"/>
          <w:color w:val="000000"/>
          <w:sz w:val="20"/>
          <w:szCs w:val="20"/>
        </w:rPr>
        <w:t>A review of fair value hierarchy classifications is conducted on a quarter</w:t>
      </w:r>
      <w:r>
        <w:rPr>
          <w:rFonts w:eastAsia="Times New Roman"/>
          <w:color w:val="000000"/>
          <w:sz w:val="20"/>
          <w:szCs w:val="20"/>
        </w:rPr>
        <w:t>ly basis.  Changes in the observability of valuation inputs may result in a reclassification for certain financial assets or liabilities. During the periods ended September 30, 2020 and December 31, 2019, respectively, there were no transfers in and out of</w:t>
      </w:r>
      <w:r>
        <w:rPr>
          <w:rFonts w:eastAsia="Times New Roman"/>
          <w:color w:val="000000"/>
          <w:sz w:val="20"/>
          <w:szCs w:val="20"/>
        </w:rPr>
        <w:t xml:space="preserve"> Level 1, 2, or 3. During the three and nine month periods ended September 30, 2020 and 2019, respectively, we did not recognize any other-than-temporary impairment loss. </w:t>
      </w:r>
    </w:p>
    <w:p w:rsidR="00000000" w:rsidRDefault="006629D3">
      <w:pPr>
        <w:divId w:val="561911187"/>
        <w:rPr>
          <w:rFonts w:eastAsia="Times New Roman"/>
        </w:rPr>
      </w:pPr>
      <w:r>
        <w:rPr>
          <w:rFonts w:eastAsia="Times New Roman"/>
          <w:color w:val="000000"/>
          <w:sz w:val="20"/>
          <w:szCs w:val="20"/>
        </w:rPr>
        <w:t>Some of the Company’</w:t>
      </w:r>
      <w:r>
        <w:rPr>
          <w:rFonts w:eastAsia="Times New Roman"/>
          <w:color w:val="000000"/>
          <w:sz w:val="20"/>
          <w:szCs w:val="20"/>
        </w:rPr>
        <w:t xml:space="preserve">s financial instruments, such as cash and cash equivalents, accounts receivable and accounts payable, are reflected in the balance sheet at carrying value, which approximates fair value due to their short-term nature. </w:t>
      </w:r>
    </w:p>
    <w:p w:rsidR="00000000" w:rsidRDefault="006629D3">
      <w:pPr>
        <w:divId w:val="1039472737"/>
        <w:rPr>
          <w:rFonts w:eastAsia="Times New Roman"/>
        </w:rPr>
      </w:pPr>
    </w:p>
    <w:p w:rsidR="00000000" w:rsidRDefault="006629D3">
      <w:pPr>
        <w:divId w:val="1077899387"/>
        <w:rPr>
          <w:rFonts w:eastAsia="Times New Roman"/>
        </w:rPr>
      </w:pPr>
      <w:r>
        <w:rPr>
          <w:rFonts w:eastAsia="Times New Roman"/>
          <w:b/>
          <w:bCs/>
          <w:color w:val="000000"/>
          <w:sz w:val="20"/>
          <w:szCs w:val="20"/>
        </w:rPr>
        <w:t>Debt</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We estimate the fair value of our $143,750 aggregate principal amount of 4.50% exchangeable senior notes due 2023 (the “2023 Notes”), a Level 2 input, based on interest rates that would be currently available to the Company for issuance of similar types of</w:t>
      </w:r>
      <w:r>
        <w:rPr>
          <w:rFonts w:eastAsia="Times New Roman"/>
          <w:color w:val="000000"/>
          <w:sz w:val="20"/>
          <w:szCs w:val="20"/>
        </w:rPr>
        <w:t xml:space="preserve"> debt instruments with similar terms and remaining maturities or recent trading prices obtained from brokers. The estimated fair value of the 2023 Notes at September 30, 2020 is $116,636 compared to a book value of $126,520.</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See </w:t>
      </w:r>
      <w:r>
        <w:rPr>
          <w:rFonts w:eastAsia="Times New Roman"/>
          <w:i/>
          <w:iCs/>
          <w:color w:val="000000"/>
          <w:sz w:val="20"/>
          <w:szCs w:val="20"/>
        </w:rPr>
        <w:t>Note 11: Long-Term Debt</w:t>
      </w:r>
      <w:r>
        <w:rPr>
          <w:rFonts w:eastAsia="Times New Roman"/>
          <w:color w:val="000000"/>
          <w:sz w:val="20"/>
          <w:szCs w:val="20"/>
        </w:rPr>
        <w:t xml:space="preserve"> f</w:t>
      </w:r>
      <w:r>
        <w:rPr>
          <w:rFonts w:eastAsia="Times New Roman"/>
          <w:color w:val="000000"/>
          <w:sz w:val="20"/>
          <w:szCs w:val="20"/>
        </w:rPr>
        <w:t>or additional information regarding our debt obligations.</w:t>
      </w:r>
    </w:p>
    <w:p w:rsidR="00000000" w:rsidRDefault="006629D3">
      <w:pPr>
        <w:jc w:val="both"/>
        <w:rPr>
          <w:rFonts w:eastAsia="Times New Roman"/>
        </w:rPr>
      </w:pPr>
    </w:p>
    <w:p w:rsidR="00000000" w:rsidRDefault="006629D3">
      <w:pPr>
        <w:jc w:val="both"/>
        <w:divId w:val="1058162210"/>
        <w:rPr>
          <w:rFonts w:eastAsia="Times New Roman"/>
        </w:rPr>
      </w:pPr>
      <w:r>
        <w:rPr>
          <w:rFonts w:eastAsia="Times New Roman"/>
          <w:b/>
          <w:bCs/>
          <w:color w:val="000000"/>
          <w:sz w:val="20"/>
          <w:szCs w:val="20"/>
        </w:rPr>
        <w:t>NOTE 7:</w:t>
      </w:r>
      <w:r>
        <w:rPr>
          <w:rFonts w:eastAsia="Times New Roman"/>
          <w:color w:val="000000"/>
          <w:sz w:val="20"/>
          <w:szCs w:val="20"/>
        </w:rPr>
        <w:t xml:space="preserve"> </w:t>
      </w:r>
      <w:r>
        <w:rPr>
          <w:rFonts w:eastAsia="Times New Roman"/>
          <w:b/>
          <w:bCs/>
          <w:color w:val="000000"/>
          <w:sz w:val="20"/>
          <w:szCs w:val="20"/>
        </w:rPr>
        <w:t>Marketable Securities </w:t>
      </w:r>
    </w:p>
    <w:p w:rsidR="00000000" w:rsidRDefault="006629D3">
      <w:pPr>
        <w:jc w:val="both"/>
        <w:divId w:val="518155530"/>
        <w:rPr>
          <w:rFonts w:eastAsia="Times New Roman"/>
        </w:rPr>
      </w:pPr>
      <w:r>
        <w:rPr>
          <w:rFonts w:eastAsia="Times New Roman"/>
          <w:color w:val="000000"/>
          <w:sz w:val="20"/>
          <w:szCs w:val="20"/>
        </w:rPr>
        <w:t>The Company has investments in equity and available-for-sale debt securities which are recorded at fair market value. The change in the fair value of equity investme</w:t>
      </w:r>
      <w:r>
        <w:rPr>
          <w:rFonts w:eastAsia="Times New Roman"/>
          <w:color w:val="000000"/>
          <w:sz w:val="20"/>
          <w:szCs w:val="20"/>
        </w:rPr>
        <w:t>nts is recognized in our unaudited condensed consolidated statements of (loss) income and the change in the fair value of available-for-sale debt investments is recorded as other comprehensive loss in shareholders’ equity (deficit), net of income tax effec</w:t>
      </w:r>
      <w:r>
        <w:rPr>
          <w:rFonts w:eastAsia="Times New Roman"/>
          <w:color w:val="000000"/>
          <w:sz w:val="20"/>
          <w:szCs w:val="20"/>
        </w:rPr>
        <w:t xml:space="preserve">ts. As of September 30, 2020, we considered any decreases in fair value on our marketable securities to be driven by factors other than credit risk, including market risk. </w:t>
      </w:r>
    </w:p>
    <w:p w:rsidR="00000000" w:rsidRDefault="006629D3">
      <w:pPr>
        <w:jc w:val="both"/>
        <w:divId w:val="1111632552"/>
        <w:rPr>
          <w:rFonts w:eastAsia="Times New Roman"/>
        </w:rPr>
      </w:pPr>
    </w:p>
    <w:p w:rsidR="00000000" w:rsidRDefault="006629D3">
      <w:pPr>
        <w:jc w:val="center"/>
        <w:divId w:val="2037582040"/>
        <w:rPr>
          <w:rFonts w:eastAsia="Times New Roman"/>
        </w:rPr>
      </w:pPr>
      <w:r>
        <w:rPr>
          <w:rFonts w:eastAsia="Times New Roman"/>
          <w:color w:val="000000"/>
          <w:sz w:val="20"/>
          <w:szCs w:val="20"/>
        </w:rPr>
        <w:t>- 18 -</w:t>
      </w:r>
    </w:p>
    <w:p w:rsidR="00000000" w:rsidRDefault="006629D3">
      <w:pPr>
        <w:rPr>
          <w:rFonts w:eastAsia="Times New Roman"/>
        </w:rPr>
      </w:pPr>
      <w:r>
        <w:rPr>
          <w:rFonts w:eastAsia="Times New Roman"/>
        </w:rPr>
        <w:pict>
          <v:rect id="_x0000_i1043" style="width:0;height:1.5pt" o:hralign="center" o:hrstd="t" o:hr="t" fillcolor="#a0a0a0" stroked="f"/>
        </w:pict>
      </w:r>
    </w:p>
    <w:p w:rsidR="00000000" w:rsidRDefault="006629D3">
      <w:pPr>
        <w:divId w:val="1204174956"/>
        <w:rPr>
          <w:rFonts w:eastAsia="Times New Roman"/>
        </w:rPr>
      </w:pPr>
    </w:p>
    <w:p w:rsidR="00000000" w:rsidRDefault="006629D3">
      <w:pPr>
        <w:jc w:val="both"/>
        <w:divId w:val="1549219984"/>
        <w:rPr>
          <w:rFonts w:eastAsia="Times New Roman"/>
        </w:rPr>
      </w:pPr>
      <w:r>
        <w:rPr>
          <w:rFonts w:eastAsia="Times New Roman"/>
          <w:color w:val="000000"/>
          <w:sz w:val="20"/>
          <w:szCs w:val="20"/>
        </w:rPr>
        <w:t>The following tables show the Compan</w:t>
      </w:r>
      <w:r>
        <w:rPr>
          <w:rFonts w:eastAsia="Times New Roman"/>
          <w:color w:val="000000"/>
          <w:sz w:val="20"/>
          <w:szCs w:val="20"/>
        </w:rPr>
        <w:t>y’s available-for-sale securities’ adjusted cost, gross unrealized gains, gross unrealized losses and fair value by significant investment category as of September 30, 2020 and December 31, 2019, respectively:</w:t>
      </w:r>
    </w:p>
    <w:tbl>
      <w:tblPr>
        <w:tblW w:w="4978" w:type="pct"/>
        <w:tblCellMar>
          <w:top w:w="15" w:type="dxa"/>
          <w:left w:w="15" w:type="dxa"/>
          <w:bottom w:w="15" w:type="dxa"/>
          <w:right w:w="15" w:type="dxa"/>
        </w:tblCellMar>
        <w:tblLook w:val="04A0" w:firstRow="1" w:lastRow="0" w:firstColumn="1" w:lastColumn="0" w:noHBand="0" w:noVBand="1"/>
      </w:tblPr>
      <w:tblGrid>
        <w:gridCol w:w="38"/>
        <w:gridCol w:w="3809"/>
        <w:gridCol w:w="37"/>
        <w:gridCol w:w="36"/>
        <w:gridCol w:w="36"/>
        <w:gridCol w:w="36"/>
        <w:gridCol w:w="110"/>
        <w:gridCol w:w="841"/>
        <w:gridCol w:w="36"/>
        <w:gridCol w:w="36"/>
        <w:gridCol w:w="36"/>
        <w:gridCol w:w="36"/>
        <w:gridCol w:w="111"/>
        <w:gridCol w:w="842"/>
        <w:gridCol w:w="36"/>
        <w:gridCol w:w="36"/>
        <w:gridCol w:w="36"/>
        <w:gridCol w:w="36"/>
        <w:gridCol w:w="111"/>
        <w:gridCol w:w="842"/>
        <w:gridCol w:w="36"/>
        <w:gridCol w:w="36"/>
        <w:gridCol w:w="36"/>
        <w:gridCol w:w="36"/>
        <w:gridCol w:w="110"/>
        <w:gridCol w:w="842"/>
        <w:gridCol w:w="36"/>
      </w:tblGrid>
      <w:tr w:rsidR="00000000">
        <w:trPr>
          <w:divId w:val="2060207858"/>
        </w:trPr>
        <w:tc>
          <w:tcPr>
            <w:tcW w:w="50" w:type="pct"/>
            <w:vAlign w:val="center"/>
            <w:hideMark/>
          </w:tcPr>
          <w:p w:rsidR="00000000" w:rsidRDefault="006629D3">
            <w:pPr>
              <w:jc w:val="both"/>
              <w:rPr>
                <w:rFonts w:eastAsia="Times New Roman"/>
              </w:rPr>
            </w:pPr>
          </w:p>
        </w:tc>
        <w:tc>
          <w:tcPr>
            <w:tcW w:w="233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2060207858"/>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r>
      <w:tr w:rsidR="00000000">
        <w:trPr>
          <w:divId w:val="2060207858"/>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Fair Value</w:t>
            </w:r>
          </w:p>
        </w:tc>
      </w:tr>
      <w:tr w:rsidR="00000000">
        <w:trPr>
          <w:divId w:val="2060207858"/>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2060207858"/>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06020785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Money market and mutual funds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103,204 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1,041 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104,186 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206020785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20,212 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20,415 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2060207858"/>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20,015 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20,216 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2060207858"/>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060207858"/>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3,625 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3,650 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2060207858"/>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147,056 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148,467 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tbl>
      <w:tblPr>
        <w:tblW w:w="4978" w:type="pct"/>
        <w:tblCellMar>
          <w:top w:w="15" w:type="dxa"/>
          <w:left w:w="15" w:type="dxa"/>
          <w:bottom w:w="15" w:type="dxa"/>
          <w:right w:w="15" w:type="dxa"/>
        </w:tblCellMar>
        <w:tblLook w:val="04A0" w:firstRow="1" w:lastRow="0" w:firstColumn="1" w:lastColumn="0" w:noHBand="0" w:noVBand="1"/>
      </w:tblPr>
      <w:tblGrid>
        <w:gridCol w:w="144"/>
        <w:gridCol w:w="3855"/>
        <w:gridCol w:w="144"/>
        <w:gridCol w:w="144"/>
        <w:gridCol w:w="144"/>
        <w:gridCol w:w="144"/>
        <w:gridCol w:w="144"/>
        <w:gridCol w:w="927"/>
        <w:gridCol w:w="144"/>
        <w:gridCol w:w="144"/>
        <w:gridCol w:w="144"/>
        <w:gridCol w:w="144"/>
        <w:gridCol w:w="144"/>
        <w:gridCol w:w="927"/>
        <w:gridCol w:w="144"/>
        <w:gridCol w:w="144"/>
        <w:gridCol w:w="144"/>
        <w:gridCol w:w="144"/>
        <w:gridCol w:w="144"/>
        <w:gridCol w:w="927"/>
        <w:gridCol w:w="144"/>
        <w:gridCol w:w="144"/>
        <w:gridCol w:w="144"/>
        <w:gridCol w:w="144"/>
        <w:gridCol w:w="144"/>
        <w:gridCol w:w="927"/>
        <w:gridCol w:w="144"/>
      </w:tblGrid>
      <w:tr w:rsidR="00000000">
        <w:tc>
          <w:tcPr>
            <w:tcW w:w="50" w:type="pct"/>
            <w:vAlign w:val="center"/>
            <w:hideMark/>
          </w:tcPr>
          <w:p w:rsidR="00000000" w:rsidRDefault="006629D3">
            <w:pPr>
              <w:jc w:val="both"/>
              <w:rPr>
                <w:rFonts w:eastAsia="Times New Roman"/>
              </w:rPr>
            </w:pPr>
          </w:p>
        </w:tc>
        <w:tc>
          <w:tcPr>
            <w:tcW w:w="233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Fair Value</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Equity securities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4,404 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Money market and mutual funds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38,028 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771 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38,799 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4,021 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4,098 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5,341 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5,446 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1,614 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1,637 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divId w:val="2127772016"/>
        <w:rPr>
          <w:rFonts w:eastAsia="Times New Roman"/>
        </w:rPr>
      </w:pPr>
      <w:r>
        <w:rPr>
          <w:rFonts w:eastAsia="Times New Roman"/>
          <w:color w:val="000000"/>
          <w:sz w:val="20"/>
          <w:szCs w:val="20"/>
        </w:rPr>
        <w:t>We determine realized gains or losses on the sale of marketable securities on a specific identification method. We reflect these gains and losses</w:t>
      </w:r>
      <w:r>
        <w:rPr>
          <w:rFonts w:eastAsia="Times New Roman"/>
          <w:color w:val="000000"/>
          <w:sz w:val="20"/>
          <w:szCs w:val="20"/>
        </w:rPr>
        <w:t xml:space="preserve"> as a component of investment and other income in the accompanying unaudited condensed consolidated statements of (loss) income.</w:t>
      </w:r>
    </w:p>
    <w:p w:rsidR="00000000" w:rsidRDefault="006629D3">
      <w:pPr>
        <w:jc w:val="both"/>
        <w:rPr>
          <w:rFonts w:eastAsia="Times New Roman"/>
        </w:rPr>
      </w:pPr>
      <w:r>
        <w:rPr>
          <w:rFonts w:eastAsia="Times New Roman"/>
          <w:color w:val="000000"/>
          <w:sz w:val="20"/>
          <w:szCs w:val="20"/>
        </w:rPr>
        <w:t>We recognized gross realized gains of $136 and $71 for the three months ended September 30, 2020, and 2019, respectively. These</w:t>
      </w:r>
      <w:r>
        <w:rPr>
          <w:rFonts w:eastAsia="Times New Roman"/>
          <w:color w:val="000000"/>
          <w:sz w:val="20"/>
          <w:szCs w:val="20"/>
        </w:rPr>
        <w:t xml:space="preserve"> realized gains were offset by realized losses of $8 and $64 for the three months ended September 30, 2020, and 2019, respectively. We recognized gross realized gains of $426 and $339 for the nine months ended September 30, 2020, and 2019, respectively. Th</w:t>
      </w:r>
      <w:r>
        <w:rPr>
          <w:rFonts w:eastAsia="Times New Roman"/>
          <w:color w:val="000000"/>
          <w:sz w:val="20"/>
          <w:szCs w:val="20"/>
        </w:rPr>
        <w:t>ese realized gains were offset by realized losses of $886 and $211 for the nine months ended September 30, 2020 and 2019, respectively. We reflect these gains and losses as a component of investment income in the accompanying unaudited condensed consolidat</w:t>
      </w:r>
      <w:r>
        <w:rPr>
          <w:rFonts w:eastAsia="Times New Roman"/>
          <w:color w:val="000000"/>
          <w:sz w:val="20"/>
          <w:szCs w:val="20"/>
        </w:rPr>
        <w:t>ed statements of (loss) income.</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following table summarizes the estimated fair value of our investments in marketable debt securities, accounted for as available-for-sale debt securities and classified by the contractual maturity date of the securitie</w:t>
      </w:r>
      <w:r>
        <w:rPr>
          <w:rFonts w:eastAsia="Times New Roman"/>
          <w:color w:val="000000"/>
          <w:sz w:val="20"/>
          <w:szCs w:val="20"/>
        </w:rPr>
        <w:t>s as of September 30, 2020:</w:t>
      </w: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9"/>
        <w:gridCol w:w="36"/>
        <w:gridCol w:w="36"/>
        <w:gridCol w:w="36"/>
        <w:gridCol w:w="36"/>
        <w:gridCol w:w="110"/>
        <w:gridCol w:w="840"/>
        <w:gridCol w:w="36"/>
        <w:gridCol w:w="36"/>
        <w:gridCol w:w="36"/>
        <w:gridCol w:w="36"/>
        <w:gridCol w:w="111"/>
        <w:gridCol w:w="840"/>
        <w:gridCol w:w="36"/>
        <w:gridCol w:w="36"/>
        <w:gridCol w:w="36"/>
        <w:gridCol w:w="36"/>
        <w:gridCol w:w="110"/>
        <w:gridCol w:w="842"/>
        <w:gridCol w:w="36"/>
      </w:tblGrid>
      <w:tr w:rsidR="00000000">
        <w:trPr>
          <w:divId w:val="1550528605"/>
        </w:trPr>
        <w:tc>
          <w:tcPr>
            <w:tcW w:w="50" w:type="pct"/>
            <w:vAlign w:val="center"/>
            <w:hideMark/>
          </w:tcPr>
          <w:p w:rsidR="00000000" w:rsidRDefault="006629D3">
            <w:pPr>
              <w:jc w:val="both"/>
              <w:rPr>
                <w:rFonts w:eastAsia="Times New Roman"/>
              </w:rPr>
            </w:pPr>
          </w:p>
        </w:tc>
        <w:tc>
          <w:tcPr>
            <w:tcW w:w="167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550528605"/>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Maturities</w:t>
            </w:r>
          </w:p>
        </w:tc>
      </w:tr>
      <w:tr w:rsidR="00000000">
        <w:trPr>
          <w:divId w:val="1550528605"/>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Total</w:t>
            </w:r>
          </w:p>
        </w:tc>
      </w:tr>
      <w:tr w:rsidR="00000000">
        <w:trPr>
          <w:divId w:val="155052860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550528605"/>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4,355 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14,274 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1,786 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20,415 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0528605"/>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17,749 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739 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20,216 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0528605"/>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550528605"/>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3,650 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0528605"/>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4,405 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35,623 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44,281 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r>
        <w:rPr>
          <w:rFonts w:eastAsia="Times New Roman"/>
          <w:color w:val="000000"/>
          <w:sz w:val="20"/>
          <w:szCs w:val="20"/>
        </w:rPr>
        <w:t>The Company has classified our investment in available-for-sale marketable debt securities as current assets in the unaudited condensed consolidated balance sheets as the securities need to be available for use, if requi</w:t>
      </w:r>
      <w:r>
        <w:rPr>
          <w:rFonts w:eastAsia="Times New Roman"/>
          <w:color w:val="000000"/>
          <w:sz w:val="20"/>
          <w:szCs w:val="20"/>
        </w:rPr>
        <w:t xml:space="preserve">red, to fund current operations. There are no restrictions on the sale of any securities in our investment portfolio. </w:t>
      </w:r>
    </w:p>
    <w:p w:rsidR="00000000" w:rsidRDefault="006629D3">
      <w:pPr>
        <w:jc w:val="both"/>
        <w:rPr>
          <w:rFonts w:eastAsia="Times New Roman"/>
        </w:rPr>
      </w:pPr>
    </w:p>
    <w:p w:rsidR="00000000" w:rsidRDefault="006629D3">
      <w:pPr>
        <w:jc w:val="center"/>
        <w:divId w:val="1978026749"/>
        <w:rPr>
          <w:rFonts w:eastAsia="Times New Roman"/>
        </w:rPr>
      </w:pPr>
      <w:r>
        <w:rPr>
          <w:rFonts w:eastAsia="Times New Roman"/>
          <w:color w:val="000000"/>
          <w:sz w:val="20"/>
          <w:szCs w:val="20"/>
        </w:rPr>
        <w:t>- 19 -</w:t>
      </w:r>
    </w:p>
    <w:p w:rsidR="00000000" w:rsidRDefault="006629D3">
      <w:pPr>
        <w:rPr>
          <w:rFonts w:eastAsia="Times New Roman"/>
        </w:rPr>
      </w:pPr>
      <w:r>
        <w:rPr>
          <w:rFonts w:eastAsia="Times New Roman"/>
        </w:rPr>
        <w:pict>
          <v:rect id="_x0000_i1044" style="width:0;height:1.5pt" o:hralign="center" o:hrstd="t" o:hr="t" fillcolor="#a0a0a0" stroked="f"/>
        </w:pict>
      </w:r>
    </w:p>
    <w:p w:rsidR="00000000" w:rsidRDefault="006629D3">
      <w:pPr>
        <w:divId w:val="1928346443"/>
        <w:rPr>
          <w:rFonts w:eastAsia="Times New Roman"/>
        </w:rPr>
      </w:pPr>
    </w:p>
    <w:p w:rsidR="00000000" w:rsidRDefault="006629D3">
      <w:pPr>
        <w:jc w:val="both"/>
        <w:rPr>
          <w:rFonts w:eastAsia="Times New Roman"/>
        </w:rPr>
      </w:pPr>
      <w:r>
        <w:rPr>
          <w:rFonts w:eastAsia="Times New Roman"/>
          <w:color w:val="000000"/>
          <w:sz w:val="20"/>
          <w:szCs w:val="20"/>
        </w:rPr>
        <w:t>The following table shows the gross unrealized losses and fair value of our available-for-</w:t>
      </w:r>
      <w:r>
        <w:rPr>
          <w:rFonts w:eastAsia="Times New Roman"/>
          <w:color w:val="000000"/>
          <w:sz w:val="20"/>
          <w:szCs w:val="20"/>
        </w:rPr>
        <w:t>sale debt securities at September 30, 2020. The unrealized losses in the table below are driven by factors other than credit risk and have been in a unrealized loss position for less than one year. We do not intend to sell the investments and it is not mor</w:t>
      </w:r>
      <w:r>
        <w:rPr>
          <w:rFonts w:eastAsia="Times New Roman"/>
          <w:color w:val="000000"/>
          <w:sz w:val="20"/>
          <w:szCs w:val="20"/>
        </w:rPr>
        <w:t>e likely than not that we will be required to sell the investments before recovery of their amortized cost bases.</w:t>
      </w:r>
    </w:p>
    <w:p w:rsidR="00000000" w:rsidRDefault="006629D3">
      <w:pPr>
        <w:jc w:val="both"/>
        <w:rPr>
          <w:rFonts w:eastAsia="Times New Roman"/>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923"/>
        <w:gridCol w:w="37"/>
        <w:gridCol w:w="36"/>
        <w:gridCol w:w="36"/>
        <w:gridCol w:w="36"/>
        <w:gridCol w:w="110"/>
        <w:gridCol w:w="839"/>
        <w:gridCol w:w="36"/>
        <w:gridCol w:w="36"/>
        <w:gridCol w:w="36"/>
        <w:gridCol w:w="36"/>
        <w:gridCol w:w="111"/>
        <w:gridCol w:w="827"/>
        <w:gridCol w:w="36"/>
        <w:gridCol w:w="36"/>
        <w:gridCol w:w="36"/>
        <w:gridCol w:w="36"/>
      </w:tblGrid>
      <w:tr w:rsidR="00000000">
        <w:trPr>
          <w:divId w:val="444347801"/>
          <w:jc w:val="center"/>
        </w:trPr>
        <w:tc>
          <w:tcPr>
            <w:tcW w:w="50" w:type="pct"/>
            <w:vAlign w:val="center"/>
            <w:hideMark/>
          </w:tcPr>
          <w:p w:rsidR="00000000" w:rsidRDefault="006629D3">
            <w:pPr>
              <w:jc w:val="both"/>
              <w:rPr>
                <w:rFonts w:eastAsia="Times New Roman"/>
              </w:rPr>
            </w:pPr>
          </w:p>
        </w:tc>
        <w:tc>
          <w:tcPr>
            <w:tcW w:w="364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5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444347801"/>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44434780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Fair Value</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Unrealized Losses</w:t>
            </w:r>
          </w:p>
        </w:tc>
        <w:tc>
          <w:tcPr>
            <w:tcW w:w="0" w:type="auto"/>
            <w:gridSpan w:val="3"/>
            <w:vAlign w:val="center"/>
            <w:hideMark/>
          </w:tcPr>
          <w:p w:rsidR="00000000" w:rsidRDefault="006629D3">
            <w:pPr>
              <w:jc w:val="center"/>
              <w:rPr>
                <w:rFonts w:eastAsia="Times New Roman"/>
              </w:rPr>
            </w:pPr>
          </w:p>
        </w:tc>
      </w:tr>
      <w:tr w:rsidR="00000000">
        <w:trPr>
          <w:divId w:val="444347801"/>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444347801"/>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8,371 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vAlign w:val="center"/>
            <w:hideMark/>
          </w:tcPr>
          <w:p w:rsidR="00000000" w:rsidRDefault="006629D3">
            <w:pPr>
              <w:jc w:val="right"/>
              <w:rPr>
                <w:rFonts w:eastAsia="Times New Roman"/>
                <w:sz w:val="20"/>
                <w:szCs w:val="20"/>
              </w:rPr>
            </w:pPr>
          </w:p>
        </w:tc>
      </w:tr>
      <w:tr w:rsidR="00000000">
        <w:trPr>
          <w:divId w:val="444347801"/>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vAlign w:val="center"/>
            <w:hideMark/>
          </w:tcPr>
          <w:p w:rsidR="00000000" w:rsidRDefault="006629D3">
            <w:pPr>
              <w:jc w:val="right"/>
              <w:rPr>
                <w:rFonts w:eastAsia="Times New Roman"/>
                <w:sz w:val="20"/>
                <w:szCs w:val="20"/>
              </w:rPr>
            </w:pPr>
          </w:p>
        </w:tc>
      </w:tr>
      <w:tr w:rsidR="00000000">
        <w:trPr>
          <w:divId w:val="444347801"/>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2,151 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vAlign w:val="center"/>
            <w:hideMark/>
          </w:tcPr>
          <w:p w:rsidR="00000000" w:rsidRDefault="006629D3">
            <w:pPr>
              <w:jc w:val="right"/>
              <w:rPr>
                <w:rFonts w:eastAsia="Times New Roman"/>
                <w:sz w:val="20"/>
                <w:szCs w:val="20"/>
              </w:rPr>
            </w:pPr>
          </w:p>
        </w:tc>
      </w:tr>
      <w:tr w:rsidR="00000000">
        <w:trPr>
          <w:divId w:val="444347801"/>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vAlign w:val="center"/>
            <w:hideMark/>
          </w:tcPr>
          <w:p w:rsidR="00000000" w:rsidRDefault="006629D3">
            <w:pPr>
              <w:jc w:val="right"/>
              <w:rPr>
                <w:rFonts w:eastAsia="Times New Roman"/>
                <w:sz w:val="20"/>
                <w:szCs w:val="20"/>
              </w:rPr>
            </w:pPr>
          </w:p>
        </w:tc>
      </w:tr>
    </w:tbl>
    <w:p w:rsidR="00000000" w:rsidRDefault="006629D3">
      <w:pPr>
        <w:jc w:val="both"/>
        <w:rPr>
          <w:rFonts w:eastAsia="Times New Roman"/>
        </w:rPr>
      </w:pPr>
    </w:p>
    <w:p w:rsidR="00000000" w:rsidRDefault="006629D3">
      <w:pPr>
        <w:divId w:val="1498643589"/>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Inventories </w:t>
      </w:r>
    </w:p>
    <w:p w:rsidR="00000000" w:rsidRDefault="006629D3">
      <w:pPr>
        <w:divId w:val="770778481"/>
        <w:rPr>
          <w:rFonts w:eastAsia="Times New Roman"/>
        </w:rPr>
      </w:pPr>
      <w:r>
        <w:rPr>
          <w:rFonts w:eastAsia="Times New Roman"/>
          <w:color w:val="000000"/>
          <w:sz w:val="20"/>
          <w:szCs w:val="20"/>
        </w:rPr>
        <w:t>The principal categories of inventories, net of reserves of $0 and $914 at September 30, 2020 and December 31, 2019, respectively, are comprised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6"/>
        <w:gridCol w:w="36"/>
        <w:gridCol w:w="36"/>
        <w:gridCol w:w="36"/>
        <w:gridCol w:w="111"/>
        <w:gridCol w:w="1326"/>
        <w:gridCol w:w="36"/>
        <w:gridCol w:w="36"/>
        <w:gridCol w:w="36"/>
        <w:gridCol w:w="36"/>
        <w:gridCol w:w="111"/>
        <w:gridCol w:w="1327"/>
        <w:gridCol w:w="36"/>
      </w:tblGrid>
      <w:tr w:rsidR="00000000">
        <w:trPr>
          <w:divId w:val="1121537620"/>
        </w:trPr>
        <w:tc>
          <w:tcPr>
            <w:tcW w:w="50" w:type="pct"/>
            <w:vAlign w:val="center"/>
            <w:hideMark/>
          </w:tcPr>
          <w:p w:rsidR="00000000" w:rsidRDefault="006629D3">
            <w:pPr>
              <w:rPr>
                <w:rFonts w:eastAsia="Times New Roman"/>
              </w:rPr>
            </w:pPr>
          </w:p>
        </w:tc>
        <w:tc>
          <w:tcPr>
            <w:tcW w:w="30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12153762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Inventory:</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divId w:val="1121537620"/>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121537620"/>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Finished goods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21537620"/>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Raw materials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21537620"/>
        </w:trPr>
        <w:tc>
          <w:tcPr>
            <w:tcW w:w="0" w:type="auto"/>
            <w:gridSpan w:val="3"/>
            <w:shd w:val="clear" w:color="auto" w:fill="CCEEFF"/>
            <w:tcMar>
              <w:top w:w="30" w:type="dxa"/>
              <w:left w:w="20" w:type="dxa"/>
              <w:bottom w:w="30" w:type="dxa"/>
              <w:right w:w="20" w:type="dxa"/>
            </w:tcMar>
            <w:vAlign w:val="bottom"/>
            <w:hideMark/>
          </w:tcPr>
          <w:p w:rsidR="00000000" w:rsidRDefault="006629D3">
            <w:pPr>
              <w:divId w:val="1974359715"/>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divId w:val="77991249"/>
        <w:rPr>
          <w:rFonts w:eastAsia="Times New Roman"/>
        </w:rPr>
      </w:pPr>
    </w:p>
    <w:p w:rsidR="00000000" w:rsidRDefault="006629D3">
      <w:pPr>
        <w:jc w:val="both"/>
        <w:rPr>
          <w:rFonts w:eastAsia="Times New Roman"/>
        </w:rPr>
      </w:pPr>
      <w:r>
        <w:rPr>
          <w:rFonts w:eastAsia="Times New Roman"/>
          <w:color w:val="000000"/>
          <w:sz w:val="20"/>
          <w:szCs w:val="20"/>
        </w:rPr>
        <w:t>T</w:t>
      </w:r>
      <w:r>
        <w:rPr>
          <w:rFonts w:eastAsia="Times New Roman"/>
          <w:color w:val="000000"/>
          <w:sz w:val="20"/>
          <w:szCs w:val="20"/>
        </w:rPr>
        <w:t xml:space="preserve">he decrease in inventory at September 30, 2020 is a result of the June 30, 2020 disposition of the Hospital Products. See </w:t>
      </w:r>
      <w:r>
        <w:rPr>
          <w:rFonts w:eastAsia="Times New Roman"/>
          <w:i/>
          <w:iCs/>
          <w:color w:val="000000"/>
          <w:sz w:val="20"/>
          <w:szCs w:val="20"/>
        </w:rPr>
        <w:t>Note 4: Disposition of the Hospital Products</w:t>
      </w:r>
      <w:r>
        <w:rPr>
          <w:rFonts w:eastAsia="Times New Roman"/>
          <w:color w:val="000000"/>
          <w:sz w:val="20"/>
          <w:szCs w:val="20"/>
        </w:rPr>
        <w:t xml:space="preserve">. </w:t>
      </w:r>
    </w:p>
    <w:p w:rsidR="00000000" w:rsidRDefault="006629D3">
      <w:pPr>
        <w:divId w:val="1655911606"/>
        <w:rPr>
          <w:rFonts w:eastAsia="Times New Roman"/>
        </w:rPr>
      </w:pPr>
    </w:p>
    <w:p w:rsidR="00000000" w:rsidRDefault="006629D3">
      <w:pPr>
        <w:divId w:val="1031026916"/>
        <w:rPr>
          <w:rFonts w:eastAsia="Times New Roman"/>
        </w:rPr>
      </w:pPr>
      <w:r>
        <w:rPr>
          <w:rFonts w:eastAsia="Times New Roman"/>
          <w:b/>
          <w:bCs/>
          <w:color w:val="000000"/>
          <w:sz w:val="20"/>
          <w:szCs w:val="20"/>
        </w:rPr>
        <w:t>NOTE 9:</w:t>
      </w:r>
      <w:r>
        <w:rPr>
          <w:rFonts w:eastAsia="Times New Roman"/>
          <w:color w:val="000000"/>
          <w:sz w:val="20"/>
          <w:szCs w:val="20"/>
        </w:rPr>
        <w:t xml:space="preserve"> </w:t>
      </w:r>
      <w:r>
        <w:rPr>
          <w:rFonts w:eastAsia="Times New Roman"/>
          <w:b/>
          <w:bCs/>
          <w:color w:val="000000"/>
          <w:sz w:val="20"/>
          <w:szCs w:val="20"/>
        </w:rPr>
        <w:t>Goodwill and Intangible Assets </w:t>
      </w:r>
    </w:p>
    <w:p w:rsidR="00000000" w:rsidRDefault="006629D3">
      <w:pPr>
        <w:divId w:val="493108962"/>
        <w:rPr>
          <w:rFonts w:eastAsia="Times New Roman"/>
        </w:rPr>
      </w:pPr>
      <w:r>
        <w:rPr>
          <w:rFonts w:eastAsia="Times New Roman"/>
          <w:color w:val="000000"/>
          <w:sz w:val="20"/>
          <w:szCs w:val="20"/>
        </w:rPr>
        <w:t>The Company’</w:t>
      </w:r>
      <w:r>
        <w:rPr>
          <w:rFonts w:eastAsia="Times New Roman"/>
          <w:color w:val="000000"/>
          <w:sz w:val="20"/>
          <w:szCs w:val="20"/>
        </w:rPr>
        <w:t>s amortizable and unamortizable intangible assets at September 30, 2020 and December 31, 2019 are as follows: </w:t>
      </w:r>
    </w:p>
    <w:tbl>
      <w:tblPr>
        <w:tblW w:w="4978" w:type="pct"/>
        <w:tblCellMar>
          <w:top w:w="15" w:type="dxa"/>
          <w:left w:w="15" w:type="dxa"/>
          <w:bottom w:w="15" w:type="dxa"/>
          <w:right w:w="15" w:type="dxa"/>
        </w:tblCellMar>
        <w:tblLook w:val="04A0" w:firstRow="1" w:lastRow="0" w:firstColumn="1" w:lastColumn="0" w:noHBand="0" w:noVBand="1"/>
      </w:tblPr>
      <w:tblGrid>
        <w:gridCol w:w="39"/>
        <w:gridCol w:w="2202"/>
        <w:gridCol w:w="38"/>
        <w:gridCol w:w="36"/>
        <w:gridCol w:w="36"/>
        <w:gridCol w:w="36"/>
        <w:gridCol w:w="110"/>
        <w:gridCol w:w="540"/>
        <w:gridCol w:w="36"/>
        <w:gridCol w:w="36"/>
        <w:gridCol w:w="36"/>
        <w:gridCol w:w="36"/>
        <w:gridCol w:w="111"/>
        <w:gridCol w:w="952"/>
        <w:gridCol w:w="36"/>
        <w:gridCol w:w="36"/>
        <w:gridCol w:w="36"/>
        <w:gridCol w:w="36"/>
        <w:gridCol w:w="111"/>
        <w:gridCol w:w="667"/>
        <w:gridCol w:w="36"/>
        <w:gridCol w:w="36"/>
        <w:gridCol w:w="36"/>
        <w:gridCol w:w="36"/>
        <w:gridCol w:w="110"/>
        <w:gridCol w:w="540"/>
        <w:gridCol w:w="36"/>
        <w:gridCol w:w="36"/>
        <w:gridCol w:w="36"/>
        <w:gridCol w:w="36"/>
        <w:gridCol w:w="111"/>
        <w:gridCol w:w="952"/>
        <w:gridCol w:w="36"/>
        <w:gridCol w:w="36"/>
        <w:gridCol w:w="36"/>
        <w:gridCol w:w="36"/>
        <w:gridCol w:w="36"/>
        <w:gridCol w:w="36"/>
        <w:gridCol w:w="36"/>
        <w:gridCol w:w="36"/>
        <w:gridCol w:w="111"/>
        <w:gridCol w:w="667"/>
        <w:gridCol w:w="36"/>
      </w:tblGrid>
      <w:tr w:rsidR="00000000">
        <w:trPr>
          <w:divId w:val="170871824"/>
        </w:trPr>
        <w:tc>
          <w:tcPr>
            <w:tcW w:w="50" w:type="pct"/>
            <w:vAlign w:val="center"/>
            <w:hideMark/>
          </w:tcPr>
          <w:p w:rsidR="00000000" w:rsidRDefault="006629D3">
            <w:pPr>
              <w:rPr>
                <w:rFonts w:eastAsia="Times New Roman"/>
              </w:rPr>
            </w:pPr>
          </w:p>
        </w:tc>
        <w:tc>
          <w:tcPr>
            <w:tcW w:w="172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70871824"/>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15"/>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170871824"/>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Goodwill and Intangible Assets: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Gross</w:t>
            </w:r>
            <w:r>
              <w:rPr>
                <w:rFonts w:eastAsia="Times New Roman"/>
                <w:b/>
                <w:bCs/>
                <w:color w:val="000000"/>
                <w:sz w:val="18"/>
                <w:szCs w:val="18"/>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Net Carrying</w:t>
            </w:r>
            <w:r>
              <w:rPr>
                <w:rFonts w:eastAsia="Times New Roman"/>
                <w:b/>
                <w:bCs/>
                <w:color w:val="000000"/>
                <w:sz w:val="18"/>
                <w:szCs w:val="18"/>
              </w:rPr>
              <w:br/>
              <w:t>Amount</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Gross</w:t>
            </w:r>
            <w:r>
              <w:rPr>
                <w:rFonts w:eastAsia="Times New Roman"/>
                <w:b/>
                <w:bCs/>
                <w:color w:val="000000"/>
                <w:sz w:val="18"/>
                <w:szCs w:val="18"/>
              </w:rPr>
              <w:br/>
              <w:t>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Accumulated</w:t>
            </w:r>
            <w:r>
              <w:rPr>
                <w:rFonts w:eastAsia="Times New Roman"/>
                <w:b/>
                <w:bCs/>
                <w:color w:val="000000"/>
                <w:sz w:val="18"/>
                <w:szCs w:val="18"/>
              </w:rPr>
              <w:br/>
              <w:t>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Net Carrying</w:t>
            </w:r>
            <w:r>
              <w:rPr>
                <w:rFonts w:eastAsia="Times New Roman"/>
                <w:b/>
                <w:bCs/>
                <w:color w:val="000000"/>
                <w:sz w:val="18"/>
                <w:szCs w:val="18"/>
              </w:rPr>
              <w:br/>
              <w:t>Amount</w:t>
            </w:r>
          </w:p>
        </w:tc>
      </w:tr>
      <w:tr w:rsidR="00000000">
        <w:trPr>
          <w:divId w:val="170871824"/>
          <w:trHeight w:val="42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6629D3">
        <w:trPr>
          <w:divId w:val="170871824"/>
        </w:trPr>
        <w:tc>
          <w:tcPr>
            <w:tcW w:w="0" w:type="auto"/>
            <w:gridSpan w:val="3"/>
            <w:shd w:val="clear" w:color="auto" w:fill="CCEEFF"/>
            <w:tcMar>
              <w:top w:w="30" w:type="dxa"/>
              <w:left w:w="20" w:type="dxa"/>
              <w:bottom w:w="30" w:type="dxa"/>
              <w:right w:w="20" w:type="dxa"/>
            </w:tcMar>
            <w:vAlign w:val="bottom"/>
            <w:hideMark/>
          </w:tcPr>
          <w:p w:rsidR="00000000" w:rsidRDefault="006629D3">
            <w:pPr>
              <w:divId w:val="59715094"/>
              <w:rPr>
                <w:rFonts w:eastAsia="Times New Roman"/>
              </w:rPr>
            </w:pPr>
            <w:r>
              <w:rPr>
                <w:rFonts w:eastAsia="Times New Roman"/>
                <w:color w:val="000000"/>
                <w:sz w:val="18"/>
                <w:szCs w:val="18"/>
              </w:rPr>
              <w:t>Amortizable intangible assets - Acquired developed technology - Vazculep</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12,061 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(11,248)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70871824"/>
          <w:trHeight w:val="300"/>
        </w:trPr>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6629D3">
        <w:trPr>
          <w:divId w:val="170871824"/>
        </w:trPr>
        <w:tc>
          <w:tcPr>
            <w:tcW w:w="0" w:type="auto"/>
            <w:gridSpan w:val="3"/>
            <w:shd w:val="clear" w:color="auto" w:fill="CCEEFF"/>
            <w:tcMar>
              <w:top w:w="30" w:type="dxa"/>
              <w:left w:w="20" w:type="dxa"/>
              <w:bottom w:w="30" w:type="dxa"/>
              <w:right w:w="20" w:type="dxa"/>
            </w:tcMar>
            <w:vAlign w:val="bottom"/>
            <w:hideMark/>
          </w:tcPr>
          <w:p w:rsidR="00000000" w:rsidRDefault="006629D3">
            <w:pPr>
              <w:divId w:val="443115413"/>
              <w:rPr>
                <w:rFonts w:eastAsia="Times New Roman"/>
              </w:rPr>
            </w:pPr>
            <w:r>
              <w:rPr>
                <w:rFonts w:eastAsia="Times New Roman"/>
                <w:color w:val="000000"/>
                <w:sz w:val="18"/>
                <w:szCs w:val="18"/>
              </w:rPr>
              <w:t>Unamortizable intangible assets - Goodwill</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16,836 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16,836 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18,491 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18,491 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divId w:val="827328317"/>
        <w:rPr>
          <w:rFonts w:eastAsia="Times New Roman"/>
        </w:rPr>
      </w:pPr>
      <w:r>
        <w:rPr>
          <w:rFonts w:eastAsia="Times New Roman"/>
          <w:color w:val="000000"/>
          <w:sz w:val="20"/>
          <w:szCs w:val="20"/>
        </w:rPr>
        <w:t> </w:t>
      </w:r>
    </w:p>
    <w:p w:rsidR="00000000" w:rsidRDefault="006629D3">
      <w:pPr>
        <w:jc w:val="both"/>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 xml:space="preserve">This intangible asset was assumed by the Exela Buyer as part of the disposition of the Hospital Products on June 30, 2020. See </w:t>
      </w:r>
      <w:r>
        <w:rPr>
          <w:rFonts w:eastAsia="Times New Roman"/>
          <w:i/>
          <w:iCs/>
          <w:color w:val="000000"/>
          <w:sz w:val="20"/>
          <w:szCs w:val="20"/>
        </w:rPr>
        <w:t xml:space="preserve">Note 4: Disposition of the Hospital Products.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xml:space="preserve"> In connection with the disposition of the Hospital Products (see </w:t>
      </w:r>
      <w:r>
        <w:rPr>
          <w:rFonts w:eastAsia="Times New Roman"/>
          <w:i/>
          <w:iCs/>
          <w:color w:val="000000"/>
          <w:sz w:val="20"/>
          <w:szCs w:val="20"/>
        </w:rPr>
        <w:t>Note 4: Dis</w:t>
      </w:r>
      <w:r>
        <w:rPr>
          <w:rFonts w:eastAsia="Times New Roman"/>
          <w:i/>
          <w:iCs/>
          <w:color w:val="000000"/>
          <w:sz w:val="20"/>
          <w:szCs w:val="20"/>
        </w:rPr>
        <w:t>position of the Hospital Products</w:t>
      </w:r>
      <w:r>
        <w:rPr>
          <w:rFonts w:eastAsia="Times New Roman"/>
          <w:color w:val="000000"/>
          <w:sz w:val="20"/>
          <w:szCs w:val="20"/>
        </w:rPr>
        <w:t>), the Company allocated goodwill of $1,655 on a relative fair value basis to the Hospital Products and included this amount in the net gain on the disposition of the Hospital Products on the unaudited condensed consolidate</w:t>
      </w:r>
      <w:r>
        <w:rPr>
          <w:rFonts w:eastAsia="Times New Roman"/>
          <w:color w:val="000000"/>
          <w:sz w:val="20"/>
          <w:szCs w:val="20"/>
        </w:rPr>
        <w:t>d statements of (loss) income during the nine months ended September 30, 2020.</w:t>
      </w:r>
    </w:p>
    <w:p w:rsidR="00000000" w:rsidRDefault="006629D3">
      <w:pPr>
        <w:jc w:val="both"/>
        <w:rPr>
          <w:rFonts w:eastAsia="Times New Roman"/>
        </w:rPr>
      </w:pPr>
    </w:p>
    <w:p w:rsidR="00000000" w:rsidRDefault="006629D3">
      <w:pPr>
        <w:jc w:val="both"/>
        <w:divId w:val="676882869"/>
        <w:rPr>
          <w:rFonts w:eastAsia="Times New Roman"/>
        </w:rPr>
      </w:pPr>
      <w:r>
        <w:rPr>
          <w:rFonts w:eastAsia="Times New Roman"/>
          <w:color w:val="000000"/>
          <w:sz w:val="20"/>
          <w:szCs w:val="20"/>
        </w:rPr>
        <w:t>The Company recorded amortization expense related to amortizable intangible assets of $0 and $205 for the three months ended September 30, 2020 and 2019, respectively, and $40</w:t>
      </w:r>
      <w:r>
        <w:rPr>
          <w:rFonts w:eastAsia="Times New Roman"/>
          <w:color w:val="000000"/>
          <w:sz w:val="20"/>
          <w:szCs w:val="20"/>
        </w:rPr>
        <w:t xml:space="preserve">6 and $610 for the nine months ended September 30, 2020 and 2019, respectively. </w:t>
      </w:r>
    </w:p>
    <w:p w:rsidR="00000000" w:rsidRDefault="006629D3">
      <w:pPr>
        <w:jc w:val="both"/>
        <w:rPr>
          <w:rFonts w:eastAsia="Times New Roman"/>
        </w:rPr>
      </w:pPr>
    </w:p>
    <w:p w:rsidR="00000000" w:rsidRDefault="006629D3">
      <w:pPr>
        <w:jc w:val="center"/>
        <w:divId w:val="1830318234"/>
        <w:rPr>
          <w:rFonts w:eastAsia="Times New Roman"/>
        </w:rPr>
      </w:pPr>
      <w:r>
        <w:rPr>
          <w:rFonts w:eastAsia="Times New Roman"/>
          <w:color w:val="000000"/>
          <w:sz w:val="20"/>
          <w:szCs w:val="20"/>
        </w:rPr>
        <w:t>- 20 -</w:t>
      </w:r>
    </w:p>
    <w:p w:rsidR="00000000" w:rsidRDefault="006629D3">
      <w:pPr>
        <w:rPr>
          <w:rFonts w:eastAsia="Times New Roman"/>
        </w:rPr>
      </w:pPr>
      <w:r>
        <w:rPr>
          <w:rFonts w:eastAsia="Times New Roman"/>
        </w:rPr>
        <w:pict>
          <v:rect id="_x0000_i1045" style="width:0;height:1.5pt" o:hralign="center" o:hrstd="t" o:hr="t" fillcolor="#a0a0a0" stroked="f"/>
        </w:pict>
      </w:r>
    </w:p>
    <w:p w:rsidR="00000000" w:rsidRDefault="006629D3">
      <w:pPr>
        <w:divId w:val="225646740"/>
        <w:rPr>
          <w:rFonts w:eastAsia="Times New Roman"/>
        </w:rPr>
      </w:pPr>
    </w:p>
    <w:p w:rsidR="00000000" w:rsidRDefault="006629D3">
      <w:pPr>
        <w:divId w:val="468473109"/>
        <w:rPr>
          <w:rFonts w:eastAsia="Times New Roman"/>
        </w:rPr>
      </w:pPr>
      <w:r>
        <w:rPr>
          <w:rFonts w:eastAsia="Times New Roman"/>
          <w:b/>
          <w:bCs/>
          <w:color w:val="000000"/>
          <w:sz w:val="20"/>
          <w:szCs w:val="20"/>
        </w:rPr>
        <w:t>NOTE 10:</w:t>
      </w:r>
      <w:r>
        <w:rPr>
          <w:rFonts w:eastAsia="Times New Roman"/>
          <w:color w:val="000000"/>
          <w:sz w:val="20"/>
          <w:szCs w:val="20"/>
        </w:rPr>
        <w:t xml:space="preserve"> </w:t>
      </w:r>
      <w:r>
        <w:rPr>
          <w:rFonts w:eastAsia="Times New Roman"/>
          <w:b/>
          <w:bCs/>
          <w:color w:val="000000"/>
          <w:sz w:val="20"/>
          <w:szCs w:val="20"/>
        </w:rPr>
        <w:t>Contingent Consideration Payable </w:t>
      </w:r>
    </w:p>
    <w:p w:rsidR="00000000" w:rsidRDefault="006629D3">
      <w:pPr>
        <w:jc w:val="both"/>
        <w:divId w:val="960454211"/>
        <w:rPr>
          <w:rFonts w:eastAsia="Times New Roman"/>
        </w:rPr>
      </w:pPr>
      <w:r>
        <w:rPr>
          <w:rFonts w:eastAsia="Times New Roman"/>
          <w:color w:val="000000"/>
          <w:sz w:val="20"/>
          <w:szCs w:val="20"/>
        </w:rPr>
        <w:t>Contingent consideration payable and related activity are reported at fair value and consist of the following at September 30, 2020 and December 31, 2019:</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2304"/>
        <w:gridCol w:w="38"/>
        <w:gridCol w:w="111"/>
        <w:gridCol w:w="735"/>
        <w:gridCol w:w="36"/>
        <w:gridCol w:w="36"/>
        <w:gridCol w:w="36"/>
        <w:gridCol w:w="36"/>
        <w:gridCol w:w="36"/>
        <w:gridCol w:w="36"/>
        <w:gridCol w:w="111"/>
        <w:gridCol w:w="711"/>
        <w:gridCol w:w="36"/>
        <w:gridCol w:w="36"/>
        <w:gridCol w:w="36"/>
        <w:gridCol w:w="36"/>
        <w:gridCol w:w="111"/>
        <w:gridCol w:w="745"/>
        <w:gridCol w:w="37"/>
        <w:gridCol w:w="36"/>
        <w:gridCol w:w="36"/>
        <w:gridCol w:w="36"/>
        <w:gridCol w:w="111"/>
        <w:gridCol w:w="613"/>
        <w:gridCol w:w="37"/>
        <w:gridCol w:w="36"/>
        <w:gridCol w:w="36"/>
        <w:gridCol w:w="36"/>
        <w:gridCol w:w="111"/>
        <w:gridCol w:w="810"/>
        <w:gridCol w:w="36"/>
        <w:gridCol w:w="36"/>
        <w:gridCol w:w="36"/>
        <w:gridCol w:w="36"/>
        <w:gridCol w:w="111"/>
        <w:gridCol w:w="783"/>
        <w:gridCol w:w="36"/>
      </w:tblGrid>
      <w:tr w:rsidR="00000000">
        <w:trPr>
          <w:divId w:val="1698237646"/>
          <w:jc w:val="center"/>
        </w:trPr>
        <w:tc>
          <w:tcPr>
            <w:tcW w:w="50" w:type="pct"/>
            <w:vAlign w:val="center"/>
            <w:hideMark/>
          </w:tcPr>
          <w:p w:rsidR="00000000" w:rsidRDefault="006629D3">
            <w:pPr>
              <w:jc w:val="both"/>
              <w:rPr>
                <w:rFonts w:eastAsia="Times New Roman"/>
              </w:rPr>
            </w:pPr>
          </w:p>
        </w:tc>
        <w:tc>
          <w:tcPr>
            <w:tcW w:w="149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7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9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8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9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9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9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69823764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 xml:space="preserve">Activity during the nine months ended </w:t>
            </w:r>
            <w:r>
              <w:rPr>
                <w:rFonts w:eastAsia="Times New Roman"/>
                <w:b/>
                <w:bCs/>
                <w:color w:val="000000"/>
                <w:sz w:val="18"/>
                <w:szCs w:val="18"/>
              </w:rPr>
              <w:b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r>
      <w:tr w:rsidR="00000000">
        <w:trPr>
          <w:divId w:val="169823764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Changes in Fair Value of Contingent Consideration Payable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r>
      <w:tr w:rsidR="00000000">
        <w:trPr>
          <w:divId w:val="169823764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 xml:space="preserve">Contingent Consideration Payable: </w:t>
            </w: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Balance,</w:t>
            </w:r>
            <w:r>
              <w:rPr>
                <w:rFonts w:eastAsia="Times New Roman"/>
                <w:b/>
                <w:bCs/>
                <w:color w:val="000000"/>
                <w:sz w:val="18"/>
                <w:szCs w:val="18"/>
              </w:rPr>
              <w:br/>
            </w:r>
            <w:r>
              <w:rPr>
                <w:rFonts w:eastAsia="Times New Roman"/>
                <w:b/>
                <w:bCs/>
                <w:color w:val="000000"/>
                <w:sz w:val="18"/>
                <w:szCs w:val="18"/>
              </w:rPr>
              <w:t>December 31, 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 xml:space="preserve">Payments </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Operating 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Other</w:t>
            </w:r>
            <w:r>
              <w:rPr>
                <w:rFonts w:eastAsia="Times New Roman"/>
                <w:b/>
                <w:bCs/>
                <w:color w:val="000000"/>
                <w:sz w:val="18"/>
                <w:szCs w:val="18"/>
              </w:rPr>
              <w:br/>
              <w:t>Expense</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Disposition of the Hospital Products</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Balance, September 30, 2020</w:t>
            </w:r>
          </w:p>
        </w:tc>
      </w:tr>
      <w:tr w:rsidR="00000000">
        <w:trPr>
          <w:divId w:val="1698237646"/>
          <w:trHeight w:val="12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698237646"/>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Acquisition-related contingent consideration:</w:t>
            </w: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1698237646"/>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Earn-out payments - Éclat Pharmaceuticals (a) (d)</w:t>
            </w: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15,472 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(5,323)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3,327 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(13,476)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98237646"/>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Financing-related:</w:t>
            </w: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698237646"/>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Royalty agreement - Deerfield (b) (d)</w:t>
            </w: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1,251 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272 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(936)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98237646"/>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Royalty agreement - Broadfin (c) (d)</w:t>
            </w: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604 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(279)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w:t>
            </w:r>
            <w:r>
              <w:rPr>
                <w:rFonts w:eastAsia="Times New Roman"/>
                <w:color w:val="000000"/>
                <w:sz w:val="18"/>
                <w:szCs w:val="18"/>
              </w:rPr>
              <w:t>488)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98237646"/>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contingent consideration payable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(14,900)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98237646"/>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Less: current portion</w:t>
            </w: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(5,554)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698237646"/>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Long-term contingent consideration payable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center"/>
        <w:rPr>
          <w:rFonts w:eastAsia="Times New Roman"/>
        </w:rPr>
      </w:pPr>
    </w:p>
    <w:p w:rsidR="00000000" w:rsidRDefault="006629D3">
      <w:pPr>
        <w:divId w:val="1038966272"/>
        <w:rPr>
          <w:rFonts w:eastAsia="Times New Roman"/>
        </w:rPr>
      </w:pPr>
    </w:p>
    <w:p w:rsidR="00000000" w:rsidRDefault="006629D3">
      <w:pPr>
        <w:divId w:val="1258639706"/>
        <w:rPr>
          <w:rFonts w:eastAsia="Times New Roman"/>
        </w:rPr>
      </w:pPr>
      <w:r>
        <w:rPr>
          <w:rFonts w:eastAsia="Times New Roman"/>
          <w:color w:val="000000"/>
          <w:sz w:val="20"/>
          <w:szCs w:val="20"/>
        </w:rPr>
        <w:t>Long-term related party payable and related activity are reported at fair value and consist of the following at September 30, 2020 and June 30,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27"/>
        <w:gridCol w:w="37"/>
        <w:gridCol w:w="111"/>
        <w:gridCol w:w="616"/>
        <w:gridCol w:w="36"/>
        <w:gridCol w:w="36"/>
        <w:gridCol w:w="36"/>
        <w:gridCol w:w="36"/>
        <w:gridCol w:w="36"/>
        <w:gridCol w:w="36"/>
        <w:gridCol w:w="111"/>
        <w:gridCol w:w="702"/>
        <w:gridCol w:w="37"/>
        <w:gridCol w:w="36"/>
        <w:gridCol w:w="36"/>
        <w:gridCol w:w="36"/>
        <w:gridCol w:w="112"/>
        <w:gridCol w:w="739"/>
        <w:gridCol w:w="38"/>
        <w:gridCol w:w="37"/>
        <w:gridCol w:w="37"/>
        <w:gridCol w:w="37"/>
        <w:gridCol w:w="112"/>
        <w:gridCol w:w="603"/>
        <w:gridCol w:w="38"/>
        <w:gridCol w:w="36"/>
        <w:gridCol w:w="36"/>
        <w:gridCol w:w="36"/>
        <w:gridCol w:w="36"/>
        <w:gridCol w:w="85"/>
        <w:gridCol w:w="111"/>
        <w:gridCol w:w="774"/>
        <w:gridCol w:w="36"/>
      </w:tblGrid>
      <w:tr w:rsidR="00000000">
        <w:trPr>
          <w:divId w:val="397215944"/>
          <w:jc w:val="center"/>
        </w:trPr>
        <w:tc>
          <w:tcPr>
            <w:tcW w:w="50" w:type="pct"/>
            <w:vAlign w:val="center"/>
            <w:hideMark/>
          </w:tcPr>
          <w:p w:rsidR="00000000" w:rsidRDefault="006629D3">
            <w:pPr>
              <w:rPr>
                <w:rFonts w:eastAsia="Times New Roman"/>
              </w:rPr>
            </w:pPr>
          </w:p>
        </w:tc>
        <w:tc>
          <w:tcPr>
            <w:tcW w:w="234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3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2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4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39721594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 xml:space="preserve">Activity during the three months ended </w:t>
            </w:r>
            <w:r>
              <w:rPr>
                <w:rFonts w:eastAsia="Times New Roman"/>
                <w:b/>
                <w:bCs/>
                <w:color w:val="000000"/>
                <w:sz w:val="18"/>
                <w:szCs w:val="18"/>
              </w:rPr>
              <w:br/>
              <w:t>September 30, 2020</w:t>
            </w:r>
          </w:p>
        </w:tc>
        <w:tc>
          <w:tcPr>
            <w:tcW w:w="0" w:type="auto"/>
            <w:vAlign w:val="center"/>
            <w:hideMark/>
          </w:tcPr>
          <w:p w:rsidR="00000000" w:rsidRDefault="006629D3">
            <w:pPr>
              <w:jc w:val="center"/>
              <w:rPr>
                <w:rFonts w:eastAsia="Times New Roman"/>
              </w:rPr>
            </w:pPr>
          </w:p>
        </w:tc>
        <w:tc>
          <w:tcPr>
            <w:tcW w:w="0" w:type="auto"/>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39721594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Changes in Fair Value of Contingent Consideration Payable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r>
      <w:tr w:rsidR="00000000">
        <w:trPr>
          <w:divId w:val="39721594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 xml:space="preserve">Contingent Consideration Payable: </w:t>
            </w: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Balance,</w:t>
            </w:r>
            <w:r>
              <w:rPr>
                <w:rFonts w:eastAsia="Times New Roman"/>
                <w:b/>
                <w:bCs/>
                <w:color w:val="000000"/>
                <w:sz w:val="18"/>
                <w:szCs w:val="18"/>
              </w:rPr>
              <w:br/>
              <w:t>June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 xml:space="preserve">Payments </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Operating Expense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Other</w:t>
            </w:r>
            <w:r>
              <w:rPr>
                <w:rFonts w:eastAsia="Times New Roman"/>
                <w:b/>
                <w:bCs/>
                <w:color w:val="000000"/>
                <w:sz w:val="18"/>
                <w:szCs w:val="18"/>
              </w:rPr>
              <w:br/>
              <w:t>Expense</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Balance, September 30, 2020</w:t>
            </w:r>
          </w:p>
        </w:tc>
      </w:tr>
      <w:tr w:rsidR="00000000">
        <w:trPr>
          <w:divId w:val="397215944"/>
          <w:trHeight w:val="12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39721594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Acquisition-related contingent consideration:</w:t>
            </w: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r w:rsidR="00000000">
        <w:trPr>
          <w:divId w:val="397215944"/>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Earn-out payments - Éclat Pharmaceuticals (a) (d)</w:t>
            </w: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1,656 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(1,587)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9721594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Financing-related:</w:t>
            </w: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397215944"/>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Royalty agreement - Deerfield (b) (d)</w:t>
            </w: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97215944"/>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Royalty agreement - Broadfin (c) (d)</w:t>
            </w: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97215944"/>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contingent consideration payable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97215944"/>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Less: current portion</w:t>
            </w: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97215944"/>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Long-term contingent consideration payable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(a) In March 2012, the Company acquired all of the membership interests of Éclat from Breaking Stick Holdings, L.L.C. (“Breaking Stick”, formerly É</w:t>
      </w:r>
      <w:r>
        <w:rPr>
          <w:rFonts w:eastAsia="Times New Roman"/>
          <w:color w:val="000000"/>
          <w:sz w:val="20"/>
          <w:szCs w:val="20"/>
        </w:rPr>
        <w:t>clat Holdings), an affiliate of Deerfield. Breaking Stick is majority owned by Deerfield, with a minority interest owned by the Company’s former CEO, and certain other current and former employees. As part of the consideration, the Company committed to pro</w:t>
      </w:r>
      <w:r>
        <w:rPr>
          <w:rFonts w:eastAsia="Times New Roman"/>
          <w:color w:val="000000"/>
          <w:sz w:val="20"/>
          <w:szCs w:val="20"/>
        </w:rPr>
        <w:t>vide quarterly earn-out payments equal to 20% of any gross profit generated by certain Éclat products. These payments will continue in perpetuity, to the extent gross profit of the related products also continue in perpetuity. In connection with the dispos</w:t>
      </w:r>
      <w:r>
        <w:rPr>
          <w:rFonts w:eastAsia="Times New Roman"/>
          <w:color w:val="000000"/>
          <w:sz w:val="20"/>
          <w:szCs w:val="20"/>
        </w:rPr>
        <w:t xml:space="preserve">ition of the Hospital Products on June 30, 2020 as discussed in </w:t>
      </w:r>
      <w:r>
        <w:rPr>
          <w:rFonts w:eastAsia="Times New Roman"/>
          <w:i/>
          <w:iCs/>
          <w:color w:val="000000"/>
          <w:sz w:val="20"/>
          <w:szCs w:val="20"/>
        </w:rPr>
        <w:t>Note 4: Disposition of the Hospital Products</w:t>
      </w:r>
      <w:r>
        <w:rPr>
          <w:rFonts w:eastAsia="Times New Roman"/>
          <w:color w:val="000000"/>
          <w:sz w:val="20"/>
          <w:szCs w:val="20"/>
        </w:rPr>
        <w:t>, the Deerfield MIPA (with respect to certain sections thereof) and the Royalty Agreement were assigned to the Exela Buyer. Pursuant to the Purchase</w:t>
      </w:r>
      <w:r>
        <w:rPr>
          <w:rFonts w:eastAsia="Times New Roman"/>
          <w:color w:val="000000"/>
          <w:sz w:val="20"/>
          <w:szCs w:val="20"/>
        </w:rPr>
        <w:t xml:space="preserve"> Agreement, the Exela Buyer assumed and will pay, </w:t>
      </w:r>
    </w:p>
    <w:p w:rsidR="00000000" w:rsidRDefault="006629D3">
      <w:pPr>
        <w:jc w:val="center"/>
        <w:divId w:val="1773477118"/>
        <w:rPr>
          <w:rFonts w:eastAsia="Times New Roman"/>
        </w:rPr>
      </w:pPr>
      <w:r>
        <w:rPr>
          <w:rFonts w:eastAsia="Times New Roman"/>
          <w:color w:val="000000"/>
          <w:sz w:val="20"/>
          <w:szCs w:val="20"/>
        </w:rPr>
        <w:t>- 21 -</w:t>
      </w:r>
    </w:p>
    <w:p w:rsidR="00000000" w:rsidRDefault="006629D3">
      <w:pPr>
        <w:rPr>
          <w:rFonts w:eastAsia="Times New Roman"/>
        </w:rPr>
      </w:pPr>
      <w:r>
        <w:rPr>
          <w:rFonts w:eastAsia="Times New Roman"/>
        </w:rPr>
        <w:pict>
          <v:rect id="_x0000_i1046" style="width:0;height:1.5pt" o:hralign="center" o:hrstd="t" o:hr="t" fillcolor="#a0a0a0" stroked="f"/>
        </w:pict>
      </w:r>
    </w:p>
    <w:p w:rsidR="00000000" w:rsidRDefault="006629D3">
      <w:pPr>
        <w:divId w:val="1166749665"/>
        <w:rPr>
          <w:rFonts w:eastAsia="Times New Roman"/>
        </w:rPr>
      </w:pPr>
    </w:p>
    <w:p w:rsidR="00000000" w:rsidRDefault="006629D3">
      <w:pPr>
        <w:jc w:val="both"/>
        <w:rPr>
          <w:rFonts w:eastAsia="Times New Roman"/>
        </w:rPr>
      </w:pPr>
      <w:r>
        <w:rPr>
          <w:rFonts w:eastAsia="Times New Roman"/>
          <w:color w:val="000000"/>
          <w:sz w:val="20"/>
          <w:szCs w:val="20"/>
        </w:rPr>
        <w:t>perform, satisfy and discharge the liabilities and obligations of Avadel Legacy and the Company under the Deerfield Royalty Agreement.</w:t>
      </w:r>
    </w:p>
    <w:p w:rsidR="00000000" w:rsidRDefault="006629D3">
      <w:pPr>
        <w:ind w:hanging="360"/>
        <w:jc w:val="both"/>
        <w:rPr>
          <w:rFonts w:eastAsia="Times New Roman"/>
        </w:rPr>
      </w:pPr>
    </w:p>
    <w:p w:rsidR="00000000" w:rsidRDefault="006629D3">
      <w:pPr>
        <w:ind w:hanging="360"/>
        <w:jc w:val="both"/>
        <w:divId w:val="51660655"/>
        <w:rPr>
          <w:rFonts w:eastAsia="Times New Roman"/>
        </w:rPr>
      </w:pPr>
      <w:r>
        <w:rPr>
          <w:rFonts w:eastAsia="Times New Roman"/>
          <w:color w:val="000000"/>
          <w:sz w:val="20"/>
          <w:szCs w:val="20"/>
        </w:rPr>
        <w:t>(b)As part of a Februar</w:t>
      </w:r>
      <w:r>
        <w:rPr>
          <w:rFonts w:eastAsia="Times New Roman"/>
          <w:color w:val="000000"/>
          <w:sz w:val="20"/>
          <w:szCs w:val="20"/>
        </w:rPr>
        <w:t>y 2013 debt financing transaction conducted with Deerfield, the Company received cash of $2,600 in exchange for entering into a royalty agreement whereby the Company is obligated to pay quarterly a 1.75% royalty on the net sales of certain Éclat products u</w:t>
      </w:r>
      <w:r>
        <w:rPr>
          <w:rFonts w:eastAsia="Times New Roman"/>
          <w:color w:val="000000"/>
          <w:sz w:val="20"/>
          <w:szCs w:val="20"/>
        </w:rPr>
        <w:t xml:space="preserve">ntil December 31, 2024. In connection with such debt financing transaction, the Company granted Deerfield a security interest in the product registration rights of the Éclat products. In connection with the disposition of the Hospital Products on June 30, </w:t>
      </w:r>
      <w:r>
        <w:rPr>
          <w:rFonts w:eastAsia="Times New Roman"/>
          <w:color w:val="000000"/>
          <w:sz w:val="20"/>
          <w:szCs w:val="20"/>
        </w:rPr>
        <w:t xml:space="preserve">2020 as discussed in </w:t>
      </w:r>
      <w:r>
        <w:rPr>
          <w:rFonts w:eastAsia="Times New Roman"/>
          <w:i/>
          <w:iCs/>
          <w:color w:val="000000"/>
          <w:sz w:val="20"/>
          <w:szCs w:val="20"/>
        </w:rPr>
        <w:t>Note 4: Disposition of the Hospital Products</w:t>
      </w:r>
      <w:r>
        <w:rPr>
          <w:rFonts w:eastAsia="Times New Roman"/>
          <w:color w:val="000000"/>
          <w:sz w:val="20"/>
          <w:szCs w:val="20"/>
        </w:rPr>
        <w:t>, the Deerfield MIPA (with respect to certain sections thereof) and the Royalty Agreement were assigned to the Exela Buyer. Pursuant to the Purchase Agreement, the Exela Buyer assumed and wil</w:t>
      </w:r>
      <w:r>
        <w:rPr>
          <w:rFonts w:eastAsia="Times New Roman"/>
          <w:color w:val="000000"/>
          <w:sz w:val="20"/>
          <w:szCs w:val="20"/>
        </w:rPr>
        <w:t>l pay, perform, satisfy and discharge the liabilities and obligations of Avadel Legacy and the Company under the Deerfield Royalty Agreement.</w:t>
      </w:r>
    </w:p>
    <w:p w:rsidR="00000000" w:rsidRDefault="006629D3">
      <w:pPr>
        <w:ind w:hanging="360"/>
        <w:jc w:val="both"/>
        <w:divId w:val="55788530"/>
        <w:rPr>
          <w:rFonts w:eastAsia="Times New Roman"/>
        </w:rPr>
      </w:pPr>
      <w:r>
        <w:rPr>
          <w:rFonts w:eastAsia="Times New Roman"/>
          <w:color w:val="000000"/>
          <w:sz w:val="20"/>
          <w:szCs w:val="20"/>
        </w:rPr>
        <w:t xml:space="preserve">(c)As part of a December 2013 debt financing transaction conducted with Broadfin Healthcare Master Fund, a former </w:t>
      </w:r>
      <w:r>
        <w:rPr>
          <w:rFonts w:eastAsia="Times New Roman"/>
          <w:color w:val="000000"/>
          <w:sz w:val="20"/>
          <w:szCs w:val="20"/>
        </w:rPr>
        <w:t>related party and shareholder, the Company received cash of $2,200 in exchange for entering into a royalty agreement whereby the Company is obligated to pay quarterly a 0.834% royalty on the net sales of certain Éclat products until December 31, 2024. In c</w:t>
      </w:r>
      <w:r>
        <w:rPr>
          <w:rFonts w:eastAsia="Times New Roman"/>
          <w:color w:val="000000"/>
          <w:sz w:val="20"/>
          <w:szCs w:val="20"/>
        </w:rPr>
        <w:t xml:space="preserve">onnection with the disposition of the Hospital Products on June 30, 2020 as discussed in </w:t>
      </w:r>
      <w:r>
        <w:rPr>
          <w:rFonts w:eastAsia="Times New Roman"/>
          <w:i/>
          <w:iCs/>
          <w:color w:val="000000"/>
          <w:sz w:val="20"/>
          <w:szCs w:val="20"/>
        </w:rPr>
        <w:t>Note 4: Disposition of the Hospital Products</w:t>
      </w:r>
      <w:r>
        <w:rPr>
          <w:rFonts w:eastAsia="Times New Roman"/>
          <w:color w:val="000000"/>
          <w:sz w:val="20"/>
          <w:szCs w:val="20"/>
        </w:rPr>
        <w:t>, the Broadfin Royalty Agreement was assigned to the Exela Buyer and the Exela Buyer assumed and shall pay, perform, satisf</w:t>
      </w:r>
      <w:r>
        <w:rPr>
          <w:rFonts w:eastAsia="Times New Roman"/>
          <w:color w:val="000000"/>
          <w:sz w:val="20"/>
          <w:szCs w:val="20"/>
        </w:rPr>
        <w:t>y and discharge the liabilities and obligations of the Company under the Broadfin Royalty Agreement.</w:t>
      </w:r>
    </w:p>
    <w:p w:rsidR="00000000" w:rsidRDefault="006629D3">
      <w:pPr>
        <w:ind w:hanging="360"/>
        <w:jc w:val="both"/>
        <w:divId w:val="677929492"/>
        <w:rPr>
          <w:rFonts w:eastAsia="Times New Roman"/>
        </w:rPr>
      </w:pPr>
      <w:r>
        <w:rPr>
          <w:rFonts w:eastAsia="Times New Roman"/>
          <w:color w:val="000000"/>
          <w:sz w:val="20"/>
          <w:szCs w:val="20"/>
        </w:rPr>
        <w:t>(d)Deerfield and Broadfin Healthcare Master Trust disposed of their 2023 Notes and ordinary shares in the Company during the six months ended June 30, 2020</w:t>
      </w:r>
      <w:r>
        <w:rPr>
          <w:rFonts w:eastAsia="Times New Roman"/>
          <w:color w:val="000000"/>
          <w:sz w:val="20"/>
          <w:szCs w:val="20"/>
        </w:rPr>
        <w:t xml:space="preserve"> and are no longer considered related parties. </w:t>
      </w:r>
    </w:p>
    <w:p w:rsidR="00000000" w:rsidRDefault="006629D3">
      <w:pPr>
        <w:jc w:val="both"/>
        <w:divId w:val="1136223535"/>
        <w:rPr>
          <w:rFonts w:eastAsia="Times New Roman"/>
        </w:rPr>
      </w:pPr>
      <w:r>
        <w:rPr>
          <w:rFonts w:eastAsia="Times New Roman"/>
          <w:color w:val="000000"/>
          <w:sz w:val="20"/>
          <w:szCs w:val="20"/>
        </w:rPr>
        <w:t>Before the sale of the Hospital Products on June 30, 2020, the fair value of each contingent consideration payable listed in (a), (b) and (c) above was estimated using a discounted cash flow model based on es</w:t>
      </w:r>
      <w:r>
        <w:rPr>
          <w:rFonts w:eastAsia="Times New Roman"/>
          <w:color w:val="000000"/>
          <w:sz w:val="20"/>
          <w:szCs w:val="20"/>
        </w:rPr>
        <w:t xml:space="preserve">timated and projected annual net revenues or gross profit, as appropriate, of each of the specified Éclat products using an appropriate risk-adjusted discount rate of 14%. These fair value measurements are based on significant inputs not observable in the </w:t>
      </w:r>
      <w:r>
        <w:rPr>
          <w:rFonts w:eastAsia="Times New Roman"/>
          <w:color w:val="000000"/>
          <w:sz w:val="20"/>
          <w:szCs w:val="20"/>
        </w:rPr>
        <w:t>market and thus represent a Level 3 measurement as defined in ASC 820. Subsequent changes in the fair value of the acquisition-related contingent consideration payables, resulting primarily from management’s revision of key assumptions, will be recorded in</w:t>
      </w:r>
      <w:r>
        <w:rPr>
          <w:rFonts w:eastAsia="Times New Roman"/>
          <w:color w:val="000000"/>
          <w:sz w:val="20"/>
          <w:szCs w:val="20"/>
        </w:rPr>
        <w:t xml:space="preserve"> the unaudited condensed consolidated statements of (loss) income in the line items entitled “Changes in fair value of contingent consideration” for items noted in (b) above and in “Other expense - changes in fair value of contingent consideration payable”</w:t>
      </w:r>
      <w:r>
        <w:rPr>
          <w:rFonts w:eastAsia="Times New Roman"/>
          <w:color w:val="000000"/>
          <w:sz w:val="20"/>
          <w:szCs w:val="20"/>
        </w:rPr>
        <w:t xml:space="preserve"> for items (b) and (c) above. See </w:t>
      </w:r>
      <w:r>
        <w:rPr>
          <w:rFonts w:eastAsia="Times New Roman"/>
          <w:i/>
          <w:iCs/>
          <w:color w:val="000000"/>
          <w:sz w:val="20"/>
          <w:szCs w:val="20"/>
        </w:rPr>
        <w:t xml:space="preserve">Note 1: Summary of Significant Accounting Policies </w:t>
      </w:r>
      <w:r>
        <w:rPr>
          <w:rFonts w:eastAsia="Times New Roman"/>
          <w:color w:val="000000"/>
          <w:sz w:val="20"/>
          <w:szCs w:val="20"/>
        </w:rPr>
        <w:t>under the caption Acquisition-related Contingent Consideration and Financing-related Royalty Agreements in Part II, Item 8 of the Company’s 2019 Annual Report on Form 10-K</w:t>
      </w:r>
      <w:r>
        <w:rPr>
          <w:rFonts w:eastAsia="Times New Roman"/>
          <w:color w:val="000000"/>
          <w:sz w:val="20"/>
          <w:szCs w:val="20"/>
        </w:rPr>
        <w:t xml:space="preserve"> for more information on key assumptions used to determine the fair value of these liabilities. </w:t>
      </w:r>
    </w:p>
    <w:p w:rsidR="00000000" w:rsidRDefault="006629D3">
      <w:pPr>
        <w:jc w:val="both"/>
        <w:divId w:val="1578250887"/>
        <w:rPr>
          <w:rFonts w:eastAsia="Times New Roman"/>
        </w:rPr>
      </w:pPr>
      <w:r>
        <w:rPr>
          <w:rFonts w:eastAsia="Times New Roman"/>
          <w:color w:val="000000"/>
          <w:sz w:val="20"/>
          <w:szCs w:val="20"/>
        </w:rPr>
        <w:t>Prior to June 30, 2020, the Company chose to make a fair value election pursuant to ASC 825, “Financial Instruments” for its royalty agreements detailed in ite</w:t>
      </w:r>
      <w:r>
        <w:rPr>
          <w:rFonts w:eastAsia="Times New Roman"/>
          <w:color w:val="000000"/>
          <w:sz w:val="20"/>
          <w:szCs w:val="20"/>
        </w:rPr>
        <w:t>ms (b) and (c) above. These financing-related liabilities are recorded at fair market value on the unaudited condensed consolidated balance sheets and the periodic change in fair market value is recorded as a component of “Other expense – change in fair va</w:t>
      </w:r>
      <w:r>
        <w:rPr>
          <w:rFonts w:eastAsia="Times New Roman"/>
          <w:color w:val="000000"/>
          <w:sz w:val="20"/>
          <w:szCs w:val="20"/>
        </w:rPr>
        <w:t>lue of contingent consideration payable” on the unaudited condensed consolidated statements of (loss) income.</w:t>
      </w:r>
    </w:p>
    <w:p w:rsidR="00000000" w:rsidRDefault="006629D3">
      <w:pPr>
        <w:jc w:val="both"/>
        <w:divId w:val="137696846"/>
        <w:rPr>
          <w:rFonts w:eastAsia="Times New Roman"/>
        </w:rPr>
      </w:pPr>
      <w:r>
        <w:rPr>
          <w:rFonts w:eastAsia="Times New Roman"/>
          <w:color w:val="000000"/>
          <w:sz w:val="20"/>
          <w:szCs w:val="20"/>
        </w:rPr>
        <w:t>The following table summarizes changes to the contingent consideration payables, a recurring Level 3 measurement, for the nine-month periods ended</w:t>
      </w:r>
      <w:r>
        <w:rPr>
          <w:rFonts w:eastAsia="Times New Roman"/>
          <w:color w:val="000000"/>
          <w:sz w:val="20"/>
          <w:szCs w:val="20"/>
        </w:rPr>
        <w:t> September 30, 2020 and 2019, respectively:</w:t>
      </w:r>
    </w:p>
    <w:tbl>
      <w:tblPr>
        <w:tblW w:w="4985" w:type="pct"/>
        <w:tblCellMar>
          <w:top w:w="15" w:type="dxa"/>
          <w:left w:w="15" w:type="dxa"/>
          <w:bottom w:w="15" w:type="dxa"/>
          <w:right w:w="15" w:type="dxa"/>
        </w:tblCellMar>
        <w:tblLook w:val="04A0" w:firstRow="1" w:lastRow="0" w:firstColumn="1" w:lastColumn="0" w:noHBand="0" w:noVBand="1"/>
      </w:tblPr>
      <w:tblGrid>
        <w:gridCol w:w="48"/>
        <w:gridCol w:w="6480"/>
        <w:gridCol w:w="36"/>
        <w:gridCol w:w="36"/>
        <w:gridCol w:w="36"/>
        <w:gridCol w:w="36"/>
        <w:gridCol w:w="110"/>
        <w:gridCol w:w="1463"/>
        <w:gridCol w:w="36"/>
      </w:tblGrid>
      <w:tr w:rsidR="00000000">
        <w:trPr>
          <w:divId w:val="1088893362"/>
        </w:trPr>
        <w:tc>
          <w:tcPr>
            <w:tcW w:w="50" w:type="pct"/>
            <w:vAlign w:val="center"/>
            <w:hideMark/>
          </w:tcPr>
          <w:p w:rsidR="00000000" w:rsidRDefault="006629D3">
            <w:pPr>
              <w:jc w:val="both"/>
              <w:rPr>
                <w:rFonts w:eastAsia="Times New Roman"/>
              </w:rPr>
            </w:pPr>
          </w:p>
        </w:tc>
        <w:tc>
          <w:tcPr>
            <w:tcW w:w="393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92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088893362"/>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Contingent Consideration Payable Rollforward:</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Balance</w:t>
            </w:r>
          </w:p>
        </w:tc>
      </w:tr>
      <w:tr w:rsidR="00000000">
        <w:trPr>
          <w:divId w:val="108889336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088893362"/>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Balance, December 31, 2018</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28,840 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Payments of contingent consideration</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(10,014)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Pr>
        <w:tc>
          <w:tcPr>
            <w:tcW w:w="0" w:type="auto"/>
            <w:gridSpan w:val="3"/>
            <w:shd w:val="clear" w:color="auto" w:fill="CCEEFF"/>
            <w:tcMar>
              <w:top w:w="30" w:type="dxa"/>
              <w:left w:w="20" w:type="dxa"/>
              <w:bottom w:w="30" w:type="dxa"/>
              <w:right w:w="20" w:type="dxa"/>
            </w:tcMar>
            <w:vAlign w:val="bottom"/>
            <w:hideMark/>
          </w:tcPr>
          <w:p w:rsidR="00000000" w:rsidRDefault="006629D3">
            <w:pPr>
              <w:divId w:val="710569893"/>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2,880 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Balance, September 30, 2019</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21,706 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Height w:val="24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08889336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Balance, December 31, 2019</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17,327 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Payments of contingent consideration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(6,189)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Pr>
        <w:tc>
          <w:tcPr>
            <w:tcW w:w="0" w:type="auto"/>
            <w:gridSpan w:val="3"/>
            <w:shd w:val="clear" w:color="auto" w:fill="FFFFFF"/>
            <w:tcMar>
              <w:top w:w="30" w:type="dxa"/>
              <w:left w:w="20" w:type="dxa"/>
              <w:bottom w:w="30" w:type="dxa"/>
              <w:right w:w="20" w:type="dxa"/>
            </w:tcMar>
            <w:vAlign w:val="bottom"/>
            <w:hideMark/>
          </w:tcPr>
          <w:p w:rsidR="00000000" w:rsidRDefault="006629D3">
            <w:pPr>
              <w:divId w:val="935022533"/>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3,762 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r>
              <w:rPr>
                <w:rFonts w:eastAsia="Times New Roman"/>
                <w:color w:val="000000"/>
                <w:sz w:val="18"/>
                <w:szCs w:val="18"/>
              </w:rPr>
              <w:t>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(14,900)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88893362"/>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Balance, September 30, 2020 </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ind w:hanging="18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 xml:space="preserve">Fair value adjustments are reported as changes in fair value of contingent consideration and other expense - changes in fair value of contingent consideration payable in the unaudited condensed consolidated statements of (loss) income. </w:t>
      </w:r>
      <w:r>
        <w:rPr>
          <w:rFonts w:eastAsia="Times New Roman"/>
          <w:b/>
          <w:bCs/>
          <w:color w:val="000000"/>
          <w:sz w:val="20"/>
          <w:szCs w:val="20"/>
        </w:rPr>
        <w:t> </w:t>
      </w:r>
    </w:p>
    <w:p w:rsidR="00000000" w:rsidRDefault="006629D3">
      <w:pPr>
        <w:ind w:hanging="180"/>
        <w:jc w:val="both"/>
        <w:rPr>
          <w:rFonts w:eastAsia="Times New Roman"/>
        </w:rPr>
      </w:pPr>
    </w:p>
    <w:p w:rsidR="00000000" w:rsidRDefault="006629D3">
      <w:pPr>
        <w:jc w:val="center"/>
        <w:divId w:val="260376718"/>
        <w:rPr>
          <w:rFonts w:eastAsia="Times New Roman"/>
        </w:rPr>
      </w:pPr>
      <w:r>
        <w:rPr>
          <w:rFonts w:eastAsia="Times New Roman"/>
          <w:color w:val="000000"/>
          <w:sz w:val="20"/>
          <w:szCs w:val="20"/>
        </w:rPr>
        <w:t>- 22 -</w:t>
      </w:r>
    </w:p>
    <w:p w:rsidR="00000000" w:rsidRDefault="006629D3">
      <w:pPr>
        <w:rPr>
          <w:rFonts w:eastAsia="Times New Roman"/>
        </w:rPr>
      </w:pPr>
      <w:r>
        <w:rPr>
          <w:rFonts w:eastAsia="Times New Roman"/>
        </w:rPr>
        <w:pict>
          <v:rect id="_x0000_i1047" style="width:0;height:1.5pt" o:hralign="center" o:hrstd="t" o:hr="t" fillcolor="#a0a0a0" stroked="f"/>
        </w:pict>
      </w:r>
    </w:p>
    <w:p w:rsidR="00000000" w:rsidRDefault="006629D3">
      <w:pPr>
        <w:divId w:val="357389390"/>
        <w:rPr>
          <w:rFonts w:eastAsia="Times New Roman"/>
        </w:rPr>
      </w:pPr>
    </w:p>
    <w:p w:rsidR="00000000" w:rsidRDefault="006629D3">
      <w:pPr>
        <w:divId w:val="633562620"/>
        <w:rPr>
          <w:rFonts w:eastAsia="Times New Roman"/>
        </w:rPr>
      </w:pPr>
      <w:r>
        <w:rPr>
          <w:rFonts w:eastAsia="Times New Roman"/>
          <w:b/>
          <w:bCs/>
          <w:color w:val="000000"/>
          <w:sz w:val="20"/>
          <w:szCs w:val="20"/>
        </w:rPr>
        <w:t>NOTE 11: Long-Term Debt</w:t>
      </w:r>
    </w:p>
    <w:p w:rsidR="00000000" w:rsidRDefault="006629D3">
      <w:pPr>
        <w:divId w:val="607589740"/>
        <w:rPr>
          <w:rFonts w:eastAsia="Times New Roman"/>
        </w:rPr>
      </w:pPr>
      <w:r>
        <w:rPr>
          <w:rFonts w:eastAsia="Times New Roman"/>
          <w:color w:val="000000"/>
          <w:sz w:val="20"/>
          <w:szCs w:val="20"/>
        </w:rPr>
        <w:t>Long-term debt is summarized as follows: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4787"/>
        <w:gridCol w:w="36"/>
        <w:gridCol w:w="36"/>
        <w:gridCol w:w="36"/>
        <w:gridCol w:w="36"/>
        <w:gridCol w:w="111"/>
        <w:gridCol w:w="1448"/>
        <w:gridCol w:w="36"/>
        <w:gridCol w:w="36"/>
        <w:gridCol w:w="36"/>
        <w:gridCol w:w="36"/>
        <w:gridCol w:w="111"/>
        <w:gridCol w:w="1448"/>
        <w:gridCol w:w="36"/>
      </w:tblGrid>
      <w:tr w:rsidR="00000000">
        <w:trPr>
          <w:divId w:val="780808183"/>
          <w:jc w:val="center"/>
        </w:trPr>
        <w:tc>
          <w:tcPr>
            <w:tcW w:w="50" w:type="pct"/>
            <w:vAlign w:val="center"/>
            <w:hideMark/>
          </w:tcPr>
          <w:p w:rsidR="00000000" w:rsidRDefault="006629D3">
            <w:pPr>
              <w:rPr>
                <w:rFonts w:eastAsia="Times New Roman"/>
              </w:rPr>
            </w:pPr>
          </w:p>
        </w:tc>
        <w:tc>
          <w:tcPr>
            <w:tcW w:w="291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92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92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780808183"/>
          <w:jc w:val="center"/>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divId w:val="78080818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divId w:val="1553690779"/>
              <w:rPr>
                <w:rFonts w:eastAsia="Times New Roman"/>
              </w:rPr>
            </w:pPr>
            <w:r>
              <w:rPr>
                <w:rFonts w:eastAsia="Times New Roman"/>
                <w:color w:val="000000"/>
                <w:sz w:val="18"/>
                <w:szCs w:val="18"/>
              </w:rPr>
              <w:t>Principal amount of 4.50</w:t>
            </w:r>
            <w:r>
              <w:rPr>
                <w:rFonts w:eastAsia="Times New Roman"/>
                <w:color w:val="000000"/>
                <w:sz w:val="18"/>
                <w:szCs w:val="18"/>
              </w:rPr>
              <w:t>% exchangeable senior notes due 2023</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8080818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(17,230)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(22,064)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8080818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carrying amount of liability component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126,520 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121,686 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80808183"/>
          <w:jc w:val="center"/>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80808183"/>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78080818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Less: current maturities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8080818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Long-term debt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126,520 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121,686 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780808183"/>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780808183"/>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Equity component: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780808183"/>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Equity component of exchangeable notes, net of issuance costs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center"/>
        <w:rPr>
          <w:rFonts w:eastAsia="Times New Roman"/>
        </w:rPr>
      </w:pPr>
    </w:p>
    <w:p w:rsidR="00000000" w:rsidRDefault="006629D3">
      <w:pPr>
        <w:divId w:val="668557604"/>
        <w:rPr>
          <w:rFonts w:eastAsia="Times New Roman"/>
        </w:rPr>
      </w:pPr>
      <w:r>
        <w:rPr>
          <w:rFonts w:eastAsia="Times New Roman"/>
          <w:b/>
          <w:bCs/>
          <w:color w:val="000000"/>
          <w:sz w:val="20"/>
          <w:szCs w:val="20"/>
        </w:rPr>
        <w:t>NOTE 12:</w:t>
      </w:r>
      <w:r>
        <w:rPr>
          <w:rFonts w:eastAsia="Times New Roman"/>
          <w:color w:val="000000"/>
          <w:sz w:val="20"/>
          <w:szCs w:val="20"/>
        </w:rPr>
        <w:t xml:space="preserve"> </w:t>
      </w:r>
      <w:r>
        <w:rPr>
          <w:rFonts w:eastAsia="Times New Roman"/>
          <w:b/>
          <w:bCs/>
          <w:color w:val="000000"/>
          <w:sz w:val="20"/>
          <w:szCs w:val="20"/>
        </w:rPr>
        <w:t>Income Taxe</w:t>
      </w:r>
      <w:r>
        <w:rPr>
          <w:rFonts w:eastAsia="Times New Roman"/>
          <w:color w:val="000000"/>
          <w:sz w:val="20"/>
          <w:szCs w:val="20"/>
        </w:rPr>
        <w:t xml:space="preserve">s </w:t>
      </w:r>
    </w:p>
    <w:p w:rsidR="00000000" w:rsidRDefault="006629D3">
      <w:pPr>
        <w:divId w:val="1149442375"/>
        <w:rPr>
          <w:rFonts w:eastAsia="Times New Roman"/>
        </w:rPr>
      </w:pPr>
    </w:p>
    <w:p w:rsidR="00000000" w:rsidRDefault="006629D3">
      <w:pPr>
        <w:jc w:val="both"/>
        <w:rPr>
          <w:rFonts w:eastAsia="Times New Roman"/>
        </w:rPr>
      </w:pPr>
      <w:r>
        <w:rPr>
          <w:rFonts w:eastAsia="Times New Roman"/>
          <w:color w:val="000000"/>
          <w:sz w:val="20"/>
          <w:szCs w:val="20"/>
        </w:rPr>
        <w:t>The Coronavirus Aid, Relief and Economic Security Act (the “CARES Act”</w:t>
      </w:r>
      <w:r>
        <w:rPr>
          <w:rFonts w:eastAsia="Times New Roman"/>
          <w:color w:val="000000"/>
          <w:sz w:val="20"/>
          <w:szCs w:val="20"/>
        </w:rPr>
        <w:t>), enacted on March 27, 2020, includes significant business tax provisions. In particular, the CARES Act modified the rules associated with net operating losses (“NOLs”). Under the temporary provisions of the CARES Act, NOL carryforwards and carrybacks may</w:t>
      </w:r>
      <w:r>
        <w:rPr>
          <w:rFonts w:eastAsia="Times New Roman"/>
          <w:color w:val="000000"/>
          <w:sz w:val="20"/>
          <w:szCs w:val="20"/>
        </w:rPr>
        <w:t xml:space="preserve"> offset 100% of taxable income for taxable years beginning before 2021. In addition, NOLs arising in 2018, 2019 and 2020 taxable years may be carried back to each of the preceding five years to generate a refund. During the nine months ended September 30, </w:t>
      </w:r>
      <w:r>
        <w:rPr>
          <w:rFonts w:eastAsia="Times New Roman"/>
          <w:color w:val="000000"/>
          <w:sz w:val="20"/>
          <w:szCs w:val="20"/>
        </w:rPr>
        <w:t>2020, the income tax benefit includes a discrete tax benefit of $9,124 as a result of our ability under the CARES Act to carry back NOLs incurred to periods when the statutory U.S. Federal tax rate was 35% versus our current U.S. Federal tax rate of 21%. D</w:t>
      </w:r>
      <w:r>
        <w:rPr>
          <w:rFonts w:eastAsia="Times New Roman"/>
          <w:color w:val="000000"/>
          <w:sz w:val="20"/>
          <w:szCs w:val="20"/>
        </w:rPr>
        <w:t xml:space="preserve">uring the nine months ended September 30, 2020, the Company received $3,351 in cash tax refunds from carryback claims related to the CARES Act from the carryback of 2018 tax losses. During the three months ended September 30, 2020 the Company filed refund </w:t>
      </w:r>
      <w:r>
        <w:rPr>
          <w:rFonts w:eastAsia="Times New Roman"/>
          <w:color w:val="000000"/>
          <w:sz w:val="20"/>
          <w:szCs w:val="20"/>
        </w:rPr>
        <w:t>claims for $18,753 associated with the carryback of 2019 tax losses.</w:t>
      </w:r>
    </w:p>
    <w:p w:rsidR="00000000" w:rsidRDefault="006629D3">
      <w:pPr>
        <w:divId w:val="1264067964"/>
        <w:rPr>
          <w:rFonts w:eastAsia="Times New Roman"/>
        </w:rPr>
      </w:pPr>
    </w:p>
    <w:p w:rsidR="00000000" w:rsidRDefault="006629D3">
      <w:pPr>
        <w:jc w:val="both"/>
        <w:rPr>
          <w:rFonts w:eastAsia="Times New Roman"/>
        </w:rPr>
      </w:pPr>
      <w:r>
        <w:rPr>
          <w:rFonts w:eastAsia="Times New Roman"/>
          <w:color w:val="000000"/>
          <w:sz w:val="20"/>
          <w:szCs w:val="20"/>
        </w:rPr>
        <w:t>The income tax benefit was $5,040 for the three months ended September 30, 2020 resulting in an effective tax rate of 30.1%. The income tax expense was $2,234 for the three months ended</w:t>
      </w:r>
      <w:r>
        <w:rPr>
          <w:rFonts w:eastAsia="Times New Roman"/>
          <w:color w:val="000000"/>
          <w:sz w:val="20"/>
          <w:szCs w:val="20"/>
        </w:rPr>
        <w:t xml:space="preserve"> September 30, 2019 resulting in an effective tax rate of (33.6)%. The net increase in the effective income tax rate for the three months ended September 30, 2020, as compared to the same period in 2019, was primarily due to decreased income in the U.S. du</w:t>
      </w:r>
      <w:r>
        <w:rPr>
          <w:rFonts w:eastAsia="Times New Roman"/>
          <w:color w:val="000000"/>
          <w:sz w:val="20"/>
          <w:szCs w:val="20"/>
        </w:rPr>
        <w:t>e to the sale of the Hospital Products.</w:t>
      </w:r>
    </w:p>
    <w:p w:rsidR="00000000" w:rsidRDefault="006629D3">
      <w:pPr>
        <w:divId w:val="566845850"/>
        <w:rPr>
          <w:rFonts w:eastAsia="Times New Roman"/>
        </w:rPr>
      </w:pPr>
    </w:p>
    <w:p w:rsidR="00000000" w:rsidRDefault="006629D3">
      <w:pPr>
        <w:jc w:val="both"/>
        <w:rPr>
          <w:rFonts w:eastAsia="Times New Roman"/>
        </w:rPr>
      </w:pPr>
      <w:r>
        <w:rPr>
          <w:rFonts w:eastAsia="Times New Roman"/>
          <w:color w:val="000000"/>
          <w:sz w:val="20"/>
          <w:szCs w:val="20"/>
        </w:rPr>
        <w:t>The income tax benefit was $9,258 for the nine months ended September 30, 2020 resulting in an effective tax rate of (102.3)%. The income tax provision was $3,641 for the nine months ended September 30, 2019 result</w:t>
      </w:r>
      <w:r>
        <w:rPr>
          <w:rFonts w:eastAsia="Times New Roman"/>
          <w:color w:val="000000"/>
          <w:sz w:val="20"/>
          <w:szCs w:val="20"/>
        </w:rPr>
        <w:t>ing in an effective tax rate of (13.7)%. The net decrease in the effective income tax rate for the nine months ended September 30, 2020, as compared to the same period in 2019, is primarily due to the discrete tax benefits recognized under the CARES Act as</w:t>
      </w:r>
      <w:r>
        <w:rPr>
          <w:rFonts w:eastAsia="Times New Roman"/>
          <w:color w:val="000000"/>
          <w:sz w:val="20"/>
          <w:szCs w:val="20"/>
        </w:rPr>
        <w:t xml:space="preserve"> described above, favorable income tax benefits from the U.S. Orphan Drug and Research &amp; Development Tax Credit, which did not occur during the nine months ended September 30, 2019, partially offset by increased income in the U.S. due to the sale of the Ho</w:t>
      </w:r>
      <w:r>
        <w:rPr>
          <w:rFonts w:eastAsia="Times New Roman"/>
          <w:color w:val="000000"/>
          <w:sz w:val="20"/>
          <w:szCs w:val="20"/>
        </w:rPr>
        <w:t xml:space="preserve">spital Products during the nine months ended September 30, 2020.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During the nine months ended September 30, 2020, the Company substantially completed the 2015 through 2017 U.S. Federal Tax Audit. Completion of the audit resulted in an assessment of $1,9</w:t>
      </w:r>
      <w:r>
        <w:rPr>
          <w:rFonts w:eastAsia="Times New Roman"/>
          <w:color w:val="000000"/>
          <w:sz w:val="20"/>
          <w:szCs w:val="20"/>
        </w:rPr>
        <w:t>37 for the 2015 through 2017 U.S. Federal Tax Returns compared to the IRS Claims of $50,695 made on July 2, 2019 and the updated IRS Claims of $9,302 on October 2, 2019 made as part of the Specialty Pharma bankruptcy proceedings, which at this time does no</w:t>
      </w:r>
      <w:r>
        <w:rPr>
          <w:rFonts w:eastAsia="Times New Roman"/>
          <w:color w:val="000000"/>
          <w:sz w:val="20"/>
          <w:szCs w:val="20"/>
        </w:rPr>
        <w:t>t include interest and penalties. The Company settled the $1,937 assessment.</w:t>
      </w:r>
    </w:p>
    <w:p w:rsidR="00000000" w:rsidRDefault="006629D3">
      <w:pPr>
        <w:divId w:val="17782106"/>
        <w:rPr>
          <w:rFonts w:eastAsia="Times New Roman"/>
        </w:rPr>
      </w:pPr>
    </w:p>
    <w:p w:rsidR="00000000" w:rsidRDefault="006629D3">
      <w:pPr>
        <w:divId w:val="2075934740"/>
        <w:rPr>
          <w:rFonts w:eastAsia="Times New Roman"/>
        </w:rPr>
      </w:pPr>
    </w:p>
    <w:p w:rsidR="00000000" w:rsidRDefault="006629D3">
      <w:pPr>
        <w:jc w:val="center"/>
        <w:divId w:val="1566067527"/>
        <w:rPr>
          <w:rFonts w:eastAsia="Times New Roman"/>
        </w:rPr>
      </w:pPr>
      <w:r>
        <w:rPr>
          <w:rFonts w:eastAsia="Times New Roman"/>
          <w:color w:val="000000"/>
          <w:sz w:val="20"/>
          <w:szCs w:val="20"/>
        </w:rPr>
        <w:t>- 23 -</w:t>
      </w:r>
    </w:p>
    <w:p w:rsidR="00000000" w:rsidRDefault="006629D3">
      <w:pPr>
        <w:rPr>
          <w:rFonts w:eastAsia="Times New Roman"/>
        </w:rPr>
      </w:pPr>
      <w:r>
        <w:rPr>
          <w:rFonts w:eastAsia="Times New Roman"/>
        </w:rPr>
        <w:pict>
          <v:rect id="_x0000_i1048" style="width:0;height:1.5pt" o:hralign="center" o:hrstd="t" o:hr="t" fillcolor="#a0a0a0" stroked="f"/>
        </w:pict>
      </w:r>
    </w:p>
    <w:p w:rsidR="00000000" w:rsidRDefault="006629D3">
      <w:pPr>
        <w:divId w:val="667757241"/>
        <w:rPr>
          <w:rFonts w:eastAsia="Times New Roman"/>
        </w:rPr>
      </w:pPr>
    </w:p>
    <w:p w:rsidR="00000000" w:rsidRDefault="006629D3">
      <w:pPr>
        <w:divId w:val="1196195749"/>
        <w:rPr>
          <w:rFonts w:eastAsia="Times New Roman"/>
        </w:rPr>
      </w:pPr>
      <w:r>
        <w:rPr>
          <w:rFonts w:eastAsia="Times New Roman"/>
          <w:b/>
          <w:bCs/>
          <w:color w:val="000000"/>
          <w:sz w:val="20"/>
          <w:szCs w:val="20"/>
        </w:rPr>
        <w:t>NOTE 13:</w:t>
      </w:r>
      <w:r>
        <w:rPr>
          <w:rFonts w:eastAsia="Times New Roman"/>
          <w:color w:val="000000"/>
          <w:sz w:val="20"/>
          <w:szCs w:val="20"/>
        </w:rPr>
        <w:t xml:space="preserve"> </w:t>
      </w:r>
      <w:r>
        <w:rPr>
          <w:rFonts w:eastAsia="Times New Roman"/>
          <w:b/>
          <w:bCs/>
          <w:color w:val="000000"/>
          <w:sz w:val="20"/>
          <w:szCs w:val="20"/>
        </w:rPr>
        <w:t>Other Assets and Liabilities </w:t>
      </w:r>
    </w:p>
    <w:p w:rsidR="00000000" w:rsidRDefault="006629D3">
      <w:pPr>
        <w:divId w:val="487475514"/>
        <w:rPr>
          <w:rFonts w:eastAsia="Times New Roman"/>
        </w:rPr>
      </w:pPr>
      <w:r>
        <w:rPr>
          <w:rFonts w:eastAsia="Times New Roman"/>
          <w:color w:val="000000"/>
          <w:sz w:val="20"/>
          <w:szCs w:val="20"/>
        </w:rPr>
        <w:t>Various other assets and liabilities are summarized as follows:</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1"/>
        <w:gridCol w:w="1326"/>
        <w:gridCol w:w="36"/>
        <w:gridCol w:w="36"/>
        <w:gridCol w:w="36"/>
        <w:gridCol w:w="36"/>
        <w:gridCol w:w="111"/>
        <w:gridCol w:w="1326"/>
        <w:gridCol w:w="36"/>
      </w:tblGrid>
      <w:tr w:rsidR="00000000">
        <w:trPr>
          <w:divId w:val="1998528824"/>
        </w:trPr>
        <w:tc>
          <w:tcPr>
            <w:tcW w:w="50" w:type="pct"/>
            <w:vAlign w:val="center"/>
            <w:hideMark/>
          </w:tcPr>
          <w:p w:rsidR="00000000" w:rsidRDefault="006629D3">
            <w:pPr>
              <w:rPr>
                <w:rFonts w:eastAsia="Times New Roman"/>
              </w:rPr>
            </w:pPr>
          </w:p>
        </w:tc>
        <w:tc>
          <w:tcPr>
            <w:tcW w:w="30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998528824"/>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Prepaid Expenses and Other Current Assets: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divId w:val="199852882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998528824"/>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Valued-added tax recoverable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1,051 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998528824"/>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2,116 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998528824"/>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Short-term deposit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1,477 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998528824"/>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Guarantee from Armistice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998528824"/>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18,593 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998528824"/>
        </w:trPr>
        <w:tc>
          <w:tcPr>
            <w:tcW w:w="0" w:type="auto"/>
            <w:gridSpan w:val="3"/>
            <w:shd w:val="clear" w:color="auto" w:fill="FFFFFF"/>
            <w:tcMar>
              <w:top w:w="30" w:type="dxa"/>
              <w:left w:w="20" w:type="dxa"/>
              <w:bottom w:w="30" w:type="dxa"/>
              <w:right w:w="20" w:type="dxa"/>
            </w:tcMar>
            <w:vAlign w:val="bottom"/>
            <w:hideMark/>
          </w:tcPr>
          <w:p w:rsidR="00000000" w:rsidRDefault="006629D3">
            <w:pPr>
              <w:divId w:val="1087918606"/>
              <w:rPr>
                <w:rFonts w:eastAsia="Times New Roman"/>
              </w:rPr>
            </w:pPr>
            <w:r>
              <w:rPr>
                <w:rFonts w:eastAsia="Times New Roman"/>
                <w:color w:val="000000"/>
                <w:sz w:val="18"/>
                <w:szCs w:val="18"/>
              </w:rPr>
              <w:t xml:space="preserve">Short term note receivable from Exela (see </w:t>
            </w:r>
            <w:r>
              <w:rPr>
                <w:rFonts w:eastAsia="Times New Roman"/>
                <w:i/>
                <w:iCs/>
                <w:color w:val="000000"/>
                <w:sz w:val="18"/>
                <w:szCs w:val="18"/>
              </w:rPr>
              <w:t>Note 4</w:t>
            </w: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24,750 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998528824"/>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998528824"/>
        </w:trPr>
        <w:tc>
          <w:tcPr>
            <w:tcW w:w="0" w:type="auto"/>
            <w:gridSpan w:val="3"/>
            <w:shd w:val="clear" w:color="auto" w:fill="FFFFFF"/>
            <w:tcMar>
              <w:top w:w="30" w:type="dxa"/>
              <w:left w:w="20" w:type="dxa"/>
              <w:bottom w:w="30" w:type="dxa"/>
              <w:right w:w="20" w:type="dxa"/>
            </w:tcMar>
            <w:vAlign w:val="bottom"/>
            <w:hideMark/>
          </w:tcPr>
          <w:p w:rsidR="00000000" w:rsidRDefault="006629D3">
            <w:pPr>
              <w:divId w:val="359013306"/>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47,054 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5091"/>
        <w:gridCol w:w="144"/>
        <w:gridCol w:w="144"/>
        <w:gridCol w:w="144"/>
        <w:gridCol w:w="144"/>
        <w:gridCol w:w="144"/>
        <w:gridCol w:w="1401"/>
        <w:gridCol w:w="144"/>
        <w:gridCol w:w="144"/>
        <w:gridCol w:w="144"/>
        <w:gridCol w:w="144"/>
        <w:gridCol w:w="144"/>
        <w:gridCol w:w="1401"/>
        <w:gridCol w:w="144"/>
      </w:tblGrid>
      <w:tr w:rsidR="00000000">
        <w:tc>
          <w:tcPr>
            <w:tcW w:w="50" w:type="pct"/>
            <w:vAlign w:val="center"/>
            <w:hideMark/>
          </w:tcPr>
          <w:p w:rsidR="00000000" w:rsidRDefault="006629D3">
            <w:pPr>
              <w:rPr>
                <w:rFonts w:eastAsia="Times New Roman"/>
              </w:rPr>
            </w:pPr>
          </w:p>
        </w:tc>
        <w:tc>
          <w:tcPr>
            <w:tcW w:w="30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Deferred tax assets, net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15,479 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29,427 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Long-term deposits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Guarantee from Armistice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1,117 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1,367 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5,201 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6,428 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467 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575 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629D3">
            <w:pPr>
              <w:divId w:val="1767769985"/>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22,264 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39,274 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divId w:val="1281301485"/>
        <w:rPr>
          <w:rFonts w:eastAsia="Times New Roman"/>
          <w:vanish/>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1"/>
        <w:gridCol w:w="1326"/>
        <w:gridCol w:w="36"/>
        <w:gridCol w:w="36"/>
        <w:gridCol w:w="36"/>
        <w:gridCol w:w="36"/>
        <w:gridCol w:w="111"/>
        <w:gridCol w:w="1326"/>
        <w:gridCol w:w="36"/>
      </w:tblGrid>
      <w:tr w:rsidR="00000000">
        <w:trPr>
          <w:divId w:val="1281301485"/>
        </w:trPr>
        <w:tc>
          <w:tcPr>
            <w:tcW w:w="50" w:type="pct"/>
            <w:vAlign w:val="center"/>
            <w:hideMark/>
          </w:tcPr>
          <w:p w:rsidR="00000000" w:rsidRDefault="006629D3">
            <w:pPr>
              <w:rPr>
                <w:rFonts w:eastAsia="Times New Roman"/>
              </w:rPr>
            </w:pPr>
          </w:p>
        </w:tc>
        <w:tc>
          <w:tcPr>
            <w:tcW w:w="30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281301485"/>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 xml:space="preserve">Accrued Expenses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divId w:val="128130148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281301485"/>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compensation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1,897 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3,944 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social charges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592 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CCEEFF"/>
            <w:tcMar>
              <w:top w:w="30" w:type="dxa"/>
              <w:left w:w="20" w:type="dxa"/>
              <w:bottom w:w="30" w:type="dxa"/>
              <w:right w:w="20" w:type="dxa"/>
            </w:tcMar>
            <w:vAlign w:val="bottom"/>
            <w:hideMark/>
          </w:tcPr>
          <w:p w:rsidR="00000000" w:rsidRDefault="006629D3">
            <w:pPr>
              <w:divId w:val="1943800097"/>
              <w:rPr>
                <w:rFonts w:eastAsia="Times New Roman"/>
              </w:rPr>
            </w:pPr>
            <w:r>
              <w:rPr>
                <w:rFonts w:eastAsia="Times New Roman"/>
                <w:color w:val="000000"/>
                <w:sz w:val="18"/>
                <w:szCs w:val="18"/>
              </w:rPr>
              <w:t xml:space="preserve">Accrued restructuring (see </w:t>
            </w:r>
            <w:r>
              <w:rPr>
                <w:rFonts w:eastAsia="Times New Roman"/>
                <w:i/>
                <w:iCs/>
                <w:color w:val="000000"/>
                <w:sz w:val="18"/>
                <w:szCs w:val="18"/>
              </w:rPr>
              <w:t>Note 15</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728 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2,949 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Customer allowances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6,588 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6,470 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transaction fees related to the disposition of the Hospital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contract research organization charges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2,098 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contract manufacturing organization costs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735 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2,921 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3,022 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81301485"/>
        </w:trPr>
        <w:tc>
          <w:tcPr>
            <w:tcW w:w="0" w:type="auto"/>
            <w:gridSpan w:val="3"/>
            <w:shd w:val="clear" w:color="auto" w:fill="CCEEFF"/>
            <w:tcMar>
              <w:top w:w="30" w:type="dxa"/>
              <w:left w:w="20" w:type="dxa"/>
              <w:bottom w:w="30" w:type="dxa"/>
              <w:right w:w="20" w:type="dxa"/>
            </w:tcMar>
            <w:vAlign w:val="bottom"/>
            <w:hideMark/>
          </w:tcPr>
          <w:p w:rsidR="00000000" w:rsidRDefault="006629D3">
            <w:pPr>
              <w:divId w:val="1283531961"/>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16,398 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19,810 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divId w:val="1909345888"/>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1"/>
        <w:gridCol w:w="1326"/>
        <w:gridCol w:w="36"/>
        <w:gridCol w:w="36"/>
        <w:gridCol w:w="36"/>
        <w:gridCol w:w="36"/>
        <w:gridCol w:w="111"/>
        <w:gridCol w:w="1326"/>
        <w:gridCol w:w="36"/>
      </w:tblGrid>
      <w:tr w:rsidR="00000000">
        <w:trPr>
          <w:divId w:val="1264537101"/>
        </w:trPr>
        <w:tc>
          <w:tcPr>
            <w:tcW w:w="50" w:type="pct"/>
            <w:vAlign w:val="center"/>
            <w:hideMark/>
          </w:tcPr>
          <w:p w:rsidR="00000000" w:rsidRDefault="006629D3">
            <w:pPr>
              <w:rPr>
                <w:rFonts w:eastAsia="Times New Roman"/>
              </w:rPr>
            </w:pPr>
          </w:p>
        </w:tc>
        <w:tc>
          <w:tcPr>
            <w:tcW w:w="30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264537101"/>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divId w:val="126453710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26453710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1,078 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6453710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Due to Exela</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1,817 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64537101"/>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Guarantee to Deerfield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6453710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725 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264537101"/>
        </w:trPr>
        <w:tc>
          <w:tcPr>
            <w:tcW w:w="0" w:type="auto"/>
            <w:gridSpan w:val="3"/>
            <w:shd w:val="clear" w:color="auto" w:fill="CCEEFF"/>
            <w:tcMar>
              <w:top w:w="30" w:type="dxa"/>
              <w:left w:w="20" w:type="dxa"/>
              <w:bottom w:w="30" w:type="dxa"/>
              <w:right w:w="20" w:type="dxa"/>
            </w:tcMar>
            <w:vAlign w:val="bottom"/>
            <w:hideMark/>
          </w:tcPr>
          <w:p w:rsidR="00000000" w:rsidRDefault="006629D3">
            <w:pPr>
              <w:divId w:val="1481994370"/>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3,431 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divId w:val="1823352480"/>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053"/>
        <w:gridCol w:w="38"/>
        <w:gridCol w:w="36"/>
        <w:gridCol w:w="36"/>
        <w:gridCol w:w="36"/>
        <w:gridCol w:w="111"/>
        <w:gridCol w:w="1326"/>
        <w:gridCol w:w="36"/>
        <w:gridCol w:w="36"/>
        <w:gridCol w:w="36"/>
        <w:gridCol w:w="36"/>
        <w:gridCol w:w="111"/>
        <w:gridCol w:w="1326"/>
        <w:gridCol w:w="36"/>
      </w:tblGrid>
      <w:tr w:rsidR="00000000">
        <w:trPr>
          <w:divId w:val="1058668915"/>
        </w:trPr>
        <w:tc>
          <w:tcPr>
            <w:tcW w:w="50" w:type="pct"/>
            <w:vAlign w:val="center"/>
            <w:hideMark/>
          </w:tcPr>
          <w:p w:rsidR="00000000" w:rsidRDefault="006629D3">
            <w:pPr>
              <w:rPr>
                <w:rFonts w:eastAsia="Times New Roman"/>
              </w:rPr>
            </w:pPr>
          </w:p>
        </w:tc>
        <w:tc>
          <w:tcPr>
            <w:tcW w:w="30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84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058668915"/>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September 30, 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December 31, 2019</w:t>
            </w:r>
          </w:p>
        </w:tc>
      </w:tr>
      <w:tr w:rsidR="00000000">
        <w:trPr>
          <w:divId w:val="1058668915"/>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058668915"/>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Customer allowances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659 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981 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58668915"/>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Unrecognized tax benefits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3,143 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6,465 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58668915"/>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Guarantee to Deerfield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1,121 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1,372 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58668915"/>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058668915"/>
        </w:trPr>
        <w:tc>
          <w:tcPr>
            <w:tcW w:w="0" w:type="auto"/>
            <w:gridSpan w:val="3"/>
            <w:shd w:val="clear" w:color="auto" w:fill="CCEEFF"/>
            <w:tcMar>
              <w:top w:w="30" w:type="dxa"/>
              <w:left w:w="20" w:type="dxa"/>
              <w:bottom w:w="30" w:type="dxa"/>
              <w:right w:w="20" w:type="dxa"/>
            </w:tcMar>
            <w:vAlign w:val="bottom"/>
            <w:hideMark/>
          </w:tcPr>
          <w:p w:rsidR="00000000" w:rsidRDefault="006629D3">
            <w:pPr>
              <w:divId w:val="1585215581"/>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4,938 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divId w:val="693769667"/>
        <w:rPr>
          <w:rFonts w:eastAsia="Times New Roman"/>
        </w:rPr>
      </w:pPr>
    </w:p>
    <w:p w:rsidR="00000000" w:rsidRDefault="006629D3">
      <w:pPr>
        <w:jc w:val="center"/>
        <w:divId w:val="1788500752"/>
        <w:rPr>
          <w:rFonts w:eastAsia="Times New Roman"/>
        </w:rPr>
      </w:pPr>
      <w:r>
        <w:rPr>
          <w:rFonts w:eastAsia="Times New Roman"/>
          <w:color w:val="000000"/>
          <w:sz w:val="20"/>
          <w:szCs w:val="20"/>
        </w:rPr>
        <w:t>- 24 -</w:t>
      </w:r>
    </w:p>
    <w:p w:rsidR="00000000" w:rsidRDefault="006629D3">
      <w:pPr>
        <w:rPr>
          <w:rFonts w:eastAsia="Times New Roman"/>
        </w:rPr>
      </w:pPr>
      <w:r>
        <w:rPr>
          <w:rFonts w:eastAsia="Times New Roman"/>
        </w:rPr>
        <w:pict>
          <v:rect id="_x0000_i1049" style="width:0;height:1.5pt" o:hralign="center" o:hrstd="t" o:hr="t" fillcolor="#a0a0a0" stroked="f"/>
        </w:pict>
      </w:r>
    </w:p>
    <w:p w:rsidR="00000000" w:rsidRDefault="006629D3">
      <w:pPr>
        <w:divId w:val="953630947"/>
        <w:rPr>
          <w:rFonts w:eastAsia="Times New Roman"/>
        </w:rPr>
      </w:pPr>
    </w:p>
    <w:p w:rsidR="00000000" w:rsidRDefault="006629D3">
      <w:pPr>
        <w:divId w:val="1605266005"/>
        <w:rPr>
          <w:rFonts w:eastAsia="Times New Roman"/>
        </w:rPr>
      </w:pPr>
      <w:r>
        <w:rPr>
          <w:rFonts w:eastAsia="Times New Roman"/>
          <w:b/>
          <w:bCs/>
          <w:color w:val="000000"/>
          <w:sz w:val="20"/>
          <w:szCs w:val="20"/>
        </w:rPr>
        <w:t>NOTE 14: Equity Transactions</w:t>
      </w:r>
    </w:p>
    <w:p w:rsidR="00000000" w:rsidRDefault="006629D3">
      <w:pPr>
        <w:divId w:val="1631790384"/>
        <w:rPr>
          <w:rFonts w:eastAsia="Times New Roman"/>
        </w:rPr>
      </w:pPr>
    </w:p>
    <w:p w:rsidR="00000000" w:rsidRDefault="006629D3">
      <w:pPr>
        <w:divId w:val="896084404"/>
        <w:rPr>
          <w:rFonts w:eastAsia="Times New Roman"/>
        </w:rPr>
      </w:pPr>
      <w:r>
        <w:rPr>
          <w:rFonts w:eastAsia="Times New Roman"/>
          <w:i/>
          <w:iCs/>
          <w:color w:val="000000"/>
          <w:sz w:val="20"/>
          <w:szCs w:val="20"/>
        </w:rPr>
        <w:t>Shelf Registration Statement on Form S-3</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February 2020, we filed with the SEC a new shelf registration statement on Form S-3 (the 2020 Shelf Registration Statement) (File No. 333-236258) that allows issuance and sale by us, from time to time, of:</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(a)up to $250,000 in aggregate of ordinary sh</w:t>
      </w:r>
      <w:r>
        <w:rPr>
          <w:rFonts w:eastAsia="Times New Roman"/>
          <w:color w:val="000000"/>
          <w:sz w:val="20"/>
          <w:szCs w:val="20"/>
        </w:rPr>
        <w:t>ares, nominal value US$0.01 per share (the “Ordinary Shares”), each of which may be represented by American Depositary Shares (“ADSs”), preferred shares, nominal value US$0.01 per share (the “Preferred Shares”), debt securities (the “Debt Securities”), war</w:t>
      </w:r>
      <w:r>
        <w:rPr>
          <w:rFonts w:eastAsia="Times New Roman"/>
          <w:color w:val="000000"/>
          <w:sz w:val="20"/>
          <w:szCs w:val="20"/>
        </w:rPr>
        <w:t>rants to purchase Ordinary Shares, ADSs, Preferred Shares and/or Debt Securities (the “Warrants”), and/or units consisting of Ordinary Shares, ADSs, Preferred Shares, one or more Debt Securities or Warrants in one or more series, in any combination, pursua</w:t>
      </w:r>
      <w:r>
        <w:rPr>
          <w:rFonts w:eastAsia="Times New Roman"/>
          <w:color w:val="000000"/>
          <w:sz w:val="20"/>
          <w:szCs w:val="20"/>
        </w:rPr>
        <w:t>nt to the terms of the 2020 Shelf Registration Statement, the base prospectus contained in the 2020 Shelf Registration Statement (the “Base Prospectus”), and any amendments or supplements thereto (together, the “Securities”); including</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(b)up to $50,000 o</w:t>
      </w:r>
      <w:r>
        <w:rPr>
          <w:rFonts w:eastAsia="Times New Roman"/>
          <w:color w:val="000000"/>
          <w:sz w:val="20"/>
          <w:szCs w:val="20"/>
        </w:rPr>
        <w:t>f ADSs that may be issued and sold from time to time pursuant to the terms of an Open Market Sale Agreemen</w:t>
      </w:r>
      <w:r>
        <w:rPr>
          <w:rFonts w:eastAsia="Times New Roman"/>
          <w:color w:val="000000"/>
          <w:sz w:val="20"/>
          <w:szCs w:val="20"/>
        </w:rPr>
        <w:t>t</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entered into with Jefferies LLC on February 4, 2020 (the “Sales Agreement”), the 2020 Shelf Registration Statement, the Base Prospectus and the t</w:t>
      </w:r>
      <w:r>
        <w:rPr>
          <w:rFonts w:eastAsia="Times New Roman"/>
          <w:color w:val="000000"/>
          <w:sz w:val="20"/>
          <w:szCs w:val="20"/>
        </w:rPr>
        <w:t>erms of the sales agreement prospectus contained in the 2020 Shelf Registration Statement.</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transactions costs associated with the 2020 Shelf Registration Statement totaled approximately $428 of which $214 was charged against additional paid-in capita</w:t>
      </w:r>
      <w:r>
        <w:rPr>
          <w:rFonts w:eastAsia="Times New Roman"/>
          <w:color w:val="000000"/>
          <w:sz w:val="20"/>
          <w:szCs w:val="20"/>
        </w:rPr>
        <w:t>l during the nine months ended September 30, 2020 as a result of the May 2020 Public Offering, discussed below. The remaining costs of $214 are recorded as a prepaid asset at September 30, 2020.</w:t>
      </w:r>
    </w:p>
    <w:p w:rsidR="00000000" w:rsidRDefault="006629D3">
      <w:pPr>
        <w:divId w:val="1914125256"/>
        <w:rPr>
          <w:rFonts w:eastAsia="Times New Roman"/>
        </w:rPr>
      </w:pPr>
    </w:p>
    <w:p w:rsidR="00000000" w:rsidRDefault="006629D3">
      <w:pPr>
        <w:divId w:val="196477480"/>
        <w:rPr>
          <w:rFonts w:eastAsia="Times New Roman"/>
        </w:rPr>
      </w:pPr>
      <w:r>
        <w:rPr>
          <w:rFonts w:eastAsia="Times New Roman"/>
          <w:i/>
          <w:iCs/>
          <w:color w:val="000000"/>
          <w:sz w:val="20"/>
          <w:szCs w:val="20"/>
        </w:rPr>
        <w:t>February 2020 Private Placement</w:t>
      </w:r>
    </w:p>
    <w:p w:rsidR="00000000" w:rsidRDefault="006629D3">
      <w:pPr>
        <w:divId w:val="1186362088"/>
        <w:rPr>
          <w:rFonts w:eastAsia="Times New Roman"/>
        </w:rPr>
      </w:pPr>
    </w:p>
    <w:p w:rsidR="00000000" w:rsidRDefault="006629D3">
      <w:pPr>
        <w:jc w:val="both"/>
        <w:rPr>
          <w:rFonts w:eastAsia="Times New Roman"/>
        </w:rPr>
      </w:pPr>
      <w:r>
        <w:rPr>
          <w:rFonts w:eastAsia="Times New Roman"/>
          <w:color w:val="000000"/>
          <w:sz w:val="20"/>
          <w:szCs w:val="20"/>
        </w:rPr>
        <w:t xml:space="preserve">On February 21, 2020, we </w:t>
      </w:r>
      <w:r>
        <w:rPr>
          <w:rFonts w:eastAsia="Times New Roman"/>
          <w:color w:val="000000"/>
          <w:sz w:val="20"/>
          <w:szCs w:val="20"/>
        </w:rPr>
        <w:t>announced that we entered into a definitive agreement for the sale of our ADSs and Series A Non-Voting Convertible Preferred Shares (“Series A Preferred”) in a private placement to a group of institutional accredited investors. The private placement result</w:t>
      </w:r>
      <w:r>
        <w:rPr>
          <w:rFonts w:eastAsia="Times New Roman"/>
          <w:color w:val="000000"/>
          <w:sz w:val="20"/>
          <w:szCs w:val="20"/>
        </w:rPr>
        <w:t>ed in gross proceeds of approximately $65,000 before deducting placement agent and other offering expenses, which resulted in net proceeds of $60,570.</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Pursuant to the terms of the private placement, we issued 8,680 ADSs and 488 shares of Series A Preferr</w:t>
      </w:r>
      <w:r>
        <w:rPr>
          <w:rFonts w:eastAsia="Times New Roman"/>
          <w:color w:val="000000"/>
          <w:sz w:val="20"/>
          <w:szCs w:val="20"/>
        </w:rPr>
        <w:t>ed at a price of $7.09 per share, priced at-the-market under Nasdaq rules. Each share of non-voting Series A Preferred is convertible into one ADS, provided that conversion will be prohibited if, as a result, the holder and its affiliates would own more th</w:t>
      </w:r>
      <w:r>
        <w:rPr>
          <w:rFonts w:eastAsia="Times New Roman"/>
          <w:color w:val="000000"/>
          <w:sz w:val="20"/>
          <w:szCs w:val="20"/>
        </w:rPr>
        <w:t xml:space="preserve">an 9.99% of the total number of Avadel ADSs outstanding. The closing of the private placement occurred on February 25, 2020.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Issuance costs of $4,430 have been recorded as a reduction of additional paid-in capital. </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00000"/>
          <w:sz w:val="20"/>
          <w:szCs w:val="20"/>
        </w:rPr>
        <w:t>May 2020 Public Offering</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conne</w:t>
      </w:r>
      <w:r>
        <w:rPr>
          <w:rFonts w:eastAsia="Times New Roman"/>
          <w:color w:val="000000"/>
          <w:sz w:val="20"/>
          <w:szCs w:val="20"/>
        </w:rPr>
        <w:t>ction with the shelf registration statement described above, on April 28, 2020, we announced the pricing of an underwritten public offering of 11,630 Ordinary Shares, in the form of ADSs at a price to the public of $10.75 per ADS. Each ADS represents the r</w:t>
      </w:r>
      <w:r>
        <w:rPr>
          <w:rFonts w:eastAsia="Times New Roman"/>
          <w:color w:val="000000"/>
          <w:sz w:val="20"/>
          <w:szCs w:val="20"/>
        </w:rPr>
        <w:t>ight to receive one Ordinary Share. All of the ADSs were offered by us and the gross proceeds to us from the offering were approximately $125,000, before deducting underwriting discounts and commissions and offering expenses, which resulted in net proceeds</w:t>
      </w:r>
      <w:r>
        <w:rPr>
          <w:rFonts w:eastAsia="Times New Roman"/>
          <w:color w:val="000000"/>
          <w:sz w:val="20"/>
          <w:szCs w:val="20"/>
        </w:rPr>
        <w:t xml:space="preserve"> of $116,924. The offering closed on May 1, 2020.</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00000"/>
          <w:sz w:val="20"/>
          <w:szCs w:val="20"/>
        </w:rPr>
        <w:t>August 2020 Treasury Shares Retirement</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August 2020, the Company retired all of our 5,407 treasury shares, or $49,998 previously repurchased ordinary shares. As a result, we reduced additional paid-in</w:t>
      </w:r>
      <w:r>
        <w:rPr>
          <w:rFonts w:eastAsia="Times New Roman"/>
          <w:color w:val="000000"/>
          <w:sz w:val="20"/>
          <w:szCs w:val="20"/>
        </w:rPr>
        <w:t xml:space="preserve"> capital by $49,944 and ordinary shares by $54 during the three and nine months ended September 30, 2020. The portion allocated to additional paid-in capital is determined pro rata by applying a percentage, determined by dividing the number of shares to be</w:t>
      </w:r>
      <w:r>
        <w:rPr>
          <w:rFonts w:eastAsia="Times New Roman"/>
          <w:color w:val="000000"/>
          <w:sz w:val="20"/>
          <w:szCs w:val="20"/>
        </w:rPr>
        <w:t xml:space="preserve"> retired by the number of shares issued and outstanding as of the retirement date, to the balance of additional paid-in capital as of the retirement date. Based on this calculation, the entirety of the excess of repurchase price over par of $49,944 was all</w:t>
      </w:r>
      <w:r>
        <w:rPr>
          <w:rFonts w:eastAsia="Times New Roman"/>
          <w:color w:val="000000"/>
          <w:sz w:val="20"/>
          <w:szCs w:val="20"/>
        </w:rPr>
        <w:t>ocated to additional paid-in capital.</w:t>
      </w:r>
    </w:p>
    <w:p w:rsidR="00000000" w:rsidRDefault="006629D3">
      <w:pPr>
        <w:jc w:val="both"/>
        <w:rPr>
          <w:rFonts w:eastAsia="Times New Roman"/>
        </w:rPr>
      </w:pPr>
    </w:p>
    <w:p w:rsidR="00000000" w:rsidRDefault="006629D3">
      <w:pPr>
        <w:jc w:val="center"/>
        <w:divId w:val="1172065862"/>
        <w:rPr>
          <w:rFonts w:eastAsia="Times New Roman"/>
        </w:rPr>
      </w:pPr>
      <w:r>
        <w:rPr>
          <w:rFonts w:eastAsia="Times New Roman"/>
          <w:color w:val="000000"/>
          <w:sz w:val="20"/>
          <w:szCs w:val="20"/>
        </w:rPr>
        <w:t>- 25 -</w:t>
      </w:r>
    </w:p>
    <w:p w:rsidR="00000000" w:rsidRDefault="006629D3">
      <w:pPr>
        <w:rPr>
          <w:rFonts w:eastAsia="Times New Roman"/>
        </w:rPr>
      </w:pPr>
      <w:r>
        <w:rPr>
          <w:rFonts w:eastAsia="Times New Roman"/>
        </w:rPr>
        <w:pict>
          <v:rect id="_x0000_i1050" style="width:0;height:1.5pt" o:hralign="center" o:hrstd="t" o:hr="t" fillcolor="#a0a0a0" stroked="f"/>
        </w:pict>
      </w:r>
    </w:p>
    <w:p w:rsidR="00000000" w:rsidRDefault="006629D3">
      <w:pPr>
        <w:divId w:val="907114386"/>
        <w:rPr>
          <w:rFonts w:eastAsia="Times New Roman"/>
        </w:rPr>
      </w:pPr>
    </w:p>
    <w:p w:rsidR="00000000" w:rsidRDefault="006629D3">
      <w:pPr>
        <w:jc w:val="both"/>
        <w:divId w:val="1156337002"/>
        <w:rPr>
          <w:rFonts w:eastAsia="Times New Roman"/>
        </w:rPr>
      </w:pPr>
      <w:r>
        <w:rPr>
          <w:rFonts w:eastAsia="Times New Roman"/>
          <w:b/>
          <w:bCs/>
          <w:color w:val="000000"/>
          <w:sz w:val="20"/>
          <w:szCs w:val="20"/>
        </w:rPr>
        <w:t>NOTE 15: Restructuring Costs</w:t>
      </w:r>
    </w:p>
    <w:p w:rsidR="00000000" w:rsidRDefault="006629D3">
      <w:pPr>
        <w:jc w:val="both"/>
        <w:divId w:val="1829982726"/>
        <w:rPr>
          <w:rFonts w:eastAsia="Times New Roman"/>
        </w:rPr>
      </w:pPr>
      <w:r>
        <w:rPr>
          <w:rFonts w:eastAsia="Times New Roman"/>
          <w:i/>
          <w:iCs/>
          <w:color w:val="000000"/>
          <w:sz w:val="20"/>
          <w:szCs w:val="20"/>
        </w:rPr>
        <w:t>2019 French Restructuring</w:t>
      </w:r>
    </w:p>
    <w:p w:rsidR="00000000" w:rsidRDefault="006629D3">
      <w:pPr>
        <w:jc w:val="both"/>
        <w:divId w:val="1163660198"/>
        <w:rPr>
          <w:rFonts w:eastAsia="Times New Roman"/>
        </w:rPr>
      </w:pPr>
      <w:r>
        <w:rPr>
          <w:rFonts w:eastAsia="Times New Roman"/>
          <w:color w:val="000000"/>
          <w:sz w:val="20"/>
          <w:szCs w:val="20"/>
        </w:rPr>
        <w:t>During the second quarter of 2019, the Company initiated a plan to substantially reduce all of its workforce at its Vénissieux, France site (“2019 French Restructu</w:t>
      </w:r>
      <w:r>
        <w:rPr>
          <w:rFonts w:eastAsia="Times New Roman"/>
          <w:color w:val="000000"/>
          <w:sz w:val="20"/>
          <w:szCs w:val="20"/>
        </w:rPr>
        <w:t>ring”). This reduction was part of an effort to align the Company’s cost structure with our ongoing and future planned projects. The reduction in workforce was completed during the three months ended June 30, 2020. Restructuring charges associated with thi</w:t>
      </w:r>
      <w:r>
        <w:rPr>
          <w:rFonts w:eastAsia="Times New Roman"/>
          <w:color w:val="000000"/>
          <w:sz w:val="20"/>
          <w:szCs w:val="20"/>
        </w:rPr>
        <w:t>s plan recognized during the three and nine months ended September 30, 2020 were immaterial. Restructuring charges associated with this plan of $1,259 and $3,198 were recognized during the three and nine months ended September 30, 2019. Included in the 201</w:t>
      </w:r>
      <w:r>
        <w:rPr>
          <w:rFonts w:eastAsia="Times New Roman"/>
          <w:color w:val="000000"/>
          <w:sz w:val="20"/>
          <w:szCs w:val="20"/>
        </w:rPr>
        <w:t>9 restructuring charges of $3,198 were charges for employee severance, benefits and other costs of $2,774, a charge of $598 related to fixed asset impairment, a charge of $826 related to the early termination penalty related to the office lease termination</w:t>
      </w:r>
      <w:r>
        <w:rPr>
          <w:rFonts w:eastAsia="Times New Roman"/>
          <w:color w:val="000000"/>
          <w:sz w:val="20"/>
          <w:szCs w:val="20"/>
        </w:rPr>
        <w:t xml:space="preserve"> as well as a benefit of $1,000 related to the reversal of the French retirement indemnity obligation.</w:t>
      </w:r>
    </w:p>
    <w:p w:rsidR="00000000" w:rsidRDefault="006629D3">
      <w:pPr>
        <w:jc w:val="both"/>
        <w:divId w:val="2075935017"/>
        <w:rPr>
          <w:rFonts w:eastAsia="Times New Roman"/>
        </w:rPr>
      </w:pPr>
      <w:r>
        <w:rPr>
          <w:rFonts w:eastAsia="Times New Roman"/>
          <w:color w:val="000000"/>
          <w:sz w:val="20"/>
          <w:szCs w:val="20"/>
        </w:rPr>
        <w:t>The following table sets forth activities for the Company’s cost reduction plan obligations for the nine months ended September 30, 2020 and 2019:</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5831"/>
        <w:gridCol w:w="36"/>
        <w:gridCol w:w="36"/>
        <w:gridCol w:w="36"/>
        <w:gridCol w:w="36"/>
        <w:gridCol w:w="110"/>
        <w:gridCol w:w="914"/>
        <w:gridCol w:w="36"/>
        <w:gridCol w:w="36"/>
        <w:gridCol w:w="36"/>
        <w:gridCol w:w="36"/>
        <w:gridCol w:w="111"/>
        <w:gridCol w:w="950"/>
        <w:gridCol w:w="36"/>
      </w:tblGrid>
      <w:tr w:rsidR="00000000">
        <w:trPr>
          <w:divId w:val="333387666"/>
          <w:jc w:val="center"/>
        </w:trPr>
        <w:tc>
          <w:tcPr>
            <w:tcW w:w="50" w:type="pct"/>
            <w:vAlign w:val="center"/>
            <w:hideMark/>
          </w:tcPr>
          <w:p w:rsidR="00000000" w:rsidRDefault="006629D3">
            <w:pPr>
              <w:jc w:val="both"/>
              <w:rPr>
                <w:rFonts w:eastAsia="Times New Roman"/>
              </w:rPr>
            </w:pPr>
          </w:p>
        </w:tc>
        <w:tc>
          <w:tcPr>
            <w:tcW w:w="354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9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1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33338766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2019 French Restructuring Obligation: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r>
      <w:tr w:rsidR="00000000">
        <w:trPr>
          <w:divId w:val="333387666"/>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333387666"/>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1,922 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33387666"/>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2,774 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33387666"/>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(1,813)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(1,837)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33387666"/>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Foreign currency impact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333387666"/>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Balance of restructuring accrual at September 30,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r>
        <w:rPr>
          <w:rFonts w:eastAsia="Times New Roman"/>
          <w:color w:val="000000"/>
          <w:sz w:val="20"/>
          <w:szCs w:val="20"/>
        </w:rPr>
        <w:t>T</w:t>
      </w:r>
      <w:r>
        <w:rPr>
          <w:rFonts w:eastAsia="Times New Roman"/>
          <w:color w:val="000000"/>
          <w:sz w:val="20"/>
          <w:szCs w:val="20"/>
        </w:rPr>
        <w:t>he 2019 French Restructuring liabilities of $237 are included in the unaudited condensed consolidated balance sheet in accrued expenses at September 30, 2020.</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00000"/>
          <w:sz w:val="20"/>
          <w:szCs w:val="20"/>
        </w:rPr>
        <w:t>2019 Corporate Restructuring</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During the first quarter of 2019, the Company announced a plan to reduce its Corporate workforce by more than 50% (“2019 Corporate Restructuring”). The reduction in workforce is primarily a result of the exit of Noctiva during the first quarter of 2019 (se</w:t>
      </w:r>
      <w:r>
        <w:rPr>
          <w:rFonts w:eastAsia="Times New Roman"/>
          <w:color w:val="000000"/>
          <w:sz w:val="20"/>
          <w:szCs w:val="20"/>
        </w:rPr>
        <w:t xml:space="preserve">e </w:t>
      </w:r>
      <w:r>
        <w:rPr>
          <w:rFonts w:eastAsia="Times New Roman"/>
          <w:i/>
          <w:iCs/>
          <w:color w:val="000000"/>
          <w:sz w:val="20"/>
          <w:szCs w:val="20"/>
        </w:rPr>
        <w:t>Note 3: Subsidiary Bankruptcy and Deconsolidation</w:t>
      </w:r>
      <w:r>
        <w:rPr>
          <w:rFonts w:eastAsia="Times New Roman"/>
          <w:color w:val="000000"/>
          <w:sz w:val="20"/>
          <w:szCs w:val="20"/>
        </w:rPr>
        <w:t>), as well as an effort to better align the Company’s remaining cost structure at our U.S. and Ireland locations with our ongoing and future planned projects. The reduction in workforce was completed durin</w:t>
      </w:r>
      <w:r>
        <w:rPr>
          <w:rFonts w:eastAsia="Times New Roman"/>
          <w:color w:val="000000"/>
          <w:sz w:val="20"/>
          <w:szCs w:val="20"/>
        </w:rPr>
        <w:t>g the three months ended September 30, 2020. The restructuring charges associated with this plan recognized during the three and nine months ended September 30, 2020 were immaterial, compared to the restructuring charges of $607 and $1,570 recognized durin</w:t>
      </w:r>
      <w:r>
        <w:rPr>
          <w:rFonts w:eastAsia="Times New Roman"/>
          <w:color w:val="000000"/>
          <w:sz w:val="20"/>
          <w:szCs w:val="20"/>
        </w:rPr>
        <w:t>g the three and nine months ended September 30, 2019, respectively. Included in the 2019 Corporate Restructuring charges of $1,570 for the nine months ended September 30, 2019, were charges for employee severance, benefit and other costs of $2,966, as well</w:t>
      </w:r>
      <w:r>
        <w:rPr>
          <w:rFonts w:eastAsia="Times New Roman"/>
          <w:color w:val="000000"/>
          <w:sz w:val="20"/>
          <w:szCs w:val="20"/>
        </w:rPr>
        <w:t xml:space="preserve"> as a benefit of $1,396 related to share based compensation forfeitures related to the employees affected by the global reduction in workforce.</w:t>
      </w:r>
    </w:p>
    <w:p w:rsidR="00000000" w:rsidRDefault="006629D3">
      <w:pPr>
        <w:jc w:val="both"/>
        <w:rPr>
          <w:rFonts w:eastAsia="Times New Roman"/>
        </w:rPr>
      </w:pPr>
    </w:p>
    <w:p w:rsidR="00000000" w:rsidRDefault="006629D3">
      <w:pPr>
        <w:jc w:val="both"/>
        <w:divId w:val="1269971970"/>
        <w:rPr>
          <w:rFonts w:eastAsia="Times New Roman"/>
        </w:rPr>
      </w:pPr>
      <w:r>
        <w:rPr>
          <w:rFonts w:eastAsia="Times New Roman"/>
          <w:color w:val="000000"/>
          <w:sz w:val="20"/>
          <w:szCs w:val="20"/>
        </w:rPr>
        <w:t>The following table sets forth activities for the Company’s cost reduction plan obligations for the nine month</w:t>
      </w:r>
      <w:r>
        <w:rPr>
          <w:rFonts w:eastAsia="Times New Roman"/>
          <w:color w:val="000000"/>
          <w:sz w:val="20"/>
          <w:szCs w:val="20"/>
        </w:rPr>
        <w:t>s ended September 30, 2020 and 2019:</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6214"/>
        <w:gridCol w:w="36"/>
        <w:gridCol w:w="36"/>
        <w:gridCol w:w="36"/>
        <w:gridCol w:w="36"/>
        <w:gridCol w:w="110"/>
        <w:gridCol w:w="698"/>
        <w:gridCol w:w="36"/>
        <w:gridCol w:w="36"/>
        <w:gridCol w:w="36"/>
        <w:gridCol w:w="36"/>
        <w:gridCol w:w="112"/>
        <w:gridCol w:w="711"/>
        <w:gridCol w:w="36"/>
        <w:gridCol w:w="36"/>
        <w:gridCol w:w="36"/>
      </w:tblGrid>
      <w:tr w:rsidR="00000000">
        <w:trPr>
          <w:divId w:val="528034757"/>
          <w:jc w:val="center"/>
        </w:trPr>
        <w:tc>
          <w:tcPr>
            <w:tcW w:w="50" w:type="pct"/>
            <w:vAlign w:val="center"/>
            <w:hideMark/>
          </w:tcPr>
          <w:p w:rsidR="00000000" w:rsidRDefault="006629D3">
            <w:pPr>
              <w:jc w:val="both"/>
              <w:rPr>
                <w:rFonts w:eastAsia="Times New Roman"/>
              </w:rPr>
            </w:pPr>
          </w:p>
        </w:tc>
        <w:tc>
          <w:tcPr>
            <w:tcW w:w="380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7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8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528034757"/>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2019 Corporate Restructuring Obligation: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vAlign w:val="center"/>
            <w:hideMark/>
          </w:tcPr>
          <w:p w:rsidR="00000000" w:rsidRDefault="006629D3">
            <w:pPr>
              <w:jc w:val="center"/>
              <w:rPr>
                <w:rFonts w:eastAsia="Times New Roman"/>
              </w:rPr>
            </w:pPr>
          </w:p>
        </w:tc>
        <w:tc>
          <w:tcPr>
            <w:tcW w:w="0" w:type="auto"/>
            <w:vAlign w:val="center"/>
            <w:hideMark/>
          </w:tcPr>
          <w:p w:rsidR="00000000" w:rsidRDefault="006629D3">
            <w:pPr>
              <w:rPr>
                <w:rFonts w:eastAsia="Times New Roman"/>
                <w:sz w:val="20"/>
                <w:szCs w:val="20"/>
              </w:rPr>
            </w:pPr>
          </w:p>
        </w:tc>
      </w:tr>
      <w:tr w:rsidR="00000000">
        <w:trPr>
          <w:divId w:val="528034757"/>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528034757"/>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1,080 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528034757"/>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2,966 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528034757"/>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(794)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(2,113)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528034757"/>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c>
          <w:tcPr>
            <w:tcW w:w="0" w:type="auto"/>
            <w:vAlign w:val="center"/>
            <w:hideMark/>
          </w:tcPr>
          <w:p w:rsidR="00000000" w:rsidRDefault="006629D3">
            <w:pPr>
              <w:rPr>
                <w:rFonts w:eastAsia="Times New Roman"/>
                <w:sz w:val="20"/>
                <w:szCs w:val="20"/>
              </w:rPr>
            </w:pPr>
          </w:p>
        </w:tc>
      </w:tr>
      <w:tr w:rsidR="00000000">
        <w:trPr>
          <w:divId w:val="528034757"/>
          <w:jc w:val="center"/>
        </w:trPr>
        <w:tc>
          <w:tcPr>
            <w:tcW w:w="0" w:type="auto"/>
            <w:gridSpan w:val="3"/>
            <w:shd w:val="clear" w:color="auto" w:fill="FFFF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Balance of restructuring accrual at September 30, </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853 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vAlign w:val="center"/>
            <w:hideMark/>
          </w:tcPr>
          <w:p w:rsidR="00000000" w:rsidRDefault="006629D3">
            <w:pPr>
              <w:jc w:val="right"/>
              <w:rPr>
                <w:rFonts w:eastAsia="Times New Roman"/>
                <w:sz w:val="20"/>
                <w:szCs w:val="20"/>
              </w:rPr>
            </w:pPr>
          </w:p>
        </w:tc>
        <w:tc>
          <w:tcPr>
            <w:tcW w:w="0" w:type="auto"/>
            <w:vAlign w:val="center"/>
            <w:hideMark/>
          </w:tcPr>
          <w:p w:rsidR="00000000" w:rsidRDefault="006629D3">
            <w:pPr>
              <w:rPr>
                <w:rFonts w:eastAsia="Times New Roman"/>
                <w:sz w:val="20"/>
                <w:szCs w:val="20"/>
              </w:rPr>
            </w:pPr>
          </w:p>
        </w:tc>
      </w:tr>
    </w:tbl>
    <w:p w:rsidR="00000000" w:rsidRDefault="006629D3">
      <w:pPr>
        <w:jc w:val="both"/>
        <w:rPr>
          <w:rFonts w:eastAsia="Times New Roman"/>
        </w:rPr>
      </w:pPr>
      <w:r>
        <w:rPr>
          <w:rFonts w:eastAsia="Times New Roman"/>
          <w:color w:val="000000"/>
          <w:sz w:val="20"/>
          <w:szCs w:val="20"/>
        </w:rPr>
        <w:t xml:space="preserve">The 2019 Corporate Restructuring liabilities of $492 are included in the unaudited condensed consolidated balance sheet in accrued expenses at September 30, 2020. </w:t>
      </w:r>
    </w:p>
    <w:p w:rsidR="00000000" w:rsidRDefault="006629D3">
      <w:pPr>
        <w:jc w:val="both"/>
        <w:rPr>
          <w:rFonts w:eastAsia="Times New Roman"/>
        </w:rPr>
      </w:pPr>
    </w:p>
    <w:p w:rsidR="00000000" w:rsidRDefault="006629D3">
      <w:pPr>
        <w:jc w:val="both"/>
        <w:rPr>
          <w:rFonts w:eastAsia="Times New Roman"/>
        </w:rPr>
      </w:pPr>
    </w:p>
    <w:p w:rsidR="00000000" w:rsidRDefault="006629D3">
      <w:pPr>
        <w:jc w:val="center"/>
        <w:divId w:val="1174295633"/>
        <w:rPr>
          <w:rFonts w:eastAsia="Times New Roman"/>
        </w:rPr>
      </w:pPr>
      <w:r>
        <w:rPr>
          <w:rFonts w:eastAsia="Times New Roman"/>
          <w:color w:val="000000"/>
          <w:sz w:val="20"/>
          <w:szCs w:val="20"/>
        </w:rPr>
        <w:t>- 26 -</w:t>
      </w:r>
    </w:p>
    <w:p w:rsidR="00000000" w:rsidRDefault="006629D3">
      <w:pPr>
        <w:rPr>
          <w:rFonts w:eastAsia="Times New Roman"/>
        </w:rPr>
      </w:pPr>
      <w:r>
        <w:rPr>
          <w:rFonts w:eastAsia="Times New Roman"/>
        </w:rPr>
        <w:pict>
          <v:rect id="_x0000_i1051" style="width:0;height:1.5pt" o:hralign="center" o:hrstd="t" o:hr="t" fillcolor="#a0a0a0" stroked="f"/>
        </w:pict>
      </w:r>
    </w:p>
    <w:p w:rsidR="00000000" w:rsidRDefault="006629D3">
      <w:pPr>
        <w:divId w:val="1946963848"/>
        <w:rPr>
          <w:rFonts w:eastAsia="Times New Roman"/>
        </w:rPr>
      </w:pPr>
    </w:p>
    <w:p w:rsidR="00000000" w:rsidRDefault="006629D3">
      <w:pPr>
        <w:divId w:val="1649476143"/>
        <w:rPr>
          <w:rFonts w:eastAsia="Times New Roman"/>
        </w:rPr>
      </w:pPr>
      <w:r>
        <w:rPr>
          <w:rFonts w:eastAsia="Times New Roman"/>
          <w:b/>
          <w:bCs/>
          <w:color w:val="000000"/>
          <w:sz w:val="20"/>
          <w:szCs w:val="20"/>
        </w:rPr>
        <w:t>NOTE 16: Share-Based Compensation</w:t>
      </w:r>
    </w:p>
    <w:p w:rsidR="00000000" w:rsidRDefault="006629D3">
      <w:pPr>
        <w:divId w:val="1435517116"/>
        <w:rPr>
          <w:rFonts w:eastAsia="Times New Roman"/>
        </w:rPr>
      </w:pPr>
    </w:p>
    <w:p w:rsidR="00000000" w:rsidRDefault="006629D3">
      <w:pPr>
        <w:jc w:val="both"/>
        <w:rPr>
          <w:rFonts w:eastAsia="Times New Roman"/>
        </w:rPr>
      </w:pPr>
      <w:r>
        <w:rPr>
          <w:rFonts w:eastAsia="Times New Roman"/>
          <w:i/>
          <w:iCs/>
          <w:color w:val="000000"/>
          <w:sz w:val="20"/>
          <w:szCs w:val="20"/>
        </w:rPr>
        <w:t>2020 Performance Share Units (“PSUs”)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At the Annual Meeting of Stockholders held in August 2020, the 2020 Omnibus Incentive Compensation Plan was approved which provided for the grant of PSUs to certain executive officers and employees. These PSUs vest</w:t>
      </w:r>
      <w:r>
        <w:rPr>
          <w:rFonts w:eastAsia="Times New Roman"/>
          <w:color w:val="000000"/>
          <w:sz w:val="20"/>
          <w:szCs w:val="20"/>
        </w:rPr>
        <w:t xml:space="preserve"> upon the achievement of certain regulatory milestones. As of September 30, 2020 152 PSUs were outstanding, none had vested and the weighted-average grant date fair value of all shares was $8.29 per share. The Company has not yet recognized any PSU-related</w:t>
      </w:r>
      <w:r>
        <w:rPr>
          <w:rFonts w:eastAsia="Times New Roman"/>
          <w:color w:val="000000"/>
          <w:sz w:val="20"/>
          <w:szCs w:val="20"/>
        </w:rPr>
        <w:t xml:space="preserve"> stock-based compensation expense as the regulatory milestones have not yet been met; however, in the event the performance conditions are met before a certain date, approximately 150% of the outstanding shares, or $1,900 of compensation expense will be re</w:t>
      </w:r>
      <w:r>
        <w:rPr>
          <w:rFonts w:eastAsia="Times New Roman"/>
          <w:color w:val="000000"/>
          <w:sz w:val="20"/>
          <w:szCs w:val="20"/>
        </w:rPr>
        <w:t>cognized by the Company for the PSUs outstanding as of September 30, 2020.</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On October 20, 2020, we granted 105 of PSUs to current employees, with the weighted-average grant date fair value of the PSUs of $5.36 per share. </w:t>
      </w:r>
    </w:p>
    <w:p w:rsidR="00000000" w:rsidRDefault="006629D3">
      <w:pPr>
        <w:jc w:val="both"/>
        <w:rPr>
          <w:rFonts w:eastAsia="Times New Roman"/>
        </w:rPr>
      </w:pPr>
    </w:p>
    <w:p w:rsidR="00000000" w:rsidRDefault="006629D3">
      <w:pPr>
        <w:divId w:val="302123193"/>
        <w:rPr>
          <w:rFonts w:eastAsia="Times New Roman"/>
        </w:rPr>
      </w:pPr>
      <w:r>
        <w:rPr>
          <w:rFonts w:eastAsia="Times New Roman"/>
          <w:b/>
          <w:bCs/>
          <w:color w:val="000000"/>
          <w:sz w:val="20"/>
          <w:szCs w:val="20"/>
        </w:rPr>
        <w:t>NOTE 17:</w:t>
      </w:r>
      <w:r>
        <w:rPr>
          <w:rFonts w:eastAsia="Times New Roman"/>
          <w:color w:val="000000"/>
          <w:sz w:val="20"/>
          <w:szCs w:val="20"/>
        </w:rPr>
        <w:t xml:space="preserve"> </w:t>
      </w:r>
      <w:r>
        <w:rPr>
          <w:rFonts w:eastAsia="Times New Roman"/>
          <w:b/>
          <w:bCs/>
          <w:color w:val="000000"/>
          <w:sz w:val="20"/>
          <w:szCs w:val="20"/>
        </w:rPr>
        <w:t>Net (Loss) Income Per</w:t>
      </w:r>
      <w:r>
        <w:rPr>
          <w:rFonts w:eastAsia="Times New Roman"/>
          <w:b/>
          <w:bCs/>
          <w:color w:val="000000"/>
          <w:sz w:val="20"/>
          <w:szCs w:val="20"/>
        </w:rPr>
        <w:t xml:space="preserve"> Share</w:t>
      </w:r>
      <w:r>
        <w:rPr>
          <w:rFonts w:eastAsia="Times New Roman"/>
          <w:color w:val="000000"/>
          <w:sz w:val="20"/>
          <w:szCs w:val="20"/>
        </w:rPr>
        <w:t> </w:t>
      </w:r>
    </w:p>
    <w:p w:rsidR="00000000" w:rsidRDefault="006629D3">
      <w:pPr>
        <w:jc w:val="both"/>
        <w:rPr>
          <w:rFonts w:eastAsia="Times New Roman"/>
        </w:rPr>
      </w:pPr>
      <w:r>
        <w:rPr>
          <w:rFonts w:eastAsia="Times New Roman"/>
          <w:color w:val="000000"/>
          <w:sz w:val="20"/>
          <w:szCs w:val="20"/>
        </w:rPr>
        <w:t xml:space="preserve">Basic net (loss) income per share is calculated by dividing net (loss) income by the weighted average number of shares outstanding during each period. Diluted net (loss) income per share is calculated by dividing net (loss) income - diluted by the </w:t>
      </w:r>
      <w:r>
        <w:rPr>
          <w:rFonts w:eastAsia="Times New Roman"/>
          <w:color w:val="000000"/>
          <w:sz w:val="20"/>
          <w:szCs w:val="20"/>
        </w:rPr>
        <w:t>diluted number of shares outstanding during each period. Except where the result would be anti-dilutive to net (loss) income, diluted net (loss) income per share would be calculated assuming the impact of the conversion of the 2023 Notes, the conversion of</w:t>
      </w:r>
      <w:r>
        <w:rPr>
          <w:rFonts w:eastAsia="Times New Roman"/>
          <w:color w:val="000000"/>
          <w:sz w:val="20"/>
          <w:szCs w:val="20"/>
        </w:rPr>
        <w:t xml:space="preserve"> our preferred shares, the exercise of outstanding equity compensation awards, and ordinary shares expected to be issued under our employee stock purchase plan (“ESPP”).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We have a choice to settle the conversion obligation under the 2023 Notes in cash, </w:t>
      </w:r>
      <w:r>
        <w:rPr>
          <w:rFonts w:eastAsia="Times New Roman"/>
          <w:color w:val="000000"/>
          <w:sz w:val="20"/>
          <w:szCs w:val="20"/>
        </w:rPr>
        <w:t xml:space="preserve">shares or any combination of the two. We utilize the if-converted method to reflect the impact of the conversion of the 2023 Notes, unless the result is anti-dilutive. This method assumes the conversion of the 2023 Notes into shares of our ordinary shares </w:t>
      </w:r>
      <w:r>
        <w:rPr>
          <w:rFonts w:eastAsia="Times New Roman"/>
          <w:color w:val="000000"/>
          <w:sz w:val="20"/>
          <w:szCs w:val="20"/>
        </w:rPr>
        <w:t>and reflects the elimination of the interest expense related to the 2023 Notes.</w:t>
      </w:r>
    </w:p>
    <w:p w:rsidR="00000000" w:rsidRDefault="006629D3">
      <w:pPr>
        <w:divId w:val="666179411"/>
        <w:rPr>
          <w:rFonts w:eastAsia="Times New Roman"/>
        </w:rPr>
      </w:pPr>
    </w:p>
    <w:p w:rsidR="00000000" w:rsidRDefault="006629D3">
      <w:pPr>
        <w:jc w:val="both"/>
        <w:divId w:val="1535272095"/>
        <w:rPr>
          <w:rFonts w:eastAsia="Times New Roman"/>
        </w:rPr>
      </w:pPr>
      <w:r>
        <w:rPr>
          <w:rFonts w:eastAsia="Times New Roman"/>
          <w:color w:val="000000"/>
          <w:sz w:val="20"/>
          <w:szCs w:val="20"/>
        </w:rPr>
        <w:t>The dilutive effect of the warrants, stock options, restricted stock units, preferred shares and ordinary shares expected to be issued under or ESPP has been calculated using the treasury stock method. The dilutive effect of the PSUs will be calculated usi</w:t>
      </w:r>
      <w:r>
        <w:rPr>
          <w:rFonts w:eastAsia="Times New Roman"/>
          <w:color w:val="000000"/>
          <w:sz w:val="20"/>
          <w:szCs w:val="20"/>
        </w:rPr>
        <w:t xml:space="preserve">ng the treasury stock method, if and when the contingent vesting condition is achieved. </w:t>
      </w:r>
    </w:p>
    <w:p w:rsidR="00000000" w:rsidRDefault="006629D3">
      <w:pPr>
        <w:jc w:val="both"/>
        <w:divId w:val="1225875374"/>
        <w:rPr>
          <w:rFonts w:eastAsia="Times New Roman"/>
        </w:rPr>
      </w:pPr>
      <w:r>
        <w:rPr>
          <w:rFonts w:eastAsia="Times New Roman"/>
          <w:color w:val="000000"/>
          <w:sz w:val="20"/>
          <w:szCs w:val="20"/>
        </w:rPr>
        <w:t>A reconciliation of basic and diluted net (loss) income per share, together with the related shares outstanding in thousands is as follows: </w:t>
      </w:r>
    </w:p>
    <w:tbl>
      <w:tblPr>
        <w:tblW w:w="4985" w:type="pct"/>
        <w:tblCellMar>
          <w:top w:w="15" w:type="dxa"/>
          <w:left w:w="15" w:type="dxa"/>
          <w:bottom w:w="15" w:type="dxa"/>
          <w:right w:w="15" w:type="dxa"/>
        </w:tblCellMar>
        <w:tblLook w:val="04A0" w:firstRow="1" w:lastRow="0" w:firstColumn="1" w:lastColumn="0" w:noHBand="0" w:noVBand="1"/>
      </w:tblPr>
      <w:tblGrid>
        <w:gridCol w:w="40"/>
        <w:gridCol w:w="3831"/>
        <w:gridCol w:w="39"/>
        <w:gridCol w:w="36"/>
        <w:gridCol w:w="36"/>
        <w:gridCol w:w="36"/>
        <w:gridCol w:w="110"/>
        <w:gridCol w:w="781"/>
        <w:gridCol w:w="36"/>
        <w:gridCol w:w="36"/>
        <w:gridCol w:w="36"/>
        <w:gridCol w:w="36"/>
        <w:gridCol w:w="110"/>
        <w:gridCol w:w="792"/>
        <w:gridCol w:w="36"/>
        <w:gridCol w:w="36"/>
        <w:gridCol w:w="36"/>
        <w:gridCol w:w="36"/>
        <w:gridCol w:w="110"/>
        <w:gridCol w:w="890"/>
        <w:gridCol w:w="36"/>
        <w:gridCol w:w="36"/>
        <w:gridCol w:w="36"/>
        <w:gridCol w:w="36"/>
        <w:gridCol w:w="110"/>
        <w:gridCol w:w="892"/>
        <w:gridCol w:w="36"/>
      </w:tblGrid>
      <w:tr w:rsidR="00000000">
        <w:trPr>
          <w:divId w:val="1554780011"/>
        </w:trPr>
        <w:tc>
          <w:tcPr>
            <w:tcW w:w="50" w:type="pct"/>
            <w:vAlign w:val="center"/>
            <w:hideMark/>
          </w:tcPr>
          <w:p w:rsidR="00000000" w:rsidRDefault="006629D3">
            <w:pPr>
              <w:jc w:val="both"/>
              <w:rPr>
                <w:rFonts w:eastAsia="Times New Roman"/>
              </w:rPr>
            </w:pPr>
          </w:p>
        </w:tc>
        <w:tc>
          <w:tcPr>
            <w:tcW w:w="234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2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3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9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9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554780011"/>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r>
      <w:tr w:rsidR="00000000">
        <w:trPr>
          <w:divId w:val="1554780011"/>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Net (Loss) Income Per Share:</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r>
      <w:tr w:rsidR="00000000">
        <w:trPr>
          <w:divId w:val="155478001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55478001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Net (loss) income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(11,703)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(8,864)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18,306 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(30,487)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4780011"/>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554780011"/>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554780011"/>
          <w:trHeight w:val="280"/>
        </w:trPr>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55478001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55478001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58,213 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37,436 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51,206 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37,382 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4780011"/>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Effect of dilutive securities—employee and director equity awards outstanding, preferred shares and 2023 Notes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1,643 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4780011"/>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554780011"/>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58,213 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37,436 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52,849 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37,382 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4780011"/>
          <w:trHeight w:val="30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55478001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 income per share - basic</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0.36 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(0.82)</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554780011"/>
        </w:trPr>
        <w:tc>
          <w:tcPr>
            <w:tcW w:w="0" w:type="auto"/>
            <w:gridSpan w:val="3"/>
            <w:shd w:val="clear" w:color="auto" w:fill="CCEEFF"/>
            <w:tcMar>
              <w:top w:w="30" w:type="dxa"/>
              <w:left w:w="20" w:type="dxa"/>
              <w:bottom w:w="30" w:type="dxa"/>
              <w:right w:w="20" w:type="dxa"/>
            </w:tcMar>
            <w:vAlign w:val="bottom"/>
            <w:hideMark/>
          </w:tcPr>
          <w:p w:rsidR="00000000" w:rsidRDefault="006629D3">
            <w:pPr>
              <w:divId w:val="1054543133"/>
              <w:rPr>
                <w:rFonts w:eastAsia="Times New Roman"/>
              </w:rPr>
            </w:pPr>
            <w:r>
              <w:rPr>
                <w:rFonts w:eastAsia="Times New Roman"/>
                <w:color w:val="000000"/>
                <w:sz w:val="18"/>
                <w:szCs w:val="18"/>
              </w:rPr>
              <w:t xml:space="preserve">Net (loss) income per share - diluted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0.35 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(0.82)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r>
        <w:rPr>
          <w:rFonts w:eastAsia="Times New Roman"/>
          <w:color w:val="000000"/>
          <w:sz w:val="20"/>
          <w:szCs w:val="20"/>
        </w:rPr>
        <w:t xml:space="preserve">Potential common shares of 15,969 and 19,544 were excluded from the calculation of weighted average shares for the three </w:t>
      </w:r>
      <w:r>
        <w:rPr>
          <w:rFonts w:eastAsia="Times New Roman"/>
          <w:color w:val="000000"/>
          <w:sz w:val="20"/>
          <w:szCs w:val="20"/>
        </w:rPr>
        <w:t>months ended September 30, 2020 and 2019, respectively, and potential common shares of 15,789 and 20,512 were excluded from the calculation of weighted average shares for the nine months ended September 30, 2020 and 2019, respectively, because either their</w:t>
      </w:r>
      <w:r>
        <w:rPr>
          <w:rFonts w:eastAsia="Times New Roman"/>
          <w:color w:val="000000"/>
          <w:sz w:val="20"/>
          <w:szCs w:val="20"/>
        </w:rPr>
        <w:t xml:space="preserve"> effect was considered to be anti-dilutive or they were related to shares from PSUs for which the contingent vesting condition had not been achieved. For the three months ended September 30, 2020 and for the three and nine months ended September 30, 2019, </w:t>
      </w:r>
      <w:r>
        <w:rPr>
          <w:rFonts w:eastAsia="Times New Roman"/>
          <w:color w:val="000000"/>
          <w:sz w:val="20"/>
          <w:szCs w:val="20"/>
        </w:rPr>
        <w:t>the effects of dilutive securities were entirely excluded from the calculation of net loss per share as a net loss was reported in this period. </w:t>
      </w:r>
    </w:p>
    <w:p w:rsidR="00000000" w:rsidRDefault="006629D3">
      <w:pPr>
        <w:jc w:val="center"/>
        <w:divId w:val="216743619"/>
        <w:rPr>
          <w:rFonts w:eastAsia="Times New Roman"/>
        </w:rPr>
      </w:pPr>
      <w:r>
        <w:rPr>
          <w:rFonts w:eastAsia="Times New Roman"/>
          <w:color w:val="000000"/>
          <w:sz w:val="20"/>
          <w:szCs w:val="20"/>
        </w:rPr>
        <w:t>- 27 -</w:t>
      </w:r>
    </w:p>
    <w:p w:rsidR="00000000" w:rsidRDefault="006629D3">
      <w:pPr>
        <w:rPr>
          <w:rFonts w:eastAsia="Times New Roman"/>
        </w:rPr>
      </w:pPr>
      <w:r>
        <w:rPr>
          <w:rFonts w:eastAsia="Times New Roman"/>
        </w:rPr>
        <w:pict>
          <v:rect id="_x0000_i1052" style="width:0;height:1.5pt" o:hralign="center" o:hrstd="t" o:hr="t" fillcolor="#a0a0a0" stroked="f"/>
        </w:pict>
      </w:r>
    </w:p>
    <w:p w:rsidR="00000000" w:rsidRDefault="006629D3">
      <w:pPr>
        <w:divId w:val="1671831298"/>
        <w:rPr>
          <w:rFonts w:eastAsia="Times New Roman"/>
        </w:rPr>
      </w:pPr>
    </w:p>
    <w:p w:rsidR="00000000" w:rsidRDefault="006629D3">
      <w:pPr>
        <w:jc w:val="both"/>
        <w:rPr>
          <w:rFonts w:eastAsia="Times New Roman"/>
        </w:rPr>
      </w:pPr>
    </w:p>
    <w:p w:rsidR="00000000" w:rsidRDefault="006629D3">
      <w:pPr>
        <w:divId w:val="547255066"/>
        <w:rPr>
          <w:rFonts w:eastAsia="Times New Roman"/>
        </w:rPr>
      </w:pPr>
      <w:r>
        <w:rPr>
          <w:rFonts w:eastAsia="Times New Roman"/>
          <w:b/>
          <w:bCs/>
          <w:color w:val="000000"/>
          <w:sz w:val="20"/>
          <w:szCs w:val="20"/>
        </w:rPr>
        <w:t>NOTE 18:</w:t>
      </w:r>
      <w:r>
        <w:rPr>
          <w:rFonts w:eastAsia="Times New Roman"/>
          <w:color w:val="000000"/>
          <w:sz w:val="20"/>
          <w:szCs w:val="20"/>
        </w:rPr>
        <w:t xml:space="preserve"> </w:t>
      </w:r>
      <w:r>
        <w:rPr>
          <w:rFonts w:eastAsia="Times New Roman"/>
          <w:b/>
          <w:bCs/>
          <w:color w:val="000000"/>
          <w:sz w:val="20"/>
          <w:szCs w:val="20"/>
        </w:rPr>
        <w:t>Comprehensive Loss </w:t>
      </w:r>
    </w:p>
    <w:p w:rsidR="00000000" w:rsidRDefault="006629D3">
      <w:pPr>
        <w:jc w:val="both"/>
        <w:divId w:val="1149664989"/>
        <w:rPr>
          <w:rFonts w:eastAsia="Times New Roman"/>
        </w:rPr>
      </w:pPr>
      <w:r>
        <w:rPr>
          <w:rFonts w:eastAsia="Times New Roman"/>
          <w:color w:val="000000"/>
          <w:sz w:val="20"/>
          <w:szCs w:val="20"/>
        </w:rPr>
        <w:t>The following table shows the compo</w:t>
      </w:r>
      <w:r>
        <w:rPr>
          <w:rFonts w:eastAsia="Times New Roman"/>
          <w:color w:val="000000"/>
          <w:sz w:val="20"/>
          <w:szCs w:val="20"/>
        </w:rPr>
        <w:t>nents of accumulated other comprehensive loss for the three and nine months ended September 30, 2020 and 2019, respectively, net of tax effects: </w:t>
      </w:r>
    </w:p>
    <w:tbl>
      <w:tblPr>
        <w:tblW w:w="4970" w:type="pct"/>
        <w:tblCellMar>
          <w:top w:w="15" w:type="dxa"/>
          <w:left w:w="15" w:type="dxa"/>
          <w:bottom w:w="15" w:type="dxa"/>
          <w:right w:w="15" w:type="dxa"/>
        </w:tblCellMar>
        <w:tblLook w:val="04A0" w:firstRow="1" w:lastRow="0" w:firstColumn="1" w:lastColumn="0" w:noHBand="0" w:noVBand="1"/>
      </w:tblPr>
      <w:tblGrid>
        <w:gridCol w:w="38"/>
        <w:gridCol w:w="3747"/>
        <w:gridCol w:w="37"/>
        <w:gridCol w:w="36"/>
        <w:gridCol w:w="36"/>
        <w:gridCol w:w="36"/>
        <w:gridCol w:w="110"/>
        <w:gridCol w:w="854"/>
        <w:gridCol w:w="36"/>
        <w:gridCol w:w="36"/>
        <w:gridCol w:w="36"/>
        <w:gridCol w:w="36"/>
        <w:gridCol w:w="110"/>
        <w:gridCol w:w="854"/>
        <w:gridCol w:w="36"/>
        <w:gridCol w:w="36"/>
        <w:gridCol w:w="36"/>
        <w:gridCol w:w="36"/>
        <w:gridCol w:w="110"/>
        <w:gridCol w:w="854"/>
        <w:gridCol w:w="36"/>
        <w:gridCol w:w="36"/>
        <w:gridCol w:w="36"/>
        <w:gridCol w:w="36"/>
        <w:gridCol w:w="110"/>
        <w:gridCol w:w="856"/>
        <w:gridCol w:w="36"/>
      </w:tblGrid>
      <w:tr w:rsidR="00000000">
        <w:trPr>
          <w:divId w:val="1814177402"/>
        </w:trPr>
        <w:tc>
          <w:tcPr>
            <w:tcW w:w="50" w:type="pct"/>
            <w:vAlign w:val="center"/>
            <w:hideMark/>
          </w:tcPr>
          <w:p w:rsidR="00000000" w:rsidRDefault="006629D3">
            <w:pPr>
              <w:jc w:val="both"/>
              <w:rPr>
                <w:rFonts w:eastAsia="Times New Roman"/>
              </w:rPr>
            </w:pPr>
          </w:p>
        </w:tc>
        <w:tc>
          <w:tcPr>
            <w:tcW w:w="229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7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814177402"/>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r>
      <w:tr w:rsidR="00000000">
        <w:trPr>
          <w:divId w:val="1814177402"/>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r>
      <w:tr w:rsidR="00000000">
        <w:trPr>
          <w:divId w:val="1814177402"/>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814177402"/>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Foreign currency translation adjustment: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814177402"/>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w:t>
            </w:r>
            <w:r>
              <w:rPr>
                <w:rFonts w:eastAsia="Times New Roman"/>
                <w:color w:val="000000"/>
                <w:sz w:val="18"/>
                <w:szCs w:val="18"/>
              </w:rPr>
              <w:t>23,733)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(23,720)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(23,738)</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(23,621)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814177402"/>
        </w:trPr>
        <w:tc>
          <w:tcPr>
            <w:tcW w:w="0" w:type="auto"/>
            <w:gridSpan w:val="3"/>
            <w:shd w:val="clear" w:color="auto" w:fill="CCEEFF"/>
            <w:tcMar>
              <w:top w:w="30" w:type="dxa"/>
              <w:left w:w="49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other comprehensive income (loss)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814177402"/>
        </w:trPr>
        <w:tc>
          <w:tcPr>
            <w:tcW w:w="0" w:type="auto"/>
            <w:gridSpan w:val="3"/>
            <w:shd w:val="clear" w:color="auto" w:fill="FFFF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Balance at September 30,</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(23,199)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(23,930)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(23,199)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(23,930)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814177402"/>
          <w:trHeight w:val="280"/>
        </w:trPr>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814177402"/>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Unrealized gain on marketable debt securities, net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814177402"/>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1,215 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872 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932 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814177402"/>
        </w:trPr>
        <w:tc>
          <w:tcPr>
            <w:tcW w:w="0" w:type="auto"/>
            <w:gridSpan w:val="3"/>
            <w:shd w:val="clear" w:color="auto" w:fill="FFFFFF"/>
            <w:tcMar>
              <w:top w:w="30" w:type="dxa"/>
              <w:left w:w="20" w:type="dxa"/>
              <w:bottom w:w="30" w:type="dxa"/>
              <w:right w:w="20" w:type="dxa"/>
            </w:tcMar>
            <w:vAlign w:val="bottom"/>
            <w:hideMark/>
          </w:tcPr>
          <w:p w:rsidR="00000000" w:rsidRDefault="006629D3">
            <w:pPr>
              <w:divId w:val="149449363"/>
              <w:rPr>
                <w:rFonts w:eastAsia="Times New Roman"/>
              </w:rPr>
            </w:pPr>
            <w:r>
              <w:rPr>
                <w:rFonts w:eastAsia="Times New Roman"/>
                <w:color w:val="000000"/>
                <w:sz w:val="18"/>
                <w:szCs w:val="18"/>
              </w:rPr>
              <w:t>Net other comprehensive income, net of $(1), $(5), $(131) and $(46) tax, respectively</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349 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753 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814177402"/>
        </w:trPr>
        <w:tc>
          <w:tcPr>
            <w:tcW w:w="0" w:type="auto"/>
            <w:gridSpan w:val="3"/>
            <w:shd w:val="clear" w:color="auto" w:fill="CCEEFF"/>
            <w:tcMar>
              <w:top w:w="30" w:type="dxa"/>
              <w:left w:w="360" w:type="dxa"/>
              <w:bottom w:w="30" w:type="dxa"/>
              <w:right w:w="20" w:type="dxa"/>
            </w:tcMar>
            <w:vAlign w:val="bottom"/>
            <w:hideMark/>
          </w:tcPr>
          <w:p w:rsidR="00000000" w:rsidRDefault="006629D3">
            <w:pPr>
              <w:rPr>
                <w:rFonts w:eastAsia="Times New Roman"/>
              </w:rPr>
            </w:pPr>
            <w:r>
              <w:rPr>
                <w:rFonts w:eastAsia="Times New Roman"/>
                <w:color w:val="000000"/>
                <w:sz w:val="18"/>
                <w:szCs w:val="18"/>
              </w:rPr>
              <w:t>Balance at September 30,</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814177402"/>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Accumulated other comprehensive loss at September 30,</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(21,918)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(22,972)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(21,918)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(22,972)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bl>
    <w:p w:rsidR="00000000" w:rsidRDefault="006629D3">
      <w:pPr>
        <w:jc w:val="both"/>
        <w:rPr>
          <w:rFonts w:eastAsia="Times New Roman"/>
        </w:rPr>
      </w:pPr>
      <w:r>
        <w:rPr>
          <w:rFonts w:eastAsia="Times New Roman"/>
          <w:color w:val="000000"/>
          <w:sz w:val="20"/>
          <w:szCs w:val="20"/>
        </w:rPr>
        <w:t>The effect on the Company’s unaudited condensed consolidated financial statements of amounts reclassified out of accumulated other comprehensive loss was immaterial for all periods presented.</w:t>
      </w:r>
    </w:p>
    <w:p w:rsidR="00000000" w:rsidRDefault="006629D3">
      <w:pPr>
        <w:jc w:val="both"/>
        <w:rPr>
          <w:rFonts w:eastAsia="Times New Roman"/>
        </w:rPr>
      </w:pPr>
    </w:p>
    <w:p w:rsidR="00000000" w:rsidRDefault="006629D3">
      <w:pPr>
        <w:divId w:val="734161794"/>
        <w:rPr>
          <w:rFonts w:eastAsia="Times New Roman"/>
        </w:rPr>
      </w:pPr>
      <w:r>
        <w:rPr>
          <w:rFonts w:eastAsia="Times New Roman"/>
          <w:b/>
          <w:bCs/>
          <w:color w:val="000000"/>
          <w:sz w:val="20"/>
          <w:szCs w:val="20"/>
        </w:rPr>
        <w:t>NOTE 19:</w:t>
      </w:r>
      <w:r>
        <w:rPr>
          <w:rFonts w:eastAsia="Times New Roman"/>
          <w:color w:val="000000"/>
          <w:sz w:val="20"/>
          <w:szCs w:val="20"/>
        </w:rPr>
        <w:t xml:space="preserve"> </w:t>
      </w:r>
      <w:r>
        <w:rPr>
          <w:rFonts w:eastAsia="Times New Roman"/>
          <w:b/>
          <w:bCs/>
          <w:color w:val="000000"/>
          <w:sz w:val="20"/>
          <w:szCs w:val="20"/>
        </w:rPr>
        <w:t>Revenue by Product </w:t>
      </w:r>
    </w:p>
    <w:p w:rsidR="00000000" w:rsidRDefault="006629D3">
      <w:pPr>
        <w:jc w:val="both"/>
        <w:divId w:val="286201257"/>
        <w:rPr>
          <w:rFonts w:eastAsia="Times New Roman"/>
        </w:rPr>
      </w:pPr>
      <w:r>
        <w:rPr>
          <w:rFonts w:eastAsia="Times New Roman"/>
          <w:color w:val="000000"/>
          <w:sz w:val="20"/>
          <w:szCs w:val="20"/>
        </w:rPr>
        <w:t xml:space="preserve">The Company has determined that it operates in one segment, the development and commercialization of pharmaceutical products, including controlled-release therapeutic products based on its proprietary polymer based technology. </w:t>
      </w:r>
      <w:r>
        <w:rPr>
          <w:rFonts w:eastAsia="Times New Roman"/>
          <w:color w:val="000000"/>
          <w:sz w:val="20"/>
          <w:szCs w:val="20"/>
        </w:rPr>
        <w:t>The Company’s Chief Operating Decision Maker is the Chief Executive Officer (the “CEO”). The CEO reviews profit and loss information on a consolidated basis to assess performance and make overall operating decisions as well as resource allocations. All pro</w:t>
      </w:r>
      <w:r>
        <w:rPr>
          <w:rFonts w:eastAsia="Times New Roman"/>
          <w:color w:val="000000"/>
          <w:sz w:val="20"/>
          <w:szCs w:val="20"/>
        </w:rPr>
        <w:t>ducts are included in one segment because the Company’s products have similar economic and other characteristics, including the nature of the products and production processes, type of customers, distribution methods and regulatory environment. </w:t>
      </w:r>
    </w:p>
    <w:p w:rsidR="00000000" w:rsidRDefault="006629D3">
      <w:pPr>
        <w:jc w:val="both"/>
        <w:divId w:val="64382566"/>
        <w:rPr>
          <w:rFonts w:eastAsia="Times New Roman"/>
        </w:rPr>
      </w:pPr>
      <w:r>
        <w:rPr>
          <w:rFonts w:eastAsia="Times New Roman"/>
          <w:color w:val="000000"/>
          <w:sz w:val="20"/>
          <w:szCs w:val="20"/>
        </w:rPr>
        <w:t>The follow</w:t>
      </w:r>
      <w:r>
        <w:rPr>
          <w:rFonts w:eastAsia="Times New Roman"/>
          <w:color w:val="000000"/>
          <w:sz w:val="20"/>
          <w:szCs w:val="20"/>
        </w:rPr>
        <w:t>ing table presents a summary of total product sales by these products: </w:t>
      </w:r>
    </w:p>
    <w:tbl>
      <w:tblPr>
        <w:tblW w:w="5000" w:type="pct"/>
        <w:tblCellMar>
          <w:top w:w="15" w:type="dxa"/>
          <w:left w:w="15" w:type="dxa"/>
          <w:bottom w:w="15" w:type="dxa"/>
          <w:right w:w="15" w:type="dxa"/>
        </w:tblCellMar>
        <w:tblLook w:val="04A0" w:firstRow="1" w:lastRow="0" w:firstColumn="1" w:lastColumn="0" w:noHBand="0" w:noVBand="1"/>
      </w:tblPr>
      <w:tblGrid>
        <w:gridCol w:w="38"/>
        <w:gridCol w:w="3115"/>
        <w:gridCol w:w="37"/>
        <w:gridCol w:w="36"/>
        <w:gridCol w:w="36"/>
        <w:gridCol w:w="36"/>
        <w:gridCol w:w="111"/>
        <w:gridCol w:w="1024"/>
        <w:gridCol w:w="37"/>
        <w:gridCol w:w="36"/>
        <w:gridCol w:w="36"/>
        <w:gridCol w:w="36"/>
        <w:gridCol w:w="110"/>
        <w:gridCol w:w="1024"/>
        <w:gridCol w:w="36"/>
        <w:gridCol w:w="36"/>
        <w:gridCol w:w="36"/>
        <w:gridCol w:w="36"/>
        <w:gridCol w:w="110"/>
        <w:gridCol w:w="1024"/>
        <w:gridCol w:w="36"/>
        <w:gridCol w:w="36"/>
        <w:gridCol w:w="36"/>
        <w:gridCol w:w="36"/>
        <w:gridCol w:w="110"/>
        <w:gridCol w:w="1026"/>
        <w:gridCol w:w="36"/>
      </w:tblGrid>
      <w:tr w:rsidR="00000000">
        <w:trPr>
          <w:divId w:val="1189874473"/>
        </w:trPr>
        <w:tc>
          <w:tcPr>
            <w:tcW w:w="50" w:type="pct"/>
            <w:vAlign w:val="center"/>
            <w:hideMark/>
          </w:tcPr>
          <w:p w:rsidR="00000000" w:rsidRDefault="006629D3">
            <w:pPr>
              <w:jc w:val="both"/>
              <w:rPr>
                <w:rFonts w:eastAsia="Times New Roman"/>
              </w:rPr>
            </w:pPr>
          </w:p>
        </w:tc>
        <w:tc>
          <w:tcPr>
            <w:tcW w:w="190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6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6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6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6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189874473"/>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r>
      <w:tr w:rsidR="00000000">
        <w:trPr>
          <w:divId w:val="1189874473"/>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Product Sales by Product:</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r>
      <w:tr w:rsidR="00000000">
        <w:trPr>
          <w:divId w:val="1189874473"/>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189874473"/>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1,466 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2,201 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6,392 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89874473"/>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8,786 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10,429 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27,669 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89874473"/>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4,208 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9,545 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13,946 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89874473"/>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89874473"/>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89874473"/>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48,220 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r>
      <w:tr w:rsidR="00000000">
        <w:trPr>
          <w:divId w:val="1189874473"/>
        </w:trPr>
        <w:tc>
          <w:tcPr>
            <w:tcW w:w="0" w:type="auto"/>
            <w:gridSpan w:val="3"/>
            <w:vAlign w:val="center"/>
            <w:hideMark/>
          </w:tcPr>
          <w:p w:rsidR="00000000" w:rsidRDefault="006629D3">
            <w:pPr>
              <w:jc w:val="right"/>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189874473"/>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On June 30, 2020, we sold the Hospital Products. See </w:t>
      </w:r>
      <w:r>
        <w:rPr>
          <w:rFonts w:eastAsia="Times New Roman"/>
          <w:i/>
          <w:iCs/>
          <w:color w:val="000000"/>
          <w:sz w:val="20"/>
          <w:szCs w:val="20"/>
        </w:rPr>
        <w:t>Note 4: Disposition of the Hospital Products</w:t>
      </w:r>
      <w:r>
        <w:rPr>
          <w:rFonts w:eastAsia="Times New Roman"/>
          <w:color w:val="000000"/>
          <w:sz w:val="20"/>
          <w:szCs w:val="20"/>
        </w:rPr>
        <w:t xml:space="preserve">. </w:t>
      </w:r>
    </w:p>
    <w:p w:rsidR="00000000" w:rsidRDefault="006629D3">
      <w:pPr>
        <w:jc w:val="both"/>
        <w:rPr>
          <w:rFonts w:eastAsia="Times New Roman"/>
        </w:rPr>
      </w:pPr>
    </w:p>
    <w:p w:rsidR="00000000" w:rsidRDefault="006629D3">
      <w:pPr>
        <w:divId w:val="935288672"/>
        <w:rPr>
          <w:rFonts w:eastAsia="Times New Roman"/>
        </w:rPr>
      </w:pPr>
      <w:r>
        <w:rPr>
          <w:rFonts w:eastAsia="Times New Roman"/>
          <w:b/>
          <w:bCs/>
          <w:color w:val="000000"/>
          <w:sz w:val="20"/>
          <w:szCs w:val="20"/>
        </w:rPr>
        <w:t>NOTE 20:</w:t>
      </w:r>
      <w:r>
        <w:rPr>
          <w:rFonts w:eastAsia="Times New Roman"/>
          <w:color w:val="000000"/>
          <w:sz w:val="20"/>
          <w:szCs w:val="20"/>
        </w:rPr>
        <w:t xml:space="preserve"> </w:t>
      </w:r>
      <w:r>
        <w:rPr>
          <w:rFonts w:eastAsia="Times New Roman"/>
          <w:b/>
          <w:bCs/>
          <w:color w:val="000000"/>
          <w:sz w:val="20"/>
          <w:szCs w:val="20"/>
        </w:rPr>
        <w:t>Commitments and Contingencies</w:t>
      </w:r>
      <w:r>
        <w:rPr>
          <w:rFonts w:eastAsia="Times New Roman"/>
          <w:color w:val="000000"/>
          <w:sz w:val="20"/>
          <w:szCs w:val="20"/>
        </w:rPr>
        <w:t> </w:t>
      </w:r>
    </w:p>
    <w:p w:rsidR="00000000" w:rsidRDefault="006629D3">
      <w:pPr>
        <w:divId w:val="327907253"/>
        <w:rPr>
          <w:rFonts w:eastAsia="Times New Roman"/>
        </w:rPr>
      </w:pPr>
      <w:r>
        <w:rPr>
          <w:rFonts w:eastAsia="Times New Roman"/>
          <w:b/>
          <w:bCs/>
          <w:i/>
          <w:iCs/>
          <w:color w:val="000000"/>
          <w:sz w:val="20"/>
          <w:szCs w:val="20"/>
        </w:rPr>
        <w:t>Litigation  </w:t>
      </w:r>
    </w:p>
    <w:p w:rsidR="00000000" w:rsidRDefault="006629D3">
      <w:pPr>
        <w:jc w:val="both"/>
        <w:rPr>
          <w:rFonts w:eastAsia="Times New Roman"/>
        </w:rPr>
      </w:pPr>
      <w:r>
        <w:rPr>
          <w:rFonts w:eastAsia="Times New Roman"/>
          <w:color w:val="000000"/>
          <w:sz w:val="20"/>
          <w:szCs w:val="20"/>
        </w:rPr>
        <w:t>The Company is subject to potential liabilities generally incidental to our business arising out of present and future lawsuits and claims related to product liability, personal injury, contract, commercial, intellectual property, tax, employment, complian</w:t>
      </w:r>
      <w:r>
        <w:rPr>
          <w:rFonts w:eastAsia="Times New Roman"/>
          <w:color w:val="000000"/>
          <w:sz w:val="20"/>
          <w:szCs w:val="20"/>
        </w:rPr>
        <w:t>ce and other matters that arise in the ordinary course of business. The Company accrues for potential liabilities when it is probable that future costs (including legal fees and expenses) will be incurred and such costs can be reasonably estimated. At Sept</w:t>
      </w:r>
      <w:r>
        <w:rPr>
          <w:rFonts w:eastAsia="Times New Roman"/>
          <w:color w:val="000000"/>
          <w:sz w:val="20"/>
          <w:szCs w:val="20"/>
        </w:rPr>
        <w:t xml:space="preserve">ember 30, 2020 and December 31, 2019, there were no contingent liabilities with respect to any litigation, arbitration or administrative or </w:t>
      </w:r>
    </w:p>
    <w:p w:rsidR="00000000" w:rsidRDefault="006629D3">
      <w:pPr>
        <w:jc w:val="center"/>
        <w:divId w:val="168258136"/>
        <w:rPr>
          <w:rFonts w:eastAsia="Times New Roman"/>
        </w:rPr>
      </w:pPr>
      <w:r>
        <w:rPr>
          <w:rFonts w:eastAsia="Times New Roman"/>
          <w:color w:val="000000"/>
          <w:sz w:val="20"/>
          <w:szCs w:val="20"/>
        </w:rPr>
        <w:t>- 28 -</w:t>
      </w:r>
    </w:p>
    <w:p w:rsidR="00000000" w:rsidRDefault="006629D3">
      <w:pPr>
        <w:rPr>
          <w:rFonts w:eastAsia="Times New Roman"/>
        </w:rPr>
      </w:pPr>
      <w:r>
        <w:rPr>
          <w:rFonts w:eastAsia="Times New Roman"/>
        </w:rPr>
        <w:pict>
          <v:rect id="_x0000_i1053" style="width:0;height:1.5pt" o:hralign="center" o:hrstd="t" o:hr="t" fillcolor="#a0a0a0" stroked="f"/>
        </w:pict>
      </w:r>
    </w:p>
    <w:p w:rsidR="00000000" w:rsidRDefault="006629D3">
      <w:pPr>
        <w:divId w:val="308755388"/>
        <w:rPr>
          <w:rFonts w:eastAsia="Times New Roman"/>
        </w:rPr>
      </w:pPr>
    </w:p>
    <w:p w:rsidR="00000000" w:rsidRDefault="006629D3">
      <w:pPr>
        <w:jc w:val="both"/>
        <w:rPr>
          <w:rFonts w:eastAsia="Times New Roman"/>
        </w:rPr>
      </w:pPr>
      <w:r>
        <w:rPr>
          <w:rFonts w:eastAsia="Times New Roman"/>
          <w:color w:val="000000"/>
          <w:sz w:val="20"/>
          <w:szCs w:val="20"/>
        </w:rPr>
        <w:t>other proceeding that are reasonably likely to have a material adverse</w:t>
      </w:r>
      <w:r>
        <w:rPr>
          <w:rFonts w:eastAsia="Times New Roman"/>
          <w:color w:val="000000"/>
          <w:sz w:val="20"/>
          <w:szCs w:val="20"/>
        </w:rPr>
        <w:t xml:space="preserve"> effect on the Company’s unaudited condensed consolidated financial position, results of operations, cash flows or liquidity.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Litigation Related to Noctiva </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00000"/>
          <w:sz w:val="20"/>
          <w:szCs w:val="20"/>
        </w:rPr>
        <w:t>Note 3: Subsidiary Bankruptcy and Deconsolidation</w:t>
      </w:r>
      <w:r>
        <w:rPr>
          <w:rFonts w:eastAsia="Times New Roman"/>
          <w:color w:val="000000"/>
          <w:sz w:val="20"/>
          <w:szCs w:val="20"/>
        </w:rPr>
        <w:t> </w:t>
      </w:r>
      <w:r>
        <w:rPr>
          <w:rFonts w:eastAsia="Times New Roman"/>
          <w:color w:val="000000"/>
          <w:sz w:val="20"/>
          <w:szCs w:val="20"/>
        </w:rPr>
        <w:t>briefly describes the Chapter 11 bankruptcy case which our subsidiary Specialty Pharma commenced on February 6, 2019, and which on April 26, 2019 resulted in the bankruptcy court-approved sale of all of Specialty Pharma’s intangible assets and inventory to</w:t>
      </w:r>
      <w:r>
        <w:rPr>
          <w:rFonts w:eastAsia="Times New Roman"/>
          <w:color w:val="000000"/>
          <w:sz w:val="20"/>
          <w:szCs w:val="20"/>
        </w:rPr>
        <w:t xml:space="preserve"> an unaffiliated third party. As a result of such sale, Specialty Pharma has completed its divestment of the assets of the Noctiva business. During the pendency of the bankruptcy case, all pending litigation against Specialty Pharma is automatically stayed</w:t>
      </w:r>
      <w:r>
        <w:rPr>
          <w:rFonts w:eastAsia="Times New Roman"/>
          <w:color w:val="000000"/>
          <w:sz w:val="20"/>
          <w:szCs w:val="20"/>
        </w:rPr>
        <w:t xml:space="preserve"> and any new litigation against Specialty Pharma is precluded unless the bankruptcy court orders otherwise. There is currently no pending or threatened litigation or disputes to which Specialty Pharma is or would be a party. All prior litigation and disput</w:t>
      </w:r>
      <w:r>
        <w:rPr>
          <w:rFonts w:eastAsia="Times New Roman"/>
          <w:color w:val="000000"/>
          <w:sz w:val="20"/>
          <w:szCs w:val="20"/>
        </w:rPr>
        <w:t xml:space="preserve">es involving Specialty Pharma have been dismissed or resolved. </w:t>
      </w:r>
    </w:p>
    <w:p w:rsidR="00000000" w:rsidRDefault="006629D3">
      <w:pPr>
        <w:jc w:val="both"/>
        <w:rPr>
          <w:rFonts w:eastAsia="Times New Roman"/>
        </w:rPr>
      </w:pPr>
    </w:p>
    <w:p w:rsidR="00000000" w:rsidRDefault="006629D3">
      <w:pPr>
        <w:jc w:val="both"/>
        <w:rPr>
          <w:rFonts w:eastAsia="Times New Roman"/>
        </w:rPr>
      </w:pPr>
      <w:r>
        <w:rPr>
          <w:rFonts w:eastAsia="Times New Roman"/>
          <w:b/>
          <w:bCs/>
          <w:i/>
          <w:iCs/>
          <w:color w:val="000000"/>
          <w:sz w:val="20"/>
          <w:szCs w:val="20"/>
        </w:rPr>
        <w:t xml:space="preserve">Material Commitments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We have been relieved of all purchase commitments disclosed in </w:t>
      </w:r>
      <w:r>
        <w:rPr>
          <w:rFonts w:eastAsia="Times New Roman"/>
          <w:i/>
          <w:iCs/>
          <w:color w:val="000000"/>
          <w:sz w:val="20"/>
          <w:szCs w:val="20"/>
        </w:rPr>
        <w:t>Note 16: Contingent Liabilities and Commitments</w:t>
      </w:r>
      <w:r>
        <w:rPr>
          <w:rFonts w:eastAsia="Times New Roman"/>
          <w:color w:val="000000"/>
          <w:sz w:val="20"/>
          <w:szCs w:val="20"/>
        </w:rPr>
        <w:t xml:space="preserve"> to the Company’</w:t>
      </w:r>
      <w:r>
        <w:rPr>
          <w:rFonts w:eastAsia="Times New Roman"/>
          <w:color w:val="000000"/>
          <w:sz w:val="20"/>
          <w:szCs w:val="20"/>
        </w:rPr>
        <w:t xml:space="preserve">s audited consolidated financial statements included in Part II, Item 8 of the Company’s 2019 Annual Report on Form 10-K due to the sale of the Hospital Products described in </w:t>
      </w:r>
      <w:r>
        <w:rPr>
          <w:rFonts w:eastAsia="Times New Roman"/>
          <w:i/>
          <w:iCs/>
          <w:color w:val="000000"/>
          <w:sz w:val="20"/>
          <w:szCs w:val="20"/>
        </w:rPr>
        <w:t>Note 4: Disposition of the Hospital Products</w:t>
      </w:r>
      <w:r>
        <w:rPr>
          <w:rFonts w:eastAsia="Times New Roman"/>
          <w:color w:val="000000"/>
          <w:sz w:val="20"/>
          <w:szCs w:val="20"/>
        </w:rPr>
        <w:t xml:space="preserve">.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During the three months ended Se</w:t>
      </w:r>
      <w:r>
        <w:rPr>
          <w:rFonts w:eastAsia="Times New Roman"/>
          <w:color w:val="000000"/>
          <w:sz w:val="20"/>
          <w:szCs w:val="20"/>
        </w:rPr>
        <w:t>ptember 30, 2020, we entered into a commitment with a contract manufacturer related to the purchase and validation of equipment to be used in the manufacture of FT218. The total cost of this commitment is estimated to be approximately $3,800 and is expecte</w:t>
      </w:r>
      <w:r>
        <w:rPr>
          <w:rFonts w:eastAsia="Times New Roman"/>
          <w:color w:val="000000"/>
          <w:sz w:val="20"/>
          <w:szCs w:val="20"/>
        </w:rPr>
        <w:t>d to be completed by the end of 2021.</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Material commitments in the normal course of business include long-term debt obligations which are disclosed in </w:t>
      </w:r>
      <w:r>
        <w:rPr>
          <w:rFonts w:eastAsia="Times New Roman"/>
          <w:i/>
          <w:iCs/>
          <w:color w:val="000000"/>
          <w:sz w:val="20"/>
          <w:szCs w:val="20"/>
        </w:rPr>
        <w:t>Note 11: Long-Term Debt</w:t>
      </w:r>
      <w:r>
        <w:rPr>
          <w:rFonts w:eastAsia="Times New Roman"/>
          <w:color w:val="000000"/>
          <w:sz w:val="20"/>
          <w:szCs w:val="20"/>
        </w:rPr>
        <w:t xml:space="preserve"> to the Company’s unaudited condensed consolidated financial statements. Our long</w:t>
      </w:r>
      <w:r>
        <w:rPr>
          <w:rFonts w:eastAsia="Times New Roman"/>
          <w:color w:val="000000"/>
          <w:sz w:val="20"/>
          <w:szCs w:val="20"/>
        </w:rPr>
        <w:t xml:space="preserve">-term contingent consideration payable as disclosed in </w:t>
      </w:r>
      <w:r>
        <w:rPr>
          <w:rFonts w:eastAsia="Times New Roman"/>
          <w:i/>
          <w:iCs/>
          <w:color w:val="000000"/>
          <w:sz w:val="20"/>
          <w:szCs w:val="20"/>
        </w:rPr>
        <w:t xml:space="preserve">Note 10: Contingent Consideration Payable </w:t>
      </w:r>
      <w:r>
        <w:rPr>
          <w:rFonts w:eastAsia="Times New Roman"/>
          <w:color w:val="000000"/>
          <w:sz w:val="20"/>
          <w:szCs w:val="20"/>
        </w:rPr>
        <w:t xml:space="preserve">has also been relieved due to the sale of the Hospital Products. </w:t>
      </w:r>
    </w:p>
    <w:p w:rsidR="00000000" w:rsidRDefault="006629D3">
      <w:pPr>
        <w:jc w:val="both"/>
        <w:rPr>
          <w:rFonts w:eastAsia="Times New Roman"/>
        </w:rPr>
      </w:pPr>
      <w:r>
        <w:rPr>
          <w:rFonts w:eastAsia="Times New Roman"/>
          <w:b/>
          <w:bCs/>
          <w:i/>
          <w:iCs/>
          <w:color w:val="000000"/>
          <w:sz w:val="20"/>
          <w:szCs w:val="20"/>
        </w:rPr>
        <w:t>Guarantees</w:t>
      </w:r>
    </w:p>
    <w:p w:rsidR="00000000" w:rsidRDefault="006629D3">
      <w:pPr>
        <w:jc w:val="both"/>
        <w:rPr>
          <w:rFonts w:eastAsia="Times New Roman"/>
        </w:rPr>
      </w:pPr>
    </w:p>
    <w:p w:rsidR="00000000" w:rsidRDefault="006629D3">
      <w:pPr>
        <w:divId w:val="1742174402"/>
        <w:rPr>
          <w:rFonts w:eastAsia="Times New Roman"/>
        </w:rPr>
      </w:pPr>
      <w:r>
        <w:rPr>
          <w:rFonts w:eastAsia="Times New Roman"/>
          <w:i/>
          <w:iCs/>
          <w:color w:val="000000"/>
          <w:sz w:val="20"/>
          <w:szCs w:val="20"/>
        </w:rPr>
        <w:t>Deerfield Guarantee</w:t>
      </w:r>
    </w:p>
    <w:p w:rsidR="00000000" w:rsidRDefault="006629D3">
      <w:pPr>
        <w:divId w:val="1764376616"/>
        <w:rPr>
          <w:rFonts w:eastAsia="Times New Roman"/>
        </w:rPr>
      </w:pPr>
    </w:p>
    <w:p w:rsidR="00000000" w:rsidRDefault="006629D3">
      <w:pPr>
        <w:jc w:val="both"/>
        <w:rPr>
          <w:rFonts w:eastAsia="Times New Roman"/>
        </w:rPr>
      </w:pPr>
      <w:r>
        <w:rPr>
          <w:rFonts w:eastAsia="Times New Roman"/>
          <w:color w:val="000000"/>
          <w:sz w:val="20"/>
          <w:szCs w:val="20"/>
        </w:rPr>
        <w:t>The fair values of our guarantee to Deerfield and the guar</w:t>
      </w:r>
      <w:r>
        <w:rPr>
          <w:rFonts w:eastAsia="Times New Roman"/>
          <w:color w:val="000000"/>
          <w:sz w:val="20"/>
          <w:szCs w:val="20"/>
        </w:rPr>
        <w:t>antee received by us from Armistice largely offset and when combined are not material.</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connection with our February 2018 divestiture of our pediatric assets, we guaranteed to Deerfield the quarterly royalty payment of 15% on net sales of the FSC produ</w:t>
      </w:r>
      <w:r>
        <w:rPr>
          <w:rFonts w:eastAsia="Times New Roman"/>
          <w:color w:val="000000"/>
          <w:sz w:val="20"/>
          <w:szCs w:val="20"/>
        </w:rPr>
        <w:t>cts through February 6, 2026 (“FSC Product Royalties”), in an aggregate amount of up to approximately $10,300. Given our explicit guarantee to Deerfield, the Company recorded the guarantee in accordance with ASC 460. The balance of this guarantee liability</w:t>
      </w:r>
      <w:r>
        <w:rPr>
          <w:rFonts w:eastAsia="Times New Roman"/>
          <w:color w:val="000000"/>
          <w:sz w:val="20"/>
          <w:szCs w:val="20"/>
        </w:rPr>
        <w:t xml:space="preserve"> was $1,486 at September 30, 2020. This liability is being amortized proportionately based on undiscounted cash outflows through the remainder of the contract with Deerfield.</w:t>
      </w:r>
    </w:p>
    <w:p w:rsidR="00000000" w:rsidRDefault="006629D3">
      <w:pPr>
        <w:divId w:val="1731270597"/>
        <w:rPr>
          <w:rFonts w:eastAsia="Times New Roman"/>
        </w:rPr>
      </w:pPr>
    </w:p>
    <w:p w:rsidR="00000000" w:rsidRDefault="006629D3">
      <w:pPr>
        <w:jc w:val="both"/>
        <w:rPr>
          <w:rFonts w:eastAsia="Times New Roman"/>
        </w:rPr>
      </w:pPr>
      <w:r>
        <w:rPr>
          <w:rFonts w:eastAsia="Times New Roman"/>
          <w:i/>
          <w:iCs/>
          <w:color w:val="000000"/>
          <w:sz w:val="20"/>
          <w:szCs w:val="20"/>
        </w:rPr>
        <w:t>Armistice Guarantee</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connection with our February 2018 divestiture of the p</w:t>
      </w:r>
      <w:r>
        <w:rPr>
          <w:rFonts w:eastAsia="Times New Roman"/>
          <w:color w:val="000000"/>
          <w:sz w:val="20"/>
          <w:szCs w:val="20"/>
        </w:rPr>
        <w:t>ediatric assets, Armistice Capital Master Fund, Ltd., the majority shareholder of Cerecor, guaranteed to us the FSC Product Royalties. The Company recorded the guarantee in accordance with ASC 460. The balance of this guarantee asset was $1,481 at Septembe</w:t>
      </w:r>
      <w:r>
        <w:rPr>
          <w:rFonts w:eastAsia="Times New Roman"/>
          <w:color w:val="000000"/>
          <w:sz w:val="20"/>
          <w:szCs w:val="20"/>
        </w:rPr>
        <w:t>r 30, 2020. This asset is being amortized proportionately based on undiscounted cash outflows through the remainder of the contract with Deerfield.</w:t>
      </w:r>
    </w:p>
    <w:p w:rsidR="00000000" w:rsidRDefault="006629D3">
      <w:pPr>
        <w:jc w:val="both"/>
        <w:rPr>
          <w:rFonts w:eastAsia="Times New Roman"/>
        </w:rPr>
      </w:pPr>
    </w:p>
    <w:p w:rsidR="00000000" w:rsidRDefault="006629D3">
      <w:pPr>
        <w:divId w:val="1922324162"/>
        <w:rPr>
          <w:rFonts w:eastAsia="Times New Roman"/>
        </w:rPr>
      </w:pPr>
      <w:r>
        <w:rPr>
          <w:rFonts w:eastAsia="Times New Roman"/>
          <w:b/>
          <w:bCs/>
          <w:i/>
          <w:iCs/>
          <w:color w:val="000000"/>
          <w:sz w:val="20"/>
          <w:szCs w:val="20"/>
        </w:rPr>
        <w:t>Off-Balance Sheet Arrangements</w:t>
      </w:r>
    </w:p>
    <w:p w:rsidR="00000000" w:rsidRDefault="006629D3">
      <w:pPr>
        <w:divId w:val="1690714790"/>
        <w:rPr>
          <w:rFonts w:eastAsia="Times New Roman"/>
        </w:rPr>
      </w:pPr>
    </w:p>
    <w:p w:rsidR="00000000" w:rsidRDefault="006629D3">
      <w:pPr>
        <w:divId w:val="1694763904"/>
        <w:rPr>
          <w:rFonts w:eastAsia="Times New Roman"/>
        </w:rPr>
      </w:pPr>
      <w:r>
        <w:rPr>
          <w:rFonts w:eastAsia="Times New Roman"/>
          <w:color w:val="000000"/>
          <w:sz w:val="20"/>
          <w:szCs w:val="20"/>
        </w:rPr>
        <w:t>As of September 30, 2020, we did not have any off-balance sheet arrangeme</w:t>
      </w:r>
      <w:r>
        <w:rPr>
          <w:rFonts w:eastAsia="Times New Roman"/>
          <w:color w:val="000000"/>
          <w:sz w:val="20"/>
          <w:szCs w:val="20"/>
        </w:rPr>
        <w:t>nts, as defined in Item 303(a)(4)(ii) of Regulation S-K.</w:t>
      </w:r>
    </w:p>
    <w:p w:rsidR="00000000" w:rsidRDefault="006629D3">
      <w:pPr>
        <w:jc w:val="both"/>
        <w:rPr>
          <w:rFonts w:eastAsia="Times New Roman"/>
        </w:rPr>
      </w:pPr>
    </w:p>
    <w:p w:rsidR="00000000" w:rsidRDefault="006629D3">
      <w:pPr>
        <w:jc w:val="center"/>
        <w:divId w:val="1211915635"/>
        <w:rPr>
          <w:rFonts w:eastAsia="Times New Roman"/>
        </w:rPr>
      </w:pPr>
      <w:r>
        <w:rPr>
          <w:rFonts w:eastAsia="Times New Roman"/>
          <w:color w:val="000000"/>
          <w:sz w:val="20"/>
          <w:szCs w:val="20"/>
        </w:rPr>
        <w:t>- 29 -</w:t>
      </w:r>
    </w:p>
    <w:p w:rsidR="00000000" w:rsidRDefault="006629D3">
      <w:pPr>
        <w:rPr>
          <w:rFonts w:eastAsia="Times New Roman"/>
        </w:rPr>
      </w:pPr>
      <w:r>
        <w:rPr>
          <w:rFonts w:eastAsia="Times New Roman"/>
        </w:rPr>
        <w:pict>
          <v:rect id="_x0000_i1054" style="width:0;height:1.5pt" o:hralign="center" o:hrstd="t" o:hr="t" fillcolor="#a0a0a0" stroked="f"/>
        </w:pict>
      </w:r>
    </w:p>
    <w:p w:rsidR="00000000" w:rsidRDefault="006629D3">
      <w:pPr>
        <w:divId w:val="317542372"/>
        <w:rPr>
          <w:rFonts w:eastAsia="Times New Roman"/>
        </w:rPr>
      </w:pPr>
    </w:p>
    <w:p w:rsidR="00000000" w:rsidRDefault="006629D3">
      <w:pPr>
        <w:divId w:val="2049715687"/>
        <w:rPr>
          <w:rFonts w:eastAsia="Times New Roman"/>
        </w:rPr>
      </w:pPr>
      <w:r>
        <w:rPr>
          <w:rFonts w:eastAsia="Times New Roman"/>
          <w:b/>
          <w:bCs/>
          <w:color w:val="000000"/>
          <w:sz w:val="20"/>
          <w:szCs w:val="20"/>
        </w:rPr>
        <w:t>ITEM 2.    MANAGEMENT’S DISCUSSION AND ANALYSIS OF FINANCIAL CONDITION AND RESULTS OF OPERATIONS </w:t>
      </w:r>
    </w:p>
    <w:p w:rsidR="00000000" w:rsidRDefault="006629D3">
      <w:pPr>
        <w:jc w:val="center"/>
        <w:rPr>
          <w:rFonts w:eastAsia="Times New Roman"/>
        </w:rPr>
      </w:pPr>
      <w:r>
        <w:rPr>
          <w:rFonts w:eastAsia="Times New Roman"/>
          <w:b/>
          <w:bCs/>
          <w:color w:val="000000"/>
          <w:sz w:val="20"/>
          <w:szCs w:val="20"/>
        </w:rPr>
        <w:t>Management’s Discussion and Analysis</w:t>
      </w:r>
      <w:r>
        <w:rPr>
          <w:rFonts w:eastAsia="Times New Roman"/>
          <w:i/>
          <w:iCs/>
          <w:color w:val="000000"/>
          <w:sz w:val="20"/>
          <w:szCs w:val="20"/>
        </w:rPr>
        <w:t> </w:t>
      </w:r>
    </w:p>
    <w:p w:rsidR="00000000" w:rsidRDefault="006629D3">
      <w:pPr>
        <w:jc w:val="center"/>
        <w:rPr>
          <w:rFonts w:eastAsia="Times New Roman"/>
        </w:rPr>
      </w:pPr>
      <w:r>
        <w:rPr>
          <w:rFonts w:eastAsia="Times New Roman"/>
          <w:i/>
          <w:iCs/>
          <w:color w:val="000000"/>
          <w:sz w:val="20"/>
          <w:szCs w:val="20"/>
        </w:rPr>
        <w:t>(In thousands, e</w:t>
      </w:r>
      <w:r>
        <w:rPr>
          <w:rFonts w:eastAsia="Times New Roman"/>
          <w:i/>
          <w:iCs/>
          <w:color w:val="000000"/>
          <w:sz w:val="20"/>
          <w:szCs w:val="20"/>
        </w:rPr>
        <w:t>xcept per share data)</w:t>
      </w:r>
    </w:p>
    <w:p w:rsidR="00000000" w:rsidRDefault="006629D3">
      <w:pPr>
        <w:jc w:val="center"/>
        <w:rPr>
          <w:rFonts w:eastAsia="Times New Roman"/>
        </w:rPr>
      </w:pPr>
      <w:r>
        <w:rPr>
          <w:rFonts w:eastAsia="Times New Roman"/>
          <w:i/>
          <w:iCs/>
          <w:color w:val="000000"/>
          <w:sz w:val="20"/>
          <w:szCs w:val="20"/>
        </w:rPr>
        <w:t>(Unaudited)</w:t>
      </w:r>
    </w:p>
    <w:p w:rsidR="00000000" w:rsidRDefault="006629D3">
      <w:pPr>
        <w:ind w:firstLine="720"/>
        <w:jc w:val="center"/>
        <w:rPr>
          <w:rFonts w:eastAsia="Times New Roman"/>
        </w:rPr>
      </w:pPr>
      <w:r>
        <w:rPr>
          <w:rFonts w:eastAsia="Times New Roman"/>
          <w:color w:val="000000"/>
          <w:sz w:val="20"/>
          <w:szCs w:val="20"/>
        </w:rPr>
        <w:t> </w:t>
      </w:r>
    </w:p>
    <w:p w:rsidR="00000000" w:rsidRDefault="006629D3">
      <w:pPr>
        <w:jc w:val="both"/>
        <w:divId w:val="238293208"/>
        <w:rPr>
          <w:rFonts w:eastAsia="Times New Roman"/>
        </w:rPr>
      </w:pPr>
      <w:r>
        <w:rPr>
          <w:rFonts w:eastAsia="Times New Roman"/>
          <w:b/>
          <w:bCs/>
          <w:i/>
          <w:iCs/>
          <w:color w:val="000000"/>
          <w:sz w:val="20"/>
          <w:szCs w:val="20"/>
        </w:rPr>
        <w:t>You should read the discussion and analysis of our financial condition and results of operations set forth in this Item 2 together with our unaudited condensed consolidated financial statements and the related notes appearing elsewhere in this quarterly re</w:t>
      </w:r>
      <w:r>
        <w:rPr>
          <w:rFonts w:eastAsia="Times New Roman"/>
          <w:b/>
          <w:bCs/>
          <w:i/>
          <w:iCs/>
          <w:color w:val="000000"/>
          <w:sz w:val="20"/>
          <w:szCs w:val="20"/>
        </w:rPr>
        <w:t>port on Form 10-Q. Some of the information contained in this discussion and analysis or set forth elsewhere in this quarterly report on Form 10-Q, including information with respect to our plans and strategy for our business and related financing, includes</w:t>
      </w:r>
      <w:r>
        <w:rPr>
          <w:rFonts w:eastAsia="Times New Roman"/>
          <w:b/>
          <w:bCs/>
          <w:i/>
          <w:iCs/>
          <w:color w:val="000000"/>
          <w:sz w:val="20"/>
          <w:szCs w:val="20"/>
        </w:rPr>
        <w:t xml:space="preserve"> forward-looking statements that involve risks and uncertainties, and reference is made to the “Cautionary Note Regarding Forward-Looking Statements” set forth immediately following the Table of Contents of this Quarterly Report on Form 10-Q for further in</w:t>
      </w:r>
      <w:r>
        <w:rPr>
          <w:rFonts w:eastAsia="Times New Roman"/>
          <w:b/>
          <w:bCs/>
          <w:i/>
          <w:iCs/>
          <w:color w:val="000000"/>
          <w:sz w:val="20"/>
          <w:szCs w:val="20"/>
        </w:rPr>
        <w:t>formation on the forward looking statements herein. In addition, you should read the “Risk Factors” section in Part I, Item 1A of our Annual Report on Form 10-K filed with the U.S. Securities and Exchange Commission (“SEC”) on March 16, 2020 and Part II, I</w:t>
      </w:r>
      <w:r>
        <w:rPr>
          <w:rFonts w:eastAsia="Times New Roman"/>
          <w:b/>
          <w:bCs/>
          <w:i/>
          <w:iCs/>
          <w:color w:val="000000"/>
          <w:sz w:val="20"/>
          <w:szCs w:val="20"/>
        </w:rPr>
        <w:t>tem 1A in this quarterly report on Form 10-Q for a discussion of additional important factors that could cause actual results to differ materially from the results described in or implied by the forward-looking statements contained in the following discuss</w:t>
      </w:r>
      <w:r>
        <w:rPr>
          <w:rFonts w:eastAsia="Times New Roman"/>
          <w:b/>
          <w:bCs/>
          <w:i/>
          <w:iCs/>
          <w:color w:val="000000"/>
          <w:sz w:val="20"/>
          <w:szCs w:val="20"/>
        </w:rPr>
        <w:t>ion and analysis and elsewhere in this quarterly report.</w:t>
      </w:r>
    </w:p>
    <w:p w:rsidR="00000000" w:rsidRDefault="006629D3">
      <w:pPr>
        <w:jc w:val="both"/>
        <w:divId w:val="932207132"/>
        <w:rPr>
          <w:rFonts w:eastAsia="Times New Roman"/>
        </w:rPr>
      </w:pPr>
      <w:r>
        <w:rPr>
          <w:rFonts w:eastAsia="Times New Roman"/>
          <w:b/>
          <w:bCs/>
          <w:color w:val="000000"/>
          <w:sz w:val="20"/>
          <w:szCs w:val="20"/>
          <w:u w:val="single"/>
        </w:rPr>
        <w:t>Overview</w:t>
      </w:r>
      <w:r>
        <w:rPr>
          <w:rFonts w:eastAsia="Times New Roman"/>
          <w:color w:val="000000"/>
          <w:sz w:val="20"/>
          <w:szCs w:val="20"/>
        </w:rPr>
        <w:t> </w:t>
      </w:r>
    </w:p>
    <w:p w:rsidR="00000000" w:rsidRDefault="006629D3">
      <w:pPr>
        <w:jc w:val="both"/>
        <w:divId w:val="382801055"/>
        <w:rPr>
          <w:rFonts w:eastAsia="Times New Roman"/>
        </w:rPr>
      </w:pPr>
      <w:r>
        <w:rPr>
          <w:rFonts w:eastAsia="Times New Roman"/>
          <w:b/>
          <w:bCs/>
          <w:i/>
          <w:iCs/>
          <w:color w:val="000000"/>
          <w:sz w:val="20"/>
          <w:szCs w:val="20"/>
        </w:rPr>
        <w:t>General Overview</w:t>
      </w:r>
      <w:r>
        <w:rPr>
          <w:rFonts w:eastAsia="Times New Roman"/>
          <w:color w:val="000000"/>
          <w:sz w:val="20"/>
          <w:szCs w:val="20"/>
        </w:rPr>
        <w:t xml:space="preserve"> </w:t>
      </w:r>
    </w:p>
    <w:p w:rsidR="00000000" w:rsidRDefault="006629D3">
      <w:pPr>
        <w:jc w:val="both"/>
        <w:rPr>
          <w:rFonts w:eastAsia="Times New Roman"/>
        </w:rPr>
      </w:pPr>
      <w:r>
        <w:rPr>
          <w:rFonts w:eastAsia="Times New Roman"/>
          <w:color w:val="000000"/>
          <w:sz w:val="20"/>
          <w:szCs w:val="20"/>
        </w:rPr>
        <w:t>Avadel Pharmaceuticals plc (Nasdaq: AVDL) (“Avadel,” the “Company,” “we,” “our,” or “us”) is an emerging biopharmaceutical company. Our lead product candidate, FT218, is a</w:t>
      </w:r>
      <w:r>
        <w:rPr>
          <w:rFonts w:eastAsia="Times New Roman"/>
          <w:color w:val="000000"/>
          <w:sz w:val="20"/>
          <w:szCs w:val="20"/>
        </w:rPr>
        <w:t xml:space="preserve">n investigational once-nightly formulation of sodium oxybate for the treatment of excessive daytime sleepiness (“EDS”) and cataplexy in narcolepsy patients. FT218 uses our Micropump controlled release drug-delivery technology. </w:t>
      </w:r>
    </w:p>
    <w:p w:rsidR="00000000" w:rsidRDefault="006629D3">
      <w:pPr>
        <w:divId w:val="355422242"/>
        <w:rPr>
          <w:rFonts w:eastAsia="Times New Roman"/>
        </w:rPr>
      </w:pPr>
    </w:p>
    <w:p w:rsidR="00000000" w:rsidRDefault="006629D3">
      <w:pPr>
        <w:jc w:val="both"/>
        <w:rPr>
          <w:rFonts w:eastAsia="Times New Roman"/>
        </w:rPr>
      </w:pPr>
      <w:r>
        <w:rPr>
          <w:rFonts w:eastAsia="Times New Roman"/>
          <w:color w:val="000000"/>
          <w:sz w:val="20"/>
          <w:szCs w:val="20"/>
        </w:rPr>
        <w:t>We are primarily focused o</w:t>
      </w:r>
      <w:r>
        <w:rPr>
          <w:rFonts w:eastAsia="Times New Roman"/>
          <w:color w:val="000000"/>
          <w:sz w:val="20"/>
          <w:szCs w:val="20"/>
        </w:rPr>
        <w:t>n the development and potential United States (“U.S.”) Food and Drug Administration (“FDA”) approval of FT218. Outside of our lead product candidate, we continue to evaluate opportunities to expand our product portfolio.</w:t>
      </w:r>
    </w:p>
    <w:p w:rsidR="00000000" w:rsidRDefault="006629D3">
      <w:pPr>
        <w:divId w:val="1215775500"/>
        <w:rPr>
          <w:rFonts w:eastAsia="Times New Roman"/>
        </w:rPr>
      </w:pPr>
    </w:p>
    <w:p w:rsidR="00000000" w:rsidRDefault="006629D3">
      <w:pPr>
        <w:divId w:val="917599387"/>
        <w:rPr>
          <w:rFonts w:eastAsia="Times New Roman"/>
        </w:rPr>
      </w:pPr>
      <w:r>
        <w:rPr>
          <w:rFonts w:eastAsia="Times New Roman"/>
          <w:b/>
          <w:bCs/>
          <w:i/>
          <w:iCs/>
          <w:color w:val="000000"/>
          <w:sz w:val="20"/>
          <w:szCs w:val="20"/>
        </w:rPr>
        <w:t xml:space="preserve">Recent Developments </w:t>
      </w:r>
    </w:p>
    <w:p w:rsidR="00000000" w:rsidRDefault="006629D3">
      <w:pPr>
        <w:divId w:val="232009482"/>
        <w:rPr>
          <w:rFonts w:eastAsia="Times New Roman"/>
        </w:rPr>
      </w:pPr>
    </w:p>
    <w:p w:rsidR="00000000" w:rsidRDefault="006629D3">
      <w:pPr>
        <w:jc w:val="both"/>
        <w:rPr>
          <w:rFonts w:eastAsia="Times New Roman"/>
        </w:rPr>
      </w:pPr>
      <w:r>
        <w:rPr>
          <w:rFonts w:eastAsia="Times New Roman"/>
          <w:i/>
          <w:iCs/>
          <w:color w:val="000000"/>
          <w:sz w:val="20"/>
          <w:szCs w:val="20"/>
        </w:rPr>
        <w:t>Dispositio</w:t>
      </w:r>
      <w:r>
        <w:rPr>
          <w:rFonts w:eastAsia="Times New Roman"/>
          <w:i/>
          <w:iCs/>
          <w:color w:val="000000"/>
          <w:sz w:val="20"/>
          <w:szCs w:val="20"/>
        </w:rPr>
        <w:t>n of the Hospital Products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On June 30, 2020 (“Closing Date”), we announced the sale of our portfolio of sterile injectable drugs used in the hospital setting (the “Hospital Products”), including our three commercial products, Akovaz, Bloxiverz and Vazcul</w:t>
      </w:r>
      <w:r>
        <w:rPr>
          <w:rFonts w:eastAsia="Times New Roman"/>
          <w:color w:val="000000"/>
          <w:sz w:val="20"/>
          <w:szCs w:val="20"/>
        </w:rPr>
        <w:t xml:space="preserve">ep, as well as Nouress, which is approved by the FDA to Exela Sterile Medicines LLC (“Exela Buyer”) (the “Transaction”) pursuant to an asset purchase agreement between Avadel U.S. Holdings Inc., Avadel Legacy Pharmaceuticals, LLC, Exela Holdings, Inc. and </w:t>
      </w:r>
      <w:r>
        <w:rPr>
          <w:rFonts w:eastAsia="Times New Roman"/>
          <w:color w:val="000000"/>
          <w:sz w:val="20"/>
          <w:szCs w:val="20"/>
        </w:rPr>
        <w:t>the Exela Buyer (“Purchase Agreement”). Pursuant to the Purchase Agreement, Exela Buyer paid us $14,500 on the Closing Date and will pay an additional $27,500 in ten equal monthly installments which began in September 2020 for total aggregate consideration</w:t>
      </w:r>
      <w:r>
        <w:rPr>
          <w:rFonts w:eastAsia="Times New Roman"/>
          <w:color w:val="000000"/>
          <w:sz w:val="20"/>
          <w:szCs w:val="20"/>
        </w:rPr>
        <w:t xml:space="preserve"> of $42,000. During the three months ended September 30, 2020, we received the first installment payment of $2,750. For more information, see our Current Report on Form 8-K filed with the SEC on July 2, 2020. </w:t>
      </w:r>
    </w:p>
    <w:p w:rsidR="00000000" w:rsidRDefault="006629D3">
      <w:pPr>
        <w:jc w:val="both"/>
        <w:rPr>
          <w:rFonts w:eastAsia="Times New Roman"/>
        </w:rPr>
      </w:pPr>
    </w:p>
    <w:p w:rsidR="00000000" w:rsidRDefault="006629D3">
      <w:pPr>
        <w:jc w:val="both"/>
        <w:rPr>
          <w:rFonts w:eastAsia="Times New Roman"/>
        </w:rPr>
      </w:pPr>
      <w:r>
        <w:rPr>
          <w:rFonts w:eastAsia="Times New Roman"/>
          <w:i/>
          <w:iCs/>
          <w:color w:val="000000"/>
          <w:sz w:val="20"/>
          <w:szCs w:val="20"/>
        </w:rPr>
        <w:t>Subsidiary Bankruptcy</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At a hearing conducted on October 6, 2020, the Bankruptcy Court granted final approval of Specialty Pharma’s disclosure statement and confirmed its Chapter 11 plan of liquidation. Pursuant to the plan, the appointment of a Plan Administrator was also appro</w:t>
      </w:r>
      <w:r>
        <w:rPr>
          <w:rFonts w:eastAsia="Times New Roman"/>
          <w:color w:val="000000"/>
          <w:sz w:val="20"/>
          <w:szCs w:val="20"/>
        </w:rPr>
        <w:t>ved. The Plan Administrator will be responsible for making distributions to creditors, managing the final windup and dissolution of Specialty Pharma, and taking other steps in accordance with the plan of liquidation. The plan of liquidation became effectiv</w:t>
      </w:r>
      <w:r>
        <w:rPr>
          <w:rFonts w:eastAsia="Times New Roman"/>
          <w:color w:val="000000"/>
          <w:sz w:val="20"/>
          <w:szCs w:val="20"/>
        </w:rPr>
        <w:t>e on October 20, 2020.</w:t>
      </w:r>
    </w:p>
    <w:p w:rsidR="00000000" w:rsidRDefault="006629D3">
      <w:pPr>
        <w:divId w:val="707920728"/>
        <w:rPr>
          <w:rFonts w:eastAsia="Times New Roman"/>
        </w:rPr>
      </w:pPr>
    </w:p>
    <w:p w:rsidR="00000000" w:rsidRDefault="006629D3">
      <w:pPr>
        <w:divId w:val="1481120906"/>
        <w:rPr>
          <w:rFonts w:eastAsia="Times New Roman"/>
        </w:rPr>
      </w:pPr>
      <w:r>
        <w:rPr>
          <w:rFonts w:eastAsia="Times New Roman"/>
          <w:b/>
          <w:bCs/>
          <w:i/>
          <w:iCs/>
          <w:color w:val="000000"/>
          <w:sz w:val="20"/>
          <w:szCs w:val="20"/>
        </w:rPr>
        <w:t>FT218 (Micropump sodium oxybate)</w:t>
      </w:r>
    </w:p>
    <w:p w:rsidR="00000000" w:rsidRDefault="006629D3">
      <w:pPr>
        <w:divId w:val="1994795298"/>
        <w:rPr>
          <w:rFonts w:eastAsia="Times New Roman"/>
        </w:rPr>
      </w:pPr>
    </w:p>
    <w:p w:rsidR="00000000" w:rsidRDefault="006629D3">
      <w:pPr>
        <w:jc w:val="both"/>
        <w:rPr>
          <w:rFonts w:eastAsia="Times New Roman"/>
        </w:rPr>
      </w:pPr>
      <w:r>
        <w:rPr>
          <w:rFonts w:eastAsia="Times New Roman"/>
          <w:color w:val="000000"/>
          <w:sz w:val="20"/>
          <w:szCs w:val="20"/>
        </w:rPr>
        <w:t>FT218 is a once-nightly formulation of sodium oxybate that uses our Micropump controlled release drug-delivery technology for the treatment of EDS and cataplexy in patients suffering from narcolep</w:t>
      </w:r>
      <w:r>
        <w:rPr>
          <w:rFonts w:eastAsia="Times New Roman"/>
          <w:color w:val="000000"/>
          <w:sz w:val="20"/>
          <w:szCs w:val="20"/>
        </w:rPr>
        <w:t>sy. Sodium oxybate is the sodium salt of gamma hydroxybutyrate, an endogenous compound and metabolite of the neurotransmitter gamma-aminobutyric acid. Sodium oxybate is approved in Europe and the U.S. as a twice-nightly formulation indicated for the treatm</w:t>
      </w:r>
      <w:r>
        <w:rPr>
          <w:rFonts w:eastAsia="Times New Roman"/>
          <w:color w:val="000000"/>
          <w:sz w:val="20"/>
          <w:szCs w:val="20"/>
        </w:rPr>
        <w:t>ent of EDS and cataplexy in patients with narcolepsy.</w:t>
      </w:r>
    </w:p>
    <w:p w:rsidR="00000000" w:rsidRDefault="006629D3">
      <w:pPr>
        <w:jc w:val="center"/>
        <w:divId w:val="76488363"/>
        <w:rPr>
          <w:rFonts w:eastAsia="Times New Roman"/>
        </w:rPr>
      </w:pPr>
      <w:r>
        <w:rPr>
          <w:rFonts w:eastAsia="Times New Roman"/>
          <w:color w:val="000000"/>
          <w:sz w:val="20"/>
          <w:szCs w:val="20"/>
        </w:rPr>
        <w:t>- 30 -</w:t>
      </w:r>
    </w:p>
    <w:p w:rsidR="00000000" w:rsidRDefault="006629D3">
      <w:pPr>
        <w:rPr>
          <w:rFonts w:eastAsia="Times New Roman"/>
        </w:rPr>
      </w:pPr>
      <w:r>
        <w:rPr>
          <w:rFonts w:eastAsia="Times New Roman"/>
        </w:rPr>
        <w:pict>
          <v:rect id="_x0000_i1055" style="width:0;height:1.5pt" o:hralign="center" o:hrstd="t" o:hr="t" fillcolor="#a0a0a0" stroked="f"/>
        </w:pict>
      </w:r>
    </w:p>
    <w:p w:rsidR="00000000" w:rsidRDefault="006629D3">
      <w:pPr>
        <w:divId w:val="1820418298"/>
        <w:rPr>
          <w:rFonts w:eastAsia="Times New Roman"/>
        </w:rPr>
      </w:pP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REST-ON trial was a randomized, double-blind, placebo-controlled study that enrolled 212 patients and was conducted in clinical sites in the U.S., Can</w:t>
      </w:r>
      <w:r>
        <w:rPr>
          <w:rFonts w:eastAsia="Times New Roman"/>
          <w:color w:val="000000"/>
          <w:sz w:val="20"/>
          <w:szCs w:val="20"/>
        </w:rPr>
        <w:t>ada, Western Europe and Australia. The last patient, last visit was completed at the end of the first quarter of 2020 and positive top line data from the REST-ON trial was announced on April 27, 2020. Patients who received 9g of once-nightly FT218 demonstr</w:t>
      </w:r>
      <w:r>
        <w:rPr>
          <w:rFonts w:eastAsia="Times New Roman"/>
          <w:color w:val="000000"/>
          <w:sz w:val="20"/>
          <w:szCs w:val="20"/>
        </w:rPr>
        <w:t>ated a statistically significant and clinically meaningful improvement compared to placebo across the three co-primary endpoints of the trial: maintenance of wakefulness test, or MWT, clinical global impression-improvement, or CGI-I, and mean weekly catapl</w:t>
      </w:r>
      <w:r>
        <w:rPr>
          <w:rFonts w:eastAsia="Times New Roman"/>
          <w:color w:val="000000"/>
          <w:sz w:val="20"/>
          <w:szCs w:val="20"/>
        </w:rPr>
        <w:t>exy attacks. We observed the 9g dose of once-nightly FT218 to be generally well tolerated. Adverse reactions commonly associated with sodium oxybate were observed in a small number of patients (nausea 1.3%, vomiting 5.2%, decreased appetite 2.6%, dizziness</w:t>
      </w:r>
      <w:r>
        <w:rPr>
          <w:rFonts w:eastAsia="Times New Roman"/>
          <w:color w:val="000000"/>
          <w:sz w:val="20"/>
          <w:szCs w:val="20"/>
        </w:rPr>
        <w:t xml:space="preserve"> 5.2%, somnolence 3.9%, tremor 1.3%, enuresis 9%) and 3.9% of the patients who received 9g of FT218 discontinued the trial due to adverse reactions. We also assessed the three co-primary endpoints in patients who received 7.5g and 6g of once-nightly FT218.</w:t>
      </w:r>
      <w:r>
        <w:rPr>
          <w:rFonts w:eastAsia="Times New Roman"/>
          <w:color w:val="000000"/>
          <w:sz w:val="20"/>
          <w:szCs w:val="20"/>
        </w:rPr>
        <w:t xml:space="preserve"> Patients who received either 7.5g or 6g of once-nightly FT218 also demonstrated statistically significant, clinically meaningful improvements compared to placebo for each of the three co-primary endpoints.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January 2018, the FDA granted FT218 Orphan Drug Designation, which makes the drug eligible for certain development and commercial incentives, including a potential U.S. market exclusivity for up to seven years. Additionally, in April 2019, our first FT2</w:t>
      </w:r>
      <w:r>
        <w:rPr>
          <w:rFonts w:eastAsia="Times New Roman"/>
          <w:color w:val="000000"/>
          <w:sz w:val="20"/>
          <w:szCs w:val="20"/>
        </w:rPr>
        <w:t xml:space="preserve">18 patent was issued, providing intellectual property protection into mid-2037. One or more FT218-related U.S. patents have issued since, and there are additional patent applications currently in development and/or pending at the U.S. Patent and Trademark </w:t>
      </w:r>
      <w:r>
        <w:rPr>
          <w:rFonts w:eastAsia="Times New Roman"/>
          <w:color w:val="000000"/>
          <w:sz w:val="20"/>
          <w:szCs w:val="20"/>
        </w:rPr>
        <w:t>Office (“USPTO”), as well as foreign patent offices.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July 2020, we announced that the first patient was dosed initiating an open-label extension (“OLE”)/switch study of FT218 as a potential treatment for excessive daytime sleepiness and cataplexy in p</w:t>
      </w:r>
      <w:r>
        <w:rPr>
          <w:rFonts w:eastAsia="Times New Roman"/>
          <w:color w:val="000000"/>
          <w:sz w:val="20"/>
          <w:szCs w:val="20"/>
        </w:rPr>
        <w:t>atients with narcolepsy. The OLE/switch study will examine the long-term safety and maintenance of efficacy of FT218 in patients with narcolepsy who participated in the REST-ON study, as well as dosing and preference data for patients switching from twice-</w:t>
      </w:r>
      <w:r>
        <w:rPr>
          <w:rFonts w:eastAsia="Times New Roman"/>
          <w:color w:val="000000"/>
          <w:sz w:val="20"/>
          <w:szCs w:val="20"/>
        </w:rPr>
        <w:t>nightly sodium oxybate to once-nightly FT218 regardless if they participated in REST-ON or not. We anticipate that the study will enroll about 250 patients at most of the North American clinical trial sites that participated in the REST-ON study.</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We beli</w:t>
      </w:r>
      <w:r>
        <w:rPr>
          <w:rFonts w:eastAsia="Times New Roman"/>
          <w:color w:val="000000"/>
          <w:sz w:val="20"/>
          <w:szCs w:val="20"/>
        </w:rPr>
        <w:t>eve FT218 has the potential to demonstrate improved dosing compliance, safety and patient satisfaction over the current standard of care for EDS and cataplexy in patients with narcolepsy, which is a twice-nightly sodium oxybate formulation. If approved, we</w:t>
      </w:r>
      <w:r>
        <w:rPr>
          <w:rFonts w:eastAsia="Times New Roman"/>
          <w:color w:val="000000"/>
          <w:sz w:val="20"/>
          <w:szCs w:val="20"/>
        </w:rPr>
        <w:t xml:space="preserve"> believe FT218 has the potential to take a significant share of the sodium oxybate market. The current market size for the twice-nightly administration of sodium oxybate is estimated at an annualized revenue run rate of $1.6 billion.</w:t>
      </w:r>
    </w:p>
    <w:p w:rsidR="00000000" w:rsidRDefault="006629D3">
      <w:pPr>
        <w:divId w:val="2078094215"/>
        <w:rPr>
          <w:rFonts w:eastAsia="Times New Roman"/>
        </w:rPr>
      </w:pPr>
    </w:p>
    <w:p w:rsidR="00000000" w:rsidRDefault="006629D3">
      <w:pPr>
        <w:divId w:val="1584684154"/>
        <w:rPr>
          <w:rFonts w:eastAsia="Times New Roman"/>
        </w:rPr>
      </w:pPr>
      <w:r>
        <w:rPr>
          <w:rFonts w:eastAsia="Times New Roman"/>
          <w:b/>
          <w:bCs/>
          <w:i/>
          <w:iCs/>
          <w:color w:val="000000"/>
          <w:sz w:val="20"/>
          <w:szCs w:val="20"/>
        </w:rPr>
        <w:t>Micropump Drug-Deliv</w:t>
      </w:r>
      <w:r>
        <w:rPr>
          <w:rFonts w:eastAsia="Times New Roman"/>
          <w:b/>
          <w:bCs/>
          <w:i/>
          <w:iCs/>
          <w:color w:val="000000"/>
          <w:sz w:val="20"/>
          <w:szCs w:val="20"/>
        </w:rPr>
        <w:t>ery Technology</w:t>
      </w:r>
    </w:p>
    <w:p w:rsidR="00000000" w:rsidRDefault="006629D3">
      <w:pPr>
        <w:divId w:val="1260259145"/>
        <w:rPr>
          <w:rFonts w:eastAsia="Times New Roman"/>
        </w:rPr>
      </w:pPr>
    </w:p>
    <w:p w:rsidR="00000000" w:rsidRDefault="006629D3">
      <w:pPr>
        <w:jc w:val="both"/>
        <w:rPr>
          <w:rFonts w:eastAsia="Times New Roman"/>
        </w:rPr>
      </w:pPr>
      <w:r>
        <w:rPr>
          <w:rFonts w:eastAsia="Times New Roman"/>
          <w:color w:val="000000"/>
          <w:sz w:val="20"/>
          <w:szCs w:val="20"/>
        </w:rPr>
        <w:t>Our Micropump drug-delivery technology allows for the delayed delivery of small molecule drugs taken orally, which has the potential to improve dosing compliance, reduce toxicity and improve patient compliance. Beyond FT218, we believe the</w:t>
      </w:r>
      <w:r>
        <w:rPr>
          <w:rFonts w:eastAsia="Times New Roman"/>
          <w:color w:val="000000"/>
          <w:sz w:val="20"/>
          <w:szCs w:val="20"/>
        </w:rPr>
        <w:t>re could be other product development opportunities for our Micropump drug-delivery technology, representing either life cycle opportunities, whereby additional intellectual property can be added to a pharmaceutical product to extend the commercial viabili</w:t>
      </w:r>
      <w:r>
        <w:rPr>
          <w:rFonts w:eastAsia="Times New Roman"/>
          <w:color w:val="000000"/>
          <w:sz w:val="20"/>
          <w:szCs w:val="20"/>
        </w:rPr>
        <w:t>ty of a currently marketed product, or innovative formulation opportunities for new chemical entities.</w:t>
      </w:r>
    </w:p>
    <w:p w:rsidR="00000000" w:rsidRDefault="006629D3">
      <w:pPr>
        <w:jc w:val="both"/>
        <w:rPr>
          <w:rFonts w:eastAsia="Times New Roman"/>
        </w:rPr>
      </w:pPr>
    </w:p>
    <w:p w:rsidR="00000000" w:rsidRDefault="006629D3">
      <w:pPr>
        <w:divId w:val="2131631046"/>
        <w:rPr>
          <w:rFonts w:eastAsia="Times New Roman"/>
        </w:rPr>
      </w:pPr>
      <w:r>
        <w:rPr>
          <w:rFonts w:eastAsia="Times New Roman"/>
          <w:i/>
          <w:iCs/>
          <w:color w:val="000000"/>
          <w:sz w:val="20"/>
          <w:szCs w:val="20"/>
        </w:rPr>
        <w:t>Previously Approved FDA Products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On June 30, 2020, we announced the sale of our portfolio of sterile injectable drugs used in the hospital setting, i</w:t>
      </w:r>
      <w:r>
        <w:rPr>
          <w:rFonts w:eastAsia="Times New Roman"/>
          <w:color w:val="000000"/>
          <w:sz w:val="20"/>
          <w:szCs w:val="20"/>
        </w:rPr>
        <w:t>ncluding our three commercial products, Akovaz, Bloxiverz and Vazculep, as well as Nouress, which is approved by the U.S. FDA to Exela Sterile Medicines LLC. This sale included the following FDA approved products:</w:t>
      </w:r>
    </w:p>
    <w:p w:rsidR="00000000" w:rsidRDefault="006629D3">
      <w:pPr>
        <w:jc w:val="both"/>
        <w:rPr>
          <w:rFonts w:eastAsia="Times New Roman"/>
        </w:rPr>
      </w:pPr>
    </w:p>
    <w:p w:rsidR="00000000" w:rsidRDefault="006629D3">
      <w:pPr>
        <w:ind w:hanging="360"/>
        <w:jc w:val="both"/>
        <w:divId w:val="379478801"/>
        <w:rPr>
          <w:rFonts w:eastAsia="Times New Roman"/>
        </w:rPr>
      </w:pPr>
      <w:r>
        <w:rPr>
          <w:rFonts w:eastAsia="Times New Roman"/>
          <w:i/>
          <w:iCs/>
          <w:color w:val="000000"/>
          <w:sz w:val="20"/>
          <w:szCs w:val="20"/>
        </w:rPr>
        <w:t>•</w:t>
      </w:r>
      <w:r>
        <w:rPr>
          <w:rFonts w:eastAsia="Times New Roman"/>
          <w:b/>
          <w:bCs/>
          <w:color w:val="000000"/>
          <w:sz w:val="20"/>
          <w:szCs w:val="20"/>
        </w:rPr>
        <w:t>Bloxiverz (neostigmine methylsulfate in</w:t>
      </w:r>
      <w:r>
        <w:rPr>
          <w:rFonts w:eastAsia="Times New Roman"/>
          <w:b/>
          <w:bCs/>
          <w:color w:val="000000"/>
          <w:sz w:val="20"/>
          <w:szCs w:val="20"/>
        </w:rPr>
        <w:t>jection)</w:t>
      </w:r>
      <w:r>
        <w:rPr>
          <w:rFonts w:eastAsia="Times New Roman"/>
          <w:color w:val="000000"/>
          <w:sz w:val="20"/>
          <w:szCs w:val="20"/>
        </w:rPr>
        <w:t xml:space="preserve"> - Bloxiverz was approved by the FDA in May 2013 and was launched in July 2013. Bloxiverz is a drug used intravenously in the operating room to reverse the effects of non-depolarizing neuromuscular blocking agents after surgery. Bloxiverz was the f</w:t>
      </w:r>
      <w:r>
        <w:rPr>
          <w:rFonts w:eastAsia="Times New Roman"/>
          <w:color w:val="000000"/>
          <w:sz w:val="20"/>
          <w:szCs w:val="20"/>
        </w:rPr>
        <w:t>irst FDA-approved version of neostigmine methylsulfate. Today, neostigmine is one of the two most frequently used products for the reversal of the effects of other agents used for neuromuscular blocks. There are approximately 2,500 vials of neostigmine sol</w:t>
      </w:r>
      <w:r>
        <w:rPr>
          <w:rFonts w:eastAsia="Times New Roman"/>
          <w:color w:val="000000"/>
          <w:sz w:val="20"/>
          <w:szCs w:val="20"/>
        </w:rPr>
        <w:t>d annually in the U.S.</w:t>
      </w:r>
      <w:r>
        <w:rPr>
          <w:rFonts w:eastAsia="Times New Roman"/>
          <w:i/>
          <w:iCs/>
          <w:color w:val="000000"/>
          <w:sz w:val="20"/>
          <w:szCs w:val="20"/>
        </w:rPr>
        <w:t xml:space="preserve"> </w:t>
      </w:r>
    </w:p>
    <w:p w:rsidR="00000000" w:rsidRDefault="006629D3">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Vazculep (phenylephrine hydrochloride injection)</w:t>
      </w:r>
      <w:r>
        <w:rPr>
          <w:rFonts w:eastAsia="Times New Roman"/>
          <w:color w:val="000000"/>
          <w:sz w:val="20"/>
          <w:szCs w:val="20"/>
        </w:rPr>
        <w:t xml:space="preserve"> - Vazculep was approved by the FDA in June 2014 and was launched in October 2014. Vazculep is indicated for the treatment of clinically important hypotension occurring in the setting</w:t>
      </w:r>
      <w:r>
        <w:rPr>
          <w:rFonts w:eastAsia="Times New Roman"/>
          <w:color w:val="000000"/>
          <w:sz w:val="20"/>
          <w:szCs w:val="20"/>
        </w:rPr>
        <w:t xml:space="preserve"> of anesthesia. There are approximately 7,400 vials of </w:t>
      </w:r>
      <w:r>
        <w:rPr>
          <w:rFonts w:eastAsia="Times New Roman"/>
          <w:i/>
          <w:iCs/>
          <w:color w:val="000000"/>
          <w:sz w:val="20"/>
          <w:szCs w:val="20"/>
        </w:rPr>
        <w:t>Vazculep</w:t>
      </w:r>
      <w:r>
        <w:rPr>
          <w:rFonts w:eastAsia="Times New Roman"/>
          <w:color w:val="000000"/>
          <w:sz w:val="20"/>
          <w:szCs w:val="20"/>
        </w:rPr>
        <w:t xml:space="preserve"> sold annually in the U.S. </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i/>
          <w:iCs/>
          <w:color w:val="000000"/>
          <w:sz w:val="20"/>
          <w:szCs w:val="20"/>
        </w:rPr>
        <w:t>•</w:t>
      </w:r>
      <w:r>
        <w:rPr>
          <w:rFonts w:eastAsia="Times New Roman"/>
          <w:b/>
          <w:bCs/>
          <w:color w:val="000000"/>
          <w:sz w:val="20"/>
          <w:szCs w:val="20"/>
        </w:rPr>
        <w:t>Akovaz (ephedrine sulfate injection)</w:t>
      </w:r>
      <w:r>
        <w:rPr>
          <w:rFonts w:eastAsia="Times New Roman"/>
          <w:color w:val="000000"/>
          <w:sz w:val="20"/>
          <w:szCs w:val="20"/>
        </w:rPr>
        <w:t xml:space="preserve"> - Akovaz, was approved by the FDA in April 2016 and was launched in August 2016. Akovaz was the first FDA approved formulatio</w:t>
      </w:r>
      <w:r>
        <w:rPr>
          <w:rFonts w:eastAsia="Times New Roman"/>
          <w:color w:val="000000"/>
          <w:sz w:val="20"/>
          <w:szCs w:val="20"/>
        </w:rPr>
        <w:t xml:space="preserve">n of ephedrine sulfate, an alpha- and beta- adrenergic agonist and </w:t>
      </w:r>
    </w:p>
    <w:p w:rsidR="00000000" w:rsidRDefault="006629D3">
      <w:pPr>
        <w:jc w:val="center"/>
        <w:divId w:val="821198608"/>
        <w:rPr>
          <w:rFonts w:eastAsia="Times New Roman"/>
        </w:rPr>
      </w:pPr>
      <w:r>
        <w:rPr>
          <w:rFonts w:eastAsia="Times New Roman"/>
          <w:color w:val="000000"/>
          <w:sz w:val="20"/>
          <w:szCs w:val="20"/>
        </w:rPr>
        <w:t>- 31 -</w:t>
      </w:r>
    </w:p>
    <w:p w:rsidR="00000000" w:rsidRDefault="006629D3">
      <w:pPr>
        <w:rPr>
          <w:rFonts w:eastAsia="Times New Roman"/>
        </w:rPr>
      </w:pPr>
      <w:r>
        <w:rPr>
          <w:rFonts w:eastAsia="Times New Roman"/>
        </w:rPr>
        <w:pict>
          <v:rect id="_x0000_i1056" style="width:0;height:1.5pt" o:hralign="center" o:hrstd="t" o:hr="t" fillcolor="#a0a0a0" stroked="f"/>
        </w:pict>
      </w:r>
    </w:p>
    <w:p w:rsidR="00000000" w:rsidRDefault="006629D3">
      <w:pPr>
        <w:divId w:val="604847469"/>
        <w:rPr>
          <w:rFonts w:eastAsia="Times New Roman"/>
        </w:rPr>
      </w:pPr>
    </w:p>
    <w:p w:rsidR="00000000" w:rsidRDefault="006629D3">
      <w:pPr>
        <w:jc w:val="both"/>
        <w:rPr>
          <w:rFonts w:eastAsia="Times New Roman"/>
        </w:rPr>
      </w:pPr>
      <w:r>
        <w:rPr>
          <w:rFonts w:eastAsia="Times New Roman"/>
          <w:color w:val="000000"/>
          <w:sz w:val="20"/>
          <w:szCs w:val="20"/>
        </w:rPr>
        <w:t>a norepinephrine-releasing agent that is indicated for the treatment of clinically important hypotension occurring in the setting of anesthesi</w:t>
      </w:r>
      <w:r>
        <w:rPr>
          <w:rFonts w:eastAsia="Times New Roman"/>
          <w:color w:val="000000"/>
          <w:sz w:val="20"/>
          <w:szCs w:val="20"/>
        </w:rPr>
        <w:t>a. There are approximately 6,800 vials of </w:t>
      </w:r>
      <w:r>
        <w:rPr>
          <w:rFonts w:eastAsia="Times New Roman"/>
          <w:i/>
          <w:iCs/>
          <w:color w:val="000000"/>
          <w:sz w:val="20"/>
          <w:szCs w:val="20"/>
        </w:rPr>
        <w:t>Akovaz</w:t>
      </w:r>
      <w:r>
        <w:rPr>
          <w:rFonts w:eastAsia="Times New Roman"/>
          <w:color w:val="000000"/>
          <w:sz w:val="20"/>
          <w:szCs w:val="20"/>
        </w:rPr>
        <w:t> sold annually in the U.S.</w:t>
      </w:r>
      <w:r>
        <w:rPr>
          <w:rFonts w:eastAsia="Times New Roman"/>
          <w:i/>
          <w:iCs/>
          <w:color w:val="000000"/>
          <w:sz w:val="20"/>
          <w:szCs w:val="20"/>
        </w:rPr>
        <w:t xml:space="preserve"> </w:t>
      </w:r>
    </w:p>
    <w:p w:rsidR="00000000" w:rsidRDefault="006629D3">
      <w:pPr>
        <w:jc w:val="both"/>
        <w:rPr>
          <w:rFonts w:eastAsia="Times New Roman"/>
        </w:rPr>
      </w:pPr>
    </w:p>
    <w:p w:rsidR="00000000" w:rsidRDefault="006629D3">
      <w:pPr>
        <w:ind w:hanging="360"/>
        <w:jc w:val="both"/>
        <w:rPr>
          <w:rFonts w:eastAsia="Times New Roman"/>
        </w:rPr>
      </w:pPr>
      <w:r>
        <w:rPr>
          <w:rFonts w:eastAsia="Times New Roman"/>
          <w:color w:val="000000"/>
          <w:sz w:val="20"/>
          <w:szCs w:val="20"/>
        </w:rPr>
        <w:t>•</w:t>
      </w:r>
      <w:r>
        <w:rPr>
          <w:rFonts w:eastAsia="Times New Roman"/>
          <w:b/>
          <w:bCs/>
          <w:color w:val="000000"/>
          <w:sz w:val="20"/>
          <w:szCs w:val="20"/>
        </w:rPr>
        <w:t>Nouress (cysteine hydrochloride injection)</w:t>
      </w:r>
      <w:r>
        <w:rPr>
          <w:rFonts w:eastAsia="Times New Roman"/>
          <w:color w:val="000000"/>
          <w:sz w:val="20"/>
          <w:szCs w:val="20"/>
        </w:rPr>
        <w:t xml:space="preserve"> - Nouress was approved by the FDA in December 2019. Nouress is a sterile injectable product for use in the hospital setting, and two i</w:t>
      </w:r>
      <w:r>
        <w:rPr>
          <w:rFonts w:eastAsia="Times New Roman"/>
          <w:color w:val="000000"/>
          <w:sz w:val="20"/>
          <w:szCs w:val="20"/>
        </w:rPr>
        <w:t xml:space="preserve">ssued U.S. patents currently cover that product. Several additional patent applications for Nouress are pending with the U.S. Patent and Trademark Office (“USPTO”). </w:t>
      </w:r>
    </w:p>
    <w:p w:rsidR="00000000" w:rsidRDefault="006629D3">
      <w:pPr>
        <w:jc w:val="both"/>
        <w:rPr>
          <w:rFonts w:eastAsia="Times New Roman"/>
        </w:rPr>
      </w:pPr>
    </w:p>
    <w:p w:rsidR="00000000" w:rsidRDefault="006629D3">
      <w:pPr>
        <w:divId w:val="238055917"/>
        <w:rPr>
          <w:rFonts w:eastAsia="Times New Roman"/>
        </w:rPr>
      </w:pPr>
      <w:r>
        <w:rPr>
          <w:rFonts w:eastAsia="Times New Roman"/>
          <w:b/>
          <w:bCs/>
          <w:i/>
          <w:iCs/>
          <w:color w:val="000000"/>
          <w:sz w:val="20"/>
          <w:szCs w:val="20"/>
        </w:rPr>
        <w:t>Corporate Information</w:t>
      </w:r>
    </w:p>
    <w:p w:rsidR="00000000" w:rsidRDefault="006629D3">
      <w:pPr>
        <w:divId w:val="1171678970"/>
        <w:rPr>
          <w:rFonts w:eastAsia="Times New Roman"/>
        </w:rPr>
      </w:pPr>
    </w:p>
    <w:p w:rsidR="00000000" w:rsidRDefault="006629D3">
      <w:pPr>
        <w:jc w:val="both"/>
        <w:rPr>
          <w:rFonts w:eastAsia="Times New Roman"/>
        </w:rPr>
      </w:pPr>
      <w:r>
        <w:rPr>
          <w:rFonts w:eastAsia="Times New Roman"/>
          <w:color w:val="000000"/>
          <w:sz w:val="20"/>
          <w:szCs w:val="20"/>
        </w:rPr>
        <w:t>We were incorporated on December 1, 2015 as an Irish private limited company, and re-registered as an Irish public limited company (“plc”), on November 21, 2016. Our registered address is at 10 Earlsfort Terrace, Dublin 2, Ireland and our phone number is +</w:t>
      </w:r>
      <w:r>
        <w:rPr>
          <w:rFonts w:eastAsia="Times New Roman"/>
          <w:color w:val="000000"/>
          <w:sz w:val="20"/>
          <w:szCs w:val="20"/>
        </w:rPr>
        <w:t>353-1-920-1000. We file annual, quarterly and current reports, proxy statements and other documents with the U.S. Securities and Exchange Commission (“SEC”) under the Securities Exchange Act of 1934, as amended (the “Exchange Act”). Our website is www.avad</w:t>
      </w:r>
      <w:r>
        <w:rPr>
          <w:rFonts w:eastAsia="Times New Roman"/>
          <w:color w:val="000000"/>
          <w:sz w:val="20"/>
          <w:szCs w:val="20"/>
        </w:rPr>
        <w:t xml:space="preserve">el.com, where we make available free of charge our reports (and any amendments thereto) on Forms 10-K, 10-Q and 8-K as soon as reasonably practicable after they are electronically filed with or furnished to the SEC. These filings are also available to the </w:t>
      </w:r>
      <w:r>
        <w:rPr>
          <w:rFonts w:eastAsia="Times New Roman"/>
          <w:color w:val="000000"/>
          <w:sz w:val="20"/>
          <w:szCs w:val="20"/>
        </w:rPr>
        <w:t xml:space="preserve">public at www.sec.gov.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We currently have five direct wholly-owned subsidiaries: (a) Avadel US Holdings, Inc., (b) Flamel Ireland Limited, which conducts business under the name Avadel Ireland, (c) Avadel Investment Company Limited, (d) Avadel Finance Ir</w:t>
      </w:r>
      <w:r>
        <w:rPr>
          <w:rFonts w:eastAsia="Times New Roman"/>
          <w:color w:val="000000"/>
          <w:sz w:val="20"/>
          <w:szCs w:val="20"/>
        </w:rPr>
        <w:t>eland Designated Activity Company and (e) Avadel France Holding SAS. Avadel US Holdings, Inc., a Delaware corporation, is the holding entity of (i) Avadel Specialty Pharmaceuticals, LLC (currently the subject of a voluntary Chapter 11 bankruptcy proceeding</w:t>
      </w:r>
      <w:r>
        <w:rPr>
          <w:rFonts w:eastAsia="Times New Roman"/>
          <w:color w:val="000000"/>
          <w:sz w:val="20"/>
          <w:szCs w:val="20"/>
        </w:rPr>
        <w:t>), (ii) Avadel Legacy Pharmaceuticals, LLC, (iii) Avadel Management Corporation, (iv) FSC Holding Company, (v) Avadel Operations Company, Inc. and (vi) Avadel CNS Pharmaceuticals LLC. Avadel Finance Ireland Designated Activity Company is the holding entity</w:t>
      </w:r>
      <w:r>
        <w:rPr>
          <w:rFonts w:eastAsia="Times New Roman"/>
          <w:color w:val="000000"/>
          <w:sz w:val="20"/>
          <w:szCs w:val="20"/>
        </w:rPr>
        <w:t xml:space="preserve"> of Avadel Finance Cayman Limited. Flamel Ireland Limited (operating under the trade name Avadel Ireland) is an Irish corporation. Avadel France Holding SAS, a French société par actions simplifiée, is the holding entity of Avadel Research SAS through whic</w:t>
      </w:r>
      <w:r>
        <w:rPr>
          <w:rFonts w:eastAsia="Times New Roman"/>
          <w:color w:val="000000"/>
          <w:sz w:val="20"/>
          <w:szCs w:val="20"/>
        </w:rPr>
        <w:t>h Avadel conducts substantially all of its R&amp;D activities. A complete list of our subsidiaries can be found in Exhibit 21.1 of our Annual Report on Form 10-K filed with the SEC on March 16, 2020.</w:t>
      </w:r>
    </w:p>
    <w:p w:rsidR="00000000" w:rsidRDefault="006629D3">
      <w:pPr>
        <w:divId w:val="528108357"/>
        <w:rPr>
          <w:rFonts w:eastAsia="Times New Roman"/>
        </w:rPr>
      </w:pPr>
    </w:p>
    <w:p w:rsidR="00000000" w:rsidRDefault="006629D3">
      <w:pPr>
        <w:jc w:val="both"/>
        <w:divId w:val="1083532664"/>
        <w:rPr>
          <w:rFonts w:eastAsia="Times New Roman"/>
        </w:rPr>
      </w:pPr>
      <w:r>
        <w:rPr>
          <w:rFonts w:eastAsia="Times New Roman"/>
          <w:color w:val="000000"/>
          <w:sz w:val="20"/>
          <w:szCs w:val="20"/>
        </w:rPr>
        <w:t>References in these unaudited condensed consolidated finan</w:t>
      </w:r>
      <w:r>
        <w:rPr>
          <w:rFonts w:eastAsia="Times New Roman"/>
          <w:color w:val="000000"/>
          <w:sz w:val="20"/>
          <w:szCs w:val="20"/>
        </w:rPr>
        <w:t xml:space="preserve">cial statements and the notes thereto to “Avadel,” the “Company,” “we,” “our,” “us,” and similar terms shall be deemed to be references to Flamel prior to the completion of the Merger, unless the context otherwise requires. </w:t>
      </w:r>
    </w:p>
    <w:p w:rsidR="00000000" w:rsidRDefault="006629D3">
      <w:pPr>
        <w:jc w:val="both"/>
        <w:divId w:val="1092509238"/>
        <w:rPr>
          <w:rFonts w:eastAsia="Times New Roman"/>
        </w:rPr>
      </w:pPr>
      <w:r>
        <w:rPr>
          <w:rFonts w:eastAsia="Times New Roman"/>
          <w:b/>
          <w:bCs/>
          <w:i/>
          <w:iCs/>
          <w:color w:val="000000"/>
          <w:sz w:val="20"/>
          <w:szCs w:val="20"/>
        </w:rPr>
        <w:t>Key Business Trends and Highlig</w:t>
      </w:r>
      <w:r>
        <w:rPr>
          <w:rFonts w:eastAsia="Times New Roman"/>
          <w:b/>
          <w:bCs/>
          <w:i/>
          <w:iCs/>
          <w:color w:val="000000"/>
          <w:sz w:val="20"/>
          <w:szCs w:val="20"/>
        </w:rPr>
        <w:t>hts</w:t>
      </w:r>
      <w:r>
        <w:rPr>
          <w:rFonts w:eastAsia="Times New Roman"/>
          <w:color w:val="000000"/>
          <w:sz w:val="20"/>
          <w:szCs w:val="20"/>
        </w:rPr>
        <w:t> </w:t>
      </w:r>
    </w:p>
    <w:p w:rsidR="00000000" w:rsidRDefault="006629D3">
      <w:pPr>
        <w:jc w:val="both"/>
        <w:divId w:val="1879853698"/>
        <w:rPr>
          <w:rFonts w:eastAsia="Times New Roman"/>
        </w:rPr>
      </w:pPr>
      <w:r>
        <w:rPr>
          <w:rFonts w:eastAsia="Times New Roman"/>
          <w:color w:val="000000"/>
          <w:sz w:val="20"/>
          <w:szCs w:val="20"/>
        </w:rPr>
        <w:t>In operating our business and monitoring our performance, we consider a number of performance measures, as well as trends affecting our industry as a whole, which include the following: </w:t>
      </w:r>
    </w:p>
    <w:p w:rsidR="00000000" w:rsidRDefault="006629D3">
      <w:pPr>
        <w:ind w:hanging="360"/>
        <w:jc w:val="both"/>
        <w:divId w:val="1764953276"/>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t>
      </w:r>
      <w:r>
        <w:rPr>
          <w:rFonts w:eastAsia="Times New Roman"/>
          <w:color w:val="000000"/>
          <w:sz w:val="20"/>
          <w:szCs w:val="20"/>
        </w:rPr>
        <w:t>ws in the U.S. may impact our ability to successfully commercialize our products and technologies. The success of our commercialization efforts may depend on the extent to which the government health administration authorities, the health insurance funds i</w:t>
      </w:r>
      <w:r>
        <w:rPr>
          <w:rFonts w:eastAsia="Times New Roman"/>
          <w:color w:val="000000"/>
          <w:sz w:val="20"/>
          <w:szCs w:val="20"/>
        </w:rPr>
        <w:t>n the E.U. Member States, private health insurers and other third-party payers in the U.S. will reimburse consumers for the cost of healthcare products and services.</w:t>
      </w:r>
    </w:p>
    <w:p w:rsidR="00000000" w:rsidRDefault="006629D3">
      <w:pPr>
        <w:ind w:hanging="360"/>
        <w:jc w:val="both"/>
        <w:divId w:val="44838349"/>
        <w:rPr>
          <w:rFonts w:eastAsia="Times New Roman"/>
        </w:rPr>
      </w:pPr>
      <w:r>
        <w:rPr>
          <w:rFonts w:eastAsia="Times New Roman"/>
          <w:b/>
          <w:bCs/>
          <w:color w:val="000000"/>
          <w:sz w:val="20"/>
          <w:szCs w:val="20"/>
        </w:rPr>
        <w:t xml:space="preserve">•Competition and Technological Change: </w:t>
      </w:r>
      <w:r>
        <w:rPr>
          <w:rFonts w:eastAsia="Times New Roman"/>
          <w:color w:val="000000"/>
          <w:sz w:val="20"/>
          <w:szCs w:val="20"/>
        </w:rPr>
        <w:t>Competition in the pharmaceutical and biotechnology industry continues to be intense and is expected to increase. We compete with academic laboratories, research institutions, universities, joint ventures, and other pharmaceutical and biotechnology compani</w:t>
      </w:r>
      <w:r>
        <w:rPr>
          <w:rFonts w:eastAsia="Times New Roman"/>
          <w:color w:val="000000"/>
          <w:sz w:val="20"/>
          <w:szCs w:val="20"/>
        </w:rPr>
        <w:t>es, including other companies developing niche branded or generic specialty pharmaceutical products or drug delivery platforms. Furthermore, major technological changes can happen quickly in the pharmaceutical and biotechnology industries. Such rapid techn</w:t>
      </w:r>
      <w:r>
        <w:rPr>
          <w:rFonts w:eastAsia="Times New Roman"/>
          <w:color w:val="000000"/>
          <w:sz w:val="20"/>
          <w:szCs w:val="20"/>
        </w:rPr>
        <w:t>ological change, or the development by our competitors of technologically improved or differentiated products, could render our drug delivery platforms obsolete or noncompetitive.</w:t>
      </w:r>
    </w:p>
    <w:p w:rsidR="00000000" w:rsidRDefault="006629D3">
      <w:pPr>
        <w:ind w:hanging="360"/>
        <w:jc w:val="both"/>
        <w:divId w:val="419958160"/>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xml:space="preserve">: The pricing environment continues </w:t>
      </w:r>
      <w:r>
        <w:rPr>
          <w:rFonts w:eastAsia="Times New Roman"/>
          <w:color w:val="000000"/>
          <w:sz w:val="20"/>
          <w:szCs w:val="20"/>
        </w:rPr>
        <w:t>to be in the political spotlight in the U.S. As a result, the need to obtain and maintain appropriate pricing for our products may become more challenging due to, among other things, the attention being paid to healthcare cost containment and other austeri</w:t>
      </w:r>
      <w:r>
        <w:rPr>
          <w:rFonts w:eastAsia="Times New Roman"/>
          <w:color w:val="000000"/>
          <w:sz w:val="20"/>
          <w:szCs w:val="20"/>
        </w:rPr>
        <w:t>ty measures in the U.S. and worldwide.</w:t>
      </w:r>
    </w:p>
    <w:p w:rsidR="00000000" w:rsidRDefault="006629D3">
      <w:pPr>
        <w:ind w:hanging="360"/>
        <w:jc w:val="both"/>
        <w:divId w:val="1752502052"/>
        <w:rPr>
          <w:rFonts w:eastAsia="Times New Roman"/>
        </w:rPr>
      </w:pPr>
      <w:r>
        <w:rPr>
          <w:rFonts w:eastAsia="Times New Roman"/>
          <w:b/>
          <w:bCs/>
          <w:color w:val="000000"/>
          <w:sz w:val="20"/>
          <w:szCs w:val="20"/>
        </w:rPr>
        <w:t>•Generics Playing a Larger Role in Healthcare</w:t>
      </w:r>
      <w:r>
        <w:rPr>
          <w:rFonts w:eastAsia="Times New Roman"/>
          <w:color w:val="000000"/>
          <w:sz w:val="20"/>
          <w:szCs w:val="20"/>
        </w:rPr>
        <w:t>: Generic pharmaceutical products will continue to play a large role in the U.S. healthcare system. Specifically, we have seen, or likely will see, additional generic compe</w:t>
      </w:r>
      <w:r>
        <w:rPr>
          <w:rFonts w:eastAsia="Times New Roman"/>
          <w:color w:val="000000"/>
          <w:sz w:val="20"/>
          <w:szCs w:val="20"/>
        </w:rPr>
        <w:t>tition to our current and future products and we continue to expect generic competition in the future.</w:t>
      </w:r>
    </w:p>
    <w:p w:rsidR="00000000" w:rsidRDefault="006629D3">
      <w:pPr>
        <w:jc w:val="center"/>
        <w:divId w:val="1907643800"/>
        <w:rPr>
          <w:rFonts w:eastAsia="Times New Roman"/>
        </w:rPr>
      </w:pPr>
      <w:r>
        <w:rPr>
          <w:rFonts w:eastAsia="Times New Roman"/>
          <w:color w:val="000000"/>
          <w:sz w:val="20"/>
          <w:szCs w:val="20"/>
        </w:rPr>
        <w:t>- 32 -</w:t>
      </w:r>
    </w:p>
    <w:p w:rsidR="00000000" w:rsidRDefault="006629D3">
      <w:pPr>
        <w:rPr>
          <w:rFonts w:eastAsia="Times New Roman"/>
        </w:rPr>
      </w:pPr>
      <w:r>
        <w:rPr>
          <w:rFonts w:eastAsia="Times New Roman"/>
        </w:rPr>
        <w:pict>
          <v:rect id="_x0000_i1057" style="width:0;height:1.5pt" o:hralign="center" o:hrstd="t" o:hr="t" fillcolor="#a0a0a0" stroked="f"/>
        </w:pict>
      </w:r>
    </w:p>
    <w:p w:rsidR="00000000" w:rsidRDefault="006629D3">
      <w:pPr>
        <w:divId w:val="2090081224"/>
        <w:rPr>
          <w:rFonts w:eastAsia="Times New Roman"/>
        </w:rPr>
      </w:pPr>
    </w:p>
    <w:p w:rsidR="00000000" w:rsidRDefault="006629D3">
      <w:pPr>
        <w:ind w:hanging="360"/>
        <w:jc w:val="both"/>
        <w:divId w:val="698119149"/>
        <w:rPr>
          <w:rFonts w:eastAsia="Times New Roman"/>
        </w:rPr>
      </w:pPr>
      <w:r>
        <w:rPr>
          <w:rFonts w:eastAsia="Times New Roman"/>
          <w:b/>
          <w:bCs/>
          <w:color w:val="000000"/>
          <w:sz w:val="20"/>
          <w:szCs w:val="20"/>
        </w:rPr>
        <w:t>•Access to and Cost of Capital</w:t>
      </w:r>
      <w:r>
        <w:rPr>
          <w:rFonts w:eastAsia="Times New Roman"/>
          <w:color w:val="000000"/>
          <w:sz w:val="20"/>
          <w:szCs w:val="20"/>
        </w:rPr>
        <w:t>: The process of raising capital and associated cost of such capital for a com</w:t>
      </w:r>
      <w:r>
        <w:rPr>
          <w:rFonts w:eastAsia="Times New Roman"/>
          <w:color w:val="000000"/>
          <w:sz w:val="20"/>
          <w:szCs w:val="20"/>
        </w:rPr>
        <w:t>pany of our financial profile can be difficult and potentially expensive. If the need were to arise to raise additional capital, access to that capital may be difficult and/or expensive and, as a result, could create liquidity challenges for the Company.</w:t>
      </w:r>
    </w:p>
    <w:p w:rsidR="00000000" w:rsidRDefault="006629D3">
      <w:pPr>
        <w:ind w:hanging="360"/>
        <w:jc w:val="both"/>
        <w:rPr>
          <w:rFonts w:eastAsia="Times New Roman"/>
        </w:rPr>
      </w:pPr>
      <w:r>
        <w:rPr>
          <w:rFonts w:eastAsia="Times New Roman"/>
          <w:color w:val="000000"/>
          <w:sz w:val="20"/>
          <w:szCs w:val="20"/>
        </w:rPr>
        <w:t>•</w:t>
      </w:r>
      <w:r>
        <w:rPr>
          <w:rFonts w:eastAsia="Times New Roman"/>
          <w:b/>
          <w:bCs/>
          <w:color w:val="000000"/>
          <w:sz w:val="20"/>
          <w:szCs w:val="20"/>
        </w:rPr>
        <w:t>Net Loss from Operations in 2020:</w:t>
      </w:r>
      <w:r>
        <w:rPr>
          <w:rFonts w:eastAsia="Times New Roman"/>
          <w:color w:val="000000"/>
          <w:sz w:val="20"/>
          <w:szCs w:val="20"/>
        </w:rPr>
        <w:t xml:space="preserve"> Since we sold our Hospital Products at June 30, 2020 and will no longer generate revenue from sales and we will incur substantial expenses to further the clinical development of FT218, we expect to incur a net loss in 2020</w:t>
      </w:r>
      <w:r>
        <w:rPr>
          <w:rFonts w:eastAsia="Times New Roman"/>
          <w:color w:val="000000"/>
          <w:sz w:val="20"/>
          <w:szCs w:val="20"/>
        </w:rPr>
        <w:t>, which we are unable to estimate at this time.</w:t>
      </w:r>
    </w:p>
    <w:p w:rsidR="00000000" w:rsidRDefault="006629D3">
      <w:pPr>
        <w:jc w:val="both"/>
        <w:rPr>
          <w:rFonts w:eastAsia="Times New Roman"/>
        </w:rPr>
      </w:pPr>
    </w:p>
    <w:p w:rsidR="00000000" w:rsidRDefault="006629D3">
      <w:pPr>
        <w:jc w:val="both"/>
        <w:rPr>
          <w:rFonts w:eastAsia="Times New Roman"/>
        </w:rPr>
      </w:pPr>
      <w:r>
        <w:rPr>
          <w:rFonts w:eastAsia="Times New Roman"/>
          <w:b/>
          <w:bCs/>
          <w:i/>
          <w:iCs/>
          <w:color w:val="000000"/>
          <w:sz w:val="20"/>
          <w:szCs w:val="20"/>
        </w:rPr>
        <w:t xml:space="preserve">Impact of COVID-19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Since early 2020, we have seen the profound impact that the novel coronavirus (“COVID-19”) is having on human health, the global economy and society at large. We have been actively mon</w:t>
      </w:r>
      <w:r>
        <w:rPr>
          <w:rFonts w:eastAsia="Times New Roman"/>
          <w:color w:val="000000"/>
          <w:sz w:val="20"/>
          <w:szCs w:val="20"/>
        </w:rPr>
        <w:t>itoring the COVID-19 situation and have taken measures to mitigate the potential impacts to our employees and business, such as implementing a work from home policy. We believe the impact of COVID-19 and measures to prevent its spread could impact our busi</w:t>
      </w:r>
      <w:r>
        <w:rPr>
          <w:rFonts w:eastAsia="Times New Roman"/>
          <w:color w:val="000000"/>
          <w:sz w:val="20"/>
          <w:szCs w:val="20"/>
        </w:rPr>
        <w:t>ness in a number of ways, including: i) possibly delaying any remaining development activities for FT218, the submission of our NDA for FT218 to the FDA, the FDA review timeline of FT218, and/or our ongoing RESTORE open-label extension/switch study, ii) di</w:t>
      </w:r>
      <w:r>
        <w:rPr>
          <w:rFonts w:eastAsia="Times New Roman"/>
          <w:color w:val="000000"/>
          <w:sz w:val="20"/>
          <w:szCs w:val="20"/>
        </w:rPr>
        <w:t xml:space="preserve">sruptions to our supply chain and third parties that we use; and iii) requiring our employees to work from home for an extended period of time. An extended period of global supply chain and economic disruption could materially affect our business, results </w:t>
      </w:r>
      <w:r>
        <w:rPr>
          <w:rFonts w:eastAsia="Times New Roman"/>
          <w:color w:val="000000"/>
          <w:sz w:val="20"/>
          <w:szCs w:val="20"/>
        </w:rPr>
        <w:t xml:space="preserve">of operations, access to sources of liquidity and financial condition. </w:t>
      </w:r>
    </w:p>
    <w:p w:rsidR="00000000" w:rsidRDefault="006629D3">
      <w:pPr>
        <w:divId w:val="1908149472"/>
        <w:rPr>
          <w:rFonts w:eastAsia="Times New Roman"/>
        </w:rPr>
      </w:pPr>
    </w:p>
    <w:p w:rsidR="00000000" w:rsidRDefault="006629D3">
      <w:pPr>
        <w:divId w:val="1817642742"/>
        <w:rPr>
          <w:rFonts w:eastAsia="Times New Roman"/>
        </w:rPr>
      </w:pPr>
      <w:r>
        <w:rPr>
          <w:rFonts w:eastAsia="Times New Roman"/>
          <w:b/>
          <w:bCs/>
          <w:i/>
          <w:iCs/>
          <w:color w:val="000000"/>
          <w:sz w:val="20"/>
          <w:szCs w:val="20"/>
        </w:rPr>
        <w:t>Financial Highlights</w:t>
      </w:r>
    </w:p>
    <w:p w:rsidR="00000000" w:rsidRDefault="006629D3">
      <w:pPr>
        <w:divId w:val="191385649"/>
        <w:rPr>
          <w:rFonts w:eastAsia="Times New Roman"/>
        </w:rPr>
      </w:pPr>
    </w:p>
    <w:p w:rsidR="00000000" w:rsidRDefault="006629D3">
      <w:pPr>
        <w:divId w:val="314646434"/>
        <w:rPr>
          <w:rFonts w:eastAsia="Times New Roman"/>
        </w:rPr>
      </w:pPr>
      <w:r>
        <w:rPr>
          <w:rFonts w:eastAsia="Times New Roman"/>
          <w:color w:val="000000"/>
          <w:sz w:val="20"/>
          <w:szCs w:val="20"/>
        </w:rPr>
        <w:t>Highlights of our consolidated results for the three and nine months ended September 30, 2020 are as follows: </w:t>
      </w:r>
    </w:p>
    <w:p w:rsidR="00000000" w:rsidRDefault="006629D3">
      <w:pPr>
        <w:ind w:hanging="360"/>
        <w:jc w:val="both"/>
        <w:divId w:val="738133764"/>
        <w:rPr>
          <w:rFonts w:eastAsia="Times New Roman"/>
        </w:rPr>
      </w:pPr>
      <w:r>
        <w:rPr>
          <w:rFonts w:eastAsia="Times New Roman"/>
          <w:color w:val="000000"/>
          <w:sz w:val="20"/>
          <w:szCs w:val="20"/>
        </w:rPr>
        <w:t>•Revenue was $0 and $22,334 for the three and ni</w:t>
      </w:r>
      <w:r>
        <w:rPr>
          <w:rFonts w:eastAsia="Times New Roman"/>
          <w:color w:val="000000"/>
          <w:sz w:val="20"/>
          <w:szCs w:val="20"/>
        </w:rPr>
        <w:t xml:space="preserve">ne months ended September 30, 2020, respectively, compared to $14,229 and $48,220 in the same periods last year, respectively. The quarter over quarter and year over year decreases were primarily the result of the sale of the Hospital Products on June 30, </w:t>
      </w:r>
      <w:r>
        <w:rPr>
          <w:rFonts w:eastAsia="Times New Roman"/>
          <w:color w:val="000000"/>
          <w:sz w:val="20"/>
          <w:szCs w:val="20"/>
        </w:rPr>
        <w:t>2020.</w:t>
      </w:r>
    </w:p>
    <w:p w:rsidR="00000000" w:rsidRDefault="006629D3">
      <w:pPr>
        <w:ind w:hanging="360"/>
        <w:jc w:val="both"/>
        <w:divId w:val="872881518"/>
        <w:rPr>
          <w:rFonts w:eastAsia="Times New Roman"/>
        </w:rPr>
      </w:pPr>
      <w:r>
        <w:rPr>
          <w:rFonts w:eastAsia="Times New Roman"/>
          <w:color w:val="000000"/>
          <w:sz w:val="20"/>
          <w:szCs w:val="20"/>
        </w:rPr>
        <w:t>•Operating loss was $13,697 for the three months ended September 30, 2020 and operating income was $20,075 for the nine months ended September 30, 2020, respectively, compared to an operating loss of $4,147 and $16,765 and for the same period last ye</w:t>
      </w:r>
      <w:r>
        <w:rPr>
          <w:rFonts w:eastAsia="Times New Roman"/>
          <w:color w:val="000000"/>
          <w:sz w:val="20"/>
          <w:szCs w:val="20"/>
        </w:rPr>
        <w:t>ar, respectively. The increase in operating loss for the three months ended September 30, 2020 was driven by a decline in gross margin (</w:t>
      </w:r>
      <w:r>
        <w:rPr>
          <w:rFonts w:eastAsia="Times New Roman"/>
          <w:i/>
          <w:iCs/>
          <w:color w:val="000000"/>
          <w:sz w:val="20"/>
          <w:szCs w:val="20"/>
        </w:rPr>
        <w:t>i.e.</w:t>
      </w:r>
      <w:r>
        <w:rPr>
          <w:rFonts w:eastAsia="Times New Roman"/>
          <w:color w:val="000000"/>
          <w:sz w:val="20"/>
          <w:szCs w:val="20"/>
        </w:rPr>
        <w:t xml:space="preserve">, total revenues minus cost of products) of $11,406 driven by the sale of the Hospital Products and higher selling, </w:t>
      </w:r>
      <w:r>
        <w:rPr>
          <w:rFonts w:eastAsia="Times New Roman"/>
          <w:color w:val="000000"/>
          <w:sz w:val="20"/>
          <w:szCs w:val="20"/>
        </w:rPr>
        <w:t>general and administrative expense of $3,107. The increase in operating income for the nine months ended September 30, 2020 was driven by the gain on the disposition of Hospital Products of $45,760, lower R&amp;D expense of $10,004, lower restructuring costs o</w:t>
      </w:r>
      <w:r>
        <w:rPr>
          <w:rFonts w:eastAsia="Times New Roman"/>
          <w:color w:val="000000"/>
          <w:sz w:val="20"/>
          <w:szCs w:val="20"/>
        </w:rPr>
        <w:t>f $4,643, partially offset by lower gross margin of $21,917.</w:t>
      </w:r>
    </w:p>
    <w:p w:rsidR="00000000" w:rsidRDefault="006629D3">
      <w:pPr>
        <w:ind w:hanging="360"/>
        <w:jc w:val="both"/>
        <w:divId w:val="559363615"/>
        <w:rPr>
          <w:rFonts w:eastAsia="Times New Roman"/>
        </w:rPr>
      </w:pPr>
      <w:r>
        <w:rPr>
          <w:rFonts w:eastAsia="Times New Roman"/>
          <w:color w:val="000000"/>
          <w:sz w:val="20"/>
          <w:szCs w:val="20"/>
        </w:rPr>
        <w:t xml:space="preserve">•Gain on the disposition of the Hospital Products was $45,760 for the nine months ended September 30, 2020. The net gain included sale proceeds of $42,000 ($27,500 was recorded as a current note </w:t>
      </w:r>
      <w:r>
        <w:rPr>
          <w:rFonts w:eastAsia="Times New Roman"/>
          <w:color w:val="000000"/>
          <w:sz w:val="20"/>
          <w:szCs w:val="20"/>
        </w:rPr>
        <w:t>receivable at June 30, 2020), write-off of our inventory, intangible asset, a portion of goodwill and other related assets of $8,212, estimated transaction fees of $2,928 and the reversal of our contingent consideration liability of $14,900.</w:t>
      </w:r>
    </w:p>
    <w:p w:rsidR="00000000" w:rsidRDefault="006629D3">
      <w:pPr>
        <w:ind w:hanging="360"/>
        <w:jc w:val="both"/>
        <w:divId w:val="1488129145"/>
        <w:rPr>
          <w:rFonts w:eastAsia="Times New Roman"/>
        </w:rPr>
      </w:pPr>
      <w:r>
        <w:rPr>
          <w:rFonts w:eastAsia="Times New Roman"/>
          <w:color w:val="000000"/>
          <w:sz w:val="20"/>
          <w:szCs w:val="20"/>
        </w:rPr>
        <w:t>•</w:t>
      </w:r>
      <w:r>
        <w:rPr>
          <w:rFonts w:eastAsia="Times New Roman"/>
          <w:color w:val="000000"/>
          <w:sz w:val="20"/>
          <w:szCs w:val="20"/>
        </w:rPr>
        <w:t>Net loss was $11,703 for the three months ended September 30, 2020 and net income was $18,306 for the nine months ended September 30, 2020, respectively, compared to net loss of $8,864 and $30,487 in the same periods last year, respectively. Included in th</w:t>
      </w:r>
      <w:r>
        <w:rPr>
          <w:rFonts w:eastAsia="Times New Roman"/>
          <w:color w:val="000000"/>
          <w:sz w:val="20"/>
          <w:szCs w:val="20"/>
        </w:rPr>
        <w:t xml:space="preserve">e net income during the nine months ended September 30, 2020 was a gain on the disposition of the Hospital Products of $45,760. </w:t>
      </w:r>
    </w:p>
    <w:p w:rsidR="00000000" w:rsidRDefault="006629D3">
      <w:pPr>
        <w:ind w:hanging="360"/>
        <w:jc w:val="both"/>
        <w:divId w:val="349257500"/>
        <w:rPr>
          <w:rFonts w:eastAsia="Times New Roman"/>
        </w:rPr>
      </w:pPr>
      <w:r>
        <w:rPr>
          <w:rFonts w:eastAsia="Times New Roman"/>
          <w:color w:val="000000"/>
          <w:sz w:val="20"/>
          <w:szCs w:val="20"/>
        </w:rPr>
        <w:t>•Diluted net loss per share was $0.20 for the three months ended September 30, 2020 and diluted net income was $0.35 for the ni</w:t>
      </w:r>
      <w:r>
        <w:rPr>
          <w:rFonts w:eastAsia="Times New Roman"/>
          <w:color w:val="000000"/>
          <w:sz w:val="20"/>
          <w:szCs w:val="20"/>
        </w:rPr>
        <w:t>ne months ended September 30, 2020, respectively, compared to diluted net loss per share of $0.24 and $0.82 in the same periods last year, respectively.</w:t>
      </w:r>
    </w:p>
    <w:p w:rsidR="00000000" w:rsidRDefault="006629D3">
      <w:pPr>
        <w:ind w:hanging="360"/>
        <w:jc w:val="both"/>
        <w:rPr>
          <w:rFonts w:eastAsia="Times New Roman"/>
        </w:rPr>
      </w:pPr>
      <w:r>
        <w:rPr>
          <w:rFonts w:eastAsia="Times New Roman"/>
          <w:color w:val="000000"/>
          <w:sz w:val="20"/>
          <w:szCs w:val="20"/>
        </w:rPr>
        <w:t>•Cash and marketable securities increased $167,418 to $231,576 at September 30, 2020, from $64,158 at D</w:t>
      </w:r>
      <w:r>
        <w:rPr>
          <w:rFonts w:eastAsia="Times New Roman"/>
          <w:color w:val="000000"/>
          <w:sz w:val="20"/>
          <w:szCs w:val="20"/>
        </w:rPr>
        <w:t>ecember 31, 2019. This increase was driven by the February private placement which resulted in proceeds, net of placement fees of approximately $61,000, the May public offering, which resulted in proceeds, net of placement fees of approximately $117,000, c</w:t>
      </w:r>
      <w:r>
        <w:rPr>
          <w:rFonts w:eastAsia="Times New Roman"/>
          <w:color w:val="000000"/>
          <w:sz w:val="20"/>
          <w:szCs w:val="20"/>
        </w:rPr>
        <w:t xml:space="preserve">ash proceeds from the disposition of the Hospital Products of $17,250, partially offset by $29,609 use of cash in operations during the nine months ended September 30, 2020. </w:t>
      </w:r>
    </w:p>
    <w:p w:rsidR="00000000" w:rsidRDefault="006629D3">
      <w:pPr>
        <w:jc w:val="both"/>
        <w:rPr>
          <w:rFonts w:eastAsia="Times New Roman"/>
        </w:rPr>
      </w:pPr>
    </w:p>
    <w:p w:rsidR="00000000" w:rsidRDefault="006629D3">
      <w:pPr>
        <w:jc w:val="center"/>
        <w:divId w:val="1111439073"/>
        <w:rPr>
          <w:rFonts w:eastAsia="Times New Roman"/>
        </w:rPr>
      </w:pPr>
      <w:r>
        <w:rPr>
          <w:rFonts w:eastAsia="Times New Roman"/>
          <w:color w:val="000000"/>
          <w:sz w:val="20"/>
          <w:szCs w:val="20"/>
        </w:rPr>
        <w:t>- 33 -</w:t>
      </w:r>
    </w:p>
    <w:p w:rsidR="00000000" w:rsidRDefault="006629D3">
      <w:pPr>
        <w:rPr>
          <w:rFonts w:eastAsia="Times New Roman"/>
        </w:rPr>
      </w:pPr>
      <w:r>
        <w:rPr>
          <w:rFonts w:eastAsia="Times New Roman"/>
        </w:rPr>
        <w:pict>
          <v:rect id="_x0000_i1058" style="width:0;height:1.5pt" o:hralign="center" o:hrstd="t" o:hr="t" fillcolor="#a0a0a0" stroked="f"/>
        </w:pict>
      </w:r>
    </w:p>
    <w:p w:rsidR="00000000" w:rsidRDefault="006629D3">
      <w:pPr>
        <w:divId w:val="770205075"/>
        <w:rPr>
          <w:rFonts w:eastAsia="Times New Roman"/>
        </w:rPr>
      </w:pPr>
    </w:p>
    <w:p w:rsidR="00000000" w:rsidRDefault="006629D3">
      <w:pPr>
        <w:divId w:val="1467506299"/>
        <w:rPr>
          <w:rFonts w:eastAsia="Times New Roman"/>
        </w:rPr>
      </w:pPr>
      <w:r>
        <w:rPr>
          <w:rFonts w:eastAsia="Times New Roman"/>
          <w:b/>
          <w:bCs/>
          <w:color w:val="000000"/>
          <w:sz w:val="20"/>
          <w:szCs w:val="20"/>
          <w:u w:val="single"/>
        </w:rPr>
        <w:t>Critical Accounting Estimates</w:t>
      </w:r>
      <w:r>
        <w:rPr>
          <w:rFonts w:eastAsia="Times New Roman"/>
          <w:b/>
          <w:bCs/>
          <w:i/>
          <w:iCs/>
          <w:color w:val="000000"/>
          <w:sz w:val="20"/>
          <w:szCs w:val="20"/>
        </w:rPr>
        <w:t> </w:t>
      </w:r>
    </w:p>
    <w:p w:rsidR="00000000" w:rsidRDefault="006629D3">
      <w:pPr>
        <w:jc w:val="both"/>
        <w:divId w:val="1086154545"/>
        <w:rPr>
          <w:rFonts w:eastAsia="Times New Roman"/>
        </w:rPr>
      </w:pPr>
      <w:r>
        <w:rPr>
          <w:rFonts w:eastAsia="Times New Roman"/>
          <w:color w:val="000000"/>
          <w:sz w:val="20"/>
          <w:szCs w:val="20"/>
        </w:rPr>
        <w:t>The</w:t>
      </w:r>
      <w:r>
        <w:rPr>
          <w:rFonts w:eastAsia="Times New Roman"/>
          <w:color w:val="000000"/>
          <w:sz w:val="20"/>
          <w:szCs w:val="20"/>
        </w:rPr>
        <w:t xml:space="preserve"> Company’s unaudited condensed consolidated financial statements have been prepared in accordance with accounting principles generally accepted in the United States of America. To prepare these financial statements, management makes estimates and assumptio</w:t>
      </w:r>
      <w:r>
        <w:rPr>
          <w:rFonts w:eastAsia="Times New Roman"/>
          <w:color w:val="000000"/>
          <w:sz w:val="20"/>
          <w:szCs w:val="20"/>
        </w:rPr>
        <w:t>ns that affect the reported amounts of assets, liabilities, revenues and expenses, as well as the disclosures of contingent assets and liabilities. Actual results could be significantly different from these estimates. </w:t>
      </w:r>
    </w:p>
    <w:p w:rsidR="00000000" w:rsidRDefault="006629D3">
      <w:pPr>
        <w:jc w:val="both"/>
        <w:rPr>
          <w:rFonts w:eastAsia="Times New Roman"/>
        </w:rPr>
      </w:pPr>
      <w:r>
        <w:rPr>
          <w:rFonts w:eastAsia="Times New Roman"/>
          <w:color w:val="000000"/>
          <w:sz w:val="20"/>
          <w:szCs w:val="20"/>
        </w:rPr>
        <w:t>Our significant accounting policies a</w:t>
      </w:r>
      <w:r>
        <w:rPr>
          <w:rFonts w:eastAsia="Times New Roman"/>
          <w:color w:val="000000"/>
          <w:sz w:val="20"/>
          <w:szCs w:val="20"/>
        </w:rPr>
        <w:t>re described in Note 1 of the audited consolidated financial statements included in our Annual Report Form 10-K for the year ended December 31, 2019 (the “2019 Form 10-K”). The SEC suggests companies provide additional disclosure on those accounting polici</w:t>
      </w:r>
      <w:r>
        <w:rPr>
          <w:rFonts w:eastAsia="Times New Roman"/>
          <w:color w:val="000000"/>
          <w:sz w:val="20"/>
          <w:szCs w:val="20"/>
        </w:rPr>
        <w:t>es considered most critical. The SEC considers an accounting policy to be critical if it is important to our financial condition and results of operations and requires significant judgments and estimates on the part of management in its application. Our es</w:t>
      </w:r>
      <w:r>
        <w:rPr>
          <w:rFonts w:eastAsia="Times New Roman"/>
          <w:color w:val="000000"/>
          <w:sz w:val="20"/>
          <w:szCs w:val="20"/>
        </w:rPr>
        <w:t>timates are often based on complex judgments, probabilities and assumptions that management believes to be reasonable, but that are inherently uncertain and unpredictable. It is also possible that other professionals, applying reasonable judgment to the sa</w:t>
      </w:r>
      <w:r>
        <w:rPr>
          <w:rFonts w:eastAsia="Times New Roman"/>
          <w:color w:val="000000"/>
          <w:sz w:val="20"/>
          <w:szCs w:val="20"/>
        </w:rPr>
        <w:t xml:space="preserve">me facts and circumstances, could develop and support a range of alternative estimated amounts. For a complete discussion of our critical accounting policies, see the “Critical Accounting Policies” section of the MD&amp;A in our 2019 Form 10-K. </w:t>
      </w:r>
    </w:p>
    <w:p w:rsidR="00000000" w:rsidRDefault="006629D3">
      <w:pPr>
        <w:jc w:val="both"/>
        <w:rPr>
          <w:rFonts w:eastAsia="Times New Roman"/>
        </w:rPr>
      </w:pPr>
    </w:p>
    <w:p w:rsidR="00000000" w:rsidRDefault="006629D3">
      <w:pPr>
        <w:divId w:val="1908607481"/>
        <w:rPr>
          <w:rFonts w:eastAsia="Times New Roman"/>
        </w:rPr>
      </w:pPr>
      <w:r>
        <w:rPr>
          <w:rFonts w:eastAsia="Times New Roman"/>
          <w:b/>
          <w:bCs/>
          <w:color w:val="000000"/>
          <w:sz w:val="20"/>
          <w:szCs w:val="20"/>
          <w:u w:val="single"/>
        </w:rPr>
        <w:t>Results of O</w:t>
      </w:r>
      <w:r>
        <w:rPr>
          <w:rFonts w:eastAsia="Times New Roman"/>
          <w:b/>
          <w:bCs/>
          <w:color w:val="000000"/>
          <w:sz w:val="20"/>
          <w:szCs w:val="20"/>
          <w:u w:val="single"/>
        </w:rPr>
        <w:t>perations</w:t>
      </w:r>
      <w:r>
        <w:rPr>
          <w:rFonts w:eastAsia="Times New Roman"/>
          <w:color w:val="000000"/>
          <w:sz w:val="20"/>
          <w:szCs w:val="20"/>
        </w:rPr>
        <w:t> </w:t>
      </w:r>
    </w:p>
    <w:p w:rsidR="00000000" w:rsidRDefault="006629D3">
      <w:pPr>
        <w:jc w:val="both"/>
        <w:divId w:val="727843736"/>
        <w:rPr>
          <w:rFonts w:eastAsia="Times New Roman"/>
        </w:rPr>
      </w:pPr>
      <w:r>
        <w:rPr>
          <w:rFonts w:eastAsia="Times New Roman"/>
          <w:color w:val="000000"/>
          <w:sz w:val="20"/>
          <w:szCs w:val="20"/>
        </w:rPr>
        <w:t>The following is a summary of our financial results (in thousands, except per share amounts) for the three months ended September 30, 2020 and 2019, respectively:</w:t>
      </w:r>
    </w:p>
    <w:tbl>
      <w:tblPr>
        <w:tblW w:w="4963" w:type="pct"/>
        <w:jc w:val="center"/>
        <w:tblCellMar>
          <w:top w:w="15" w:type="dxa"/>
          <w:left w:w="15" w:type="dxa"/>
          <w:bottom w:w="15" w:type="dxa"/>
          <w:right w:w="15" w:type="dxa"/>
        </w:tblCellMar>
        <w:tblLook w:val="04A0" w:firstRow="1" w:lastRow="0" w:firstColumn="1" w:lastColumn="0" w:noHBand="0" w:noVBand="1"/>
      </w:tblPr>
      <w:tblGrid>
        <w:gridCol w:w="39"/>
        <w:gridCol w:w="3773"/>
        <w:gridCol w:w="38"/>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trPr>
          <w:divId w:val="2112510498"/>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211251049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2112510498"/>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2112510498"/>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211251049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Comparative Statements of (Loss) Income</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2112510498"/>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2112510498"/>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14,229 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(14,229)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112510498"/>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112510498"/>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112510498"/>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2112510498"/>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(2,823)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5,569 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7,539 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(1,970)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8,423 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5,316 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3,107 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205 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(696)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(111.0)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112510498"/>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Restructuring (income) costs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(226)</w:t>
            </w:r>
          </w:p>
        </w:tc>
        <w:tc>
          <w:tcPr>
            <w:tcW w:w="0" w:type="auto"/>
            <w:shd w:val="clear" w:color="auto" w:fill="FFFF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1,866 </w:t>
            </w:r>
          </w:p>
        </w:tc>
        <w:tc>
          <w:tcPr>
            <w:tcW w:w="0" w:type="auto"/>
            <w:shd w:val="clear" w:color="auto" w:fill="FFFF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(2,092)</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(112.1)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operating expense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(4,679)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(13,697)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(4,147)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(9,550)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(230.3)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Investment and other income, net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781 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(568)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(72.7)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Interest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(3,259)</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(3,125)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112510498"/>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2112510498"/>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(16,743)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(6,630)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(10,113)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(152.5)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(5,040)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(7,274)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(325.6)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(11,703)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(8,864)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112510498"/>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(0.20)</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(0.24)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0.04 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bl>
    <w:p w:rsidR="00000000" w:rsidRDefault="006629D3">
      <w:pPr>
        <w:jc w:val="center"/>
        <w:divId w:val="1534003024"/>
        <w:rPr>
          <w:rFonts w:eastAsia="Times New Roman"/>
        </w:rPr>
      </w:pPr>
      <w:r>
        <w:rPr>
          <w:rFonts w:eastAsia="Times New Roman"/>
          <w:color w:val="000000"/>
          <w:sz w:val="20"/>
          <w:szCs w:val="20"/>
        </w:rPr>
        <w:t>- 34 -</w:t>
      </w:r>
    </w:p>
    <w:p w:rsidR="00000000" w:rsidRDefault="006629D3">
      <w:pPr>
        <w:rPr>
          <w:rFonts w:eastAsia="Times New Roman"/>
        </w:rPr>
      </w:pPr>
      <w:r>
        <w:rPr>
          <w:rFonts w:eastAsia="Times New Roman"/>
        </w:rPr>
        <w:pict>
          <v:rect id="_x0000_i1059" style="width:0;height:1.5pt" o:hralign="center" o:hrstd="t" o:hr="t" fillcolor="#a0a0a0" stroked="f"/>
        </w:pict>
      </w:r>
    </w:p>
    <w:p w:rsidR="00000000" w:rsidRDefault="006629D3">
      <w:pPr>
        <w:divId w:val="1408645470"/>
        <w:rPr>
          <w:rFonts w:eastAsia="Times New Roman"/>
        </w:rPr>
      </w:pPr>
    </w:p>
    <w:p w:rsidR="00000000" w:rsidRDefault="006629D3">
      <w:pPr>
        <w:jc w:val="both"/>
        <w:divId w:val="586962026"/>
        <w:rPr>
          <w:rFonts w:eastAsia="Times New Roman"/>
        </w:rPr>
      </w:pPr>
      <w:r>
        <w:rPr>
          <w:rFonts w:eastAsia="Times New Roman"/>
          <w:color w:val="000000"/>
          <w:sz w:val="20"/>
          <w:szCs w:val="20"/>
        </w:rPr>
        <w:t>The following is a summary of our financial results (in thousands, except per share amounts) for the nine months ended September 30, 2020 and 2019, respectively:</w:t>
      </w:r>
    </w:p>
    <w:tbl>
      <w:tblPr>
        <w:tblW w:w="4963" w:type="pct"/>
        <w:jc w:val="center"/>
        <w:tblCellMar>
          <w:top w:w="15" w:type="dxa"/>
          <w:left w:w="15" w:type="dxa"/>
          <w:bottom w:w="15" w:type="dxa"/>
          <w:right w:w="15" w:type="dxa"/>
        </w:tblCellMar>
        <w:tblLook w:val="04A0" w:firstRow="1" w:lastRow="0" w:firstColumn="1" w:lastColumn="0" w:noHBand="0" w:noVBand="1"/>
      </w:tblPr>
      <w:tblGrid>
        <w:gridCol w:w="40"/>
        <w:gridCol w:w="3772"/>
        <w:gridCol w:w="39"/>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6"/>
        <w:gridCol w:w="170"/>
      </w:tblGrid>
      <w:tr w:rsidR="00000000">
        <w:trPr>
          <w:divId w:val="884415475"/>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884415475"/>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884415475"/>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884415475"/>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884415475"/>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Comparative Statements of Income (Loss)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884415475"/>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884415475"/>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48,220 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(25,886)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84415475"/>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84415475"/>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84415475"/>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884415475"/>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9,711 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(3,969)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15,156 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25,160 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(39.8)</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23,431 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22,520 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911 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2,384 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943 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4,600 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(4,643)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64,985 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(62,726)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(96.5)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income (loss)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20,075 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(16,765)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36,840 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219.7 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Investment and other (expense) income, net</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(906)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2,548 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(3,454)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(135.6)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(9,686)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(9,293)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FFFF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Loss on deconsolidation of subsidiary</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(2,840)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2,840 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884415475"/>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Income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(26,846)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35,894 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133.7 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225" w:type="dxa"/>
              <w:bottom w:w="30" w:type="dxa"/>
              <w:right w:w="20" w:type="dxa"/>
            </w:tcMar>
            <w:vAlign w:val="bottom"/>
            <w:hideMark/>
          </w:tcPr>
          <w:p w:rsidR="00000000" w:rsidRDefault="006629D3">
            <w:pPr>
              <w:rPr>
                <w:rFonts w:eastAsia="Times New Roman"/>
              </w:rPr>
            </w:pPr>
            <w:r>
              <w:rPr>
                <w:rFonts w:eastAsia="Times New Roman"/>
                <w:color w:val="000000"/>
                <w:sz w:val="18"/>
                <w:szCs w:val="18"/>
              </w:rPr>
              <w:t xml:space="preserve">Income tax (provision) benefit </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(9,258)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3,641 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(12,899)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(354.3)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18,306 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(30,487)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48,793 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160.0 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84415475"/>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Net income (loss) per share - diluted</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0.35 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(0.82)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bl>
    <w:p w:rsidR="00000000" w:rsidRDefault="006629D3">
      <w:pPr>
        <w:divId w:val="1397120784"/>
        <w:rPr>
          <w:rFonts w:eastAsia="Times New Roman"/>
        </w:rPr>
      </w:pPr>
      <w:r>
        <w:rPr>
          <w:rFonts w:eastAsia="Times New Roman"/>
          <w:color w:val="000000"/>
          <w:sz w:val="20"/>
          <w:szCs w:val="20"/>
        </w:rPr>
        <w:t>Product sales for each of the Company’s significant products for the three months ended September 30, 2020 and 2019 were as follows: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1"/>
        <w:gridCol w:w="831"/>
        <w:gridCol w:w="37"/>
        <w:gridCol w:w="36"/>
        <w:gridCol w:w="36"/>
        <w:gridCol w:w="36"/>
        <w:gridCol w:w="110"/>
        <w:gridCol w:w="831"/>
        <w:gridCol w:w="36"/>
        <w:gridCol w:w="36"/>
        <w:gridCol w:w="36"/>
        <w:gridCol w:w="36"/>
        <w:gridCol w:w="110"/>
        <w:gridCol w:w="831"/>
        <w:gridCol w:w="36"/>
        <w:gridCol w:w="36"/>
        <w:gridCol w:w="36"/>
        <w:gridCol w:w="36"/>
        <w:gridCol w:w="45"/>
        <w:gridCol w:w="816"/>
        <w:gridCol w:w="170"/>
      </w:tblGrid>
      <w:tr w:rsidR="00000000">
        <w:trPr>
          <w:divId w:val="1981840621"/>
          <w:jc w:val="center"/>
        </w:trPr>
        <w:tc>
          <w:tcPr>
            <w:tcW w:w="50" w:type="pct"/>
            <w:vAlign w:val="center"/>
            <w:hideMark/>
          </w:tcPr>
          <w:p w:rsidR="00000000" w:rsidRDefault="006629D3">
            <w:pPr>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98184062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98184062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98184062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98184062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Product sales: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981840621"/>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981840621"/>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1,466 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(1,466)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81840621"/>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8,786 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(8,786)</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81840621"/>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4,208 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(4,208)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81840621"/>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981840621"/>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231 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81840621"/>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(14,229)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81840621"/>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981840621"/>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r>
        <w:rPr>
          <w:rFonts w:eastAsia="Times New Roman"/>
          <w:color w:val="000000"/>
          <w:sz w:val="20"/>
          <w:szCs w:val="20"/>
        </w:rPr>
        <w:t>Product sales were $0 for the three months ended September 30, 2020, compared to $14,229 for</w:t>
      </w:r>
      <w:r>
        <w:rPr>
          <w:rFonts w:eastAsia="Times New Roman"/>
          <w:color w:val="000000"/>
          <w:sz w:val="20"/>
          <w:szCs w:val="20"/>
        </w:rPr>
        <w:t xml:space="preserve"> the same prior year period. The decrease in product sales was due to the sale of the Hospital Products on June 30, 2020.</w:t>
      </w:r>
    </w:p>
    <w:p w:rsidR="00000000" w:rsidRDefault="006629D3">
      <w:pPr>
        <w:jc w:val="center"/>
        <w:divId w:val="1275750548"/>
        <w:rPr>
          <w:rFonts w:eastAsia="Times New Roman"/>
        </w:rPr>
      </w:pPr>
      <w:r>
        <w:rPr>
          <w:rFonts w:eastAsia="Times New Roman"/>
          <w:color w:val="000000"/>
          <w:sz w:val="20"/>
          <w:szCs w:val="20"/>
        </w:rPr>
        <w:t>- 35 -</w:t>
      </w:r>
    </w:p>
    <w:p w:rsidR="00000000" w:rsidRDefault="006629D3">
      <w:pPr>
        <w:rPr>
          <w:rFonts w:eastAsia="Times New Roman"/>
        </w:rPr>
      </w:pPr>
      <w:r>
        <w:rPr>
          <w:rFonts w:eastAsia="Times New Roman"/>
        </w:rPr>
        <w:pict>
          <v:rect id="_x0000_i1060" style="width:0;height:1.5pt" o:hralign="center" o:hrstd="t" o:hr="t" fillcolor="#a0a0a0" stroked="f"/>
        </w:pict>
      </w:r>
    </w:p>
    <w:p w:rsidR="00000000" w:rsidRDefault="006629D3">
      <w:pPr>
        <w:divId w:val="2088766811"/>
        <w:rPr>
          <w:rFonts w:eastAsia="Times New Roman"/>
        </w:rPr>
      </w:pPr>
    </w:p>
    <w:p w:rsidR="00000000" w:rsidRDefault="006629D3">
      <w:pPr>
        <w:divId w:val="1066999556"/>
        <w:rPr>
          <w:rFonts w:eastAsia="Times New Roman"/>
        </w:rPr>
      </w:pPr>
      <w:r>
        <w:rPr>
          <w:rFonts w:eastAsia="Times New Roman"/>
          <w:color w:val="000000"/>
          <w:sz w:val="20"/>
          <w:szCs w:val="20"/>
        </w:rPr>
        <w:t>Product sales for each of the Company’s significant products for the nine months ended S</w:t>
      </w:r>
      <w:r>
        <w:rPr>
          <w:rFonts w:eastAsia="Times New Roman"/>
          <w:color w:val="000000"/>
          <w:sz w:val="20"/>
          <w:szCs w:val="20"/>
        </w:rPr>
        <w:t>eptember 30, 2020 and 2019 were as follows: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rPr>
          <w:divId w:val="1769933494"/>
          <w:jc w:val="center"/>
        </w:trPr>
        <w:tc>
          <w:tcPr>
            <w:tcW w:w="50" w:type="pct"/>
            <w:vAlign w:val="center"/>
            <w:hideMark/>
          </w:tcPr>
          <w:p w:rsidR="00000000" w:rsidRDefault="006629D3">
            <w:pPr>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76993349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1769933494"/>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769933494"/>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76993349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Product sales: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769933494"/>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76993349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Bloxiverz</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2,201 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6,392 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(4,191)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(65.6)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769933494"/>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Vazculep</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10,429 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27,669 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(17,240)</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(62.3)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76993349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Akovaz</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9,545 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13,946 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(4,401)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769933494"/>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769933494"/>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769933494"/>
          <w:jc w:val="center"/>
        </w:trPr>
        <w:tc>
          <w:tcPr>
            <w:tcW w:w="0" w:type="auto"/>
            <w:gridSpan w:val="3"/>
            <w:shd w:val="clear" w:color="auto" w:fill="CCEEFF"/>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48,220 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(25,886)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769933494"/>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r w:rsidR="00000000">
        <w:trPr>
          <w:divId w:val="1769933494"/>
          <w:jc w:val="center"/>
        </w:trPr>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r>
        <w:rPr>
          <w:rFonts w:eastAsia="Times New Roman"/>
          <w:color w:val="000000"/>
          <w:sz w:val="20"/>
          <w:szCs w:val="20"/>
        </w:rPr>
        <w:t>Product sales were $22,334 for the nine months ended September 30, 2020, compared to $48,220</w:t>
      </w:r>
      <w:r>
        <w:rPr>
          <w:rFonts w:eastAsia="Times New Roman"/>
          <w:color w:val="000000"/>
          <w:sz w:val="20"/>
          <w:szCs w:val="20"/>
        </w:rPr>
        <w:t xml:space="preserve"> for the same prior year period. The decline in product sales is driven by the sale of the Hospital Products on June 30, 2020 as well as lower units volumes and net selling prices for Bloxiverz through the first six months of 2020 as compared to the prior </w:t>
      </w:r>
      <w:r>
        <w:rPr>
          <w:rFonts w:eastAsia="Times New Roman"/>
          <w:color w:val="000000"/>
          <w:sz w:val="20"/>
          <w:szCs w:val="20"/>
        </w:rPr>
        <w:t>year and lower unit volumes for Vazculep during the first six months of the year as compared to the prior year. due to new competitors that entered the market.</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49"/>
        <w:gridCol w:w="37"/>
        <w:gridCol w:w="36"/>
        <w:gridCol w:w="36"/>
        <w:gridCol w:w="36"/>
        <w:gridCol w:w="111"/>
        <w:gridCol w:w="807"/>
        <w:gridCol w:w="37"/>
        <w:gridCol w:w="36"/>
        <w:gridCol w:w="36"/>
        <w:gridCol w:w="36"/>
        <w:gridCol w:w="110"/>
        <w:gridCol w:w="807"/>
        <w:gridCol w:w="170"/>
        <w:gridCol w:w="36"/>
        <w:gridCol w:w="36"/>
        <w:gridCol w:w="36"/>
        <w:gridCol w:w="110"/>
        <w:gridCol w:w="807"/>
        <w:gridCol w:w="36"/>
        <w:gridCol w:w="36"/>
        <w:gridCol w:w="36"/>
        <w:gridCol w:w="36"/>
        <w:gridCol w:w="45"/>
        <w:gridCol w:w="779"/>
        <w:gridCol w:w="170"/>
      </w:tblGrid>
      <w:tr w:rsidR="00000000">
        <w:trPr>
          <w:divId w:val="2073388829"/>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2073388829"/>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2073388829"/>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2073388829"/>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2073388829"/>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Cost of Products: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2073388829"/>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2073388829"/>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(2,823)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073388829"/>
          <w:jc w:val="center"/>
        </w:trPr>
        <w:tc>
          <w:tcPr>
            <w:tcW w:w="0" w:type="auto"/>
            <w:gridSpan w:val="3"/>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Percentage of total revenues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n/a</w:t>
            </w: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19.8 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Cost of products decreased $2,823 or 100.0% during the three months ended September 30, 2020 </w:t>
      </w:r>
      <w:r>
        <w:rPr>
          <w:rFonts w:eastAsia="Times New Roman"/>
          <w:color w:val="000000"/>
          <w:sz w:val="20"/>
          <w:szCs w:val="20"/>
        </w:rPr>
        <w:t>compared to the same prior year period driven by June 30, 2020 sale of the Hospital Products.</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25"/>
        <w:gridCol w:w="37"/>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38"/>
        <w:gridCol w:w="750"/>
        <w:gridCol w:w="170"/>
      </w:tblGrid>
      <w:tr w:rsidR="00000000">
        <w:trPr>
          <w:divId w:val="372661107"/>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372661107"/>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372661107"/>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372661107"/>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372661107"/>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Cost of Products: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372661107"/>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372661107"/>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Cost of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9,711 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(3,969)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372661107"/>
          <w:jc w:val="center"/>
        </w:trPr>
        <w:tc>
          <w:tcPr>
            <w:tcW w:w="0" w:type="auto"/>
            <w:gridSpan w:val="3"/>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Percentage of total revenues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25.7 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20.1 </w:t>
            </w:r>
          </w:p>
        </w:tc>
        <w:tc>
          <w:tcPr>
            <w:tcW w:w="0" w:type="auto"/>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bl>
    <w:p w:rsidR="00000000" w:rsidRDefault="006629D3">
      <w:pPr>
        <w:jc w:val="both"/>
        <w:rPr>
          <w:rFonts w:eastAsia="Times New Roman"/>
        </w:rPr>
      </w:pPr>
      <w:r>
        <w:rPr>
          <w:rFonts w:eastAsia="Times New Roman"/>
          <w:color w:val="000000"/>
          <w:sz w:val="20"/>
          <w:szCs w:val="20"/>
        </w:rPr>
        <w:t>Cost of products decreased $3,969 or 40.9% during the nine months ended September 30, 2020 </w:t>
      </w:r>
      <w:r>
        <w:rPr>
          <w:rFonts w:eastAsia="Times New Roman"/>
          <w:color w:val="000000"/>
          <w:sz w:val="20"/>
          <w:szCs w:val="20"/>
        </w:rPr>
        <w:t xml:space="preserve">compared to the same prior year period driven by lower sold units due to the June 30, 2020 sale of the Hospital Products. </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41"/>
        <w:gridCol w:w="3795"/>
        <w:gridCol w:w="36"/>
        <w:gridCol w:w="36"/>
        <w:gridCol w:w="36"/>
        <w:gridCol w:w="36"/>
        <w:gridCol w:w="39"/>
        <w:gridCol w:w="858"/>
        <w:gridCol w:w="37"/>
        <w:gridCol w:w="36"/>
        <w:gridCol w:w="36"/>
        <w:gridCol w:w="36"/>
        <w:gridCol w:w="39"/>
        <w:gridCol w:w="860"/>
        <w:gridCol w:w="36"/>
        <w:gridCol w:w="36"/>
        <w:gridCol w:w="36"/>
        <w:gridCol w:w="36"/>
        <w:gridCol w:w="110"/>
        <w:gridCol w:w="857"/>
        <w:gridCol w:w="36"/>
        <w:gridCol w:w="36"/>
        <w:gridCol w:w="36"/>
        <w:gridCol w:w="36"/>
        <w:gridCol w:w="38"/>
        <w:gridCol w:w="861"/>
        <w:gridCol w:w="170"/>
      </w:tblGrid>
      <w:tr w:rsidR="00000000">
        <w:trPr>
          <w:divId w:val="611597991"/>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61159799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61159799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61159799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61159799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611597991"/>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11597991"/>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5,569 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7,539 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(1,970)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(26.1)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611597991"/>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r>
        <w:rPr>
          <w:rFonts w:eastAsia="Times New Roman"/>
          <w:color w:val="000000"/>
          <w:sz w:val="20"/>
          <w:szCs w:val="20"/>
        </w:rPr>
        <w:t>Research and development (“R&amp;D”) expenses decreased $1,970 or 26.1% during the three months ended September 30, 2020 as compared to the same period in 2019. This decline was dri</w:t>
      </w:r>
      <w:r>
        <w:rPr>
          <w:rFonts w:eastAsia="Times New Roman"/>
          <w:color w:val="000000"/>
          <w:sz w:val="20"/>
          <w:szCs w:val="20"/>
        </w:rPr>
        <w:t>ven by the completion of the FT218 clinical study during the three months ending March 31, 2020, as well as lower payroll, benefits and share-based compensation of $400 related to the 2019 Corporate and French restructuring plans partially offset by higher</w:t>
      </w:r>
      <w:r>
        <w:rPr>
          <w:rFonts w:eastAsia="Times New Roman"/>
          <w:color w:val="000000"/>
          <w:sz w:val="20"/>
          <w:szCs w:val="20"/>
        </w:rPr>
        <w:t xml:space="preserve"> API purchases of $1,700 in the current quarter. The Company continues to invest a substantial portion of R&amp;D in its FT218 development program.</w:t>
      </w:r>
    </w:p>
    <w:p w:rsidR="00000000" w:rsidRDefault="006629D3">
      <w:pPr>
        <w:jc w:val="both"/>
        <w:rPr>
          <w:rFonts w:eastAsia="Times New Roman"/>
        </w:rPr>
      </w:pPr>
    </w:p>
    <w:p w:rsidR="00000000" w:rsidRDefault="006629D3">
      <w:pPr>
        <w:jc w:val="center"/>
        <w:divId w:val="764232692"/>
        <w:rPr>
          <w:rFonts w:eastAsia="Times New Roman"/>
        </w:rPr>
      </w:pPr>
      <w:r>
        <w:rPr>
          <w:rFonts w:eastAsia="Times New Roman"/>
          <w:color w:val="000000"/>
          <w:sz w:val="20"/>
          <w:szCs w:val="20"/>
        </w:rPr>
        <w:t>- 36 -</w:t>
      </w:r>
    </w:p>
    <w:p w:rsidR="00000000" w:rsidRDefault="006629D3">
      <w:pPr>
        <w:rPr>
          <w:rFonts w:eastAsia="Times New Roman"/>
        </w:rPr>
      </w:pPr>
      <w:r>
        <w:rPr>
          <w:rFonts w:eastAsia="Times New Roman"/>
        </w:rPr>
        <w:pict>
          <v:rect id="_x0000_i1061" style="width:0;height:1.5pt" o:hralign="center" o:hrstd="t" o:hr="t" fillcolor="#a0a0a0" stroked="f"/>
        </w:pict>
      </w:r>
    </w:p>
    <w:p w:rsidR="00000000" w:rsidRDefault="006629D3">
      <w:pPr>
        <w:divId w:val="148794601"/>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8"/>
        <w:gridCol w:w="825"/>
        <w:gridCol w:w="170"/>
      </w:tblGrid>
      <w:tr w:rsidR="00000000">
        <w:trPr>
          <w:divId w:val="1168638333"/>
          <w:jc w:val="center"/>
        </w:trPr>
        <w:tc>
          <w:tcPr>
            <w:tcW w:w="50" w:type="pct"/>
            <w:vAlign w:val="center"/>
            <w:hideMark/>
          </w:tcPr>
          <w:p w:rsidR="00000000" w:rsidRDefault="006629D3">
            <w:pPr>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168638333"/>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1168638333"/>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168638333"/>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168638333"/>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168638333"/>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168638333"/>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15,156 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25,160 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168638333"/>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r>
        <w:rPr>
          <w:rFonts w:eastAsia="Times New Roman"/>
          <w:color w:val="000000"/>
          <w:sz w:val="20"/>
          <w:szCs w:val="20"/>
        </w:rPr>
        <w:t>R&amp;D expenses decreased $10,004 or 39.8% during the nine months ended September 30, 2020 as compared to the same period in 2019. Thi</w:t>
      </w:r>
      <w:r>
        <w:rPr>
          <w:rFonts w:eastAsia="Times New Roman"/>
          <w:color w:val="000000"/>
          <w:sz w:val="20"/>
          <w:szCs w:val="20"/>
        </w:rPr>
        <w:t xml:space="preserve">s decline was driven by the completion of the FT218 clinical study during the three months ending March 31, 2020 and lower payroll, benefits and share-based compensation of approximately $3,300 related to the 2019 Corporate and French restructuring plans. </w:t>
      </w:r>
      <w:r>
        <w:rPr>
          <w:rFonts w:eastAsia="Times New Roman"/>
          <w:color w:val="000000"/>
          <w:sz w:val="20"/>
          <w:szCs w:val="20"/>
        </w:rPr>
        <w:t>The Company continues to invest a substantial portion of R&amp;D in its FT218 development program.</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7"/>
        <w:gridCol w:w="826"/>
        <w:gridCol w:w="170"/>
      </w:tblGrid>
      <w:tr w:rsidR="00000000">
        <w:trPr>
          <w:divId w:val="1159228671"/>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15922867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15922867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15922867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15922867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159228671"/>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159228671"/>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8,423 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5,316 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3,107 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58.4 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159228671"/>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Selling, general and administrative (“SG&amp;A) expenses increased $3,107 or 58.4% during the three months ended September 30, 2020 a</w:t>
      </w:r>
      <w:r>
        <w:rPr>
          <w:rFonts w:eastAsia="Times New Roman"/>
          <w:color w:val="000000"/>
          <w:sz w:val="20"/>
          <w:szCs w:val="20"/>
        </w:rPr>
        <w:t>s compared to the same prior year period. This increase was due to an increase in consulting and professional fees of approximately $900, an increase in market research costs of $900, higher share-based compensation costs of $800 and higher legal fees of $</w:t>
      </w:r>
      <w:r>
        <w:rPr>
          <w:rFonts w:eastAsia="Times New Roman"/>
          <w:color w:val="000000"/>
          <w:sz w:val="20"/>
          <w:szCs w:val="20"/>
        </w:rPr>
        <w:t xml:space="preserve">800. </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4"/>
        <w:gridCol w:w="36"/>
        <w:gridCol w:w="36"/>
        <w:gridCol w:w="36"/>
        <w:gridCol w:w="36"/>
        <w:gridCol w:w="110"/>
        <w:gridCol w:w="831"/>
        <w:gridCol w:w="36"/>
        <w:gridCol w:w="36"/>
        <w:gridCol w:w="36"/>
        <w:gridCol w:w="36"/>
        <w:gridCol w:w="110"/>
        <w:gridCol w:w="831"/>
        <w:gridCol w:w="36"/>
        <w:gridCol w:w="36"/>
        <w:gridCol w:w="36"/>
        <w:gridCol w:w="36"/>
        <w:gridCol w:w="111"/>
        <w:gridCol w:w="831"/>
        <w:gridCol w:w="37"/>
        <w:gridCol w:w="37"/>
        <w:gridCol w:w="37"/>
        <w:gridCol w:w="37"/>
        <w:gridCol w:w="37"/>
        <w:gridCol w:w="822"/>
        <w:gridCol w:w="171"/>
      </w:tblGrid>
      <w:tr w:rsidR="00000000">
        <w:trPr>
          <w:divId w:val="1755273938"/>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75527393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1755273938"/>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755273938"/>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75527393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755273938"/>
          <w:trHeight w:val="10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755273938"/>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23,431 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22,520 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911 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755273938"/>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r>
        <w:rPr>
          <w:rFonts w:eastAsia="Times New Roman"/>
          <w:color w:val="000000"/>
          <w:sz w:val="20"/>
          <w:szCs w:val="20"/>
        </w:rPr>
        <w:t>SG&amp;A expenses increased $911 or 4.0% during the nine months ended September 30, 2020 as compared to the same prior year period. Thi</w:t>
      </w:r>
      <w:r>
        <w:rPr>
          <w:rFonts w:eastAsia="Times New Roman"/>
          <w:color w:val="000000"/>
          <w:sz w:val="20"/>
          <w:szCs w:val="20"/>
        </w:rPr>
        <w:t>s increase was primarily due to an increase in market research costs, consulting and professional fees and legal costs of approximately $1,300, $1,200 and $900 respectively, partially offset by a decrease of $2,200 of sales and marketing costs related to t</w:t>
      </w:r>
      <w:r>
        <w:rPr>
          <w:rFonts w:eastAsia="Times New Roman"/>
          <w:color w:val="000000"/>
          <w:sz w:val="20"/>
          <w:szCs w:val="20"/>
        </w:rPr>
        <w:t xml:space="preserve">he exit of Noctiva during the first quarter 2019. </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1"/>
        <w:gridCol w:w="831"/>
        <w:gridCol w:w="37"/>
        <w:gridCol w:w="36"/>
        <w:gridCol w:w="36"/>
        <w:gridCol w:w="36"/>
        <w:gridCol w:w="110"/>
        <w:gridCol w:w="831"/>
        <w:gridCol w:w="36"/>
        <w:gridCol w:w="36"/>
        <w:gridCol w:w="36"/>
        <w:gridCol w:w="36"/>
        <w:gridCol w:w="110"/>
        <w:gridCol w:w="831"/>
        <w:gridCol w:w="36"/>
        <w:gridCol w:w="36"/>
        <w:gridCol w:w="36"/>
        <w:gridCol w:w="36"/>
        <w:gridCol w:w="45"/>
        <w:gridCol w:w="817"/>
        <w:gridCol w:w="170"/>
      </w:tblGrid>
      <w:tr w:rsidR="00000000">
        <w:trPr>
          <w:divId w:val="1955089985"/>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955089985"/>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955089985"/>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955089985"/>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955089985"/>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Intangibles Asset Amortization: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955089985"/>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955089985"/>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 amortization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55089985"/>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Intangible asset amortization expense for the three months ended September 30, 2019 related to the amortization of our acquired d</w:t>
      </w:r>
      <w:r>
        <w:rPr>
          <w:rFonts w:eastAsia="Times New Roman"/>
          <w:color w:val="000000"/>
          <w:sz w:val="20"/>
          <w:szCs w:val="20"/>
        </w:rPr>
        <w:t xml:space="preserve">eveloped technology - Vazculep. This intangible asset was transferred to Exela Sterile Medicines LLC on June 30, 2020 as part of the disposition of the Hospital Products. See </w:t>
      </w:r>
      <w:r>
        <w:rPr>
          <w:rFonts w:eastAsia="Times New Roman"/>
          <w:i/>
          <w:iCs/>
          <w:color w:val="000000"/>
          <w:sz w:val="20"/>
          <w:szCs w:val="20"/>
        </w:rPr>
        <w:t>Note 4: Disposition of the Hospital Products</w:t>
      </w:r>
      <w:r>
        <w:rPr>
          <w:rFonts w:eastAsia="Times New Roman"/>
          <w:color w:val="000000"/>
          <w:sz w:val="20"/>
          <w:szCs w:val="20"/>
        </w:rPr>
        <w:t xml:space="preserve">. </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38"/>
        <w:gridCol w:w="825"/>
        <w:gridCol w:w="170"/>
      </w:tblGrid>
      <w:tr w:rsidR="00000000">
        <w:trPr>
          <w:divId w:val="1372416901"/>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37241690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137241690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37241690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37241690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Intangibles Asset Amortization: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372416901"/>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372416901"/>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Intangible asset amortization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406 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372416901"/>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center"/>
        <w:divId w:val="2051493938"/>
        <w:rPr>
          <w:rFonts w:eastAsia="Times New Roman"/>
        </w:rPr>
      </w:pPr>
      <w:r>
        <w:rPr>
          <w:rFonts w:eastAsia="Times New Roman"/>
          <w:color w:val="000000"/>
          <w:sz w:val="20"/>
          <w:szCs w:val="20"/>
        </w:rPr>
        <w:t>- 37 -</w:t>
      </w:r>
    </w:p>
    <w:p w:rsidR="00000000" w:rsidRDefault="006629D3">
      <w:pPr>
        <w:rPr>
          <w:rFonts w:eastAsia="Times New Roman"/>
        </w:rPr>
      </w:pPr>
      <w:r>
        <w:rPr>
          <w:rFonts w:eastAsia="Times New Roman"/>
        </w:rPr>
        <w:pict>
          <v:rect id="_x0000_i1062" style="width:0;height:1.5pt" o:hralign="center" o:hrstd="t" o:hr="t" fillcolor="#a0a0a0" stroked="f"/>
        </w:pict>
      </w:r>
    </w:p>
    <w:p w:rsidR="00000000" w:rsidRDefault="006629D3">
      <w:pPr>
        <w:divId w:val="797723520"/>
        <w:rPr>
          <w:rFonts w:eastAsia="Times New Roman"/>
        </w:rPr>
      </w:pPr>
    </w:p>
    <w:p w:rsidR="00000000" w:rsidRDefault="006629D3">
      <w:pPr>
        <w:jc w:val="both"/>
        <w:rPr>
          <w:rFonts w:eastAsia="Times New Roman"/>
        </w:rPr>
      </w:pPr>
      <w:r>
        <w:rPr>
          <w:rFonts w:eastAsia="Times New Roman"/>
          <w:color w:val="000000"/>
          <w:sz w:val="20"/>
          <w:szCs w:val="20"/>
        </w:rPr>
        <w:t>Intangible asset amortization expense for the nine months ended September 30, 2020 and</w:t>
      </w:r>
      <w:r>
        <w:rPr>
          <w:rFonts w:eastAsia="Times New Roman"/>
          <w:color w:val="000000"/>
          <w:sz w:val="20"/>
          <w:szCs w:val="20"/>
        </w:rPr>
        <w:t xml:space="preserve"> 2019 relates to the amortization of our acquired developed technology - Vazculep. This intangible asset was transferred to Exela Sterile Medicines LLC on June 30, 2020 as part of the disposition of the Hospital Products. See </w:t>
      </w:r>
      <w:r>
        <w:rPr>
          <w:rFonts w:eastAsia="Times New Roman"/>
          <w:i/>
          <w:iCs/>
          <w:color w:val="000000"/>
          <w:sz w:val="20"/>
          <w:szCs w:val="20"/>
        </w:rPr>
        <w:t>Note 4: Disposition of the Hos</w:t>
      </w:r>
      <w:r>
        <w:rPr>
          <w:rFonts w:eastAsia="Times New Roman"/>
          <w:i/>
          <w:iCs/>
          <w:color w:val="000000"/>
          <w:sz w:val="20"/>
          <w:szCs w:val="20"/>
        </w:rPr>
        <w:t>pital Products</w:t>
      </w:r>
      <w:r>
        <w:rPr>
          <w:rFonts w:eastAsia="Times New Roman"/>
          <w:color w:val="000000"/>
          <w:sz w:val="20"/>
          <w:szCs w:val="20"/>
        </w:rPr>
        <w:t xml:space="preserve">. </w:t>
      </w:r>
    </w:p>
    <w:p w:rsidR="00000000" w:rsidRDefault="006629D3">
      <w:pPr>
        <w:jc w:val="both"/>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701"/>
        <w:gridCol w:w="36"/>
        <w:gridCol w:w="36"/>
        <w:gridCol w:w="36"/>
        <w:gridCol w:w="36"/>
        <w:gridCol w:w="110"/>
        <w:gridCol w:w="879"/>
        <w:gridCol w:w="36"/>
        <w:gridCol w:w="36"/>
        <w:gridCol w:w="36"/>
        <w:gridCol w:w="36"/>
        <w:gridCol w:w="110"/>
        <w:gridCol w:w="844"/>
        <w:gridCol w:w="36"/>
        <w:gridCol w:w="36"/>
        <w:gridCol w:w="36"/>
        <w:gridCol w:w="36"/>
        <w:gridCol w:w="110"/>
        <w:gridCol w:w="833"/>
        <w:gridCol w:w="36"/>
        <w:gridCol w:w="36"/>
        <w:gridCol w:w="36"/>
        <w:gridCol w:w="36"/>
        <w:gridCol w:w="45"/>
        <w:gridCol w:w="818"/>
        <w:gridCol w:w="170"/>
      </w:tblGrid>
      <w:tr w:rsidR="00000000">
        <w:trPr>
          <w:divId w:val="1007905487"/>
          <w:jc w:val="center"/>
        </w:trPr>
        <w:tc>
          <w:tcPr>
            <w:tcW w:w="50" w:type="pct"/>
            <w:vAlign w:val="center"/>
            <w:hideMark/>
          </w:tcPr>
          <w:p w:rsidR="00000000" w:rsidRDefault="006629D3">
            <w:pPr>
              <w:jc w:val="both"/>
              <w:rPr>
                <w:rFonts w:eastAsia="Times New Roman"/>
              </w:rPr>
            </w:pPr>
          </w:p>
        </w:tc>
        <w:tc>
          <w:tcPr>
            <w:tcW w:w="228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9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007905487"/>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007905487"/>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007905487"/>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007905487"/>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Changes in Fair Value of Contingent Consideration: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007905487"/>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007905487"/>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(696)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(111.0)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007905487"/>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Prior to the sale of the Hospital Products on June 30, 2020, we computed the fair value of the contingent consideration using sev</w:t>
      </w:r>
      <w:r>
        <w:rPr>
          <w:rFonts w:eastAsia="Times New Roman"/>
          <w:color w:val="000000"/>
          <w:sz w:val="20"/>
          <w:szCs w:val="20"/>
        </w:rPr>
        <w:t>eral significant assumptions and when these assumptions change, due to underlying market conditions, the fair value of these liabilities changed as well. Each of the underlying assumptions used to determine the fair values of these contingent liabilities c</w:t>
      </w:r>
      <w:r>
        <w:rPr>
          <w:rFonts w:eastAsia="Times New Roman"/>
          <w:color w:val="000000"/>
          <w:sz w:val="20"/>
          <w:szCs w:val="20"/>
        </w:rPr>
        <w:t>an, and often do, change based on adjustments in current market conditions, competition and other factors. These changes can have a material impact on our unaudited condensed consolidated statements of (loss) income and balance sheet.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As a result of ch</w:t>
      </w:r>
      <w:r>
        <w:rPr>
          <w:rFonts w:eastAsia="Times New Roman"/>
          <w:color w:val="000000"/>
          <w:sz w:val="20"/>
          <w:szCs w:val="20"/>
        </w:rPr>
        <w:t>anges in the underlying assumptions used to determine the estimated fair values of our acquisition-related contingent consideration earn-out payments - Éclat, we recorded an expense of $69 and income of $627 and increased and decreased the fair value of th</w:t>
      </w:r>
      <w:r>
        <w:rPr>
          <w:rFonts w:eastAsia="Times New Roman"/>
          <w:color w:val="000000"/>
          <w:sz w:val="20"/>
          <w:szCs w:val="20"/>
        </w:rPr>
        <w:t xml:space="preserve">e acquisition-related contingent consideration earn-out payments - Éclat for the three months ended September 30, 2020 and 2019, respectively. As noted in our critical accounting estimates included in the 2019 Form 10-K, there are numerous assumptions and </w:t>
      </w:r>
      <w:r>
        <w:rPr>
          <w:rFonts w:eastAsia="Times New Roman"/>
          <w:color w:val="000000"/>
          <w:sz w:val="20"/>
          <w:szCs w:val="20"/>
        </w:rPr>
        <w:t xml:space="preserve">estimates we use when determining the fair value of the acquisition-related earn-out payments - Éclat. These assumptions include estimates of pricing, market size, the market share the related products are forecast to achieve, the cost of goods related to </w:t>
      </w:r>
      <w:r>
        <w:rPr>
          <w:rFonts w:eastAsia="Times New Roman"/>
          <w:color w:val="000000"/>
          <w:sz w:val="20"/>
          <w:szCs w:val="20"/>
        </w:rPr>
        <w:t>such products and an appropriate discount rate to use when present valuing the related cash flows.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For the three months ended September </w:t>
      </w:r>
      <w:r>
        <w:rPr>
          <w:rFonts w:eastAsia="Times New Roman"/>
          <w:color w:val="000000"/>
          <w:sz w:val="20"/>
          <w:szCs w:val="20"/>
        </w:rPr>
        <w:t>30, 2020, as a result of changes to these estimates when compared to the same estimates at December 31, 2019, we recorded an increase in the fair value of our contingent consideration liabilities due to changes in certain underlying market conditions of th</w:t>
      </w:r>
      <w:r>
        <w:rPr>
          <w:rFonts w:eastAsia="Times New Roman"/>
          <w:color w:val="000000"/>
          <w:sz w:val="20"/>
          <w:szCs w:val="20"/>
        </w:rPr>
        <w:t xml:space="preserve">e acquisition-related contingent consideration earn-out payments - Éclat.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For the three months ended September 30, 2019, as a result of changes to these estimates when compared to the same estimates at December 31, 2018, we recorded a decrease in the fa</w:t>
      </w:r>
      <w:r>
        <w:rPr>
          <w:rFonts w:eastAsia="Times New Roman"/>
          <w:color w:val="000000"/>
          <w:sz w:val="20"/>
          <w:szCs w:val="20"/>
        </w:rPr>
        <w:t>ir value of our contingent consideration liabilities, largely due to changes in certain underlying market conditions of the acquisition-related contingent consideration earn-out payments - Éclat.</w:t>
      </w:r>
    </w:p>
    <w:p w:rsidR="00000000" w:rsidRDefault="006629D3">
      <w:pPr>
        <w:jc w:val="both"/>
        <w:rPr>
          <w:rFonts w:eastAsia="Times New Roman"/>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37"/>
        <w:gridCol w:w="3701"/>
        <w:gridCol w:w="36"/>
        <w:gridCol w:w="36"/>
        <w:gridCol w:w="36"/>
        <w:gridCol w:w="36"/>
        <w:gridCol w:w="110"/>
        <w:gridCol w:w="879"/>
        <w:gridCol w:w="36"/>
        <w:gridCol w:w="36"/>
        <w:gridCol w:w="36"/>
        <w:gridCol w:w="36"/>
        <w:gridCol w:w="110"/>
        <w:gridCol w:w="843"/>
        <w:gridCol w:w="36"/>
        <w:gridCol w:w="36"/>
        <w:gridCol w:w="36"/>
        <w:gridCol w:w="36"/>
        <w:gridCol w:w="111"/>
        <w:gridCol w:w="831"/>
        <w:gridCol w:w="37"/>
        <w:gridCol w:w="37"/>
        <w:gridCol w:w="37"/>
        <w:gridCol w:w="37"/>
        <w:gridCol w:w="37"/>
        <w:gridCol w:w="823"/>
        <w:gridCol w:w="171"/>
      </w:tblGrid>
      <w:tr w:rsidR="00000000">
        <w:trPr>
          <w:divId w:val="1879774786"/>
          <w:jc w:val="center"/>
        </w:trPr>
        <w:tc>
          <w:tcPr>
            <w:tcW w:w="50" w:type="pct"/>
            <w:vAlign w:val="center"/>
            <w:hideMark/>
          </w:tcPr>
          <w:p w:rsidR="00000000" w:rsidRDefault="006629D3">
            <w:pPr>
              <w:jc w:val="both"/>
              <w:rPr>
                <w:rFonts w:eastAsia="Times New Roman"/>
              </w:rPr>
            </w:pPr>
          </w:p>
        </w:tc>
        <w:tc>
          <w:tcPr>
            <w:tcW w:w="228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9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71"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4"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87977478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1879774786"/>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879774786"/>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87977478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Changes in Fair Value of Contingent Consideration: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879774786"/>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879774786"/>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2,384 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943 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879774786"/>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We compute the fair value of the contingent consideration using several significant assumptions and when these assumptions change</w:t>
      </w:r>
      <w:r>
        <w:rPr>
          <w:rFonts w:eastAsia="Times New Roman"/>
          <w:color w:val="000000"/>
          <w:sz w:val="20"/>
          <w:szCs w:val="20"/>
        </w:rPr>
        <w:t>, due to underlying market conditions, the fair value of these liabilities change as well. Each of the underlying assumptions used to determine the fair values of these contingent liabilities can, and often do, change based on adjustments in current market</w:t>
      </w:r>
      <w:r>
        <w:rPr>
          <w:rFonts w:eastAsia="Times New Roman"/>
          <w:color w:val="000000"/>
          <w:sz w:val="20"/>
          <w:szCs w:val="20"/>
        </w:rPr>
        <w:t xml:space="preserve"> conditions, competition and other factors. These changes can have a material impact on our unaudited condensed consolidated statements of (loss) income and balance sheet.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As a result of changes in the underlying assumptions used to determine the estim</w:t>
      </w:r>
      <w:r>
        <w:rPr>
          <w:rFonts w:eastAsia="Times New Roman"/>
          <w:color w:val="000000"/>
          <w:sz w:val="20"/>
          <w:szCs w:val="20"/>
        </w:rPr>
        <w:t>ated fair values of our acquisition-related contingent consideration earn-out payments - Éclat, we recorded an expense of $3,327 and $2,384 and increased the fair value of the acquisition-related contingent consideration earn-out payments - Éclat for the n</w:t>
      </w:r>
      <w:r>
        <w:rPr>
          <w:rFonts w:eastAsia="Times New Roman"/>
          <w:color w:val="000000"/>
          <w:sz w:val="20"/>
          <w:szCs w:val="20"/>
        </w:rPr>
        <w:t>ine months ended September 30, 2020 and 2019, respectively. As noted in our critical accounting estimates included in the 2019 Form 10-K, there are numerous assumptions and estimates we use when determining the fair value of the acquisition-related earn-ou</w:t>
      </w:r>
      <w:r>
        <w:rPr>
          <w:rFonts w:eastAsia="Times New Roman"/>
          <w:color w:val="000000"/>
          <w:sz w:val="20"/>
          <w:szCs w:val="20"/>
        </w:rPr>
        <w:t>t payments - Éclat. These assumptions include estimates of pricing, market size, the market share the related products are forecast to achieve, the cost of goods related to such products and an appropriate discount rate to use when present valuing the rela</w:t>
      </w:r>
      <w:r>
        <w:rPr>
          <w:rFonts w:eastAsia="Times New Roman"/>
          <w:color w:val="000000"/>
          <w:sz w:val="20"/>
          <w:szCs w:val="20"/>
        </w:rPr>
        <w:t>ted cash flows.</w:t>
      </w:r>
    </w:p>
    <w:p w:rsidR="00000000" w:rsidRDefault="006629D3">
      <w:pPr>
        <w:jc w:val="both"/>
        <w:rPr>
          <w:rFonts w:eastAsia="Times New Roman"/>
        </w:rPr>
      </w:pPr>
    </w:p>
    <w:p w:rsidR="00000000" w:rsidRDefault="006629D3">
      <w:pPr>
        <w:jc w:val="center"/>
        <w:divId w:val="2026859492"/>
        <w:rPr>
          <w:rFonts w:eastAsia="Times New Roman"/>
        </w:rPr>
      </w:pPr>
      <w:r>
        <w:rPr>
          <w:rFonts w:eastAsia="Times New Roman"/>
          <w:color w:val="000000"/>
          <w:sz w:val="20"/>
          <w:szCs w:val="20"/>
        </w:rPr>
        <w:t>- 38 -</w:t>
      </w:r>
    </w:p>
    <w:p w:rsidR="00000000" w:rsidRDefault="006629D3">
      <w:pPr>
        <w:rPr>
          <w:rFonts w:eastAsia="Times New Roman"/>
        </w:rPr>
      </w:pPr>
      <w:r>
        <w:rPr>
          <w:rFonts w:eastAsia="Times New Roman"/>
        </w:rPr>
        <w:pict>
          <v:rect id="_x0000_i1063" style="width:0;height:1.5pt" o:hralign="center" o:hrstd="t" o:hr="t" fillcolor="#a0a0a0" stroked="f"/>
        </w:pict>
      </w:r>
    </w:p>
    <w:p w:rsidR="00000000" w:rsidRDefault="006629D3">
      <w:pPr>
        <w:divId w:val="900752470"/>
        <w:rPr>
          <w:rFonts w:eastAsia="Times New Roman"/>
        </w:rPr>
      </w:pPr>
    </w:p>
    <w:p w:rsidR="00000000" w:rsidRDefault="006629D3">
      <w:pPr>
        <w:jc w:val="both"/>
        <w:rPr>
          <w:rFonts w:eastAsia="Times New Roman"/>
        </w:rPr>
      </w:pPr>
      <w:r>
        <w:rPr>
          <w:rFonts w:eastAsia="Times New Roman"/>
          <w:color w:val="000000"/>
          <w:sz w:val="20"/>
          <w:szCs w:val="20"/>
        </w:rPr>
        <w:t>For the nine months ended September 30, 2020, as a result of changes to these estimates when compared to the same estimates at December 31, 2019, we recorded an increase in the fair value of our contingent consideratio</w:t>
      </w:r>
      <w:r>
        <w:rPr>
          <w:rFonts w:eastAsia="Times New Roman"/>
          <w:color w:val="000000"/>
          <w:sz w:val="20"/>
          <w:szCs w:val="20"/>
        </w:rPr>
        <w:t xml:space="preserve">n liabilities due to changes in certain underlying market conditions of the acquisition-related contingent consideration earn-out payments - Éclat.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For the nine months ended September 30, 2019, as a result of changes to these estimates when compared to </w:t>
      </w:r>
      <w:r>
        <w:rPr>
          <w:rFonts w:eastAsia="Times New Roman"/>
          <w:color w:val="000000"/>
          <w:sz w:val="20"/>
          <w:szCs w:val="20"/>
        </w:rPr>
        <w:t>the same estimates at December 31, 2018, we recorded an increase in the fair value of our contingent consideration liabilities, largely due to changes in certain underlying market conditions of the acquisition-related contingent consideration earn-out paym</w:t>
      </w:r>
      <w:r>
        <w:rPr>
          <w:rFonts w:eastAsia="Times New Roman"/>
          <w:color w:val="000000"/>
          <w:sz w:val="20"/>
          <w:szCs w:val="20"/>
        </w:rPr>
        <w:t>ents - Éclat.</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1"/>
        <w:gridCol w:w="831"/>
        <w:gridCol w:w="37"/>
        <w:gridCol w:w="36"/>
        <w:gridCol w:w="36"/>
        <w:gridCol w:w="36"/>
        <w:gridCol w:w="110"/>
        <w:gridCol w:w="831"/>
        <w:gridCol w:w="36"/>
        <w:gridCol w:w="36"/>
        <w:gridCol w:w="36"/>
        <w:gridCol w:w="36"/>
        <w:gridCol w:w="39"/>
        <w:gridCol w:w="823"/>
        <w:gridCol w:w="170"/>
      </w:tblGrid>
      <w:tr w:rsidR="00000000">
        <w:trPr>
          <w:divId w:val="690180410"/>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69018041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690180410"/>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20"/>
                <w:szCs w:val="20"/>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690180410"/>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69018041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Gain on Sale of Hospital Products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690180410"/>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690180410"/>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Gain on sale of Hospital Products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45,760 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45,760 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690180410"/>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On June 30, 2020, we sold our assets, rights and interests related to Bloxiverz, Vazculep, Akovaz and Nouress to the Exela Buyer pursuant to </w:t>
      </w:r>
      <w:r>
        <w:rPr>
          <w:rFonts w:eastAsia="Times New Roman"/>
          <w:color w:val="000000"/>
          <w:sz w:val="20"/>
          <w:szCs w:val="20"/>
        </w:rPr>
        <w:t xml:space="preserve">an asset purchase agreement by and among us and the Exela Buyer. We recognized a net $45,760 gain on this transaction. See </w:t>
      </w:r>
      <w:r>
        <w:rPr>
          <w:rFonts w:eastAsia="Times New Roman"/>
          <w:i/>
          <w:iCs/>
          <w:color w:val="000000"/>
          <w:sz w:val="20"/>
          <w:szCs w:val="20"/>
        </w:rPr>
        <w:t>Note 4: Disposition of the Hospital Products</w:t>
      </w:r>
      <w:r>
        <w:rPr>
          <w:rFonts w:eastAsia="Times New Roman"/>
          <w:color w:val="000000"/>
          <w:sz w:val="20"/>
          <w:szCs w:val="20"/>
        </w:rPr>
        <w:t xml:space="preserve">. </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45"/>
        <w:gridCol w:w="818"/>
        <w:gridCol w:w="170"/>
      </w:tblGrid>
      <w:tr w:rsidR="00000000">
        <w:trPr>
          <w:divId w:val="1980841083"/>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980841083"/>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980841083"/>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980841083"/>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980841083"/>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Restructuring (Income) Costs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980841083"/>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980841083"/>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(226)</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1,866 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(2,092)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(112.1)</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80841083"/>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divId w:val="1689722393"/>
        <w:rPr>
          <w:rFonts w:eastAsia="Times New Roman"/>
        </w:rPr>
      </w:pPr>
    </w:p>
    <w:p w:rsidR="00000000" w:rsidRDefault="006629D3">
      <w:pPr>
        <w:jc w:val="both"/>
        <w:divId w:val="1028261935"/>
        <w:rPr>
          <w:rFonts w:eastAsia="Times New Roman"/>
        </w:rPr>
      </w:pPr>
      <w:r>
        <w:rPr>
          <w:rFonts w:eastAsia="Times New Roman"/>
          <w:color w:val="000000"/>
          <w:sz w:val="20"/>
          <w:szCs w:val="20"/>
        </w:rPr>
        <w:t>Restructuring income of $226 and restructuring costs of $1,866 were recognized during the three months ended September 30, 2020 and 2019, res</w:t>
      </w:r>
      <w:r>
        <w:rPr>
          <w:rFonts w:eastAsia="Times New Roman"/>
          <w:color w:val="000000"/>
          <w:sz w:val="20"/>
          <w:szCs w:val="20"/>
        </w:rPr>
        <w:t xml:space="preserve">pectively. Restructuring income during the three months ended September 30, 2020, was related to share-based compensation forfeitures related to the 2019 Corporate Restructuring actions. Restructuring costs during the three months ended September 30, 2019 </w:t>
      </w:r>
      <w:r>
        <w:rPr>
          <w:rFonts w:eastAsia="Times New Roman"/>
          <w:color w:val="000000"/>
          <w:sz w:val="20"/>
          <w:szCs w:val="20"/>
        </w:rPr>
        <w:t xml:space="preserve">were primarily related to the 2019 French and Corporate Restructuring actions and mainly included severance and legal costs, see </w:t>
      </w:r>
      <w:r>
        <w:rPr>
          <w:rFonts w:eastAsia="Times New Roman"/>
          <w:i/>
          <w:iCs/>
          <w:color w:val="000000"/>
          <w:sz w:val="20"/>
          <w:szCs w:val="20"/>
        </w:rPr>
        <w:t>Note 15: Restructuring Costs</w:t>
      </w:r>
      <w:r>
        <w:rPr>
          <w:rFonts w:eastAsia="Times New Roman"/>
          <w:color w:val="000000"/>
          <w:sz w:val="20"/>
          <w:szCs w:val="20"/>
        </w:rPr>
        <w:t xml:space="preserve"> for further details.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0"/>
        <w:gridCol w:w="831"/>
        <w:gridCol w:w="36"/>
        <w:gridCol w:w="36"/>
        <w:gridCol w:w="36"/>
        <w:gridCol w:w="36"/>
        <w:gridCol w:w="110"/>
        <w:gridCol w:w="831"/>
        <w:gridCol w:w="36"/>
        <w:gridCol w:w="36"/>
        <w:gridCol w:w="36"/>
        <w:gridCol w:w="36"/>
        <w:gridCol w:w="110"/>
        <w:gridCol w:w="832"/>
        <w:gridCol w:w="36"/>
        <w:gridCol w:w="36"/>
        <w:gridCol w:w="36"/>
        <w:gridCol w:w="36"/>
        <w:gridCol w:w="45"/>
        <w:gridCol w:w="818"/>
        <w:gridCol w:w="170"/>
      </w:tblGrid>
      <w:tr w:rsidR="00000000">
        <w:trPr>
          <w:divId w:val="1903247991"/>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90324799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190324799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903247991"/>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903247991"/>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Restructuring (Income) Costs</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903247991"/>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903247991"/>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4,600 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(4,643)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03247991"/>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divId w:val="1531412053"/>
        <w:rPr>
          <w:rFonts w:eastAsia="Times New Roman"/>
        </w:rPr>
      </w:pPr>
      <w:r>
        <w:rPr>
          <w:rFonts w:eastAsia="Times New Roman"/>
          <w:color w:val="000000"/>
          <w:sz w:val="20"/>
          <w:szCs w:val="20"/>
        </w:rPr>
        <w:t>Restructuring income of $43 and costs of $4,600 were recognized during the nine months ended September 30, 2020 and 2019, respectively. Restruc</w:t>
      </w:r>
      <w:r>
        <w:rPr>
          <w:rFonts w:eastAsia="Times New Roman"/>
          <w:color w:val="000000"/>
          <w:sz w:val="20"/>
          <w:szCs w:val="20"/>
        </w:rPr>
        <w:t xml:space="preserve">turing (income) costs were primarily related to the 2019 French and Corporate Restructuring actions and mainly included severance and legal costs, see </w:t>
      </w:r>
      <w:r>
        <w:rPr>
          <w:rFonts w:eastAsia="Times New Roman"/>
          <w:i/>
          <w:iCs/>
          <w:color w:val="000000"/>
          <w:sz w:val="20"/>
          <w:szCs w:val="20"/>
        </w:rPr>
        <w:t>Note 15: Restructuring Costs</w:t>
      </w:r>
      <w:r>
        <w:rPr>
          <w:rFonts w:eastAsia="Times New Roman"/>
          <w:color w:val="000000"/>
          <w:sz w:val="20"/>
          <w:szCs w:val="20"/>
        </w:rPr>
        <w:t xml:space="preserve"> for further details. </w:t>
      </w:r>
    </w:p>
    <w:p w:rsidR="00000000" w:rsidRDefault="006629D3">
      <w:pPr>
        <w:jc w:val="center"/>
        <w:divId w:val="971444836"/>
        <w:rPr>
          <w:rFonts w:eastAsia="Times New Roman"/>
        </w:rPr>
      </w:pPr>
      <w:r>
        <w:rPr>
          <w:rFonts w:eastAsia="Times New Roman"/>
          <w:color w:val="000000"/>
          <w:sz w:val="20"/>
          <w:szCs w:val="20"/>
        </w:rPr>
        <w:t>- 39 -</w:t>
      </w:r>
    </w:p>
    <w:p w:rsidR="00000000" w:rsidRDefault="006629D3">
      <w:pPr>
        <w:rPr>
          <w:rFonts w:eastAsia="Times New Roman"/>
        </w:rPr>
      </w:pPr>
      <w:r>
        <w:rPr>
          <w:rFonts w:eastAsia="Times New Roman"/>
        </w:rPr>
        <w:pict>
          <v:rect id="_x0000_i1064" style="width:0;height:1.5pt" o:hralign="center" o:hrstd="t" o:hr="t" fillcolor="#a0a0a0" stroked="f"/>
        </w:pict>
      </w:r>
    </w:p>
    <w:p w:rsidR="00000000" w:rsidRDefault="006629D3">
      <w:pPr>
        <w:divId w:val="1114862285"/>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38"/>
        <w:gridCol w:w="825"/>
        <w:gridCol w:w="170"/>
      </w:tblGrid>
      <w:tr w:rsidR="00000000">
        <w:trPr>
          <w:divId w:val="1867017703"/>
          <w:jc w:val="center"/>
        </w:trPr>
        <w:tc>
          <w:tcPr>
            <w:tcW w:w="50" w:type="pct"/>
            <w:vAlign w:val="center"/>
            <w:hideMark/>
          </w:tcPr>
          <w:p w:rsidR="00000000" w:rsidRDefault="006629D3">
            <w:pPr>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867017703"/>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867017703"/>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867017703"/>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867017703"/>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Investment and Other (Expense) Income, net</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867017703"/>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867017703"/>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213 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781 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(568)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(72.7)</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867017703"/>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divId w:val="1859154602"/>
        <w:rPr>
          <w:rFonts w:eastAsia="Times New Roman"/>
        </w:rPr>
      </w:pPr>
      <w:r>
        <w:rPr>
          <w:rFonts w:eastAsia="Times New Roman"/>
          <w:color w:val="000000"/>
          <w:sz w:val="20"/>
          <w:szCs w:val="20"/>
        </w:rPr>
        <w:t>Investment and other (expense) income, net decreased for the three months ended September 30, 2020 when compared to the same period in the prio</w:t>
      </w:r>
      <w:r>
        <w:rPr>
          <w:rFonts w:eastAsia="Times New Roman"/>
          <w:color w:val="000000"/>
          <w:sz w:val="20"/>
          <w:szCs w:val="20"/>
        </w:rPr>
        <w:t xml:space="preserve">r year driven by lower realized gains on our marketable securities during the current period when compared to the prior period. </w:t>
      </w: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74"/>
        <w:gridCol w:w="37"/>
        <w:gridCol w:w="36"/>
        <w:gridCol w:w="36"/>
        <w:gridCol w:w="36"/>
        <w:gridCol w:w="110"/>
        <w:gridCol w:w="831"/>
        <w:gridCol w:w="36"/>
        <w:gridCol w:w="36"/>
        <w:gridCol w:w="36"/>
        <w:gridCol w:w="36"/>
        <w:gridCol w:w="110"/>
        <w:gridCol w:w="831"/>
        <w:gridCol w:w="36"/>
        <w:gridCol w:w="36"/>
        <w:gridCol w:w="36"/>
        <w:gridCol w:w="36"/>
        <w:gridCol w:w="110"/>
        <w:gridCol w:w="831"/>
        <w:gridCol w:w="36"/>
        <w:gridCol w:w="36"/>
        <w:gridCol w:w="36"/>
        <w:gridCol w:w="36"/>
        <w:gridCol w:w="45"/>
        <w:gridCol w:w="818"/>
        <w:gridCol w:w="170"/>
      </w:tblGrid>
      <w:tr w:rsidR="00000000">
        <w:trPr>
          <w:divId w:val="434600194"/>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43460019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434600194"/>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434600194"/>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43460019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Investment and Other (Expense) Income, net</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434600194"/>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43460019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Investment and other (expense) income, net</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(906)</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2,548 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(3,454)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(135.6)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434600194"/>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divId w:val="1788162908"/>
        <w:rPr>
          <w:rFonts w:eastAsia="Times New Roman"/>
        </w:rPr>
      </w:pPr>
      <w:r>
        <w:rPr>
          <w:rFonts w:eastAsia="Times New Roman"/>
          <w:color w:val="000000"/>
          <w:sz w:val="20"/>
          <w:szCs w:val="20"/>
        </w:rPr>
        <w:t>Investment and other (expense) income, net decreased for the nine months ended September 30, 2020 when compared to the same period in the prior</w:t>
      </w:r>
      <w:r>
        <w:rPr>
          <w:rFonts w:eastAsia="Times New Roman"/>
          <w:color w:val="000000"/>
          <w:sz w:val="20"/>
          <w:szCs w:val="20"/>
        </w:rPr>
        <w:t xml:space="preserve"> year driven by a $800 legal settlement related to a bankruptcy claim, an increase in net unrealized losses on our marketable equity securities and net realized losses on our marketable securities during the current period when compared to net unrealized g</w:t>
      </w:r>
      <w:r>
        <w:rPr>
          <w:rFonts w:eastAsia="Times New Roman"/>
          <w:color w:val="000000"/>
          <w:sz w:val="20"/>
          <w:szCs w:val="20"/>
        </w:rPr>
        <w:t xml:space="preserve">ains on our marketable securities during the prior period. </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4"/>
        <w:gridCol w:w="36"/>
        <w:gridCol w:w="36"/>
        <w:gridCol w:w="36"/>
        <w:gridCol w:w="36"/>
        <w:gridCol w:w="110"/>
        <w:gridCol w:w="831"/>
        <w:gridCol w:w="36"/>
        <w:gridCol w:w="36"/>
        <w:gridCol w:w="36"/>
        <w:gridCol w:w="36"/>
        <w:gridCol w:w="110"/>
        <w:gridCol w:w="831"/>
        <w:gridCol w:w="36"/>
        <w:gridCol w:w="36"/>
        <w:gridCol w:w="36"/>
        <w:gridCol w:w="36"/>
        <w:gridCol w:w="111"/>
        <w:gridCol w:w="831"/>
        <w:gridCol w:w="37"/>
        <w:gridCol w:w="37"/>
        <w:gridCol w:w="37"/>
        <w:gridCol w:w="37"/>
        <w:gridCol w:w="37"/>
        <w:gridCol w:w="822"/>
        <w:gridCol w:w="171"/>
      </w:tblGrid>
      <w:tr w:rsidR="00000000">
        <w:trPr>
          <w:divId w:val="1930625325"/>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930625325"/>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930625325"/>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930625325"/>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930625325"/>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930625325"/>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930625325"/>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3,259 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3,125 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930625325"/>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r>
        <w:rPr>
          <w:rFonts w:eastAsia="Times New Roman"/>
          <w:color w:val="000000"/>
          <w:sz w:val="20"/>
          <w:szCs w:val="20"/>
        </w:rPr>
        <w:t>Interest expense of $3,259 and $3,125 for the three months end September 30, 2020 and 2019 is related to interest on the 2023 Notes that were i</w:t>
      </w:r>
      <w:r>
        <w:rPr>
          <w:rFonts w:eastAsia="Times New Roman"/>
          <w:color w:val="000000"/>
          <w:sz w:val="20"/>
          <w:szCs w:val="20"/>
        </w:rPr>
        <w:t>ssued in February 2018.</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4"/>
        <w:gridCol w:w="36"/>
        <w:gridCol w:w="36"/>
        <w:gridCol w:w="36"/>
        <w:gridCol w:w="36"/>
        <w:gridCol w:w="110"/>
        <w:gridCol w:w="831"/>
        <w:gridCol w:w="36"/>
        <w:gridCol w:w="36"/>
        <w:gridCol w:w="36"/>
        <w:gridCol w:w="36"/>
        <w:gridCol w:w="110"/>
        <w:gridCol w:w="831"/>
        <w:gridCol w:w="36"/>
        <w:gridCol w:w="36"/>
        <w:gridCol w:w="36"/>
        <w:gridCol w:w="36"/>
        <w:gridCol w:w="111"/>
        <w:gridCol w:w="831"/>
        <w:gridCol w:w="37"/>
        <w:gridCol w:w="37"/>
        <w:gridCol w:w="37"/>
        <w:gridCol w:w="37"/>
        <w:gridCol w:w="37"/>
        <w:gridCol w:w="822"/>
        <w:gridCol w:w="171"/>
      </w:tblGrid>
      <w:tr w:rsidR="00000000">
        <w:trPr>
          <w:divId w:val="949703706"/>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94970370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949703706"/>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949703706"/>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94970370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949703706"/>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949703706"/>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9,686 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9,293 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393 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4.2 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949703706"/>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Interest expense of $9,686 and $9,293 for the nine months end September 30, 2020 and 2019 is related to interest on the 2023 Notes that were </w:t>
      </w:r>
      <w:r>
        <w:rPr>
          <w:rFonts w:eastAsia="Times New Roman"/>
          <w:color w:val="000000"/>
          <w:sz w:val="20"/>
          <w:szCs w:val="20"/>
        </w:rPr>
        <w:t>issued in February 2018.</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5"/>
        <w:gridCol w:w="36"/>
        <w:gridCol w:w="36"/>
        <w:gridCol w:w="36"/>
        <w:gridCol w:w="36"/>
        <w:gridCol w:w="111"/>
        <w:gridCol w:w="831"/>
        <w:gridCol w:w="37"/>
        <w:gridCol w:w="36"/>
        <w:gridCol w:w="36"/>
        <w:gridCol w:w="36"/>
        <w:gridCol w:w="110"/>
        <w:gridCol w:w="831"/>
        <w:gridCol w:w="36"/>
        <w:gridCol w:w="36"/>
        <w:gridCol w:w="36"/>
        <w:gridCol w:w="36"/>
        <w:gridCol w:w="110"/>
        <w:gridCol w:w="831"/>
        <w:gridCol w:w="36"/>
        <w:gridCol w:w="36"/>
        <w:gridCol w:w="36"/>
        <w:gridCol w:w="36"/>
        <w:gridCol w:w="39"/>
        <w:gridCol w:w="823"/>
        <w:gridCol w:w="170"/>
      </w:tblGrid>
      <w:tr w:rsidR="00000000">
        <w:trPr>
          <w:divId w:val="84033208"/>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8403320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84033208"/>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84033208"/>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8403320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Loss on Deconsolidation of Subsidiary</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84033208"/>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84033208"/>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Loss on deconsolidation of subsidiary</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center"/>
            <w:hideMark/>
          </w:tcPr>
          <w:p w:rsidR="00000000" w:rsidRDefault="006629D3">
            <w:pPr>
              <w:jc w:val="right"/>
              <w:rPr>
                <w:rFonts w:eastAsia="Times New Roman"/>
              </w:rPr>
            </w:pPr>
            <w:r>
              <w:rPr>
                <w:rFonts w:eastAsia="Times New Roman"/>
                <w:color w:val="000000"/>
                <w:sz w:val="18"/>
                <w:szCs w:val="18"/>
              </w:rPr>
              <w:t>(2,840)</w:t>
            </w:r>
          </w:p>
        </w:tc>
        <w:tc>
          <w:tcPr>
            <w:tcW w:w="0" w:type="auto"/>
            <w:shd w:val="clear" w:color="auto" w:fill="CCEEFF"/>
            <w:tcMar>
              <w:top w:w="30" w:type="dxa"/>
              <w:left w:w="0" w:type="dxa"/>
              <w:bottom w:w="30" w:type="dxa"/>
              <w:right w:w="20" w:type="dxa"/>
            </w:tcMar>
            <w:vAlign w:val="center"/>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2,840 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84033208"/>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As a result of Specialty Pharma’s bankruptcy filing on February 6, 2019, the Company concluded that it no longer controls its operations and </w:t>
      </w:r>
      <w:r>
        <w:rPr>
          <w:rFonts w:eastAsia="Times New Roman"/>
          <w:color w:val="000000"/>
          <w:sz w:val="20"/>
          <w:szCs w:val="20"/>
        </w:rPr>
        <w:t>accordingly deconsolidated this subsidiary. The Company recorded a loss on the deconsolidation during the nine months ended September 30, 2019 as a result of removing the net assets and certain liabilities of this subsidiary from our unaudited condensed co</w:t>
      </w:r>
      <w:r>
        <w:rPr>
          <w:rFonts w:eastAsia="Times New Roman"/>
          <w:color w:val="000000"/>
          <w:sz w:val="20"/>
          <w:szCs w:val="20"/>
        </w:rPr>
        <w:t xml:space="preserve">nsolidated financial statements. See </w:t>
      </w:r>
      <w:r>
        <w:rPr>
          <w:rFonts w:eastAsia="Times New Roman"/>
          <w:i/>
          <w:iCs/>
          <w:color w:val="000000"/>
          <w:sz w:val="20"/>
          <w:szCs w:val="20"/>
        </w:rPr>
        <w:t xml:space="preserve">Note 3: Subsidiary Bankruptcy and Deconsolidation </w:t>
      </w:r>
      <w:r>
        <w:rPr>
          <w:rFonts w:eastAsia="Times New Roman"/>
          <w:color w:val="000000"/>
          <w:sz w:val="20"/>
          <w:szCs w:val="20"/>
        </w:rPr>
        <w:t>for more discussion.</w:t>
      </w:r>
    </w:p>
    <w:p w:rsidR="00000000" w:rsidRDefault="006629D3">
      <w:pPr>
        <w:jc w:val="center"/>
        <w:rPr>
          <w:rFonts w:eastAsia="Times New Roman"/>
        </w:rPr>
      </w:pPr>
    </w:p>
    <w:p w:rsidR="00000000" w:rsidRDefault="006629D3">
      <w:pPr>
        <w:jc w:val="center"/>
        <w:divId w:val="839588187"/>
        <w:rPr>
          <w:rFonts w:eastAsia="Times New Roman"/>
        </w:rPr>
      </w:pPr>
      <w:r>
        <w:rPr>
          <w:rFonts w:eastAsia="Times New Roman"/>
          <w:color w:val="000000"/>
          <w:sz w:val="20"/>
          <w:szCs w:val="20"/>
        </w:rPr>
        <w:t>- 40 -</w:t>
      </w:r>
    </w:p>
    <w:p w:rsidR="00000000" w:rsidRDefault="006629D3">
      <w:pPr>
        <w:rPr>
          <w:rFonts w:eastAsia="Times New Roman"/>
        </w:rPr>
      </w:pPr>
      <w:r>
        <w:rPr>
          <w:rFonts w:eastAsia="Times New Roman"/>
        </w:rPr>
        <w:pict>
          <v:rect id="_x0000_i1065" style="width:0;height:1.5pt" o:hralign="center" o:hrstd="t" o:hr="t" fillcolor="#a0a0a0" stroked="f"/>
        </w:pict>
      </w:r>
    </w:p>
    <w:p w:rsidR="00000000" w:rsidRDefault="006629D3">
      <w:pPr>
        <w:divId w:val="2072380394"/>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3"/>
        <w:gridCol w:w="36"/>
        <w:gridCol w:w="36"/>
        <w:gridCol w:w="36"/>
        <w:gridCol w:w="36"/>
        <w:gridCol w:w="111"/>
        <w:gridCol w:w="830"/>
        <w:gridCol w:w="37"/>
        <w:gridCol w:w="36"/>
        <w:gridCol w:w="36"/>
        <w:gridCol w:w="36"/>
        <w:gridCol w:w="110"/>
        <w:gridCol w:w="831"/>
        <w:gridCol w:w="36"/>
        <w:gridCol w:w="36"/>
        <w:gridCol w:w="36"/>
        <w:gridCol w:w="36"/>
        <w:gridCol w:w="111"/>
        <w:gridCol w:w="831"/>
        <w:gridCol w:w="37"/>
        <w:gridCol w:w="37"/>
        <w:gridCol w:w="37"/>
        <w:gridCol w:w="37"/>
        <w:gridCol w:w="39"/>
        <w:gridCol w:w="820"/>
        <w:gridCol w:w="171"/>
      </w:tblGrid>
      <w:tr w:rsidR="00000000">
        <w:trPr>
          <w:divId w:val="562452444"/>
          <w:jc w:val="center"/>
        </w:trPr>
        <w:tc>
          <w:tcPr>
            <w:tcW w:w="50" w:type="pct"/>
            <w:vAlign w:val="center"/>
            <w:hideMark/>
          </w:tcPr>
          <w:p w:rsidR="00000000" w:rsidRDefault="006629D3">
            <w:pPr>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56245244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562452444"/>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562452444"/>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562452444"/>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Other Expense - Changes in Fair Value of Contingent Consideration Payable</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562452444"/>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562452444"/>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562452444"/>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We recorded expense of $139 to increase of the fair value of these liabilities during the three months ended September 30, 2019, </w:t>
      </w:r>
      <w:r>
        <w:rPr>
          <w:rFonts w:eastAsia="Times New Roman"/>
          <w:color w:val="000000"/>
          <w:sz w:val="20"/>
          <w:szCs w:val="20"/>
        </w:rPr>
        <w:t>due to the same reasons associated with the Éclat product sales forecasts as described in the section “Changes in Fair Value of Related Party Contingent Consideration” for these periods. As noted in our critical accounting estimates section included in our</w:t>
      </w:r>
      <w:r>
        <w:rPr>
          <w:rFonts w:eastAsia="Times New Roman"/>
          <w:color w:val="000000"/>
          <w:sz w:val="20"/>
          <w:szCs w:val="20"/>
        </w:rPr>
        <w:t xml:space="preserve"> 2019 Form 10-K, there are a number of assumptions and estimates we use when determining the fair value of the contingent consideration payable payments. These estimates include pricing, market size, the market share the related products are forecast to ac</w:t>
      </w:r>
      <w:r>
        <w:rPr>
          <w:rFonts w:eastAsia="Times New Roman"/>
          <w:color w:val="000000"/>
          <w:sz w:val="20"/>
          <w:szCs w:val="20"/>
        </w:rPr>
        <w:t>hieve and an appropriate discount rate to use when present valuing the related cash flows. These estimates often do change based on changes in current market conditions, competition and other factors.</w:t>
      </w:r>
    </w:p>
    <w:p w:rsidR="00000000" w:rsidRDefault="006629D3">
      <w:pPr>
        <w:jc w:val="both"/>
        <w:rPr>
          <w:rFonts w:eastAsia="Times New Roman"/>
        </w:rPr>
      </w:pPr>
    </w:p>
    <w:p w:rsidR="00000000" w:rsidRDefault="006629D3">
      <w:pPr>
        <w:jc w:val="both"/>
        <w:divId w:val="805009566"/>
        <w:rPr>
          <w:rFonts w:eastAsia="Times New Roman"/>
        </w:rPr>
      </w:pPr>
      <w:r>
        <w:rPr>
          <w:rFonts w:eastAsia="Times New Roman"/>
          <w:color w:val="000000"/>
          <w:sz w:val="20"/>
          <w:szCs w:val="20"/>
        </w:rPr>
        <w:t>The items accounting for the difference between the i</w:t>
      </w:r>
      <w:r>
        <w:rPr>
          <w:rFonts w:eastAsia="Times New Roman"/>
          <w:color w:val="000000"/>
          <w:sz w:val="20"/>
          <w:szCs w:val="20"/>
        </w:rPr>
        <w:t>ncome tax benefit computed at the statutory rate and the Company’s effective tax rate for the three months ended September 30, 2020 and 2019, are as follows: </w:t>
      </w:r>
    </w:p>
    <w:tbl>
      <w:tblPr>
        <w:tblW w:w="4963" w:type="pct"/>
        <w:jc w:val="center"/>
        <w:tblCellMar>
          <w:top w:w="15" w:type="dxa"/>
          <w:left w:w="15" w:type="dxa"/>
          <w:bottom w:w="15" w:type="dxa"/>
          <w:right w:w="15" w:type="dxa"/>
        </w:tblCellMar>
        <w:tblLook w:val="04A0" w:firstRow="1" w:lastRow="0" w:firstColumn="1" w:lastColumn="0" w:noHBand="0" w:noVBand="1"/>
      </w:tblPr>
      <w:tblGrid>
        <w:gridCol w:w="37"/>
        <w:gridCol w:w="3774"/>
        <w:gridCol w:w="36"/>
        <w:gridCol w:w="36"/>
        <w:gridCol w:w="36"/>
        <w:gridCol w:w="36"/>
        <w:gridCol w:w="110"/>
        <w:gridCol w:w="831"/>
        <w:gridCol w:w="36"/>
        <w:gridCol w:w="36"/>
        <w:gridCol w:w="36"/>
        <w:gridCol w:w="36"/>
        <w:gridCol w:w="110"/>
        <w:gridCol w:w="831"/>
        <w:gridCol w:w="36"/>
        <w:gridCol w:w="36"/>
        <w:gridCol w:w="36"/>
        <w:gridCol w:w="36"/>
        <w:gridCol w:w="111"/>
        <w:gridCol w:w="831"/>
        <w:gridCol w:w="37"/>
        <w:gridCol w:w="37"/>
        <w:gridCol w:w="37"/>
        <w:gridCol w:w="37"/>
        <w:gridCol w:w="37"/>
        <w:gridCol w:w="822"/>
        <w:gridCol w:w="171"/>
      </w:tblGrid>
      <w:tr w:rsidR="00000000">
        <w:trPr>
          <w:divId w:val="1458258470"/>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45825847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1458258470"/>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458258470"/>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45825847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Other Expense - Changes in Fair Value of Contingent Consideration Payable</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458258470"/>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458258470"/>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(496)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61 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458258470"/>
          <w:jc w:val="center"/>
        </w:trPr>
        <w:tc>
          <w:tcPr>
            <w:tcW w:w="0" w:type="auto"/>
            <w:gridSpan w:val="3"/>
            <w:vAlign w:val="center"/>
            <w:hideMark/>
          </w:tcPr>
          <w:p w:rsidR="00000000" w:rsidRDefault="006629D3">
            <w:pPr>
              <w:jc w:val="right"/>
              <w:rPr>
                <w:rFonts w:eastAsia="Times New Roman"/>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c>
          <w:tcPr>
            <w:tcW w:w="0" w:type="auto"/>
            <w:gridSpan w:val="3"/>
            <w:vAlign w:val="center"/>
            <w:hideMark/>
          </w:tcPr>
          <w:p w:rsidR="00000000" w:rsidRDefault="006629D3">
            <w:pPr>
              <w:rPr>
                <w:rFonts w:eastAsia="Times New Roman"/>
                <w:sz w:val="20"/>
                <w:szCs w:val="20"/>
              </w:rPr>
            </w:pPr>
          </w:p>
        </w:tc>
      </w:tr>
    </w:tbl>
    <w:p w:rsidR="00000000" w:rsidRDefault="006629D3">
      <w:pPr>
        <w:jc w:val="center"/>
        <w:rPr>
          <w:rFonts w:eastAsia="Times New Roman"/>
        </w:rPr>
      </w:pPr>
    </w:p>
    <w:p w:rsidR="00000000" w:rsidRDefault="006629D3">
      <w:pPr>
        <w:jc w:val="both"/>
        <w:rPr>
          <w:rFonts w:eastAsia="Times New Roman"/>
        </w:rPr>
      </w:pPr>
      <w:r>
        <w:rPr>
          <w:rFonts w:eastAsia="Times New Roman"/>
          <w:color w:val="000000"/>
          <w:sz w:val="20"/>
          <w:szCs w:val="20"/>
        </w:rPr>
        <w:t>We recorded expense of $435 and $496 to increase the fair value of these liabilities during the nine months ended September 30, 2</w:t>
      </w:r>
      <w:r>
        <w:rPr>
          <w:rFonts w:eastAsia="Times New Roman"/>
          <w:color w:val="000000"/>
          <w:sz w:val="20"/>
          <w:szCs w:val="20"/>
        </w:rPr>
        <w:t>020 and 2019, respectively, due to the same reasons associated with the Éclat product sales forecasts as described in the section “Changes in Fair Value of Related Party Contingent Consideration” for these periods. As noted in our critical accounting estim</w:t>
      </w:r>
      <w:r>
        <w:rPr>
          <w:rFonts w:eastAsia="Times New Roman"/>
          <w:color w:val="000000"/>
          <w:sz w:val="20"/>
          <w:szCs w:val="20"/>
        </w:rPr>
        <w:t>ates section included in our 2019 Form 10-K, there are a number of assumptions and estimates we use when determining the fair value of the contingent consideration payable payments. These estimates include pricing, market size, the market share the related</w:t>
      </w:r>
      <w:r>
        <w:rPr>
          <w:rFonts w:eastAsia="Times New Roman"/>
          <w:color w:val="000000"/>
          <w:sz w:val="20"/>
          <w:szCs w:val="20"/>
        </w:rPr>
        <w:t xml:space="preserve"> products are forecast to achieve and an appropriate discount rate to use when present valuing the related cash flows. These estimates often do change based on changes in current market conditions, competition and other factors.</w:t>
      </w:r>
    </w:p>
    <w:p w:rsidR="00000000" w:rsidRDefault="006629D3">
      <w:pPr>
        <w:jc w:val="both"/>
        <w:rPr>
          <w:rFonts w:eastAsia="Times New Roman"/>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725"/>
        <w:gridCol w:w="37"/>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45"/>
        <w:gridCol w:w="743"/>
        <w:gridCol w:w="170"/>
      </w:tblGrid>
      <w:tr w:rsidR="00000000">
        <w:trPr>
          <w:divId w:val="1201674986"/>
          <w:jc w:val="center"/>
        </w:trPr>
        <w:tc>
          <w:tcPr>
            <w:tcW w:w="50" w:type="pct"/>
            <w:vAlign w:val="center"/>
            <w:hideMark/>
          </w:tcPr>
          <w:p w:rsidR="00000000" w:rsidRDefault="006629D3">
            <w:pPr>
              <w:jc w:val="both"/>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20167498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w:t>
            </w:r>
          </w:p>
        </w:tc>
      </w:tr>
      <w:tr w:rsidR="00000000">
        <w:trPr>
          <w:divId w:val="1201674986"/>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Three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1201674986"/>
          <w:trHeight w:val="280"/>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1201674986"/>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Income Tax (Benefit) Provision: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1201674986"/>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1201674986"/>
          <w:jc w:val="center"/>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(5,040)</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2,234 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(7,274)</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(325.6)</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1201674986"/>
          <w:jc w:val="center"/>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Percentage of loss before income taxes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(30.1)</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33.6 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bl>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income tax benefit was $5,040 for the three months ended September 30, 2020 resulting in an effective ta</w:t>
      </w:r>
      <w:r>
        <w:rPr>
          <w:rFonts w:eastAsia="Times New Roman"/>
          <w:color w:val="000000"/>
          <w:sz w:val="20"/>
          <w:szCs w:val="20"/>
        </w:rPr>
        <w:t xml:space="preserve">x rate of 30.1%. The income tax expense was $2,234 for the three months ended September 30, 2019 resulting in an effective tax rate of (33.6%). The net increase in the effective income tax rate for the three months ended September 30, 2020, as compared to </w:t>
      </w:r>
      <w:r>
        <w:rPr>
          <w:rFonts w:eastAsia="Times New Roman"/>
          <w:color w:val="000000"/>
          <w:sz w:val="20"/>
          <w:szCs w:val="20"/>
        </w:rPr>
        <w:t>the same period in 2019, was primarily due to decreased income in the U.S. due to the sale of the Hospital Products.</w:t>
      </w:r>
    </w:p>
    <w:p w:rsidR="00000000" w:rsidRDefault="006629D3">
      <w:pPr>
        <w:jc w:val="both"/>
        <w:rPr>
          <w:rFonts w:eastAsia="Times New Roman"/>
        </w:rPr>
      </w:pPr>
    </w:p>
    <w:p w:rsidR="00000000" w:rsidRDefault="006629D3">
      <w:pPr>
        <w:jc w:val="center"/>
        <w:divId w:val="42410183"/>
        <w:rPr>
          <w:rFonts w:eastAsia="Times New Roman"/>
        </w:rPr>
      </w:pPr>
      <w:r>
        <w:rPr>
          <w:rFonts w:eastAsia="Times New Roman"/>
          <w:color w:val="000000"/>
          <w:sz w:val="20"/>
          <w:szCs w:val="20"/>
        </w:rPr>
        <w:t>- 41 -</w:t>
      </w:r>
    </w:p>
    <w:p w:rsidR="00000000" w:rsidRDefault="006629D3">
      <w:pPr>
        <w:rPr>
          <w:rFonts w:eastAsia="Times New Roman"/>
        </w:rPr>
      </w:pPr>
      <w:r>
        <w:rPr>
          <w:rFonts w:eastAsia="Times New Roman"/>
        </w:rPr>
        <w:pict>
          <v:rect id="_x0000_i1066" style="width:0;height:1.5pt" o:hralign="center" o:hrstd="t" o:hr="t" fillcolor="#a0a0a0" stroked="f"/>
        </w:pict>
      </w:r>
    </w:p>
    <w:p w:rsidR="00000000" w:rsidRDefault="006629D3">
      <w:pPr>
        <w:divId w:val="1223712139"/>
        <w:rPr>
          <w:rFonts w:eastAsia="Times New Roman"/>
        </w:rPr>
      </w:pPr>
    </w:p>
    <w:tbl>
      <w:tblPr>
        <w:tblW w:w="4963" w:type="pct"/>
        <w:tblCellMar>
          <w:top w:w="15" w:type="dxa"/>
          <w:left w:w="15" w:type="dxa"/>
          <w:bottom w:w="15" w:type="dxa"/>
          <w:right w:w="15" w:type="dxa"/>
        </w:tblCellMar>
        <w:tblLook w:val="04A0" w:firstRow="1" w:lastRow="0" w:firstColumn="1" w:lastColumn="0" w:noHBand="0" w:noVBand="1"/>
      </w:tblPr>
      <w:tblGrid>
        <w:gridCol w:w="38"/>
        <w:gridCol w:w="3725"/>
        <w:gridCol w:w="37"/>
        <w:gridCol w:w="36"/>
        <w:gridCol w:w="36"/>
        <w:gridCol w:w="36"/>
        <w:gridCol w:w="110"/>
        <w:gridCol w:w="783"/>
        <w:gridCol w:w="170"/>
        <w:gridCol w:w="36"/>
        <w:gridCol w:w="36"/>
        <w:gridCol w:w="36"/>
        <w:gridCol w:w="110"/>
        <w:gridCol w:w="783"/>
        <w:gridCol w:w="170"/>
        <w:gridCol w:w="36"/>
        <w:gridCol w:w="36"/>
        <w:gridCol w:w="36"/>
        <w:gridCol w:w="110"/>
        <w:gridCol w:w="783"/>
        <w:gridCol w:w="36"/>
        <w:gridCol w:w="36"/>
        <w:gridCol w:w="36"/>
        <w:gridCol w:w="36"/>
        <w:gridCol w:w="45"/>
        <w:gridCol w:w="743"/>
        <w:gridCol w:w="170"/>
      </w:tblGrid>
      <w:tr w:rsidR="00000000">
        <w:trPr>
          <w:divId w:val="510724881"/>
        </w:trPr>
        <w:tc>
          <w:tcPr>
            <w:tcW w:w="50" w:type="pct"/>
            <w:vAlign w:val="center"/>
            <w:hideMark/>
          </w:tcPr>
          <w:p w:rsidR="00000000" w:rsidRDefault="006629D3">
            <w:pPr>
              <w:rPr>
                <w:rFonts w:eastAsia="Times New Roman"/>
              </w:rPr>
            </w:pPr>
          </w:p>
        </w:tc>
        <w:tc>
          <w:tcPr>
            <w:tcW w:w="232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56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510724881"/>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510724881"/>
          <w:trHeight w:val="28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510724881"/>
          <w:trHeight w:val="28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510724881"/>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Income Tax (Benefit) Provision:</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51072488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51072488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Income tax (benefit) provision</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(9,258)</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3,641 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(12,899)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(354.3)</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51072488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Percentage of income before income taxes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(102.3)</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(13.7)</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 </w:t>
            </w:r>
          </w:p>
        </w:tc>
      </w:tr>
    </w:tbl>
    <w:p w:rsidR="00000000" w:rsidRDefault="006629D3">
      <w:pPr>
        <w:divId w:val="227151310"/>
        <w:rPr>
          <w:rFonts w:eastAsia="Times New Roman"/>
        </w:rPr>
      </w:pPr>
    </w:p>
    <w:p w:rsidR="00000000" w:rsidRDefault="006629D3">
      <w:pPr>
        <w:jc w:val="both"/>
        <w:rPr>
          <w:rFonts w:eastAsia="Times New Roman"/>
        </w:rPr>
      </w:pPr>
      <w:r>
        <w:rPr>
          <w:rFonts w:eastAsia="Times New Roman"/>
          <w:color w:val="000000"/>
          <w:sz w:val="20"/>
          <w:szCs w:val="20"/>
        </w:rPr>
        <w:t>The income tax benefit was $9,258 for the nine months ended September 30, 2020 resulting in an effective tax rat</w:t>
      </w:r>
      <w:r>
        <w:rPr>
          <w:rFonts w:eastAsia="Times New Roman"/>
          <w:color w:val="000000"/>
          <w:sz w:val="20"/>
          <w:szCs w:val="20"/>
        </w:rPr>
        <w:t>e of (102.3%). The income tax provision was $3,641 for the nine months ended September 30, 2019 resulting in an effective tax rate of (13.7%). The net decrease in the effective income tax rate for the nine months ended September 30, 2020, as compared to th</w:t>
      </w:r>
      <w:r>
        <w:rPr>
          <w:rFonts w:eastAsia="Times New Roman"/>
          <w:color w:val="000000"/>
          <w:sz w:val="20"/>
          <w:szCs w:val="20"/>
        </w:rPr>
        <w:t>e same period in 2019, is primarily due to the discrete tax benefits recognized under the CARES Act as described above, favorable income tax benefits from the U.S. Orphan Drug and Research &amp; Development Tax Credit, which did not occur during the nine month</w:t>
      </w:r>
      <w:r>
        <w:rPr>
          <w:rFonts w:eastAsia="Times New Roman"/>
          <w:color w:val="000000"/>
          <w:sz w:val="20"/>
          <w:szCs w:val="20"/>
        </w:rPr>
        <w:t>s ended September 30, 2019, partially offset by increased income in the U.S. due to the sale of the Hospital Products during the nine months ended September 30, 2020.</w:t>
      </w:r>
    </w:p>
    <w:p w:rsidR="00000000" w:rsidRDefault="006629D3">
      <w:pPr>
        <w:divId w:val="615907399"/>
        <w:rPr>
          <w:rFonts w:eastAsia="Times New Roman"/>
        </w:rPr>
      </w:pPr>
    </w:p>
    <w:p w:rsidR="00000000" w:rsidRDefault="006629D3">
      <w:pPr>
        <w:divId w:val="893468075"/>
        <w:rPr>
          <w:rFonts w:eastAsia="Times New Roman"/>
        </w:rPr>
      </w:pPr>
      <w:r>
        <w:rPr>
          <w:rFonts w:eastAsia="Times New Roman"/>
          <w:b/>
          <w:bCs/>
          <w:color w:val="000000"/>
          <w:sz w:val="20"/>
          <w:szCs w:val="20"/>
          <w:u w:val="single"/>
        </w:rPr>
        <w:t>Liquidity and Capital Resources</w:t>
      </w:r>
      <w:r>
        <w:rPr>
          <w:rFonts w:eastAsia="Times New Roman"/>
          <w:color w:val="000000"/>
          <w:sz w:val="20"/>
          <w:szCs w:val="20"/>
        </w:rPr>
        <w:t> </w:t>
      </w:r>
    </w:p>
    <w:p w:rsidR="00000000" w:rsidRDefault="006629D3">
      <w:pPr>
        <w:jc w:val="both"/>
        <w:divId w:val="1720130381"/>
        <w:rPr>
          <w:rFonts w:eastAsia="Times New Roman"/>
        </w:rPr>
      </w:pPr>
      <w:r>
        <w:rPr>
          <w:rFonts w:eastAsia="Times New Roman"/>
          <w:color w:val="000000"/>
          <w:sz w:val="20"/>
          <w:szCs w:val="20"/>
        </w:rPr>
        <w:t>The Company’s cash flows from operating, investing and</w:t>
      </w:r>
      <w:r>
        <w:rPr>
          <w:rFonts w:eastAsia="Times New Roman"/>
          <w:color w:val="000000"/>
          <w:sz w:val="20"/>
          <w:szCs w:val="20"/>
        </w:rPr>
        <w:t xml:space="preserve"> financing activities, as reflected in the unaudited condensed consolidated statements of cash flows, are summarized in the following table: </w:t>
      </w:r>
    </w:p>
    <w:tbl>
      <w:tblPr>
        <w:tblW w:w="4970" w:type="pct"/>
        <w:tblCellMar>
          <w:top w:w="15" w:type="dxa"/>
          <w:left w:w="15" w:type="dxa"/>
          <w:bottom w:w="15" w:type="dxa"/>
          <w:right w:w="15" w:type="dxa"/>
        </w:tblCellMar>
        <w:tblLook w:val="04A0" w:firstRow="1" w:lastRow="0" w:firstColumn="1" w:lastColumn="0" w:noHBand="0" w:noVBand="1"/>
      </w:tblPr>
      <w:tblGrid>
        <w:gridCol w:w="38"/>
        <w:gridCol w:w="3345"/>
        <w:gridCol w:w="37"/>
        <w:gridCol w:w="36"/>
        <w:gridCol w:w="36"/>
        <w:gridCol w:w="36"/>
        <w:gridCol w:w="110"/>
        <w:gridCol w:w="939"/>
        <w:gridCol w:w="36"/>
        <w:gridCol w:w="36"/>
        <w:gridCol w:w="36"/>
        <w:gridCol w:w="36"/>
        <w:gridCol w:w="110"/>
        <w:gridCol w:w="940"/>
        <w:gridCol w:w="36"/>
        <w:gridCol w:w="36"/>
        <w:gridCol w:w="36"/>
        <w:gridCol w:w="36"/>
        <w:gridCol w:w="112"/>
        <w:gridCol w:w="940"/>
        <w:gridCol w:w="37"/>
        <w:gridCol w:w="37"/>
        <w:gridCol w:w="37"/>
        <w:gridCol w:w="37"/>
        <w:gridCol w:w="68"/>
        <w:gridCol w:w="902"/>
        <w:gridCol w:w="171"/>
      </w:tblGrid>
      <w:tr w:rsidR="00000000">
        <w:trPr>
          <w:divId w:val="254097291"/>
        </w:trPr>
        <w:tc>
          <w:tcPr>
            <w:tcW w:w="50" w:type="pct"/>
            <w:vAlign w:val="center"/>
            <w:hideMark/>
          </w:tcPr>
          <w:p w:rsidR="00000000" w:rsidRDefault="006629D3">
            <w:pPr>
              <w:jc w:val="both"/>
              <w:rPr>
                <w:rFonts w:eastAsia="Times New Roman"/>
              </w:rPr>
            </w:pPr>
          </w:p>
        </w:tc>
        <w:tc>
          <w:tcPr>
            <w:tcW w:w="2062"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2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2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28"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2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629"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254097291"/>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w:t>
            </w:r>
          </w:p>
        </w:tc>
      </w:tr>
      <w:tr w:rsidR="00000000">
        <w:trPr>
          <w:divId w:val="254097291"/>
          <w:trHeight w:val="28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restart"/>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Nine Months Ended September 30,</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i/>
                <w:iCs/>
                <w:color w:val="000000"/>
                <w:sz w:val="18"/>
                <w:szCs w:val="18"/>
              </w:rPr>
              <w:t>Increase / (Decrease)</w:t>
            </w:r>
          </w:p>
        </w:tc>
      </w:tr>
      <w:tr w:rsidR="00000000">
        <w:trPr>
          <w:divId w:val="254097291"/>
          <w:trHeight w:val="280"/>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9"/>
            <w:vMerge/>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 vs. 2019</w:t>
            </w:r>
          </w:p>
        </w:tc>
      </w:tr>
      <w:tr w:rsidR="00000000">
        <w:trPr>
          <w:divId w:val="254097291"/>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18"/>
                <w:szCs w:val="18"/>
              </w:rPr>
              <w:t>Net cash (used in) provided by:</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2019</w:t>
            </w:r>
          </w:p>
        </w:tc>
        <w:tc>
          <w:tcPr>
            <w:tcW w:w="0" w:type="auto"/>
            <w:gridSpan w:val="3"/>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jc w:val="center"/>
              <w:rPr>
                <w:rFonts w:eastAsia="Times New Roman"/>
              </w:rPr>
            </w:pPr>
            <w:r>
              <w:rPr>
                <w:rFonts w:eastAsia="Times New Roman"/>
                <w:b/>
                <w:bCs/>
                <w:color w:val="000000"/>
                <w:sz w:val="18"/>
                <w:szCs w:val="18"/>
              </w:rPr>
              <w:t>%</w:t>
            </w:r>
          </w:p>
        </w:tc>
      </w:tr>
      <w:tr w:rsidR="00000000">
        <w:trPr>
          <w:divId w:val="254097291"/>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sz w:val="20"/>
                <w:szCs w:val="20"/>
              </w:rPr>
            </w:pPr>
          </w:p>
        </w:tc>
      </w:tr>
      <w:tr w:rsidR="00000000">
        <w:trPr>
          <w:divId w:val="25409729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(29,609)</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(30,072)</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6629D3">
            <w:pPr>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463 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1.5 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54097291"/>
        </w:trPr>
        <w:tc>
          <w:tcPr>
            <w:tcW w:w="0" w:type="auto"/>
            <w:gridSpan w:val="3"/>
            <w:shd w:val="clear" w:color="auto" w:fill="FFFF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Investing activities</w:t>
            </w:r>
          </w:p>
        </w:tc>
        <w:tc>
          <w:tcPr>
            <w:tcW w:w="0" w:type="auto"/>
            <w:gridSpan w:val="3"/>
            <w:shd w:val="clear" w:color="auto" w:fill="FFFF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(76,962)</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33,553 </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(110,515)</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(329.4)</w:t>
            </w:r>
          </w:p>
        </w:tc>
        <w:tc>
          <w:tcPr>
            <w:tcW w:w="0" w:type="auto"/>
            <w:shd w:val="clear" w:color="auto" w:fill="FFFF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r w:rsidR="00000000">
        <w:trPr>
          <w:divId w:val="254097291"/>
        </w:trPr>
        <w:tc>
          <w:tcPr>
            <w:tcW w:w="0" w:type="auto"/>
            <w:gridSpan w:val="3"/>
            <w:shd w:val="clear" w:color="auto" w:fill="CCEEFF"/>
            <w:tcMar>
              <w:top w:w="30" w:type="dxa"/>
              <w:left w:w="135" w:type="dxa"/>
              <w:bottom w:w="30" w:type="dxa"/>
              <w:right w:w="20" w:type="dxa"/>
            </w:tcMar>
            <w:vAlign w:val="bottom"/>
            <w:hideMark/>
          </w:tcPr>
          <w:p w:rsidR="00000000" w:rsidRDefault="006629D3">
            <w:pPr>
              <w:rPr>
                <w:rFonts w:eastAsia="Times New Roman"/>
              </w:rPr>
            </w:pPr>
            <w:r>
              <w:rPr>
                <w:rFonts w:eastAsia="Times New Roman"/>
                <w:color w:val="000000"/>
                <w:sz w:val="18"/>
                <w:szCs w:val="18"/>
              </w:rPr>
              <w:t>Financing activities</w:t>
            </w:r>
          </w:p>
        </w:tc>
        <w:tc>
          <w:tcPr>
            <w:tcW w:w="0" w:type="auto"/>
            <w:gridSpan w:val="3"/>
            <w:shd w:val="clear" w:color="auto" w:fill="CCEEFF"/>
            <w:tcMar>
              <w:top w:w="0" w:type="dxa"/>
              <w:left w:w="20" w:type="dxa"/>
              <w:bottom w:w="0" w:type="dxa"/>
              <w:right w:w="20" w:type="dxa"/>
            </w:tcMar>
            <w:vAlign w:val="center"/>
            <w:hideMark/>
          </w:tcPr>
          <w:p w:rsidR="00000000" w:rsidRDefault="006629D3">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179,500 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14 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179,486 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6629D3">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629D3">
            <w:pPr>
              <w:jc w:val="right"/>
              <w:rPr>
                <w:rFonts w:eastAsia="Times New Roman"/>
              </w:rPr>
            </w:pPr>
            <w:r>
              <w:rPr>
                <w:rFonts w:eastAsia="Times New Roman"/>
                <w:color w:val="000000"/>
                <w:sz w:val="18"/>
                <w:szCs w:val="18"/>
              </w:rPr>
              <w:t>1,282,042.9 </w:t>
            </w:r>
          </w:p>
        </w:tc>
        <w:tc>
          <w:tcPr>
            <w:tcW w:w="0" w:type="auto"/>
            <w:shd w:val="clear" w:color="auto" w:fill="CCEEFF"/>
            <w:tcMar>
              <w:top w:w="30" w:type="dxa"/>
              <w:left w:w="0" w:type="dxa"/>
              <w:bottom w:w="30" w:type="dxa"/>
              <w:right w:w="20" w:type="dxa"/>
            </w:tcMar>
            <w:vAlign w:val="bottom"/>
            <w:hideMark/>
          </w:tcPr>
          <w:p w:rsidR="00000000" w:rsidRDefault="006629D3">
            <w:pPr>
              <w:jc w:val="right"/>
              <w:rPr>
                <w:rFonts w:eastAsia="Times New Roman"/>
              </w:rPr>
            </w:pPr>
            <w:r>
              <w:rPr>
                <w:rFonts w:eastAsia="Times New Roman"/>
                <w:color w:val="000000"/>
                <w:sz w:val="18"/>
                <w:szCs w:val="18"/>
              </w:rPr>
              <w:t>%</w:t>
            </w:r>
          </w:p>
        </w:tc>
      </w:tr>
    </w:tbl>
    <w:p w:rsidR="00000000" w:rsidRDefault="006629D3">
      <w:pPr>
        <w:divId w:val="2018846218"/>
        <w:rPr>
          <w:rFonts w:eastAsia="Times New Roman"/>
        </w:rPr>
      </w:pPr>
      <w:r>
        <w:rPr>
          <w:rFonts w:eastAsia="Times New Roman"/>
          <w:b/>
          <w:bCs/>
          <w:i/>
          <w:iCs/>
          <w:color w:val="000000"/>
          <w:sz w:val="20"/>
          <w:szCs w:val="20"/>
        </w:rPr>
        <w:t>Operating Activities </w:t>
      </w:r>
    </w:p>
    <w:p w:rsidR="00000000" w:rsidRDefault="006629D3">
      <w:pPr>
        <w:jc w:val="both"/>
        <w:divId w:val="1927415382"/>
        <w:rPr>
          <w:rFonts w:eastAsia="Times New Roman"/>
        </w:rPr>
      </w:pPr>
      <w:r>
        <w:rPr>
          <w:rFonts w:eastAsia="Times New Roman"/>
          <w:color w:val="000000"/>
          <w:sz w:val="20"/>
          <w:szCs w:val="20"/>
        </w:rPr>
        <w:t>Net cash used in operating activities of $29,609 for the nine months ended September 30, 2020 decreased $463 compared to the same prior year period. This decrease in cash used in operating cash flow is driven by cash collect</w:t>
      </w:r>
      <w:r>
        <w:rPr>
          <w:rFonts w:eastAsia="Times New Roman"/>
          <w:color w:val="000000"/>
          <w:sz w:val="20"/>
          <w:szCs w:val="20"/>
        </w:rPr>
        <w:t xml:space="preserve">ion on all outstanding accounts receivable subsequent to the sale of the hospital products, as well as the $2,750 installment payment received from Exela during the three months ended September 30, 2020. </w:t>
      </w:r>
    </w:p>
    <w:p w:rsidR="00000000" w:rsidRDefault="006629D3">
      <w:pPr>
        <w:jc w:val="both"/>
        <w:divId w:val="232275640"/>
        <w:rPr>
          <w:rFonts w:eastAsia="Times New Roman"/>
        </w:rPr>
      </w:pPr>
      <w:r>
        <w:rPr>
          <w:rFonts w:eastAsia="Times New Roman"/>
          <w:b/>
          <w:bCs/>
          <w:i/>
          <w:iCs/>
          <w:color w:val="000000"/>
          <w:sz w:val="20"/>
          <w:szCs w:val="20"/>
        </w:rPr>
        <w:t>Investing Activities </w:t>
      </w:r>
    </w:p>
    <w:p w:rsidR="00000000" w:rsidRDefault="006629D3">
      <w:pPr>
        <w:jc w:val="both"/>
        <w:divId w:val="675962725"/>
        <w:rPr>
          <w:rFonts w:eastAsia="Times New Roman"/>
        </w:rPr>
      </w:pPr>
      <w:r>
        <w:rPr>
          <w:rFonts w:eastAsia="Times New Roman"/>
          <w:color w:val="000000"/>
          <w:sz w:val="20"/>
          <w:szCs w:val="20"/>
        </w:rPr>
        <w:t>Cash used in investing activi</w:t>
      </w:r>
      <w:r>
        <w:rPr>
          <w:rFonts w:eastAsia="Times New Roman"/>
          <w:color w:val="000000"/>
          <w:sz w:val="20"/>
          <w:szCs w:val="20"/>
        </w:rPr>
        <w:t>ties was $76,962 for the nine months ended September 30, 2020 compared to cash provided by investing activities of $33,553 for the nine months ended September 30, 2019. Cash used in investing activities for the nine months ended September 30, 2020 was driv</w:t>
      </w:r>
      <w:r>
        <w:rPr>
          <w:rFonts w:eastAsia="Times New Roman"/>
          <w:color w:val="000000"/>
          <w:sz w:val="20"/>
          <w:szCs w:val="20"/>
        </w:rPr>
        <w:t xml:space="preserve">en by higher net purchases of marketable securities during the current quarter, partially offset by proceeds received from the disposition of the Hospital Products. Cash provided by investing activities for the nine months ended September 30, 2019 was due </w:t>
      </w:r>
      <w:r>
        <w:rPr>
          <w:rFonts w:eastAsia="Times New Roman"/>
          <w:color w:val="000000"/>
          <w:sz w:val="20"/>
          <w:szCs w:val="20"/>
        </w:rPr>
        <w:t xml:space="preserve">to net proceeds from the sales of marketable securities. </w:t>
      </w:r>
    </w:p>
    <w:p w:rsidR="00000000" w:rsidRDefault="006629D3">
      <w:pPr>
        <w:jc w:val="both"/>
        <w:divId w:val="1156649756"/>
        <w:rPr>
          <w:rFonts w:eastAsia="Times New Roman"/>
        </w:rPr>
      </w:pPr>
      <w:r>
        <w:rPr>
          <w:rFonts w:eastAsia="Times New Roman"/>
          <w:b/>
          <w:bCs/>
          <w:i/>
          <w:iCs/>
          <w:color w:val="000000"/>
          <w:sz w:val="20"/>
          <w:szCs w:val="20"/>
        </w:rPr>
        <w:t>Financing Activities </w:t>
      </w:r>
    </w:p>
    <w:p w:rsidR="00000000" w:rsidRDefault="006629D3">
      <w:pPr>
        <w:jc w:val="both"/>
        <w:divId w:val="512837931"/>
        <w:rPr>
          <w:rFonts w:eastAsia="Times New Roman"/>
        </w:rPr>
      </w:pPr>
      <w:r>
        <w:rPr>
          <w:rFonts w:eastAsia="Times New Roman"/>
          <w:color w:val="000000"/>
          <w:sz w:val="20"/>
          <w:szCs w:val="20"/>
        </w:rPr>
        <w:t>Cash provided by financing activities for the nine months ended September 30, 2020 was $179,500 and was driven by the May public offering that resulted in net proceeds of $116,</w:t>
      </w:r>
      <w:r>
        <w:rPr>
          <w:rFonts w:eastAsia="Times New Roman"/>
          <w:color w:val="000000"/>
          <w:sz w:val="20"/>
          <w:szCs w:val="20"/>
        </w:rPr>
        <w:t xml:space="preserve">924, the February private placement that resulted in net proceeds of $60,570, and stock option exercises of $1,829. </w:t>
      </w:r>
    </w:p>
    <w:p w:rsidR="00000000" w:rsidRDefault="006629D3">
      <w:pPr>
        <w:jc w:val="both"/>
        <w:divId w:val="88085126"/>
        <w:rPr>
          <w:rFonts w:eastAsia="Times New Roman"/>
        </w:rPr>
      </w:pPr>
      <w:r>
        <w:rPr>
          <w:rFonts w:eastAsia="Times New Roman"/>
          <w:b/>
          <w:bCs/>
          <w:i/>
          <w:iCs/>
          <w:color w:val="000000"/>
          <w:sz w:val="20"/>
          <w:szCs w:val="20"/>
        </w:rPr>
        <w:t>Liquidity and Risk Management </w:t>
      </w:r>
    </w:p>
    <w:p w:rsidR="00000000" w:rsidRDefault="006629D3">
      <w:pPr>
        <w:jc w:val="both"/>
        <w:divId w:val="1028414553"/>
        <w:rPr>
          <w:rFonts w:eastAsia="Times New Roman"/>
        </w:rPr>
      </w:pPr>
      <w:r>
        <w:rPr>
          <w:rFonts w:eastAsia="Times New Roman"/>
          <w:color w:val="000000"/>
          <w:sz w:val="20"/>
          <w:szCs w:val="20"/>
        </w:rPr>
        <w:t xml:space="preserve">The adequacy of our cash resources depends on the outcome of certain business conditions including the cost </w:t>
      </w:r>
      <w:r>
        <w:rPr>
          <w:rFonts w:eastAsia="Times New Roman"/>
          <w:color w:val="000000"/>
          <w:sz w:val="20"/>
          <w:szCs w:val="20"/>
        </w:rPr>
        <w:t>of our FT218 clinical development plan, our cost structure, our Hospital Products revenue stream and other factors set forth in “Risk Factors” within Part I, Item 1A of the 2019 Form 10-K and within Part II, Item 1A of this quarterly report on Form 10-Q. T</w:t>
      </w:r>
      <w:r>
        <w:rPr>
          <w:rFonts w:eastAsia="Times New Roman"/>
          <w:color w:val="000000"/>
          <w:sz w:val="20"/>
          <w:szCs w:val="20"/>
        </w:rPr>
        <w:t xml:space="preserve">o complete the FT218 clinical development plan and to ensure an adequate and robust NDA for filing with the FDA we will need to commit substantial resources, which could result in future losses or otherwise limit our opportunities or affect our ability to </w:t>
      </w:r>
      <w:r>
        <w:rPr>
          <w:rFonts w:eastAsia="Times New Roman"/>
          <w:color w:val="000000"/>
          <w:sz w:val="20"/>
          <w:szCs w:val="20"/>
        </w:rPr>
        <w:t xml:space="preserve">operate our business. Our assumptions concerning the outcome of certain business conditions may prove to be wrong or other </w:t>
      </w:r>
    </w:p>
    <w:p w:rsidR="00000000" w:rsidRDefault="006629D3">
      <w:pPr>
        <w:jc w:val="center"/>
        <w:divId w:val="1990549043"/>
        <w:rPr>
          <w:rFonts w:eastAsia="Times New Roman"/>
        </w:rPr>
      </w:pPr>
      <w:r>
        <w:rPr>
          <w:rFonts w:eastAsia="Times New Roman"/>
          <w:color w:val="000000"/>
          <w:sz w:val="20"/>
          <w:szCs w:val="20"/>
        </w:rPr>
        <w:t>- 42 -</w:t>
      </w:r>
    </w:p>
    <w:p w:rsidR="00000000" w:rsidRDefault="006629D3">
      <w:pPr>
        <w:rPr>
          <w:rFonts w:eastAsia="Times New Roman"/>
        </w:rPr>
      </w:pPr>
      <w:r>
        <w:rPr>
          <w:rFonts w:eastAsia="Times New Roman"/>
        </w:rPr>
        <w:pict>
          <v:rect id="_x0000_i1067" style="width:0;height:1.5pt" o:hralign="center" o:hrstd="t" o:hr="t" fillcolor="#a0a0a0" stroked="f"/>
        </w:pict>
      </w:r>
    </w:p>
    <w:p w:rsidR="00000000" w:rsidRDefault="006629D3">
      <w:pPr>
        <w:divId w:val="1254053537"/>
        <w:rPr>
          <w:rFonts w:eastAsia="Times New Roman"/>
        </w:rPr>
      </w:pPr>
    </w:p>
    <w:p w:rsidR="00000000" w:rsidRDefault="006629D3">
      <w:pPr>
        <w:jc w:val="both"/>
        <w:divId w:val="1865745684"/>
        <w:rPr>
          <w:rFonts w:eastAsia="Times New Roman"/>
        </w:rPr>
      </w:pPr>
      <w:r>
        <w:rPr>
          <w:rFonts w:eastAsia="Times New Roman"/>
          <w:color w:val="000000"/>
          <w:sz w:val="20"/>
          <w:szCs w:val="20"/>
        </w:rPr>
        <w:t>factors may adversely affect our business, and as a result we could exhaust or significantly decrease our available cash and marketable securities balances which could, among other things, force us to raise additional funds and/or force us to reduce our ex</w:t>
      </w:r>
      <w:r>
        <w:rPr>
          <w:rFonts w:eastAsia="Times New Roman"/>
          <w:color w:val="000000"/>
          <w:sz w:val="20"/>
          <w:szCs w:val="20"/>
        </w:rPr>
        <w:t xml:space="preserve">penses, either of which could have a material adverse effect on our business. Additionally, we are unable to estimate the near or long term impact that COVID-19, which may have a material adverse impact on our business. </w:t>
      </w:r>
    </w:p>
    <w:p w:rsidR="00000000" w:rsidRDefault="006629D3">
      <w:pPr>
        <w:jc w:val="both"/>
        <w:divId w:val="1311472785"/>
        <w:rPr>
          <w:rFonts w:eastAsia="Times New Roman"/>
        </w:rPr>
      </w:pPr>
      <w:r>
        <w:rPr>
          <w:rFonts w:eastAsia="Times New Roman"/>
          <w:color w:val="000000"/>
          <w:sz w:val="20"/>
          <w:szCs w:val="20"/>
        </w:rPr>
        <w:t>In February 2020, we announced that</w:t>
      </w:r>
      <w:r>
        <w:rPr>
          <w:rFonts w:eastAsia="Times New Roman"/>
          <w:color w:val="000000"/>
          <w:sz w:val="20"/>
          <w:szCs w:val="20"/>
        </w:rPr>
        <w:t xml:space="preserve"> we had entered into a definitive agreement for the sale of our ADSs and Series A Non-Voting Convertible Preferred Shares (“Series A Preferred”) in a private placement to a group of institutional accredited investors. The private placement resulted in gros</w:t>
      </w:r>
      <w:r>
        <w:rPr>
          <w:rFonts w:eastAsia="Times New Roman"/>
          <w:color w:val="000000"/>
          <w:sz w:val="20"/>
          <w:szCs w:val="20"/>
        </w:rPr>
        <w:t xml:space="preserve">s proceeds of approximately $65,000 before deducting placement agent and other offering expenses, which resulted in net proceeds of $60,570. </w:t>
      </w:r>
    </w:p>
    <w:p w:rsidR="00000000" w:rsidRDefault="006629D3">
      <w:pPr>
        <w:jc w:val="both"/>
        <w:divId w:val="22943115"/>
        <w:rPr>
          <w:rFonts w:eastAsia="Times New Roman"/>
        </w:rPr>
      </w:pPr>
      <w:r>
        <w:rPr>
          <w:rFonts w:eastAsia="Times New Roman"/>
          <w:color w:val="000000"/>
          <w:sz w:val="20"/>
          <w:szCs w:val="20"/>
        </w:rPr>
        <w:t>Also, in February 2020, we filed a shelf registration statement on Form S-3 that allows issuance and sale by us, f</w:t>
      </w:r>
      <w:r>
        <w:rPr>
          <w:rFonts w:eastAsia="Times New Roman"/>
          <w:color w:val="000000"/>
          <w:sz w:val="20"/>
          <w:szCs w:val="20"/>
        </w:rPr>
        <w:t>rom time to time, of :</w:t>
      </w:r>
    </w:p>
    <w:p w:rsidR="00000000" w:rsidRDefault="006629D3">
      <w:pPr>
        <w:ind w:hanging="360"/>
        <w:jc w:val="both"/>
        <w:divId w:val="2084377676"/>
        <w:rPr>
          <w:rFonts w:eastAsia="Times New Roman"/>
        </w:rPr>
      </w:pPr>
      <w:r>
        <w:rPr>
          <w:rFonts w:eastAsia="Times New Roman"/>
          <w:color w:val="000000"/>
          <w:sz w:val="20"/>
          <w:szCs w:val="20"/>
        </w:rPr>
        <w:t>•up to $250,000 in aggregate of ordinary shares, nominal value US$0.01 per share (the “Ordinary Shares”), each of which may be represented by ADSs, preferred shares, nominal value US$0.01 per share (the “Preferred Shares”), debt secu</w:t>
      </w:r>
      <w:r>
        <w:rPr>
          <w:rFonts w:eastAsia="Times New Roman"/>
          <w:color w:val="000000"/>
          <w:sz w:val="20"/>
          <w:szCs w:val="20"/>
        </w:rPr>
        <w:t>rities (the “Debt Securities”), warrants to purchase Ordinary Shares, ADSs, Preferred Shares and/or Debt Securities (the “Warrants”), and/or units consisting of Ordinary Shares, ADSs, Preferred Shares, one or more Debt Securities or Warrants in one or more</w:t>
      </w:r>
      <w:r>
        <w:rPr>
          <w:rFonts w:eastAsia="Times New Roman"/>
          <w:color w:val="000000"/>
          <w:sz w:val="20"/>
          <w:szCs w:val="20"/>
        </w:rPr>
        <w:t xml:space="preserve"> series, in any combination, pursuant to the terms of the 2020 Shelf Registration Statement, the base prospectus contained in the 2020 Shelf Registration Statement (the “Base Prospectus”), and any amendments or supplements thereto (together, the “Securitie</w:t>
      </w:r>
      <w:r>
        <w:rPr>
          <w:rFonts w:eastAsia="Times New Roman"/>
          <w:color w:val="000000"/>
          <w:sz w:val="20"/>
          <w:szCs w:val="20"/>
        </w:rPr>
        <w:t>s”); including</w:t>
      </w:r>
    </w:p>
    <w:p w:rsidR="00000000" w:rsidRDefault="006629D3">
      <w:pPr>
        <w:ind w:hanging="360"/>
        <w:jc w:val="both"/>
        <w:divId w:val="921570556"/>
        <w:rPr>
          <w:rFonts w:eastAsia="Times New Roman"/>
        </w:rPr>
      </w:pPr>
      <w:r>
        <w:rPr>
          <w:rFonts w:eastAsia="Times New Roman"/>
          <w:color w:val="000000"/>
          <w:sz w:val="20"/>
          <w:szCs w:val="20"/>
        </w:rPr>
        <w:t>•up to $50,000 of ADSs that may be issued and sold from time to time pursuant to the terms of an Open Market Sale Agreemen</w:t>
      </w:r>
      <w:r>
        <w:rPr>
          <w:rFonts w:eastAsia="Times New Roman"/>
          <w:color w:val="000000"/>
          <w:sz w:val="20"/>
          <w:szCs w:val="20"/>
        </w:rPr>
        <w:t>t</w:t>
      </w:r>
      <w:r>
        <w:rPr>
          <w:rFonts w:eastAsia="Times New Roman"/>
          <w:color w:val="000000"/>
          <w:sz w:val="13"/>
          <w:szCs w:val="13"/>
        </w:rPr>
        <w:t>S</w:t>
      </w:r>
      <w:r>
        <w:rPr>
          <w:rFonts w:eastAsia="Times New Roman"/>
          <w:color w:val="000000"/>
          <w:sz w:val="13"/>
          <w:szCs w:val="13"/>
        </w:rPr>
        <w:t>M</w:t>
      </w:r>
      <w:r>
        <w:rPr>
          <w:rFonts w:eastAsia="Times New Roman"/>
          <w:color w:val="000000"/>
          <w:sz w:val="20"/>
          <w:szCs w:val="20"/>
        </w:rPr>
        <w:t> (“the Sales Agreement”), entered into with Jefferies LLC on February 4, 2020, the 2020 Shelf Registration Statement</w:t>
      </w:r>
      <w:r>
        <w:rPr>
          <w:rFonts w:eastAsia="Times New Roman"/>
          <w:color w:val="000000"/>
          <w:sz w:val="20"/>
          <w:szCs w:val="20"/>
        </w:rPr>
        <w:t>, the Base Prospectus and the terms of the sales agreement prospectus contained in the 2020 Shelf Registration Statement.</w:t>
      </w:r>
    </w:p>
    <w:p w:rsidR="00000000" w:rsidRDefault="006629D3">
      <w:pPr>
        <w:jc w:val="both"/>
        <w:rPr>
          <w:rFonts w:eastAsia="Times New Roman"/>
        </w:rPr>
      </w:pPr>
      <w:r>
        <w:rPr>
          <w:rFonts w:eastAsia="Times New Roman"/>
          <w:color w:val="000000"/>
          <w:sz w:val="20"/>
          <w:szCs w:val="20"/>
        </w:rPr>
        <w:t>On April 28, 2020, we announced the pricing of an underwritten public offering of 11,630 ordinary shares, in the form of American Depo</w:t>
      </w:r>
      <w:r>
        <w:rPr>
          <w:rFonts w:eastAsia="Times New Roman"/>
          <w:color w:val="000000"/>
          <w:sz w:val="20"/>
          <w:szCs w:val="20"/>
        </w:rPr>
        <w:t>sitary Shares (“ADSs”) at a price to the public of $10.75 per ADS. Each ADS represents the right to receive one ordinary share. All of the ADSs are being offered by Avadel. The gross proceeds to us from the offering was approximately $125,000, before deduc</w:t>
      </w:r>
      <w:r>
        <w:rPr>
          <w:rFonts w:eastAsia="Times New Roman"/>
          <w:color w:val="000000"/>
          <w:sz w:val="20"/>
          <w:szCs w:val="20"/>
        </w:rPr>
        <w:t>ting underwriting discounts and commissions and estimated offering expenses, which resulted in net proceeds of approximately $116,924.</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If available to us, raising additional capital may be accomplished through one or more public or private debt or equity</w:t>
      </w:r>
      <w:r>
        <w:rPr>
          <w:rFonts w:eastAsia="Times New Roman"/>
          <w:color w:val="000000"/>
          <w:sz w:val="20"/>
          <w:szCs w:val="20"/>
        </w:rPr>
        <w:t xml:space="preserve"> financings, collaborations or partnering arrangements. Any equity financing would be dilutive to our shareholders.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Cash, cash equivalent and marketable security balances as of September 30, 2020 and unused financing sources are expected to provide the C</w:t>
      </w:r>
      <w:r>
        <w:rPr>
          <w:rFonts w:eastAsia="Times New Roman"/>
          <w:color w:val="000000"/>
          <w:sz w:val="20"/>
          <w:szCs w:val="20"/>
        </w:rPr>
        <w:t>ompany with the flexibility to meet its liquidity needs in 2020, including its operating requirements related to the development of FT218.</w:t>
      </w:r>
    </w:p>
    <w:p w:rsidR="00000000" w:rsidRDefault="006629D3">
      <w:pPr>
        <w:jc w:val="both"/>
        <w:rPr>
          <w:rFonts w:eastAsia="Times New Roman"/>
        </w:rPr>
      </w:pPr>
    </w:p>
    <w:p w:rsidR="00000000" w:rsidRDefault="006629D3">
      <w:pPr>
        <w:divId w:val="925765099"/>
        <w:rPr>
          <w:rFonts w:eastAsia="Times New Roman"/>
        </w:rPr>
      </w:pPr>
      <w:r>
        <w:rPr>
          <w:rFonts w:eastAsia="Times New Roman"/>
          <w:b/>
          <w:bCs/>
          <w:color w:val="000000"/>
          <w:sz w:val="20"/>
          <w:szCs w:val="20"/>
          <w:u w:val="single"/>
        </w:rPr>
        <w:t>Other Matters</w:t>
      </w:r>
      <w:r>
        <w:rPr>
          <w:rFonts w:eastAsia="Times New Roman"/>
          <w:b/>
          <w:bCs/>
          <w:color w:val="000000"/>
          <w:sz w:val="20"/>
          <w:szCs w:val="20"/>
        </w:rPr>
        <w:t> </w:t>
      </w:r>
    </w:p>
    <w:p w:rsidR="00000000" w:rsidRDefault="006629D3">
      <w:pPr>
        <w:divId w:val="28797450"/>
        <w:rPr>
          <w:rFonts w:eastAsia="Times New Roman"/>
        </w:rPr>
      </w:pPr>
      <w:r>
        <w:rPr>
          <w:rFonts w:eastAsia="Times New Roman"/>
          <w:b/>
          <w:bCs/>
          <w:i/>
          <w:iCs/>
          <w:color w:val="000000"/>
          <w:sz w:val="20"/>
          <w:szCs w:val="20"/>
        </w:rPr>
        <w:t>Litigation  </w:t>
      </w:r>
    </w:p>
    <w:p w:rsidR="00000000" w:rsidRDefault="006629D3">
      <w:pPr>
        <w:jc w:val="both"/>
        <w:divId w:val="457652702"/>
        <w:rPr>
          <w:rFonts w:eastAsia="Times New Roman"/>
        </w:rPr>
      </w:pPr>
      <w:r>
        <w:rPr>
          <w:rFonts w:eastAsia="Times New Roman"/>
          <w:color w:val="000000"/>
          <w:sz w:val="20"/>
          <w:szCs w:val="20"/>
        </w:rPr>
        <w:t>The Company is subject to potential liabilities generally incidental to our business ar</w:t>
      </w:r>
      <w:r>
        <w:rPr>
          <w:rFonts w:eastAsia="Times New Roman"/>
          <w:color w:val="000000"/>
          <w:sz w:val="20"/>
          <w:szCs w:val="20"/>
        </w:rPr>
        <w:t>ising out of present and future lawsuits and claims related to product liability, personal injury, contract, commercial, intellectual property, tax, employment, compliance and other matters that arise in the ordinary course of business. The Company accrues</w:t>
      </w:r>
      <w:r>
        <w:rPr>
          <w:rFonts w:eastAsia="Times New Roman"/>
          <w:color w:val="000000"/>
          <w:sz w:val="20"/>
          <w:szCs w:val="20"/>
        </w:rPr>
        <w:t xml:space="preserve"> for potential liabilities when it is probable that future costs (including legal fees and expenses) will be incurred and such costs can be reasonably estimated. At September 30, 2020 and December 31, 2019, there were no contingent liabilities with respect</w:t>
      </w:r>
      <w:r>
        <w:rPr>
          <w:rFonts w:eastAsia="Times New Roman"/>
          <w:color w:val="000000"/>
          <w:sz w:val="20"/>
          <w:szCs w:val="20"/>
        </w:rPr>
        <w:t xml:space="preserve"> to any litigation, arbitration or administrative or other proceeding that are reasonably likely to have a material adverse effect on the Company’s unaudited condensed consolidated financial position, results of operations, cash flows or liquidity.  </w:t>
      </w:r>
    </w:p>
    <w:p w:rsidR="00000000" w:rsidRDefault="006629D3">
      <w:pPr>
        <w:jc w:val="both"/>
        <w:rPr>
          <w:rFonts w:eastAsia="Times New Roman"/>
        </w:rPr>
      </w:pPr>
      <w:r>
        <w:rPr>
          <w:rFonts w:eastAsia="Times New Roman"/>
          <w:i/>
          <w:iCs/>
          <w:color w:val="000000"/>
          <w:sz w:val="20"/>
          <w:szCs w:val="20"/>
        </w:rPr>
        <w:t>Litigation Related to Noctiva</w:t>
      </w:r>
    </w:p>
    <w:p w:rsidR="00000000" w:rsidRDefault="006629D3">
      <w:pPr>
        <w:divId w:val="559901347"/>
        <w:rPr>
          <w:rFonts w:eastAsia="Times New Roman"/>
        </w:rPr>
      </w:pPr>
    </w:p>
    <w:p w:rsidR="00000000" w:rsidRDefault="006629D3">
      <w:pPr>
        <w:jc w:val="both"/>
        <w:rPr>
          <w:rFonts w:eastAsia="Times New Roman"/>
        </w:rPr>
      </w:pPr>
      <w:r>
        <w:rPr>
          <w:rFonts w:eastAsia="Times New Roman"/>
          <w:i/>
          <w:iCs/>
          <w:color w:val="000000"/>
          <w:sz w:val="20"/>
          <w:szCs w:val="20"/>
        </w:rPr>
        <w:t>Note 3: Subsidiary Bankruptcy and Deconsolidation</w:t>
      </w:r>
      <w:r>
        <w:rPr>
          <w:rFonts w:eastAsia="Times New Roman"/>
          <w:color w:val="000000"/>
          <w:sz w:val="20"/>
          <w:szCs w:val="20"/>
        </w:rPr>
        <w:t> briefly describes the Chapter 11 bankruptcy case which our subsidiary Specialty Pharma commenced on February 6, 2019, and which on April 26, 2019 resulted in the bankruptcy c</w:t>
      </w:r>
      <w:r>
        <w:rPr>
          <w:rFonts w:eastAsia="Times New Roman"/>
          <w:color w:val="000000"/>
          <w:sz w:val="20"/>
          <w:szCs w:val="20"/>
        </w:rPr>
        <w:t>ourt-approved sale of all of Specialty Pharma’s intangible assets and inventory to an unaffiliated third party. As a result of such sale, Specialty Pharma has completed its divestment of the assets of the Noctiva business. During the pendency of the bankru</w:t>
      </w:r>
      <w:r>
        <w:rPr>
          <w:rFonts w:eastAsia="Times New Roman"/>
          <w:color w:val="000000"/>
          <w:sz w:val="20"/>
          <w:szCs w:val="20"/>
        </w:rPr>
        <w:t>ptcy case, all pending litigation against Specialty Pharma is automatically stayed and any new litigation against Specialty Pharma is precluded unless the bankruptcy court orders otherwise. There is currently no pending or threatened litigation or disputes</w:t>
      </w:r>
      <w:r>
        <w:rPr>
          <w:rFonts w:eastAsia="Times New Roman"/>
          <w:color w:val="000000"/>
          <w:sz w:val="20"/>
          <w:szCs w:val="20"/>
        </w:rPr>
        <w:t xml:space="preserve"> to </w:t>
      </w:r>
    </w:p>
    <w:p w:rsidR="00000000" w:rsidRDefault="006629D3">
      <w:pPr>
        <w:jc w:val="center"/>
        <w:divId w:val="568543889"/>
        <w:rPr>
          <w:rFonts w:eastAsia="Times New Roman"/>
        </w:rPr>
      </w:pPr>
      <w:r>
        <w:rPr>
          <w:rFonts w:eastAsia="Times New Roman"/>
          <w:color w:val="000000"/>
          <w:sz w:val="20"/>
          <w:szCs w:val="20"/>
        </w:rPr>
        <w:t>- 43 -</w:t>
      </w:r>
    </w:p>
    <w:p w:rsidR="00000000" w:rsidRDefault="006629D3">
      <w:pPr>
        <w:rPr>
          <w:rFonts w:eastAsia="Times New Roman"/>
        </w:rPr>
      </w:pPr>
      <w:r>
        <w:rPr>
          <w:rFonts w:eastAsia="Times New Roman"/>
        </w:rPr>
        <w:pict>
          <v:rect id="_x0000_i1068" style="width:0;height:1.5pt" o:hralign="center" o:hrstd="t" o:hr="t" fillcolor="#a0a0a0" stroked="f"/>
        </w:pict>
      </w:r>
    </w:p>
    <w:p w:rsidR="00000000" w:rsidRDefault="006629D3">
      <w:pPr>
        <w:divId w:val="544564906"/>
        <w:rPr>
          <w:rFonts w:eastAsia="Times New Roman"/>
        </w:rPr>
      </w:pPr>
    </w:p>
    <w:p w:rsidR="00000000" w:rsidRDefault="006629D3">
      <w:pPr>
        <w:jc w:val="both"/>
        <w:rPr>
          <w:rFonts w:eastAsia="Times New Roman"/>
        </w:rPr>
      </w:pPr>
      <w:r>
        <w:rPr>
          <w:rFonts w:eastAsia="Times New Roman"/>
          <w:color w:val="000000"/>
          <w:sz w:val="20"/>
          <w:szCs w:val="20"/>
        </w:rPr>
        <w:t>which Specialty Pharma is or would be a party. All prior litigation and disputes involving Specialty Pharma have been dismissed or resolved.</w:t>
      </w:r>
    </w:p>
    <w:p w:rsidR="00000000" w:rsidRDefault="006629D3">
      <w:pPr>
        <w:jc w:val="both"/>
        <w:rPr>
          <w:rFonts w:eastAsia="Times New Roman"/>
        </w:rPr>
      </w:pPr>
    </w:p>
    <w:p w:rsidR="00000000" w:rsidRDefault="006629D3">
      <w:pPr>
        <w:jc w:val="both"/>
        <w:rPr>
          <w:rFonts w:eastAsia="Times New Roman"/>
        </w:rPr>
      </w:pPr>
      <w:r>
        <w:rPr>
          <w:rFonts w:eastAsia="Times New Roman"/>
          <w:b/>
          <w:bCs/>
          <w:i/>
          <w:iCs/>
          <w:color w:val="000000"/>
          <w:sz w:val="20"/>
          <w:szCs w:val="20"/>
        </w:rPr>
        <w:t>Material Commitments  </w:t>
      </w:r>
    </w:p>
    <w:p w:rsidR="00000000" w:rsidRDefault="006629D3">
      <w:pPr>
        <w:divId w:val="889725401"/>
        <w:rPr>
          <w:rFonts w:eastAsia="Times New Roman"/>
        </w:rPr>
      </w:pPr>
    </w:p>
    <w:p w:rsidR="00000000" w:rsidRDefault="006629D3">
      <w:pPr>
        <w:jc w:val="both"/>
        <w:rPr>
          <w:rFonts w:eastAsia="Times New Roman"/>
        </w:rPr>
      </w:pPr>
      <w:r>
        <w:rPr>
          <w:rFonts w:eastAsia="Times New Roman"/>
          <w:color w:val="000000"/>
          <w:sz w:val="20"/>
          <w:szCs w:val="20"/>
        </w:rPr>
        <w:t xml:space="preserve">We have been relieved of all purchase </w:t>
      </w:r>
      <w:r>
        <w:rPr>
          <w:rFonts w:eastAsia="Times New Roman"/>
          <w:color w:val="000000"/>
          <w:sz w:val="20"/>
          <w:szCs w:val="20"/>
        </w:rPr>
        <w:t xml:space="preserve">commitments disclosed in </w:t>
      </w:r>
      <w:r>
        <w:rPr>
          <w:rFonts w:eastAsia="Times New Roman"/>
          <w:i/>
          <w:iCs/>
          <w:color w:val="000000"/>
          <w:sz w:val="20"/>
          <w:szCs w:val="20"/>
        </w:rPr>
        <w:t>Note 16: Contingent Liabilities and Commitments</w:t>
      </w:r>
      <w:r>
        <w:rPr>
          <w:rFonts w:eastAsia="Times New Roman"/>
          <w:color w:val="000000"/>
          <w:sz w:val="20"/>
          <w:szCs w:val="20"/>
        </w:rPr>
        <w:t xml:space="preserve"> to the Company’s audited consolidated financial statements included in Part II, Item 8 of the Company’s 2019 Annual Report on Form 10-K due to the sale of the Hospital Products descri</w:t>
      </w:r>
      <w:r>
        <w:rPr>
          <w:rFonts w:eastAsia="Times New Roman"/>
          <w:color w:val="000000"/>
          <w:sz w:val="20"/>
          <w:szCs w:val="20"/>
        </w:rPr>
        <w:t xml:space="preserve">bed in </w:t>
      </w:r>
      <w:r>
        <w:rPr>
          <w:rFonts w:eastAsia="Times New Roman"/>
          <w:i/>
          <w:iCs/>
          <w:color w:val="000000"/>
          <w:sz w:val="20"/>
          <w:szCs w:val="20"/>
        </w:rPr>
        <w:t>Note 4: Disposition of the Hospital Products</w:t>
      </w:r>
      <w:r>
        <w:rPr>
          <w:rFonts w:eastAsia="Times New Roman"/>
          <w:color w:val="000000"/>
          <w:sz w:val="20"/>
          <w:szCs w:val="20"/>
        </w:rPr>
        <w:t xml:space="preserve">. </w:t>
      </w:r>
    </w:p>
    <w:p w:rsidR="00000000" w:rsidRDefault="006629D3">
      <w:pPr>
        <w:divId w:val="25496081"/>
        <w:rPr>
          <w:rFonts w:eastAsia="Times New Roman"/>
        </w:rPr>
      </w:pPr>
    </w:p>
    <w:p w:rsidR="00000000" w:rsidRDefault="006629D3">
      <w:pPr>
        <w:jc w:val="both"/>
        <w:rPr>
          <w:rFonts w:eastAsia="Times New Roman"/>
        </w:rPr>
      </w:pPr>
      <w:r>
        <w:rPr>
          <w:rFonts w:eastAsia="Times New Roman"/>
          <w:color w:val="000000"/>
          <w:sz w:val="20"/>
          <w:szCs w:val="20"/>
        </w:rPr>
        <w:t>During the three months ended September 30, 2020, we entered into a commitment with a contract manufacturer related to the purchase and validation of equipment to be used in the manufacture of FT218. The total cost of this commitment is estimated to be app</w:t>
      </w:r>
      <w:r>
        <w:rPr>
          <w:rFonts w:eastAsia="Times New Roman"/>
          <w:color w:val="000000"/>
          <w:sz w:val="20"/>
          <w:szCs w:val="20"/>
        </w:rPr>
        <w:t>roximately $3,800 and is expected to be completed by the end of 2021.</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Material commitments in the normal course of business include long-term debt obligations which are disclosed in </w:t>
      </w:r>
      <w:r>
        <w:rPr>
          <w:rFonts w:eastAsia="Times New Roman"/>
          <w:i/>
          <w:iCs/>
          <w:color w:val="000000"/>
          <w:sz w:val="20"/>
          <w:szCs w:val="20"/>
        </w:rPr>
        <w:t>Note 11: Long-Term Debt</w:t>
      </w:r>
      <w:r>
        <w:rPr>
          <w:rFonts w:eastAsia="Times New Roman"/>
          <w:color w:val="000000"/>
          <w:sz w:val="20"/>
          <w:szCs w:val="20"/>
        </w:rPr>
        <w:t xml:space="preserve"> to the Company’s unaudited condensed consolidate</w:t>
      </w:r>
      <w:r>
        <w:rPr>
          <w:rFonts w:eastAsia="Times New Roman"/>
          <w:color w:val="000000"/>
          <w:sz w:val="20"/>
          <w:szCs w:val="20"/>
        </w:rPr>
        <w:t xml:space="preserve">d financial statements. Our long-term contingent consideration payable as disclosed in </w:t>
      </w:r>
      <w:r>
        <w:rPr>
          <w:rFonts w:eastAsia="Times New Roman"/>
          <w:i/>
          <w:iCs/>
          <w:color w:val="000000"/>
          <w:sz w:val="20"/>
          <w:szCs w:val="20"/>
        </w:rPr>
        <w:t xml:space="preserve">Note 10: Contingent Consideration Payable </w:t>
      </w:r>
      <w:r>
        <w:rPr>
          <w:rFonts w:eastAsia="Times New Roman"/>
          <w:color w:val="000000"/>
          <w:sz w:val="20"/>
          <w:szCs w:val="20"/>
        </w:rPr>
        <w:t>has also been relieved due to the sale of the Hospital Products.</w:t>
      </w:r>
    </w:p>
    <w:p w:rsidR="00000000" w:rsidRDefault="006629D3">
      <w:pPr>
        <w:divId w:val="732314087"/>
        <w:rPr>
          <w:rFonts w:eastAsia="Times New Roman"/>
        </w:rPr>
      </w:pPr>
    </w:p>
    <w:p w:rsidR="00000000" w:rsidRDefault="006629D3">
      <w:pPr>
        <w:jc w:val="both"/>
        <w:rPr>
          <w:rFonts w:eastAsia="Times New Roman"/>
        </w:rPr>
      </w:pPr>
      <w:r>
        <w:rPr>
          <w:rFonts w:eastAsia="Times New Roman"/>
          <w:b/>
          <w:bCs/>
          <w:i/>
          <w:iCs/>
          <w:color w:val="000000"/>
          <w:sz w:val="20"/>
          <w:szCs w:val="20"/>
        </w:rPr>
        <w:t>Contractual Obligations</w:t>
      </w:r>
      <w:r>
        <w:rPr>
          <w:rFonts w:eastAsia="Times New Roman"/>
          <w:b/>
          <w:bCs/>
          <w:color w:val="000000"/>
          <w:sz w:val="20"/>
          <w:szCs w:val="20"/>
        </w:rPr>
        <w:t>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Disclosures regarding contractual</w:t>
      </w:r>
      <w:r>
        <w:rPr>
          <w:rFonts w:eastAsia="Times New Roman"/>
          <w:color w:val="000000"/>
          <w:sz w:val="20"/>
          <w:szCs w:val="20"/>
        </w:rPr>
        <w:t xml:space="preserve"> obligations are included in Part II, Item 7 of the Company’s 2019 Annual Report on Form 10-K and updated in </w:t>
      </w:r>
      <w:r>
        <w:rPr>
          <w:rFonts w:eastAsia="Times New Roman"/>
          <w:i/>
          <w:iCs/>
          <w:color w:val="000000"/>
          <w:sz w:val="20"/>
          <w:szCs w:val="20"/>
        </w:rPr>
        <w:t>Note 10: Contingent Consideration Payable</w:t>
      </w:r>
      <w:r>
        <w:rPr>
          <w:rFonts w:eastAsia="Times New Roman"/>
          <w:color w:val="000000"/>
          <w:sz w:val="20"/>
          <w:szCs w:val="20"/>
        </w:rPr>
        <w:t xml:space="preserve"> to the Company’s unaudited condensed consolidated financial statements included in Part I, Item 1 of this</w:t>
      </w:r>
      <w:r>
        <w:rPr>
          <w:rFonts w:eastAsia="Times New Roman"/>
          <w:color w:val="000000"/>
          <w:sz w:val="20"/>
          <w:szCs w:val="20"/>
        </w:rPr>
        <w:t xml:space="preserve"> Report.</w:t>
      </w:r>
    </w:p>
    <w:p w:rsidR="00000000" w:rsidRDefault="006629D3">
      <w:pPr>
        <w:jc w:val="both"/>
        <w:rPr>
          <w:rFonts w:eastAsia="Times New Roman"/>
        </w:rPr>
      </w:pPr>
    </w:p>
    <w:p w:rsidR="00000000" w:rsidRDefault="006629D3">
      <w:pPr>
        <w:divId w:val="1748383226"/>
        <w:rPr>
          <w:rFonts w:eastAsia="Times New Roman"/>
        </w:rPr>
      </w:pPr>
      <w:r>
        <w:rPr>
          <w:rFonts w:eastAsia="Times New Roman"/>
          <w:b/>
          <w:bCs/>
          <w:color w:val="000000"/>
          <w:sz w:val="20"/>
          <w:szCs w:val="20"/>
        </w:rPr>
        <w:t>ITEM 3.    QUANTITATIVE AND QUALITATIVE DISCLOSURES ABOUT MARKET RISK.</w:t>
      </w:r>
      <w:r>
        <w:rPr>
          <w:rFonts w:eastAsia="Times New Roman"/>
          <w:color w:val="000000"/>
          <w:sz w:val="20"/>
          <w:szCs w:val="20"/>
        </w:rPr>
        <w:t> </w:t>
      </w:r>
    </w:p>
    <w:p w:rsidR="00000000" w:rsidRDefault="006629D3">
      <w:pPr>
        <w:jc w:val="both"/>
        <w:divId w:val="1550530330"/>
        <w:rPr>
          <w:rFonts w:eastAsia="Times New Roman"/>
        </w:rPr>
      </w:pPr>
      <w:r>
        <w:rPr>
          <w:rFonts w:eastAsia="Times New Roman"/>
          <w:b/>
          <w:bCs/>
          <w:color w:val="000000"/>
          <w:sz w:val="20"/>
          <w:szCs w:val="20"/>
          <w:u w:val="single"/>
        </w:rPr>
        <w:t>Interest Rate Risk</w:t>
      </w:r>
    </w:p>
    <w:p w:rsidR="00000000" w:rsidRDefault="006629D3">
      <w:pPr>
        <w:jc w:val="both"/>
        <w:rPr>
          <w:rFonts w:eastAsia="Times New Roman"/>
        </w:rPr>
      </w:pPr>
      <w:r>
        <w:rPr>
          <w:rFonts w:eastAsia="Times New Roman"/>
          <w:color w:val="000000"/>
          <w:sz w:val="20"/>
          <w:szCs w:val="20"/>
        </w:rPr>
        <w:t>The Company is subject to interest rate risk as a result of its portfolio of marketable securities. The primary objectives of our investment policy are as</w:t>
      </w:r>
      <w:r>
        <w:rPr>
          <w:rFonts w:eastAsia="Times New Roman"/>
          <w:color w:val="000000"/>
          <w:sz w:val="20"/>
          <w:szCs w:val="20"/>
        </w:rPr>
        <w:t xml:space="preserve"> follows: safety and preservation of principal and diversification of risk; liquidity of investments sufficient to meet cash flow requirements; and competitive yield. Although our investments are subject to market risk, our investment policy specifies cred</w:t>
      </w:r>
      <w:r>
        <w:rPr>
          <w:rFonts w:eastAsia="Times New Roman"/>
          <w:color w:val="000000"/>
          <w:sz w:val="20"/>
          <w:szCs w:val="20"/>
        </w:rPr>
        <w:t>it quality standards for our investments and limits the amount of credit exposure from any single issue, issuer or certain types of investment. Our investment policy allows us to maintain a portfolio of cash equivalents and marketable securities in a varie</w:t>
      </w:r>
      <w:r>
        <w:rPr>
          <w:rFonts w:eastAsia="Times New Roman"/>
          <w:color w:val="000000"/>
          <w:sz w:val="20"/>
          <w:szCs w:val="20"/>
        </w:rPr>
        <w:t>ty of instruments, including U.S. federal government and federal agency securities, European Government bonds, corporate bonds or commercial paper issued by U.S. or European corporations, money market instruments, certain qualifying money market mutual fun</w:t>
      </w:r>
      <w:r>
        <w:rPr>
          <w:rFonts w:eastAsia="Times New Roman"/>
          <w:color w:val="000000"/>
          <w:sz w:val="20"/>
          <w:szCs w:val="20"/>
        </w:rPr>
        <w:t>ds, certain repurchase agreements, tax-exempt obligations of states, agencies, and municipalities in the U.S and Europe, and equities.</w:t>
      </w:r>
      <w:r>
        <w:rPr>
          <w:rFonts w:eastAsia="Times New Roman"/>
          <w:b/>
          <w:bCs/>
          <w:color w:val="000000"/>
          <w:sz w:val="20"/>
          <w:szCs w:val="20"/>
        </w:rPr>
        <w:t xml:space="preserve">  </w:t>
      </w:r>
      <w:r>
        <w:rPr>
          <w:rFonts w:eastAsia="Times New Roman"/>
          <w:color w:val="000000"/>
          <w:sz w:val="20"/>
          <w:szCs w:val="20"/>
        </w:rPr>
        <w:t>A hypothetical 50 basis point change in interest rates would not result in a material decrease or increase in the fair v</w:t>
      </w:r>
      <w:r>
        <w:rPr>
          <w:rFonts w:eastAsia="Times New Roman"/>
          <w:color w:val="000000"/>
          <w:sz w:val="20"/>
          <w:szCs w:val="20"/>
        </w:rPr>
        <w:t>alue of our securities due to the general short-term nature of our investment portfolio.</w:t>
      </w:r>
    </w:p>
    <w:p w:rsidR="00000000" w:rsidRDefault="006629D3">
      <w:pPr>
        <w:jc w:val="both"/>
        <w:rPr>
          <w:rFonts w:eastAsia="Times New Roman"/>
        </w:rPr>
      </w:pPr>
    </w:p>
    <w:p w:rsidR="00000000" w:rsidRDefault="006629D3">
      <w:pPr>
        <w:divId w:val="96607476"/>
        <w:rPr>
          <w:rFonts w:eastAsia="Times New Roman"/>
        </w:rPr>
      </w:pPr>
      <w:r>
        <w:rPr>
          <w:rFonts w:eastAsia="Times New Roman"/>
          <w:b/>
          <w:bCs/>
          <w:color w:val="000000"/>
          <w:sz w:val="20"/>
          <w:szCs w:val="20"/>
        </w:rPr>
        <w:t>ITEM 4.     CONTROLS AND PROCEDURES.</w:t>
      </w:r>
      <w:r>
        <w:rPr>
          <w:rFonts w:eastAsia="Times New Roman"/>
          <w:color w:val="000000"/>
          <w:sz w:val="20"/>
          <w:szCs w:val="20"/>
        </w:rPr>
        <w:t> </w:t>
      </w:r>
    </w:p>
    <w:p w:rsidR="00000000" w:rsidRDefault="006629D3">
      <w:pPr>
        <w:jc w:val="both"/>
        <w:divId w:val="1184394305"/>
        <w:rPr>
          <w:rFonts w:eastAsia="Times New Roman"/>
        </w:rPr>
      </w:pPr>
      <w:r>
        <w:rPr>
          <w:rFonts w:eastAsia="Times New Roman"/>
          <w:color w:val="000000"/>
          <w:sz w:val="20"/>
          <w:szCs w:val="20"/>
        </w:rPr>
        <w:t>Management of the Company, with the participation of its Chief Executive Officer and Chief Financial Officer, evaluated the eff</w:t>
      </w:r>
      <w:r>
        <w:rPr>
          <w:rFonts w:eastAsia="Times New Roman"/>
          <w:color w:val="000000"/>
          <w:sz w:val="20"/>
          <w:szCs w:val="20"/>
        </w:rPr>
        <w:t xml:space="preserve">ectiveness of the Company’s disclosure controls and procedures as of September 30, 2020, the end of the period covered by this quarterly report on Form 10-Q.  The term “disclosure controls and procedures,” as defined in Rules 13a-15(e) and 15d-15(e) under </w:t>
      </w:r>
      <w:r>
        <w:rPr>
          <w:rFonts w:eastAsia="Times New Roman"/>
          <w:color w:val="000000"/>
          <w:sz w:val="20"/>
          <w:szCs w:val="20"/>
        </w:rPr>
        <w:t>the Securities Exchange Act of 1934, as amended (“Exchange Act”), means controls and other procedures of a company that are designed to provide reasonable assurance that information required to be disclosed by the Company in the reports it files or submits</w:t>
      </w:r>
      <w:r>
        <w:rPr>
          <w:rFonts w:eastAsia="Times New Roman"/>
          <w:color w:val="000000"/>
          <w:sz w:val="20"/>
          <w:szCs w:val="20"/>
        </w:rPr>
        <w:t xml:space="preserve"> under the Exchange Act is recorded, processed, summarized and reported, within the time periods specified in the SEC’s rules and forms. Disclosure controls and procedures are also designed to provide reasonable assurance that such information is accumulat</w:t>
      </w:r>
      <w:r>
        <w:rPr>
          <w:rFonts w:eastAsia="Times New Roman"/>
          <w:color w:val="000000"/>
          <w:sz w:val="20"/>
          <w:szCs w:val="20"/>
        </w:rPr>
        <w:t xml:space="preserve">ed and communicated to the Company’s management, including its Chief Executive Officer and Chief Financial Officer, to allow timely decisions regarding required disclosure.  Based on their evaluation, as of the end of the period covered by this Form 10-Q, </w:t>
      </w:r>
      <w:r>
        <w:rPr>
          <w:rFonts w:eastAsia="Times New Roman"/>
          <w:color w:val="000000"/>
          <w:sz w:val="20"/>
          <w:szCs w:val="20"/>
        </w:rPr>
        <w:t xml:space="preserve">the Company’s Chief Executive Officer and Chief Financial Officer have concluded that the Company’s disclosure controls and procedures (as defined in Rules 13a-15(e) and 15d-15(e) under the Securities Exchange Act of 1934, as amended) were effective as of </w:t>
      </w:r>
      <w:r>
        <w:rPr>
          <w:rFonts w:eastAsia="Times New Roman"/>
          <w:color w:val="000000"/>
          <w:sz w:val="20"/>
          <w:szCs w:val="20"/>
        </w:rPr>
        <w:t>September 30, 2020. </w:t>
      </w:r>
    </w:p>
    <w:p w:rsidR="00000000" w:rsidRDefault="006629D3">
      <w:pPr>
        <w:jc w:val="both"/>
        <w:divId w:val="530267489"/>
        <w:rPr>
          <w:rFonts w:eastAsia="Times New Roman"/>
        </w:rPr>
      </w:pPr>
      <w:r>
        <w:rPr>
          <w:rFonts w:eastAsia="Times New Roman"/>
          <w:b/>
          <w:bCs/>
          <w:i/>
          <w:iCs/>
          <w:color w:val="000000"/>
          <w:sz w:val="20"/>
          <w:szCs w:val="20"/>
        </w:rPr>
        <w:t>Changes in Internal Control over Financial Reporting</w:t>
      </w:r>
      <w:r>
        <w:rPr>
          <w:rFonts w:eastAsia="Times New Roman"/>
          <w:i/>
          <w:iCs/>
          <w:color w:val="000000"/>
          <w:sz w:val="20"/>
          <w:szCs w:val="20"/>
        </w:rPr>
        <w:t> </w:t>
      </w:r>
    </w:p>
    <w:p w:rsidR="00000000" w:rsidRDefault="006629D3">
      <w:pPr>
        <w:jc w:val="both"/>
        <w:rPr>
          <w:rFonts w:eastAsia="Times New Roman"/>
        </w:rPr>
      </w:pPr>
      <w:r>
        <w:rPr>
          <w:rFonts w:eastAsia="Times New Roman"/>
          <w:color w:val="000000"/>
          <w:sz w:val="20"/>
          <w:szCs w:val="20"/>
        </w:rPr>
        <w:t>There were no changes in our internal control over financial reporting identified in connection with the evaluation required by paragraph (d) of Exchange Act Rule 13a-15 or 15d-15 t</w:t>
      </w:r>
      <w:r>
        <w:rPr>
          <w:rFonts w:eastAsia="Times New Roman"/>
          <w:color w:val="000000"/>
          <w:sz w:val="20"/>
          <w:szCs w:val="20"/>
        </w:rPr>
        <w:t xml:space="preserve">hat occurred during the three months ended September 30, 2020 that have materially affected, or are reasonably likely to materially affect, our internal control over financial reporting. We continue </w:t>
      </w:r>
    </w:p>
    <w:p w:rsidR="00000000" w:rsidRDefault="006629D3">
      <w:pPr>
        <w:jc w:val="center"/>
        <w:divId w:val="1576430543"/>
        <w:rPr>
          <w:rFonts w:eastAsia="Times New Roman"/>
        </w:rPr>
      </w:pPr>
      <w:r>
        <w:rPr>
          <w:rFonts w:eastAsia="Times New Roman"/>
          <w:color w:val="000000"/>
          <w:sz w:val="20"/>
          <w:szCs w:val="20"/>
        </w:rPr>
        <w:t>- 44 -</w:t>
      </w:r>
    </w:p>
    <w:p w:rsidR="00000000" w:rsidRDefault="006629D3">
      <w:pPr>
        <w:rPr>
          <w:rFonts w:eastAsia="Times New Roman"/>
        </w:rPr>
      </w:pPr>
      <w:r>
        <w:rPr>
          <w:rFonts w:eastAsia="Times New Roman"/>
        </w:rPr>
        <w:pict>
          <v:rect id="_x0000_i1069" style="width:0;height:1.5pt" o:hralign="center" o:hrstd="t" o:hr="t" fillcolor="#a0a0a0" stroked="f"/>
        </w:pict>
      </w:r>
    </w:p>
    <w:p w:rsidR="00000000" w:rsidRDefault="006629D3">
      <w:pPr>
        <w:divId w:val="1655066635"/>
        <w:rPr>
          <w:rFonts w:eastAsia="Times New Roman"/>
        </w:rPr>
      </w:pPr>
    </w:p>
    <w:p w:rsidR="00000000" w:rsidRDefault="006629D3">
      <w:pPr>
        <w:jc w:val="both"/>
        <w:rPr>
          <w:rFonts w:eastAsia="Times New Roman"/>
        </w:rPr>
      </w:pPr>
      <w:r>
        <w:rPr>
          <w:rFonts w:eastAsia="Times New Roman"/>
          <w:color w:val="000000"/>
          <w:sz w:val="20"/>
          <w:szCs w:val="20"/>
        </w:rPr>
        <w:t>to work fr</w:t>
      </w:r>
      <w:r>
        <w:rPr>
          <w:rFonts w:eastAsia="Times New Roman"/>
          <w:color w:val="000000"/>
          <w:sz w:val="20"/>
          <w:szCs w:val="20"/>
        </w:rPr>
        <w:t>om home due to the COVID-19 pandemic and will continue to monitor the impact on the design and operating effectiveness of our internal controls.</w:t>
      </w:r>
    </w:p>
    <w:p w:rsidR="00000000" w:rsidRDefault="006629D3">
      <w:pPr>
        <w:jc w:val="both"/>
        <w:rPr>
          <w:rFonts w:eastAsia="Times New Roman"/>
        </w:rPr>
      </w:pPr>
    </w:p>
    <w:p w:rsidR="00000000" w:rsidRDefault="006629D3">
      <w:pPr>
        <w:jc w:val="center"/>
        <w:divId w:val="1010527701"/>
        <w:rPr>
          <w:rFonts w:eastAsia="Times New Roman"/>
        </w:rPr>
      </w:pPr>
      <w:r>
        <w:rPr>
          <w:rFonts w:eastAsia="Times New Roman"/>
          <w:b/>
          <w:bCs/>
          <w:color w:val="000000"/>
          <w:sz w:val="20"/>
          <w:szCs w:val="20"/>
        </w:rPr>
        <w:t>PART II – OTHER INFORMATION</w:t>
      </w:r>
      <w:r>
        <w:rPr>
          <w:rFonts w:eastAsia="Times New Roman"/>
          <w:color w:val="000000"/>
          <w:sz w:val="20"/>
          <w:szCs w:val="20"/>
        </w:rPr>
        <w:t> </w:t>
      </w:r>
    </w:p>
    <w:p w:rsidR="00000000" w:rsidRDefault="006629D3">
      <w:pPr>
        <w:ind w:hanging="360"/>
        <w:divId w:val="484250355"/>
        <w:rPr>
          <w:rFonts w:eastAsia="Times New Roman"/>
        </w:rPr>
      </w:pPr>
      <w:r>
        <w:rPr>
          <w:rFonts w:eastAsia="Times New Roman"/>
          <w:b/>
          <w:bCs/>
          <w:color w:val="000000"/>
          <w:sz w:val="20"/>
          <w:szCs w:val="20"/>
        </w:rPr>
        <w:t>ITEM 1.    LEGAL PROCEEDINGS.</w:t>
      </w:r>
      <w:r>
        <w:rPr>
          <w:rFonts w:eastAsia="Times New Roman"/>
          <w:color w:val="000000"/>
          <w:sz w:val="20"/>
          <w:szCs w:val="20"/>
        </w:rPr>
        <w:t> </w:t>
      </w:r>
    </w:p>
    <w:p w:rsidR="00000000" w:rsidRDefault="006629D3">
      <w:pPr>
        <w:jc w:val="both"/>
        <w:divId w:val="2027899691"/>
        <w:rPr>
          <w:rFonts w:eastAsia="Times New Roman"/>
        </w:rPr>
      </w:pPr>
      <w:r>
        <w:rPr>
          <w:rFonts w:eastAsia="Times New Roman"/>
          <w:color w:val="000000"/>
          <w:sz w:val="20"/>
          <w:szCs w:val="20"/>
        </w:rPr>
        <w:t xml:space="preserve">The information contained in </w:t>
      </w:r>
      <w:r>
        <w:rPr>
          <w:rFonts w:eastAsia="Times New Roman"/>
          <w:i/>
          <w:iCs/>
          <w:color w:val="000000"/>
          <w:sz w:val="20"/>
          <w:szCs w:val="20"/>
        </w:rPr>
        <w:t>Note 20: Commitments and Contingencies </w:t>
      </w:r>
      <w:r>
        <w:rPr>
          <w:rFonts w:eastAsia="Times New Roman"/>
          <w:color w:val="000000"/>
          <w:sz w:val="20"/>
          <w:szCs w:val="20"/>
        </w:rPr>
        <w:t>to the Company’s unaudited condensed consolidated financial statements included in Part I, Item 1 of this Report is incorporated by reference herein.</w:t>
      </w:r>
    </w:p>
    <w:p w:rsidR="00000000" w:rsidRDefault="006629D3">
      <w:pPr>
        <w:jc w:val="both"/>
        <w:divId w:val="1240946793"/>
        <w:rPr>
          <w:rFonts w:eastAsia="Times New Roman"/>
        </w:rPr>
      </w:pPr>
      <w:r>
        <w:rPr>
          <w:rFonts w:eastAsia="Times New Roman"/>
          <w:b/>
          <w:bCs/>
          <w:color w:val="000000"/>
          <w:sz w:val="20"/>
          <w:szCs w:val="20"/>
        </w:rPr>
        <w:t>ITEM 1A.    RISK FACTORS.</w:t>
      </w:r>
      <w:r>
        <w:rPr>
          <w:rFonts w:eastAsia="Times New Roman"/>
          <w:color w:val="000000"/>
          <w:sz w:val="20"/>
          <w:szCs w:val="20"/>
        </w:rPr>
        <w:t> </w:t>
      </w:r>
    </w:p>
    <w:p w:rsidR="00000000" w:rsidRDefault="006629D3">
      <w:pPr>
        <w:jc w:val="both"/>
        <w:rPr>
          <w:rFonts w:eastAsia="Times New Roman"/>
        </w:rPr>
      </w:pPr>
      <w:r>
        <w:rPr>
          <w:rFonts w:eastAsia="Times New Roman"/>
          <w:color w:val="000000"/>
          <w:sz w:val="20"/>
          <w:szCs w:val="20"/>
        </w:rPr>
        <w:t>Except as set forth below, there have be</w:t>
      </w:r>
      <w:r>
        <w:rPr>
          <w:rFonts w:eastAsia="Times New Roman"/>
          <w:color w:val="000000"/>
          <w:sz w:val="20"/>
          <w:szCs w:val="20"/>
        </w:rPr>
        <w:t>en no material changes in our risk factors from those disclosed in our annual report on Form 10-K for the year ended December 31, 2019 filed with the SEC on March 16, 2020.</w:t>
      </w:r>
    </w:p>
    <w:p w:rsidR="00000000" w:rsidRDefault="006629D3">
      <w:pPr>
        <w:jc w:val="both"/>
        <w:rPr>
          <w:rFonts w:eastAsia="Times New Roman"/>
        </w:rPr>
      </w:pPr>
    </w:p>
    <w:p w:rsidR="00000000" w:rsidRDefault="006629D3">
      <w:pPr>
        <w:divId w:val="1171018815"/>
        <w:rPr>
          <w:rFonts w:eastAsia="Times New Roman"/>
        </w:rPr>
      </w:pPr>
      <w:r>
        <w:rPr>
          <w:rFonts w:eastAsia="Times New Roman"/>
          <w:b/>
          <w:bCs/>
          <w:i/>
          <w:iCs/>
          <w:color w:val="000000"/>
          <w:sz w:val="20"/>
          <w:szCs w:val="20"/>
        </w:rPr>
        <w:t>COVID-19 may materially and adversely affect our business and our financial results.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The recent COVID-19 pandemic is understood to have originated in Wuhan, China in December 2019 and has since spread globally, including to the United States and European</w:t>
      </w:r>
      <w:r>
        <w:rPr>
          <w:rFonts w:eastAsia="Times New Roman"/>
          <w:color w:val="000000"/>
          <w:sz w:val="20"/>
          <w:szCs w:val="20"/>
        </w:rPr>
        <w:t xml:space="preserve"> countries. The continued spread of COVID-19 could adversely impact our operations, including our ability to initiate or complete clinical trials, manufacture sufficient supply of our product candidates, file our New Drug Application, or NDA, for FT218 or </w:t>
      </w:r>
      <w:r>
        <w:rPr>
          <w:rFonts w:eastAsia="Times New Roman"/>
          <w:color w:val="000000"/>
          <w:sz w:val="20"/>
          <w:szCs w:val="20"/>
        </w:rPr>
        <w:t>to manufacture FT218 at sufficient scale for commercialization, if approved. Any delay in submission of our NDA could adversely affect our ability to obtain regulatory approval for and to commercialize FT218, particularly on our current projected timelines</w:t>
      </w:r>
      <w:r>
        <w:rPr>
          <w:rFonts w:eastAsia="Times New Roman"/>
          <w:color w:val="000000"/>
          <w:sz w:val="20"/>
          <w:szCs w:val="20"/>
        </w:rPr>
        <w:t xml:space="preserve">, increase our operating expenses and have a material adverse effect on our business and financial results.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addition, COVID-19 has resulted in significant governmental measures being implemented to control the spread of the virus, including quarantin</w:t>
      </w:r>
      <w:r>
        <w:rPr>
          <w:rFonts w:eastAsia="Times New Roman"/>
          <w:color w:val="000000"/>
          <w:sz w:val="20"/>
          <w:szCs w:val="20"/>
        </w:rPr>
        <w:t>es, travel restrictions, social distancing and business shutdowns. We have taken temporary precautionary measures intended to help minimize the risk of the virus to our employees, including temporarily requiring all employees to work remotely. We have alre</w:t>
      </w:r>
      <w:r>
        <w:rPr>
          <w:rFonts w:eastAsia="Times New Roman"/>
          <w:color w:val="000000"/>
          <w:sz w:val="20"/>
          <w:szCs w:val="20"/>
        </w:rPr>
        <w:t xml:space="preserve">ady suspended non-essential travel worldwide for our employees and are discouraging employee attendance at other gatherings. These measures could negatively affect our business. For instance, temporarily requiring all employees to work remotely may induce </w:t>
      </w:r>
      <w:r>
        <w:rPr>
          <w:rFonts w:eastAsia="Times New Roman"/>
          <w:color w:val="000000"/>
          <w:sz w:val="20"/>
          <w:szCs w:val="20"/>
        </w:rPr>
        <w:t>absenteeism, disrupt our operations or increase the risk of a cybersecurity incident. COVID-19 has also caused volatility in the global financial markets and threatened a slowdown in the global economy, which may negatively affect our ability to raise addi</w:t>
      </w:r>
      <w:r>
        <w:rPr>
          <w:rFonts w:eastAsia="Times New Roman"/>
          <w:color w:val="000000"/>
          <w:sz w:val="20"/>
          <w:szCs w:val="20"/>
        </w:rPr>
        <w:t>tional capital on attractive terms or at all.</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The extent to which COVID-19 may impact our business will depend on future developments, which are highly uncertain and cannot be predicted with confidence, such as the duration of the pandemic, the severity </w:t>
      </w:r>
      <w:r>
        <w:rPr>
          <w:rFonts w:eastAsia="Times New Roman"/>
          <w:color w:val="000000"/>
          <w:sz w:val="20"/>
          <w:szCs w:val="20"/>
        </w:rPr>
        <w:t>of COVID-19 or the effectiveness of actions to contain and treat COVID-19, particularly in the geographies where we or our third party suppliers and contract manufacturers, or contract research organizations operate. We cannot presently predict the scope a</w:t>
      </w:r>
      <w:r>
        <w:rPr>
          <w:rFonts w:eastAsia="Times New Roman"/>
          <w:color w:val="000000"/>
          <w:sz w:val="20"/>
          <w:szCs w:val="20"/>
        </w:rPr>
        <w:t>nd severity of any potential business shutdowns or disruptions. If we or any of the third parties with whom we engage, however, were to experience shutdowns or other business disruptions, our ability to conduct our business in the manner and on the timelin</w:t>
      </w:r>
      <w:r>
        <w:rPr>
          <w:rFonts w:eastAsia="Times New Roman"/>
          <w:color w:val="000000"/>
          <w:sz w:val="20"/>
          <w:szCs w:val="20"/>
        </w:rPr>
        <w:t>es presently planned could be materially and negatively affected, which could have a material adverse impact on our business and our results of operations and financial condition.</w:t>
      </w:r>
    </w:p>
    <w:p w:rsidR="00000000" w:rsidRDefault="006629D3">
      <w:pPr>
        <w:jc w:val="both"/>
        <w:rPr>
          <w:rFonts w:eastAsia="Times New Roman"/>
        </w:rPr>
      </w:pPr>
    </w:p>
    <w:p w:rsidR="00000000" w:rsidRDefault="006629D3">
      <w:pPr>
        <w:jc w:val="both"/>
        <w:rPr>
          <w:rFonts w:eastAsia="Times New Roman"/>
        </w:rPr>
      </w:pPr>
      <w:r>
        <w:rPr>
          <w:rFonts w:eastAsia="Times New Roman"/>
          <w:b/>
          <w:bCs/>
          <w:i/>
          <w:iCs/>
          <w:color w:val="000000"/>
          <w:sz w:val="20"/>
          <w:szCs w:val="20"/>
        </w:rPr>
        <w:t>Disruptions at the FDA, the SEC and other government agencies caused by fu</w:t>
      </w:r>
      <w:r>
        <w:rPr>
          <w:rFonts w:eastAsia="Times New Roman"/>
          <w:b/>
          <w:bCs/>
          <w:i/>
          <w:iCs/>
          <w:color w:val="000000"/>
          <w:sz w:val="20"/>
          <w:szCs w:val="20"/>
        </w:rPr>
        <w:t>nding shortages or global health concerns could hinder their ability to hire and retain key leadership and other personnel, prevent new products and services from being developed or commercialized in a timely manner or otherwise prevent those agencies from</w:t>
      </w:r>
      <w:r>
        <w:rPr>
          <w:rFonts w:eastAsia="Times New Roman"/>
          <w:b/>
          <w:bCs/>
          <w:i/>
          <w:iCs/>
          <w:color w:val="000000"/>
          <w:sz w:val="20"/>
          <w:szCs w:val="20"/>
        </w:rPr>
        <w:t xml:space="preserve"> performing normal business functions on which the operation of our business may rely, which could negatively impact our business.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As of June 23, 2020, the FDA noted it was continuing to ensure timely reviews of applications for medical products during t</w:t>
      </w:r>
      <w:r>
        <w:rPr>
          <w:rFonts w:eastAsia="Times New Roman"/>
          <w:color w:val="000000"/>
          <w:sz w:val="20"/>
          <w:szCs w:val="20"/>
        </w:rPr>
        <w:t>he COVID-19 pandemic in line with its user fee performance goals and conducting mission critical domestic and foreign inspections to ensure compliance of manufacturing facilities with FDA quality standards. However, the FDA may not be able to maintain this</w:t>
      </w:r>
      <w:r>
        <w:rPr>
          <w:rFonts w:eastAsia="Times New Roman"/>
          <w:color w:val="000000"/>
          <w:sz w:val="20"/>
          <w:szCs w:val="20"/>
        </w:rPr>
        <w:t xml:space="preserve"> pace and delays or setbacks are possible in the future. On July 10, 2020, the FDA announced its goal of restarting domestic on-site inspections during the week of July 20, but such activities will depend on data about the virus’ trajectory in a given stat</w:t>
      </w:r>
      <w:r>
        <w:rPr>
          <w:rFonts w:eastAsia="Times New Roman"/>
          <w:color w:val="000000"/>
          <w:sz w:val="20"/>
          <w:szCs w:val="20"/>
        </w:rPr>
        <w:t>e and locality and the rules and guidelines that are put in place by state and local governments. The FDA has developed a rating system to assist in determining when and where it is safest to conduct prioritized domestic inspections. Should FDA determine t</w:t>
      </w:r>
      <w:r>
        <w:rPr>
          <w:rFonts w:eastAsia="Times New Roman"/>
          <w:color w:val="000000"/>
          <w:sz w:val="20"/>
          <w:szCs w:val="20"/>
        </w:rPr>
        <w:t>hat an inspection is necessary for approval and an inspection cannot be completed during the review cycle due to restrictions on travel, FDA has stated that it generally intends to issue a complete response letter.</w:t>
      </w:r>
      <w:r>
        <w:rPr>
          <w:rFonts w:eastAsia="Times New Roman"/>
          <w:color w:val="000000"/>
        </w:rPr>
        <w:t xml:space="preserve"> </w:t>
      </w:r>
      <w:r>
        <w:rPr>
          <w:rFonts w:eastAsia="Times New Roman"/>
          <w:color w:val="000000"/>
          <w:sz w:val="20"/>
          <w:szCs w:val="20"/>
        </w:rPr>
        <w:t>Further, if there is inadequate informati</w:t>
      </w:r>
      <w:r>
        <w:rPr>
          <w:rFonts w:eastAsia="Times New Roman"/>
          <w:color w:val="000000"/>
          <w:sz w:val="20"/>
          <w:szCs w:val="20"/>
        </w:rPr>
        <w:t xml:space="preserve">on to make a determination on the acceptability of a facility, FDA may defer action on the application until an inspection can be completed. Regulatory authorities outside the U.S. may adopt similar restrictions or other policy measures in response to the </w:t>
      </w:r>
      <w:r>
        <w:rPr>
          <w:rFonts w:eastAsia="Times New Roman"/>
          <w:color w:val="000000"/>
          <w:sz w:val="20"/>
          <w:szCs w:val="20"/>
        </w:rPr>
        <w:t xml:space="preserve">COVID-19 pandemic and may experience delays in their regulatory activities. We cannot guarantee </w:t>
      </w:r>
    </w:p>
    <w:p w:rsidR="00000000" w:rsidRDefault="006629D3">
      <w:pPr>
        <w:jc w:val="center"/>
        <w:divId w:val="501552428"/>
        <w:rPr>
          <w:rFonts w:eastAsia="Times New Roman"/>
        </w:rPr>
      </w:pPr>
      <w:r>
        <w:rPr>
          <w:rFonts w:eastAsia="Times New Roman"/>
          <w:color w:val="000000"/>
          <w:sz w:val="20"/>
          <w:szCs w:val="20"/>
        </w:rPr>
        <w:t>- 45 -</w:t>
      </w:r>
    </w:p>
    <w:p w:rsidR="00000000" w:rsidRDefault="006629D3">
      <w:pPr>
        <w:rPr>
          <w:rFonts w:eastAsia="Times New Roman"/>
        </w:rPr>
      </w:pPr>
      <w:r>
        <w:rPr>
          <w:rFonts w:eastAsia="Times New Roman"/>
        </w:rPr>
        <w:pict>
          <v:rect id="_x0000_i1070" style="width:0;height:1.5pt" o:hralign="center" o:hrstd="t" o:hr="t" fillcolor="#a0a0a0" stroked="f"/>
        </w:pict>
      </w:r>
    </w:p>
    <w:p w:rsidR="00000000" w:rsidRDefault="006629D3">
      <w:pPr>
        <w:divId w:val="228466343"/>
        <w:rPr>
          <w:rFonts w:eastAsia="Times New Roman"/>
        </w:rPr>
      </w:pPr>
    </w:p>
    <w:p w:rsidR="00000000" w:rsidRDefault="006629D3">
      <w:pPr>
        <w:jc w:val="both"/>
        <w:rPr>
          <w:rFonts w:eastAsia="Times New Roman"/>
        </w:rPr>
      </w:pPr>
      <w:r>
        <w:rPr>
          <w:rFonts w:eastAsia="Times New Roman"/>
          <w:color w:val="000000"/>
          <w:sz w:val="20"/>
          <w:szCs w:val="20"/>
        </w:rPr>
        <w:t>that the FDA will be able to complete any required inspections or take other necessary actions in respect to our p</w:t>
      </w:r>
      <w:r>
        <w:rPr>
          <w:rFonts w:eastAsia="Times New Roman"/>
          <w:color w:val="000000"/>
          <w:sz w:val="20"/>
          <w:szCs w:val="20"/>
        </w:rPr>
        <w:t xml:space="preserve">roduct candidates. </w:t>
      </w:r>
    </w:p>
    <w:p w:rsidR="00000000" w:rsidRDefault="006629D3">
      <w:pPr>
        <w:jc w:val="both"/>
        <w:rPr>
          <w:rFonts w:eastAsia="Times New Roman"/>
        </w:rPr>
      </w:pPr>
    </w:p>
    <w:p w:rsidR="00000000" w:rsidRDefault="006629D3">
      <w:pPr>
        <w:divId w:val="1091003094"/>
        <w:rPr>
          <w:rFonts w:eastAsia="Times New Roman"/>
        </w:rPr>
      </w:pPr>
      <w:r>
        <w:rPr>
          <w:rFonts w:eastAsia="Times New Roman"/>
          <w:b/>
          <w:bCs/>
          <w:color w:val="000000"/>
          <w:sz w:val="20"/>
          <w:szCs w:val="20"/>
        </w:rPr>
        <w:t>ITEM 2.    UNREGISTERED SALES OF EQUITY SECURITIES AND USE OF PROCEEDS.</w:t>
      </w:r>
      <w:r>
        <w:rPr>
          <w:rFonts w:eastAsia="Times New Roman"/>
          <w:color w:val="000000"/>
          <w:sz w:val="20"/>
          <w:szCs w:val="20"/>
        </w:rPr>
        <w:t> </w:t>
      </w:r>
    </w:p>
    <w:p w:rsidR="00000000" w:rsidRDefault="006629D3">
      <w:pPr>
        <w:jc w:val="both"/>
        <w:rPr>
          <w:rFonts w:eastAsia="Times New Roman"/>
        </w:rPr>
      </w:pPr>
      <w:r>
        <w:rPr>
          <w:rFonts w:eastAsia="Times New Roman"/>
          <w:i/>
          <w:iCs/>
          <w:color w:val="000000"/>
          <w:sz w:val="20"/>
          <w:szCs w:val="20"/>
        </w:rPr>
        <w:t>Securities Purchase Agreement</w:t>
      </w:r>
    </w:p>
    <w:p w:rsidR="00000000" w:rsidRDefault="006629D3">
      <w:pPr>
        <w:divId w:val="1448698983"/>
        <w:rPr>
          <w:rFonts w:eastAsia="Times New Roman"/>
        </w:rPr>
      </w:pPr>
    </w:p>
    <w:p w:rsidR="00000000" w:rsidRDefault="006629D3">
      <w:pPr>
        <w:jc w:val="both"/>
        <w:rPr>
          <w:rFonts w:eastAsia="Times New Roman"/>
        </w:rPr>
      </w:pPr>
      <w:r>
        <w:rPr>
          <w:rFonts w:eastAsia="Times New Roman"/>
          <w:color w:val="000000"/>
          <w:sz w:val="20"/>
          <w:szCs w:val="20"/>
        </w:rPr>
        <w:t>On February 21, 2020, we announced that we entered into a definitive agreement for the sale of our ADSs and Series A Non-Voting C</w:t>
      </w:r>
      <w:r>
        <w:rPr>
          <w:rFonts w:eastAsia="Times New Roman"/>
          <w:color w:val="000000"/>
          <w:sz w:val="20"/>
          <w:szCs w:val="20"/>
        </w:rPr>
        <w:t>onvertible Preferred Shares (“Series A Preferred”) in a private placement to a group of institutional accredited investors. The private placement resulted in gross proceeds of approximately $65,000 before deducting placement agent and other offering expens</w:t>
      </w:r>
      <w:r>
        <w:rPr>
          <w:rFonts w:eastAsia="Times New Roman"/>
          <w:color w:val="000000"/>
          <w:sz w:val="20"/>
          <w:szCs w:val="20"/>
        </w:rPr>
        <w:t>es which resulted in net proceeds of $60,570.</w:t>
      </w:r>
    </w:p>
    <w:p w:rsidR="00000000" w:rsidRDefault="006629D3">
      <w:pPr>
        <w:divId w:val="1947885851"/>
        <w:rPr>
          <w:rFonts w:eastAsia="Times New Roman"/>
        </w:rPr>
      </w:pPr>
    </w:p>
    <w:p w:rsidR="00000000" w:rsidRDefault="006629D3">
      <w:pPr>
        <w:jc w:val="both"/>
        <w:rPr>
          <w:rFonts w:eastAsia="Times New Roman"/>
        </w:rPr>
      </w:pPr>
      <w:r>
        <w:rPr>
          <w:rFonts w:eastAsia="Times New Roman"/>
          <w:color w:val="000000"/>
          <w:sz w:val="20"/>
          <w:szCs w:val="20"/>
        </w:rPr>
        <w:t>Pursuant to the terms of the private placement, we issued 8,680,225 ADSs and 487,614 shares of Series A Preferred at a price of $7.09 per share, priced at-the-market under Nasdaq rules. Each share of non-voti</w:t>
      </w:r>
      <w:r>
        <w:rPr>
          <w:rFonts w:eastAsia="Times New Roman"/>
          <w:color w:val="000000"/>
          <w:sz w:val="20"/>
          <w:szCs w:val="20"/>
        </w:rPr>
        <w:t>ng Series A Preferred is convertible into one ADS, provided that conversion will be prohibited if, as a result, the holder and its affiliates would own more than 9.99% of the total number of Avadel ADSs outstanding. The closing of the private placement occ</w:t>
      </w:r>
      <w:r>
        <w:rPr>
          <w:rFonts w:eastAsia="Times New Roman"/>
          <w:color w:val="000000"/>
          <w:sz w:val="20"/>
          <w:szCs w:val="20"/>
        </w:rPr>
        <w:t>urred on February 25, 2020. Proceeds from the private placement will be used to fund continued clinical and program development of FT218, including our open-label extension study for REST-ON, a switch study to evaluate patients switching from twice-nightly</w:t>
      </w:r>
      <w:r>
        <w:rPr>
          <w:rFonts w:eastAsia="Times New Roman"/>
          <w:color w:val="000000"/>
          <w:sz w:val="20"/>
          <w:szCs w:val="20"/>
        </w:rPr>
        <w:t xml:space="preserve"> sodium oxybate to once-nightly FT218, as well as for general corporate purposes.</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 xml:space="preserve">The private placement was exempt from registration pursuant to Section 4(a)(2) of the Securities Act as a transaction by an issuer not involving a public offering. </w:t>
      </w:r>
    </w:p>
    <w:p w:rsidR="00000000" w:rsidRDefault="006629D3">
      <w:pPr>
        <w:jc w:val="both"/>
        <w:rPr>
          <w:rFonts w:eastAsia="Times New Roman"/>
        </w:rPr>
      </w:pPr>
    </w:p>
    <w:p w:rsidR="00000000" w:rsidRDefault="006629D3">
      <w:pPr>
        <w:jc w:val="both"/>
        <w:rPr>
          <w:rFonts w:eastAsia="Times New Roman"/>
        </w:rPr>
      </w:pPr>
      <w:r>
        <w:rPr>
          <w:rFonts w:eastAsia="Times New Roman"/>
          <w:color w:val="000000"/>
          <w:sz w:val="20"/>
          <w:szCs w:val="20"/>
        </w:rPr>
        <w:t>In co</w:t>
      </w:r>
      <w:r>
        <w:rPr>
          <w:rFonts w:eastAsia="Times New Roman"/>
          <w:color w:val="000000"/>
          <w:sz w:val="20"/>
          <w:szCs w:val="20"/>
        </w:rPr>
        <w:t>nnection with the shelf registration statement, on April 28, 2020 we announced the pricing of an underwritten public offering of 11,630,000 ADSs at a price to the public of $10.75 per ADS. Each ADS represents the right to receive one Ordinary Share. All of</w:t>
      </w:r>
      <w:r>
        <w:rPr>
          <w:rFonts w:eastAsia="Times New Roman"/>
          <w:color w:val="000000"/>
          <w:sz w:val="20"/>
          <w:szCs w:val="20"/>
        </w:rPr>
        <w:t xml:space="preserve"> the ADSs were offered by us and the gross proceeds to us from the offering were approximately $125,000, before deducting underwriting discounts and commissions and offering expenses, which resulted in net proceeds of $116,924. The offering closed on May 1</w:t>
      </w:r>
      <w:r>
        <w:rPr>
          <w:rFonts w:eastAsia="Times New Roman"/>
          <w:color w:val="000000"/>
          <w:sz w:val="20"/>
          <w:szCs w:val="20"/>
        </w:rPr>
        <w:t>, 2020.</w:t>
      </w:r>
    </w:p>
    <w:p w:rsidR="00000000" w:rsidRDefault="006629D3">
      <w:pPr>
        <w:divId w:val="1883783370"/>
        <w:rPr>
          <w:rFonts w:eastAsia="Times New Roman"/>
        </w:rPr>
      </w:pPr>
      <w:r>
        <w:rPr>
          <w:rFonts w:eastAsia="Times New Roman"/>
          <w:b/>
          <w:bCs/>
          <w:color w:val="000000"/>
          <w:sz w:val="20"/>
          <w:szCs w:val="20"/>
        </w:rPr>
        <w:t>ITEM 3.     DEFAULTS UPON SENIOR SECURITIES. </w:t>
      </w:r>
    </w:p>
    <w:p w:rsidR="00000000" w:rsidRDefault="006629D3">
      <w:pPr>
        <w:divId w:val="857504095"/>
        <w:rPr>
          <w:rFonts w:eastAsia="Times New Roman"/>
        </w:rPr>
      </w:pPr>
      <w:r>
        <w:rPr>
          <w:rFonts w:eastAsia="Times New Roman"/>
          <w:color w:val="000000"/>
          <w:sz w:val="20"/>
          <w:szCs w:val="20"/>
        </w:rPr>
        <w:t>None.</w:t>
      </w:r>
    </w:p>
    <w:p w:rsidR="00000000" w:rsidRDefault="006629D3">
      <w:pPr>
        <w:divId w:val="1257401081"/>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rsidR="00000000" w:rsidRDefault="006629D3">
      <w:pPr>
        <w:divId w:val="1859852845"/>
        <w:rPr>
          <w:rFonts w:eastAsia="Times New Roman"/>
        </w:rPr>
      </w:pPr>
      <w:r>
        <w:rPr>
          <w:rFonts w:eastAsia="Times New Roman"/>
          <w:color w:val="000000"/>
          <w:sz w:val="20"/>
          <w:szCs w:val="20"/>
        </w:rPr>
        <w:t>Not applicable.</w:t>
      </w:r>
    </w:p>
    <w:p w:rsidR="00000000" w:rsidRDefault="006629D3">
      <w:pPr>
        <w:divId w:val="955720510"/>
        <w:rPr>
          <w:rFonts w:eastAsia="Times New Roman"/>
        </w:rPr>
      </w:pPr>
      <w:r>
        <w:rPr>
          <w:rFonts w:eastAsia="Times New Roman"/>
          <w:b/>
          <w:bCs/>
          <w:color w:val="000000"/>
          <w:sz w:val="20"/>
          <w:szCs w:val="20"/>
        </w:rPr>
        <w:t>ITEM 5.    OTHER INFORMATION.</w:t>
      </w:r>
      <w:r>
        <w:rPr>
          <w:rFonts w:eastAsia="Times New Roman"/>
          <w:color w:val="000000"/>
          <w:sz w:val="20"/>
          <w:szCs w:val="20"/>
        </w:rPr>
        <w:t> </w:t>
      </w:r>
    </w:p>
    <w:p w:rsidR="00000000" w:rsidRDefault="006629D3">
      <w:pPr>
        <w:divId w:val="533730724"/>
        <w:rPr>
          <w:rFonts w:eastAsia="Times New Roman"/>
        </w:rPr>
      </w:pPr>
    </w:p>
    <w:p w:rsidR="00000000" w:rsidRDefault="006629D3">
      <w:pPr>
        <w:divId w:val="995916836"/>
        <w:rPr>
          <w:rFonts w:eastAsia="Times New Roman"/>
        </w:rPr>
      </w:pPr>
      <w:r>
        <w:rPr>
          <w:rFonts w:eastAsia="Times New Roman"/>
          <w:color w:val="000000"/>
          <w:sz w:val="20"/>
          <w:szCs w:val="20"/>
        </w:rPr>
        <w:t>None.</w:t>
      </w:r>
    </w:p>
    <w:p w:rsidR="00000000" w:rsidRDefault="006629D3">
      <w:pPr>
        <w:divId w:val="185993828"/>
        <w:rPr>
          <w:rFonts w:eastAsia="Times New Roman"/>
        </w:rPr>
      </w:pPr>
    </w:p>
    <w:p w:rsidR="00000000" w:rsidRDefault="006629D3">
      <w:pPr>
        <w:jc w:val="center"/>
        <w:divId w:val="684988136"/>
        <w:rPr>
          <w:rFonts w:eastAsia="Times New Roman"/>
        </w:rPr>
      </w:pPr>
      <w:r>
        <w:rPr>
          <w:rFonts w:eastAsia="Times New Roman"/>
          <w:color w:val="000000"/>
          <w:sz w:val="20"/>
          <w:szCs w:val="20"/>
        </w:rPr>
        <w:t>- 46 -</w:t>
      </w:r>
    </w:p>
    <w:p w:rsidR="00000000" w:rsidRDefault="006629D3">
      <w:pPr>
        <w:rPr>
          <w:rFonts w:eastAsia="Times New Roman"/>
        </w:rPr>
      </w:pPr>
      <w:r>
        <w:rPr>
          <w:rFonts w:eastAsia="Times New Roman"/>
        </w:rPr>
        <w:pict>
          <v:rect id="_x0000_i1071" style="width:0;height:1.5pt" o:hralign="center" o:hrstd="t" o:hr="t" fillcolor="#a0a0a0" stroked="f"/>
        </w:pict>
      </w:r>
    </w:p>
    <w:p w:rsidR="00000000" w:rsidRDefault="006629D3">
      <w:pPr>
        <w:divId w:val="200213174"/>
        <w:rPr>
          <w:rFonts w:eastAsia="Times New Roman"/>
        </w:rPr>
      </w:pPr>
    </w:p>
    <w:p w:rsidR="00000000" w:rsidRDefault="006629D3">
      <w:pPr>
        <w:divId w:val="975065483"/>
        <w:rPr>
          <w:rFonts w:eastAsia="Times New Roman"/>
        </w:rPr>
      </w:pPr>
      <w:r>
        <w:rPr>
          <w:rFonts w:eastAsia="Times New Roman"/>
          <w:b/>
          <w:bCs/>
          <w:color w:val="000000"/>
          <w:sz w:val="20"/>
          <w:szCs w:val="20"/>
        </w:rPr>
        <w:t>ITEM 6.    EXHIBITS.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67"/>
        <w:gridCol w:w="983"/>
        <w:gridCol w:w="37"/>
        <w:gridCol w:w="36"/>
        <w:gridCol w:w="36"/>
        <w:gridCol w:w="36"/>
        <w:gridCol w:w="58"/>
        <w:gridCol w:w="7017"/>
        <w:gridCol w:w="36"/>
      </w:tblGrid>
      <w:tr w:rsidR="00000000">
        <w:trPr>
          <w:divId w:val="460611406"/>
        </w:trPr>
        <w:tc>
          <w:tcPr>
            <w:tcW w:w="50" w:type="pct"/>
            <w:vAlign w:val="center"/>
            <w:hideMark/>
          </w:tcPr>
          <w:p w:rsidR="00000000" w:rsidRDefault="006629D3">
            <w:pPr>
              <w:rPr>
                <w:rFonts w:eastAsia="Times New Roman"/>
              </w:rPr>
            </w:pPr>
          </w:p>
        </w:tc>
        <w:tc>
          <w:tcPr>
            <w:tcW w:w="610"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3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423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20"/>
                <w:szCs w:val="20"/>
              </w:rPr>
              <w:t>Description</w:t>
            </w:r>
          </w:p>
        </w:tc>
      </w:tr>
      <w:tr w:rsidR="00000000">
        <w:trPr>
          <w:divId w:val="460611406"/>
        </w:trPr>
        <w:tc>
          <w:tcPr>
            <w:tcW w:w="0" w:type="auto"/>
            <w:gridSpan w:val="3"/>
            <w:tcBorders>
              <w:top w:val="single" w:sz="8" w:space="0" w:color="000000"/>
            </w:tcBorders>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divId w:val="1929346757"/>
              <w:rPr>
                <w:rFonts w:eastAsia="Times New Roman"/>
              </w:rPr>
            </w:pPr>
            <w:hyperlink r:id="rId4" w:history="1">
              <w:r>
                <w:rPr>
                  <w:rStyle w:val="a3"/>
                  <w:rFonts w:eastAsia="Times New Roman"/>
                  <w:sz w:val="20"/>
                  <w:szCs w:val="20"/>
                </w:rPr>
                <w:t>Certification of the Principal Executive Officer pursuant to Rule 13a-14(a) and Rule 15d-14(a) promulgated under the Exchange Act</w:t>
              </w:r>
            </w:hyperlink>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divId w:val="2075345990"/>
              <w:rPr>
                <w:rFonts w:eastAsia="Times New Roman"/>
              </w:rPr>
            </w:pPr>
            <w:hyperlink r:id="rId5" w:history="1">
              <w:r>
                <w:rPr>
                  <w:rStyle w:val="a3"/>
                  <w:rFonts w:eastAsia="Times New Roman"/>
                  <w:sz w:val="20"/>
                  <w:szCs w:val="20"/>
                </w:rPr>
                <w:t>Certification of the Principal Financial Officer pursuant to Rule 13a-14(a) and Rule 15d-14(a) promulgated under the Exchange Act</w:t>
              </w:r>
            </w:hyperlink>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divId w:val="1059789033"/>
              <w:rPr>
                <w:rFonts w:eastAsia="Times New Roman"/>
              </w:rPr>
            </w:pPr>
            <w:hyperlink r:id="rId6" w:history="1">
              <w:r>
                <w:rPr>
                  <w:rStyle w:val="a3"/>
                  <w:rFonts w:eastAsia="Times New Roman"/>
                  <w:sz w:val="20"/>
                  <w:szCs w:val="20"/>
                </w:rPr>
                <w:t>Certification of the Principal Executive Officer pursuant to 18 U.S.C. Sec</w:t>
              </w:r>
              <w:r>
                <w:rPr>
                  <w:rStyle w:val="a3"/>
                  <w:rFonts w:eastAsia="Times New Roman"/>
                  <w:sz w:val="20"/>
                  <w:szCs w:val="20"/>
                </w:rPr>
                <w:t>tion 1350, as adopted pursuant to Section 906 of the Sarbanes-Oxley Act of 2002</w:t>
              </w:r>
            </w:hyperlink>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32.2**</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divId w:val="1002586777"/>
              <w:rPr>
                <w:rFonts w:eastAsia="Times New Roman"/>
              </w:rPr>
            </w:pPr>
            <w:hyperlink r:id="rId7" w:history="1">
              <w:r>
                <w:rPr>
                  <w:rStyle w:val="a3"/>
                  <w:rFonts w:eastAsia="Times New Roman"/>
                  <w:sz w:val="20"/>
                  <w:szCs w:val="20"/>
                </w:rPr>
                <w:t>Certification of the Principal Financial Officer pursuant to 18 U.S.C. Section 1350, as adopted pursuant to Section 906 of the Sarbanes-Oxley Act of 2002</w:t>
              </w:r>
            </w:hyperlink>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Inline XBRL Taxonomy Extension Schema Document</w:t>
            </w:r>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xml:space="preserve">Inline XBRL Taxonomy </w:t>
            </w:r>
            <w:r>
              <w:rPr>
                <w:rFonts w:eastAsia="Times New Roman"/>
                <w:color w:val="000000"/>
                <w:sz w:val="20"/>
                <w:szCs w:val="20"/>
              </w:rPr>
              <w:t>Extension Calculation Linkbase Document</w:t>
            </w:r>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Inline XBRL Taxonomy Extension Definition Linkbase Document</w:t>
            </w:r>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Inline XBRL Taxonomy Extension Label Linkbase Document</w:t>
            </w:r>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Inline XBRL Taxonomy Extension Presentation Linkbase Document</w:t>
            </w:r>
          </w:p>
        </w:tc>
      </w:tr>
      <w:tr w:rsidR="00000000">
        <w:trPr>
          <w:divId w:val="460611406"/>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Cover Page Interactive Data File (formatted as inline XBRL with applicable taxonomy extension information contained in Exhibits 101.*) (filed herewith)</w:t>
            </w:r>
          </w:p>
        </w:tc>
      </w:tr>
    </w:tbl>
    <w:p w:rsidR="00000000" w:rsidRDefault="006629D3">
      <w:pPr>
        <w:divId w:val="1542665284"/>
        <w:rPr>
          <w:rFonts w:eastAsia="Times New Roman"/>
        </w:rPr>
      </w:pPr>
      <w:r>
        <w:rPr>
          <w:rFonts w:eastAsia="Times New Roman"/>
          <w:color w:val="000000"/>
          <w:sz w:val="20"/>
          <w:szCs w:val="20"/>
        </w:rPr>
        <w:t>______________________ </w:t>
      </w:r>
    </w:p>
    <w:p w:rsidR="00000000" w:rsidRDefault="006629D3">
      <w:pPr>
        <w:divId w:val="653265979"/>
        <w:rPr>
          <w:rFonts w:eastAsia="Times New Roman"/>
        </w:rPr>
      </w:pPr>
      <w:r>
        <w:rPr>
          <w:rFonts w:eastAsia="Times New Roman"/>
          <w:color w:val="000000"/>
          <w:sz w:val="20"/>
          <w:szCs w:val="20"/>
        </w:rPr>
        <w:t>*    Filed herewith. </w:t>
      </w:r>
    </w:p>
    <w:p w:rsidR="00000000" w:rsidRDefault="006629D3">
      <w:pPr>
        <w:divId w:val="805195675"/>
        <w:rPr>
          <w:rFonts w:eastAsia="Times New Roman"/>
        </w:rPr>
      </w:pPr>
      <w:r>
        <w:rPr>
          <w:rFonts w:eastAsia="Times New Roman"/>
          <w:color w:val="000000"/>
          <w:sz w:val="20"/>
          <w:szCs w:val="20"/>
        </w:rPr>
        <w:t>**          </w:t>
      </w:r>
      <w:r>
        <w:rPr>
          <w:rFonts w:eastAsia="Times New Roman"/>
          <w:color w:val="000000"/>
          <w:sz w:val="20"/>
          <w:szCs w:val="20"/>
        </w:rPr>
        <w:t>Furnished herewith. </w:t>
      </w:r>
    </w:p>
    <w:p w:rsidR="00000000" w:rsidRDefault="006629D3">
      <w:pPr>
        <w:divId w:val="2097706993"/>
        <w:rPr>
          <w:rFonts w:eastAsia="Times New Roman"/>
        </w:rPr>
      </w:pPr>
      <w:r>
        <w:rPr>
          <w:rFonts w:eastAsia="Times New Roman"/>
          <w:color w:val="000000"/>
          <w:sz w:val="20"/>
          <w:szCs w:val="20"/>
        </w:rPr>
        <w:t>+          Indicates management contract or compensatory plan or arrangement.</w:t>
      </w:r>
    </w:p>
    <w:p w:rsidR="00000000" w:rsidRDefault="006629D3">
      <w:pPr>
        <w:divId w:val="162428570"/>
        <w:rPr>
          <w:rFonts w:eastAsia="Times New Roman"/>
        </w:rPr>
      </w:pPr>
    </w:p>
    <w:p w:rsidR="00000000" w:rsidRDefault="006629D3">
      <w:pPr>
        <w:jc w:val="center"/>
        <w:divId w:val="306469760"/>
        <w:rPr>
          <w:rFonts w:eastAsia="Times New Roman"/>
        </w:rPr>
      </w:pPr>
      <w:r>
        <w:rPr>
          <w:rFonts w:eastAsia="Times New Roman"/>
          <w:color w:val="000000"/>
          <w:sz w:val="20"/>
          <w:szCs w:val="20"/>
        </w:rPr>
        <w:t>- 47 -</w:t>
      </w:r>
    </w:p>
    <w:p w:rsidR="00000000" w:rsidRDefault="006629D3">
      <w:pPr>
        <w:rPr>
          <w:rFonts w:eastAsia="Times New Roman"/>
        </w:rPr>
      </w:pPr>
      <w:r>
        <w:rPr>
          <w:rFonts w:eastAsia="Times New Roman"/>
        </w:rPr>
        <w:pict>
          <v:rect id="_x0000_i1072" style="width:0;height:1.5pt" o:hralign="center" o:hrstd="t" o:hr="t" fillcolor="#a0a0a0" stroked="f"/>
        </w:pict>
      </w:r>
    </w:p>
    <w:p w:rsidR="00000000" w:rsidRDefault="006629D3">
      <w:pPr>
        <w:divId w:val="1847746286"/>
        <w:rPr>
          <w:rFonts w:eastAsia="Times New Roman"/>
        </w:rPr>
      </w:pPr>
    </w:p>
    <w:p w:rsidR="00000000" w:rsidRDefault="006629D3">
      <w:pPr>
        <w:jc w:val="center"/>
        <w:divId w:val="203489446"/>
        <w:rPr>
          <w:rFonts w:eastAsia="Times New Roman"/>
        </w:rPr>
      </w:pPr>
      <w:r>
        <w:rPr>
          <w:rFonts w:eastAsia="Times New Roman"/>
          <w:b/>
          <w:bCs/>
          <w:color w:val="000000"/>
          <w:sz w:val="20"/>
          <w:szCs w:val="20"/>
        </w:rPr>
        <w:t>SIGNATURES</w:t>
      </w:r>
      <w:r>
        <w:rPr>
          <w:rFonts w:eastAsia="Times New Roman"/>
          <w:color w:val="000000"/>
          <w:sz w:val="20"/>
          <w:szCs w:val="20"/>
        </w:rPr>
        <w:t> </w:t>
      </w:r>
    </w:p>
    <w:p w:rsidR="00000000" w:rsidRDefault="006629D3">
      <w:pPr>
        <w:jc w:val="both"/>
        <w:divId w:val="1616446147"/>
        <w:rPr>
          <w:rFonts w:eastAsia="Times New Roman"/>
        </w:rPr>
      </w:pPr>
      <w:r>
        <w:rPr>
          <w:rFonts w:eastAsia="Times New Roman"/>
          <w:color w:val="000000"/>
          <w:sz w:val="20"/>
          <w:szCs w:val="20"/>
        </w:rPr>
        <w:t>Pursuant to the requirements of the Securities Exchange Act of 1934, the registrant has duly cause</w:t>
      </w:r>
      <w:r>
        <w:rPr>
          <w:rFonts w:eastAsia="Times New Roman"/>
          <w:color w:val="000000"/>
          <w:sz w:val="20"/>
          <w:szCs w:val="20"/>
        </w:rPr>
        <w:t>d this report to be signed on its behalf by the undersigned thereunto duly authorized. </w:t>
      </w:r>
    </w:p>
    <w:tbl>
      <w:tblPr>
        <w:tblW w:w="4963" w:type="pct"/>
        <w:jc w:val="center"/>
        <w:tblCellMar>
          <w:top w:w="15" w:type="dxa"/>
          <w:left w:w="15" w:type="dxa"/>
          <w:bottom w:w="15" w:type="dxa"/>
          <w:right w:w="15" w:type="dxa"/>
        </w:tblCellMar>
        <w:tblLook w:val="04A0" w:firstRow="1" w:lastRow="0" w:firstColumn="1" w:lastColumn="0" w:noHBand="0" w:noVBand="1"/>
      </w:tblPr>
      <w:tblGrid>
        <w:gridCol w:w="67"/>
        <w:gridCol w:w="3357"/>
        <w:gridCol w:w="36"/>
        <w:gridCol w:w="68"/>
        <w:gridCol w:w="344"/>
        <w:gridCol w:w="38"/>
        <w:gridCol w:w="68"/>
        <w:gridCol w:w="4231"/>
        <w:gridCol w:w="36"/>
      </w:tblGrid>
      <w:tr w:rsidR="00000000">
        <w:trPr>
          <w:divId w:val="1820264988"/>
          <w:jc w:val="center"/>
        </w:trPr>
        <w:tc>
          <w:tcPr>
            <w:tcW w:w="50" w:type="pct"/>
            <w:vAlign w:val="center"/>
            <w:hideMark/>
          </w:tcPr>
          <w:p w:rsidR="00000000" w:rsidRDefault="006629D3">
            <w:pPr>
              <w:jc w:val="both"/>
              <w:rPr>
                <w:rFonts w:eastAsia="Times New Roman"/>
              </w:rPr>
            </w:pPr>
          </w:p>
        </w:tc>
        <w:tc>
          <w:tcPr>
            <w:tcW w:w="204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17"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57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rPr>
          <w:divId w:val="182026498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6629D3">
            <w:pPr>
              <w:rPr>
                <w:rFonts w:eastAsia="Times New Roman"/>
              </w:rPr>
            </w:pPr>
            <w:r>
              <w:rPr>
                <w:rFonts w:eastAsia="Times New Roman"/>
                <w:b/>
                <w:bCs/>
                <w:color w:val="000000"/>
                <w:sz w:val="20"/>
                <w:szCs w:val="20"/>
              </w:rPr>
              <w:t>AVADEL PHARMACEUTICALS PLC</w:t>
            </w:r>
          </w:p>
        </w:tc>
      </w:tr>
      <w:tr w:rsidR="00000000">
        <w:trPr>
          <w:divId w:val="1820264988"/>
          <w:jc w:val="center"/>
        </w:trPr>
        <w:tc>
          <w:tcPr>
            <w:tcW w:w="0" w:type="auto"/>
            <w:gridSpan w:val="3"/>
            <w:tcMar>
              <w:top w:w="0" w:type="dxa"/>
              <w:left w:w="20" w:type="dxa"/>
              <w:bottom w:w="0" w:type="dxa"/>
              <w:right w:w="20" w:type="dxa"/>
            </w:tcMar>
            <w:vAlign w:val="center"/>
            <w:hideMark/>
          </w:tcPr>
          <w:p w:rsidR="00000000" w:rsidRDefault="006629D3">
            <w:pPr>
              <w:rPr>
                <w:rFonts w:eastAsia="Times New Roman"/>
              </w:rPr>
            </w:pPr>
          </w:p>
        </w:tc>
        <w:tc>
          <w:tcPr>
            <w:tcW w:w="0" w:type="auto"/>
            <w:gridSpan w:val="6"/>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(Registrant)</w:t>
            </w:r>
          </w:p>
        </w:tc>
      </w:tr>
      <w:tr w:rsidR="00000000">
        <w:trPr>
          <w:divId w:val="182026498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r>
      <w:tr w:rsidR="00000000">
        <w:trPr>
          <w:divId w:val="182026498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Date: November 9, 2020</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/s/ Gregory J. Divis</w:t>
            </w:r>
          </w:p>
        </w:tc>
      </w:tr>
      <w:tr w:rsidR="00000000">
        <w:trPr>
          <w:divId w:val="182026498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Gregory J. Divis</w:t>
            </w:r>
          </w:p>
        </w:tc>
      </w:tr>
      <w:tr w:rsidR="00000000">
        <w:trPr>
          <w:divId w:val="182026498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i/>
                <w:iCs/>
                <w:color w:val="000000"/>
                <w:sz w:val="20"/>
                <w:szCs w:val="20"/>
              </w:rPr>
              <w:t>Chief Executive Officer</w:t>
            </w:r>
          </w:p>
        </w:tc>
      </w:tr>
      <w:tr w:rsidR="00000000">
        <w:trPr>
          <w:divId w:val="1820264988"/>
          <w:jc w:val="center"/>
        </w:trPr>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divId w:val="2009093187"/>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Executive Officer)</w:t>
            </w: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393"/>
        <w:gridCol w:w="144"/>
        <w:gridCol w:w="144"/>
        <w:gridCol w:w="356"/>
        <w:gridCol w:w="144"/>
        <w:gridCol w:w="144"/>
        <w:gridCol w:w="4267"/>
        <w:gridCol w:w="144"/>
      </w:tblGrid>
      <w:tr w:rsidR="00000000">
        <w:tc>
          <w:tcPr>
            <w:tcW w:w="50" w:type="pct"/>
            <w:vAlign w:val="center"/>
            <w:hideMark/>
          </w:tcPr>
          <w:p w:rsidR="00000000" w:rsidRDefault="006629D3">
            <w:pPr>
              <w:jc w:val="center"/>
              <w:rPr>
                <w:rFonts w:eastAsia="Times New Roman"/>
              </w:rPr>
            </w:pPr>
          </w:p>
        </w:tc>
        <w:tc>
          <w:tcPr>
            <w:tcW w:w="2046"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15"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c>
          <w:tcPr>
            <w:tcW w:w="50" w:type="pct"/>
            <w:vAlign w:val="center"/>
            <w:hideMark/>
          </w:tcPr>
          <w:p w:rsidR="00000000" w:rsidRDefault="006629D3">
            <w:pPr>
              <w:rPr>
                <w:rFonts w:eastAsia="Times New Roman"/>
                <w:sz w:val="20"/>
                <w:szCs w:val="20"/>
              </w:rPr>
            </w:pPr>
          </w:p>
        </w:tc>
        <w:tc>
          <w:tcPr>
            <w:tcW w:w="2573" w:type="pct"/>
            <w:vAlign w:val="center"/>
            <w:hideMark/>
          </w:tcPr>
          <w:p w:rsidR="00000000" w:rsidRDefault="006629D3">
            <w:pPr>
              <w:rPr>
                <w:rFonts w:eastAsia="Times New Roman"/>
                <w:sz w:val="20"/>
                <w:szCs w:val="20"/>
              </w:rPr>
            </w:pPr>
          </w:p>
        </w:tc>
        <w:tc>
          <w:tcPr>
            <w:tcW w:w="5" w:type="pct"/>
            <w:vAlign w:val="center"/>
            <w:hideMark/>
          </w:tcPr>
          <w:p w:rsidR="00000000" w:rsidRDefault="006629D3">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6"/>
            <w:tcMar>
              <w:top w:w="0" w:type="dxa"/>
              <w:left w:w="20" w:type="dxa"/>
              <w:bottom w:w="0" w:type="dxa"/>
              <w:right w:w="20" w:type="dxa"/>
            </w:tcMar>
            <w:vAlign w:val="center"/>
            <w:hideMark/>
          </w:tcPr>
          <w:p w:rsidR="00000000" w:rsidRDefault="006629D3">
            <w:pPr>
              <w:rPr>
                <w:rFonts w:eastAsia="Times New Roman"/>
              </w:rPr>
            </w:pPr>
          </w:p>
        </w:tc>
      </w:tr>
      <w:tr w:rsidR="00000000">
        <w:trPr>
          <w:trHeight w:val="300"/>
        </w:trPr>
        <w:tc>
          <w:tcPr>
            <w:tcW w:w="0" w:type="auto"/>
            <w:gridSpan w:val="3"/>
            <w:tcMar>
              <w:top w:w="0" w:type="dxa"/>
              <w:left w:w="20" w:type="dxa"/>
              <w:bottom w:w="0" w:type="dxa"/>
              <w:right w:w="20" w:type="dxa"/>
            </w:tcMar>
            <w:vAlign w:val="center"/>
            <w:hideMark/>
          </w:tcPr>
          <w:p w:rsidR="00000000" w:rsidRDefault="006629D3">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6629D3">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Date: November 9, 2020</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/s/ Thomas S. McHugh</w:t>
            </w: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Thomas S. McHugh</w:t>
            </w: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i/>
                <w:iCs/>
                <w:color w:val="000000"/>
                <w:sz w:val="20"/>
                <w:szCs w:val="20"/>
              </w:rPr>
              <w:t>Senior Vice President and Chief Financial Officer</w:t>
            </w:r>
          </w:p>
        </w:tc>
      </w:tr>
      <w:tr w:rsidR="00000000">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629D3">
            <w:pPr>
              <w:divId w:val="1332754453"/>
              <w:rPr>
                <w:rFonts w:eastAsia="Times New Roman"/>
              </w:rPr>
            </w:pPr>
            <w:r>
              <w:rPr>
                <w:rFonts w:eastAsia="Times New Roman"/>
                <w:i/>
                <w:iCs/>
                <w:color w:val="000000"/>
                <w:sz w:val="20"/>
                <w:szCs w:val="20"/>
              </w:rPr>
              <w:t>(Duly Authorized Officer</w:t>
            </w:r>
            <w:r>
              <w:rPr>
                <w:rFonts w:eastAsia="Times New Roman"/>
                <w:color w:val="000000"/>
                <w:sz w:val="20"/>
                <w:szCs w:val="20"/>
              </w:rPr>
              <w:t xml:space="preserve"> and </w:t>
            </w:r>
            <w:r>
              <w:rPr>
                <w:rFonts w:eastAsia="Times New Roman"/>
                <w:i/>
                <w:iCs/>
                <w:color w:val="000000"/>
                <w:sz w:val="20"/>
                <w:szCs w:val="20"/>
              </w:rPr>
              <w:t>Principal Financial and Accounting Officer)</w:t>
            </w:r>
          </w:p>
        </w:tc>
      </w:tr>
    </w:tbl>
    <w:p w:rsidR="00000000" w:rsidRDefault="006629D3">
      <w:pPr>
        <w:ind w:firstLine="720"/>
        <w:divId w:val="2031107247"/>
        <w:rPr>
          <w:rFonts w:eastAsia="Times New Roman"/>
        </w:rPr>
      </w:pPr>
      <w:r>
        <w:rPr>
          <w:rFonts w:eastAsia="Times New Roman"/>
          <w:color w:val="000000"/>
          <w:sz w:val="20"/>
          <w:szCs w:val="20"/>
        </w:rPr>
        <w:t> </w:t>
      </w:r>
    </w:p>
    <w:p w:rsidR="00000000" w:rsidRDefault="006629D3">
      <w:pPr>
        <w:divId w:val="270668821"/>
        <w:rPr>
          <w:rFonts w:eastAsia="Times New Roman"/>
        </w:rPr>
      </w:pPr>
    </w:p>
    <w:p w:rsidR="00000000" w:rsidRDefault="006629D3">
      <w:pPr>
        <w:divId w:val="1913585904"/>
        <w:rPr>
          <w:rFonts w:eastAsia="Times New Roman"/>
        </w:rPr>
      </w:pPr>
    </w:p>
    <w:p w:rsidR="006629D3" w:rsidRDefault="006629D3">
      <w:pPr>
        <w:jc w:val="center"/>
        <w:divId w:val="282426094"/>
        <w:rPr>
          <w:rFonts w:eastAsia="Times New Roman"/>
        </w:rPr>
      </w:pPr>
      <w:r>
        <w:rPr>
          <w:rFonts w:eastAsia="Times New Roman"/>
          <w:color w:val="000000"/>
          <w:sz w:val="20"/>
          <w:szCs w:val="20"/>
        </w:rPr>
        <w:t>- 48 -</w:t>
      </w:r>
    </w:p>
    <w:sectPr w:rsidR="006629D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629D3"/>
    <w:rsid w:val="006629D3"/>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03/iso4217"/>
  <w:attachedSchema w:val="http://fasb.org/srt/2020-01-31"/>
  <w:attachedSchema w:val="http://www.w3.org/1999/xlink"/>
  <w:attachedSchema w:val="http://xbrl.sec.gov/dei/2019-01-31"/>
  <w:attachedSchema w:val="http://www.xbrl.org/2003/instance"/>
  <w:attachedSchema w:val="http://www.xbrl.org/inlineXBRL/transformation/2015-02-26"/>
  <w:attachedSchema w:val="http://fasb.org/us-gaap/2020-01-31"/>
  <w:attachedSchema w:val="http://xbrl.sec.gov/exch/2020-01-31"/>
  <w:attachedSchema w:val="http://www.xbrl.org/2013/inlineXBRL"/>
  <w:attachedSchema w:val="http://www.xbrl.org/2003/linkbase"/>
  <w:attachedSchema w:val="http://www.avadel.com/20200930"/>
  <w:attachedSchema w:val="http://www.sec.gov/inlineXBRL/transformation/2015-08-31"/>
  <w:attachedSchema w:val="http://xbrl.sec.gov/sic/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318">
      <w:marLeft w:val="0"/>
      <w:marRight w:val="0"/>
      <w:marTop w:val="180"/>
      <w:marBottom w:val="0"/>
      <w:divBdr>
        <w:top w:val="none" w:sz="0" w:space="0" w:color="auto"/>
        <w:left w:val="none" w:sz="0" w:space="0" w:color="auto"/>
        <w:bottom w:val="none" w:sz="0" w:space="0" w:color="auto"/>
        <w:right w:val="none" w:sz="0" w:space="0" w:color="auto"/>
      </w:divBdr>
    </w:div>
    <w:div w:id="16078915">
      <w:marLeft w:val="0"/>
      <w:marRight w:val="0"/>
      <w:marTop w:val="0"/>
      <w:marBottom w:val="0"/>
      <w:divBdr>
        <w:top w:val="none" w:sz="0" w:space="0" w:color="auto"/>
        <w:left w:val="none" w:sz="0" w:space="0" w:color="auto"/>
        <w:bottom w:val="none" w:sz="0" w:space="0" w:color="auto"/>
        <w:right w:val="none" w:sz="0" w:space="0" w:color="auto"/>
      </w:divBdr>
    </w:div>
    <w:div w:id="17782106">
      <w:marLeft w:val="0"/>
      <w:marRight w:val="0"/>
      <w:marTop w:val="0"/>
      <w:marBottom w:val="0"/>
      <w:divBdr>
        <w:top w:val="none" w:sz="0" w:space="0" w:color="auto"/>
        <w:left w:val="none" w:sz="0" w:space="0" w:color="auto"/>
        <w:bottom w:val="none" w:sz="0" w:space="0" w:color="auto"/>
        <w:right w:val="none" w:sz="0" w:space="0" w:color="auto"/>
      </w:divBdr>
    </w:div>
    <w:div w:id="22943115">
      <w:marLeft w:val="0"/>
      <w:marRight w:val="0"/>
      <w:marTop w:val="0"/>
      <w:marBottom w:val="160"/>
      <w:divBdr>
        <w:top w:val="none" w:sz="0" w:space="0" w:color="auto"/>
        <w:left w:val="none" w:sz="0" w:space="0" w:color="auto"/>
        <w:bottom w:val="none" w:sz="0" w:space="0" w:color="auto"/>
        <w:right w:val="none" w:sz="0" w:space="0" w:color="auto"/>
      </w:divBdr>
    </w:div>
    <w:div w:id="25496081">
      <w:marLeft w:val="0"/>
      <w:marRight w:val="0"/>
      <w:marTop w:val="0"/>
      <w:marBottom w:val="0"/>
      <w:divBdr>
        <w:top w:val="none" w:sz="0" w:space="0" w:color="auto"/>
        <w:left w:val="none" w:sz="0" w:space="0" w:color="auto"/>
        <w:bottom w:val="none" w:sz="0" w:space="0" w:color="auto"/>
        <w:right w:val="none" w:sz="0" w:space="0" w:color="auto"/>
      </w:divBdr>
    </w:div>
    <w:div w:id="28797450">
      <w:marLeft w:val="0"/>
      <w:marRight w:val="0"/>
      <w:marTop w:val="0"/>
      <w:marBottom w:val="180"/>
      <w:divBdr>
        <w:top w:val="none" w:sz="0" w:space="0" w:color="auto"/>
        <w:left w:val="none" w:sz="0" w:space="0" w:color="auto"/>
        <w:bottom w:val="none" w:sz="0" w:space="0" w:color="auto"/>
        <w:right w:val="none" w:sz="0" w:space="0" w:color="auto"/>
      </w:divBdr>
    </w:div>
    <w:div w:id="40711064">
      <w:marLeft w:val="0"/>
      <w:marRight w:val="0"/>
      <w:marTop w:val="0"/>
      <w:marBottom w:val="0"/>
      <w:divBdr>
        <w:top w:val="none" w:sz="0" w:space="0" w:color="auto"/>
        <w:left w:val="none" w:sz="0" w:space="0" w:color="auto"/>
        <w:bottom w:val="none" w:sz="0" w:space="0" w:color="auto"/>
        <w:right w:val="none" w:sz="0" w:space="0" w:color="auto"/>
      </w:divBdr>
      <w:divsChild>
        <w:div w:id="1204174956">
          <w:marLeft w:val="0"/>
          <w:marRight w:val="0"/>
          <w:marTop w:val="0"/>
          <w:marBottom w:val="0"/>
          <w:divBdr>
            <w:top w:val="none" w:sz="0" w:space="0" w:color="auto"/>
            <w:left w:val="none" w:sz="0" w:space="0" w:color="auto"/>
            <w:bottom w:val="none" w:sz="0" w:space="0" w:color="auto"/>
            <w:right w:val="none" w:sz="0" w:space="0" w:color="auto"/>
          </w:divBdr>
        </w:div>
      </w:divsChild>
    </w:div>
    <w:div w:id="44838349">
      <w:marLeft w:val="0"/>
      <w:marRight w:val="0"/>
      <w:marTop w:val="0"/>
      <w:marBottom w:val="180"/>
      <w:divBdr>
        <w:top w:val="none" w:sz="0" w:space="0" w:color="auto"/>
        <w:left w:val="none" w:sz="0" w:space="0" w:color="auto"/>
        <w:bottom w:val="none" w:sz="0" w:space="0" w:color="auto"/>
        <w:right w:val="none" w:sz="0" w:space="0" w:color="auto"/>
      </w:divBdr>
    </w:div>
    <w:div w:id="49352431">
      <w:marLeft w:val="0"/>
      <w:marRight w:val="0"/>
      <w:marTop w:val="0"/>
      <w:marBottom w:val="0"/>
      <w:divBdr>
        <w:top w:val="none" w:sz="0" w:space="0" w:color="auto"/>
        <w:left w:val="none" w:sz="0" w:space="0" w:color="auto"/>
        <w:bottom w:val="none" w:sz="0" w:space="0" w:color="auto"/>
        <w:right w:val="none" w:sz="0" w:space="0" w:color="auto"/>
      </w:divBdr>
      <w:divsChild>
        <w:div w:id="317542372">
          <w:marLeft w:val="0"/>
          <w:marRight w:val="0"/>
          <w:marTop w:val="0"/>
          <w:marBottom w:val="0"/>
          <w:divBdr>
            <w:top w:val="none" w:sz="0" w:space="0" w:color="auto"/>
            <w:left w:val="none" w:sz="0" w:space="0" w:color="auto"/>
            <w:bottom w:val="none" w:sz="0" w:space="0" w:color="auto"/>
            <w:right w:val="none" w:sz="0" w:space="0" w:color="auto"/>
          </w:divBdr>
        </w:div>
      </w:divsChild>
    </w:div>
    <w:div w:id="51660655">
      <w:marLeft w:val="0"/>
      <w:marRight w:val="0"/>
      <w:marTop w:val="0"/>
      <w:marBottom w:val="180"/>
      <w:divBdr>
        <w:top w:val="none" w:sz="0" w:space="0" w:color="auto"/>
        <w:left w:val="none" w:sz="0" w:space="0" w:color="auto"/>
        <w:bottom w:val="none" w:sz="0" w:space="0" w:color="auto"/>
        <w:right w:val="none" w:sz="0" w:space="0" w:color="auto"/>
      </w:divBdr>
    </w:div>
    <w:div w:id="55788530">
      <w:marLeft w:val="0"/>
      <w:marRight w:val="0"/>
      <w:marTop w:val="0"/>
      <w:marBottom w:val="180"/>
      <w:divBdr>
        <w:top w:val="none" w:sz="0" w:space="0" w:color="auto"/>
        <w:left w:val="none" w:sz="0" w:space="0" w:color="auto"/>
        <w:bottom w:val="none" w:sz="0" w:space="0" w:color="auto"/>
        <w:right w:val="none" w:sz="0" w:space="0" w:color="auto"/>
      </w:divBdr>
    </w:div>
    <w:div w:id="64382566">
      <w:marLeft w:val="0"/>
      <w:marRight w:val="0"/>
      <w:marTop w:val="0"/>
      <w:marBottom w:val="240"/>
      <w:divBdr>
        <w:top w:val="none" w:sz="0" w:space="0" w:color="auto"/>
        <w:left w:val="none" w:sz="0" w:space="0" w:color="auto"/>
        <w:bottom w:val="none" w:sz="0" w:space="0" w:color="auto"/>
        <w:right w:val="none" w:sz="0" w:space="0" w:color="auto"/>
      </w:divBdr>
    </w:div>
    <w:div w:id="76364777">
      <w:marLeft w:val="0"/>
      <w:marRight w:val="0"/>
      <w:marTop w:val="0"/>
      <w:marBottom w:val="280"/>
      <w:divBdr>
        <w:top w:val="none" w:sz="0" w:space="0" w:color="auto"/>
        <w:left w:val="none" w:sz="0" w:space="0" w:color="auto"/>
        <w:bottom w:val="none" w:sz="0" w:space="0" w:color="auto"/>
        <w:right w:val="none" w:sz="0" w:space="0" w:color="auto"/>
      </w:divBdr>
    </w:div>
    <w:div w:id="77991249">
      <w:marLeft w:val="0"/>
      <w:marRight w:val="0"/>
      <w:marTop w:val="0"/>
      <w:marBottom w:val="0"/>
      <w:divBdr>
        <w:top w:val="none" w:sz="0" w:space="0" w:color="auto"/>
        <w:left w:val="none" w:sz="0" w:space="0" w:color="auto"/>
        <w:bottom w:val="none" w:sz="0" w:space="0" w:color="auto"/>
        <w:right w:val="none" w:sz="0" w:space="0" w:color="auto"/>
      </w:divBdr>
    </w:div>
    <w:div w:id="84033208">
      <w:marLeft w:val="0"/>
      <w:marRight w:val="0"/>
      <w:marTop w:val="100"/>
      <w:marBottom w:val="100"/>
      <w:divBdr>
        <w:top w:val="none" w:sz="0" w:space="0" w:color="auto"/>
        <w:left w:val="none" w:sz="0" w:space="0" w:color="auto"/>
        <w:bottom w:val="none" w:sz="0" w:space="0" w:color="auto"/>
        <w:right w:val="none" w:sz="0" w:space="0" w:color="auto"/>
      </w:divBdr>
    </w:div>
    <w:div w:id="85734493">
      <w:marLeft w:val="0"/>
      <w:marRight w:val="0"/>
      <w:marTop w:val="0"/>
      <w:marBottom w:val="0"/>
      <w:divBdr>
        <w:top w:val="none" w:sz="0" w:space="0" w:color="auto"/>
        <w:left w:val="none" w:sz="0" w:space="0" w:color="auto"/>
        <w:bottom w:val="none" w:sz="0" w:space="0" w:color="auto"/>
        <w:right w:val="none" w:sz="0" w:space="0" w:color="auto"/>
      </w:divBdr>
      <w:divsChild>
        <w:div w:id="1820418298">
          <w:marLeft w:val="0"/>
          <w:marRight w:val="0"/>
          <w:marTop w:val="0"/>
          <w:marBottom w:val="0"/>
          <w:divBdr>
            <w:top w:val="none" w:sz="0" w:space="0" w:color="auto"/>
            <w:left w:val="none" w:sz="0" w:space="0" w:color="auto"/>
            <w:bottom w:val="none" w:sz="0" w:space="0" w:color="auto"/>
            <w:right w:val="none" w:sz="0" w:space="0" w:color="auto"/>
          </w:divBdr>
        </w:div>
      </w:divsChild>
    </w:div>
    <w:div w:id="88085126">
      <w:marLeft w:val="0"/>
      <w:marRight w:val="0"/>
      <w:marTop w:val="0"/>
      <w:marBottom w:val="180"/>
      <w:divBdr>
        <w:top w:val="none" w:sz="0" w:space="0" w:color="auto"/>
        <w:left w:val="none" w:sz="0" w:space="0" w:color="auto"/>
        <w:bottom w:val="none" w:sz="0" w:space="0" w:color="auto"/>
        <w:right w:val="none" w:sz="0" w:space="0" w:color="auto"/>
      </w:divBdr>
    </w:div>
    <w:div w:id="89590970">
      <w:marLeft w:val="0"/>
      <w:marRight w:val="0"/>
      <w:marTop w:val="120"/>
      <w:marBottom w:val="0"/>
      <w:divBdr>
        <w:top w:val="none" w:sz="0" w:space="0" w:color="auto"/>
        <w:left w:val="none" w:sz="0" w:space="0" w:color="auto"/>
        <w:bottom w:val="none" w:sz="0" w:space="0" w:color="auto"/>
        <w:right w:val="none" w:sz="0" w:space="0" w:color="auto"/>
      </w:divBdr>
    </w:div>
    <w:div w:id="96607476">
      <w:marLeft w:val="0"/>
      <w:marRight w:val="0"/>
      <w:marTop w:val="0"/>
      <w:marBottom w:val="180"/>
      <w:divBdr>
        <w:top w:val="none" w:sz="0" w:space="0" w:color="auto"/>
        <w:left w:val="none" w:sz="0" w:space="0" w:color="auto"/>
        <w:bottom w:val="none" w:sz="0" w:space="0" w:color="auto"/>
        <w:right w:val="none" w:sz="0" w:space="0" w:color="auto"/>
      </w:divBdr>
    </w:div>
    <w:div w:id="104812133">
      <w:marLeft w:val="0"/>
      <w:marRight w:val="0"/>
      <w:marTop w:val="0"/>
      <w:marBottom w:val="0"/>
      <w:divBdr>
        <w:top w:val="none" w:sz="0" w:space="0" w:color="auto"/>
        <w:left w:val="none" w:sz="0" w:space="0" w:color="auto"/>
        <w:bottom w:val="none" w:sz="0" w:space="0" w:color="auto"/>
        <w:right w:val="none" w:sz="0" w:space="0" w:color="auto"/>
      </w:divBdr>
    </w:div>
    <w:div w:id="128938100">
      <w:marLeft w:val="0"/>
      <w:marRight w:val="0"/>
      <w:marTop w:val="0"/>
      <w:marBottom w:val="0"/>
      <w:divBdr>
        <w:top w:val="none" w:sz="0" w:space="0" w:color="auto"/>
        <w:left w:val="none" w:sz="0" w:space="0" w:color="auto"/>
        <w:bottom w:val="none" w:sz="0" w:space="0" w:color="auto"/>
        <w:right w:val="none" w:sz="0" w:space="0" w:color="auto"/>
      </w:divBdr>
    </w:div>
    <w:div w:id="130366721">
      <w:marLeft w:val="0"/>
      <w:marRight w:val="0"/>
      <w:marTop w:val="0"/>
      <w:marBottom w:val="180"/>
      <w:divBdr>
        <w:top w:val="none" w:sz="0" w:space="0" w:color="auto"/>
        <w:left w:val="none" w:sz="0" w:space="0" w:color="auto"/>
        <w:bottom w:val="none" w:sz="0" w:space="0" w:color="auto"/>
        <w:right w:val="none" w:sz="0" w:space="0" w:color="auto"/>
      </w:divBdr>
    </w:div>
    <w:div w:id="132455400">
      <w:marLeft w:val="0"/>
      <w:marRight w:val="0"/>
      <w:marTop w:val="100"/>
      <w:marBottom w:val="100"/>
      <w:divBdr>
        <w:top w:val="none" w:sz="0" w:space="0" w:color="auto"/>
        <w:left w:val="none" w:sz="0" w:space="0" w:color="auto"/>
        <w:bottom w:val="none" w:sz="0" w:space="0" w:color="auto"/>
        <w:right w:val="none" w:sz="0" w:space="0" w:color="auto"/>
      </w:divBdr>
    </w:div>
    <w:div w:id="135070239">
      <w:marLeft w:val="0"/>
      <w:marRight w:val="0"/>
      <w:marTop w:val="0"/>
      <w:marBottom w:val="0"/>
      <w:divBdr>
        <w:top w:val="none" w:sz="0" w:space="0" w:color="auto"/>
        <w:left w:val="none" w:sz="0" w:space="0" w:color="auto"/>
        <w:bottom w:val="none" w:sz="0" w:space="0" w:color="auto"/>
        <w:right w:val="none" w:sz="0" w:space="0" w:color="auto"/>
      </w:divBdr>
      <w:divsChild>
        <w:div w:id="797723520">
          <w:marLeft w:val="0"/>
          <w:marRight w:val="0"/>
          <w:marTop w:val="0"/>
          <w:marBottom w:val="0"/>
          <w:divBdr>
            <w:top w:val="none" w:sz="0" w:space="0" w:color="auto"/>
            <w:left w:val="none" w:sz="0" w:space="0" w:color="auto"/>
            <w:bottom w:val="none" w:sz="0" w:space="0" w:color="auto"/>
            <w:right w:val="none" w:sz="0" w:space="0" w:color="auto"/>
          </w:divBdr>
        </w:div>
      </w:divsChild>
    </w:div>
    <w:div w:id="137696846">
      <w:marLeft w:val="0"/>
      <w:marRight w:val="0"/>
      <w:marTop w:val="0"/>
      <w:marBottom w:val="320"/>
      <w:divBdr>
        <w:top w:val="none" w:sz="0" w:space="0" w:color="auto"/>
        <w:left w:val="none" w:sz="0" w:space="0" w:color="auto"/>
        <w:bottom w:val="none" w:sz="0" w:space="0" w:color="auto"/>
        <w:right w:val="none" w:sz="0" w:space="0" w:color="auto"/>
      </w:divBdr>
    </w:div>
    <w:div w:id="159277993">
      <w:marLeft w:val="0"/>
      <w:marRight w:val="0"/>
      <w:marTop w:val="0"/>
      <w:marBottom w:val="0"/>
      <w:divBdr>
        <w:top w:val="none" w:sz="0" w:space="0" w:color="auto"/>
        <w:left w:val="none" w:sz="0" w:space="0" w:color="auto"/>
        <w:bottom w:val="none" w:sz="0" w:space="0" w:color="auto"/>
        <w:right w:val="none" w:sz="0" w:space="0" w:color="auto"/>
      </w:divBdr>
      <w:divsChild>
        <w:div w:id="1389065014">
          <w:marLeft w:val="0"/>
          <w:marRight w:val="0"/>
          <w:marTop w:val="0"/>
          <w:marBottom w:val="0"/>
          <w:divBdr>
            <w:top w:val="none" w:sz="0" w:space="0" w:color="auto"/>
            <w:left w:val="none" w:sz="0" w:space="0" w:color="auto"/>
            <w:bottom w:val="none" w:sz="0" w:space="0" w:color="auto"/>
            <w:right w:val="none" w:sz="0" w:space="0" w:color="auto"/>
          </w:divBdr>
        </w:div>
      </w:divsChild>
    </w:div>
    <w:div w:id="162428570">
      <w:marLeft w:val="0"/>
      <w:marRight w:val="0"/>
      <w:marTop w:val="0"/>
      <w:marBottom w:val="180"/>
      <w:divBdr>
        <w:top w:val="none" w:sz="0" w:space="0" w:color="auto"/>
        <w:left w:val="none" w:sz="0" w:space="0" w:color="auto"/>
        <w:bottom w:val="none" w:sz="0" w:space="0" w:color="auto"/>
        <w:right w:val="none" w:sz="0" w:space="0" w:color="auto"/>
      </w:divBdr>
    </w:div>
    <w:div w:id="169300206">
      <w:marLeft w:val="0"/>
      <w:marRight w:val="0"/>
      <w:marTop w:val="0"/>
      <w:marBottom w:val="0"/>
      <w:divBdr>
        <w:top w:val="none" w:sz="0" w:space="0" w:color="auto"/>
        <w:left w:val="none" w:sz="0" w:space="0" w:color="auto"/>
        <w:bottom w:val="none" w:sz="0" w:space="0" w:color="auto"/>
        <w:right w:val="none" w:sz="0" w:space="0" w:color="auto"/>
      </w:divBdr>
      <w:divsChild>
        <w:div w:id="1576430543">
          <w:marLeft w:val="0"/>
          <w:marRight w:val="0"/>
          <w:marTop w:val="0"/>
          <w:marBottom w:val="0"/>
          <w:divBdr>
            <w:top w:val="none" w:sz="0" w:space="0" w:color="auto"/>
            <w:left w:val="none" w:sz="0" w:space="0" w:color="auto"/>
            <w:bottom w:val="none" w:sz="0" w:space="0" w:color="auto"/>
            <w:right w:val="none" w:sz="0" w:space="0" w:color="auto"/>
          </w:divBdr>
        </w:div>
      </w:divsChild>
    </w:div>
    <w:div w:id="170871824">
      <w:marLeft w:val="0"/>
      <w:marRight w:val="0"/>
      <w:marTop w:val="100"/>
      <w:marBottom w:val="100"/>
      <w:divBdr>
        <w:top w:val="none" w:sz="0" w:space="0" w:color="auto"/>
        <w:left w:val="none" w:sz="0" w:space="0" w:color="auto"/>
        <w:bottom w:val="none" w:sz="0" w:space="0" w:color="auto"/>
        <w:right w:val="none" w:sz="0" w:space="0" w:color="auto"/>
      </w:divBdr>
      <w:divsChild>
        <w:div w:id="59715094">
          <w:marLeft w:val="0"/>
          <w:marRight w:val="0"/>
          <w:marTop w:val="0"/>
          <w:marBottom w:val="0"/>
          <w:divBdr>
            <w:top w:val="none" w:sz="0" w:space="0" w:color="auto"/>
            <w:left w:val="none" w:sz="0" w:space="0" w:color="auto"/>
            <w:bottom w:val="none" w:sz="0" w:space="0" w:color="auto"/>
            <w:right w:val="none" w:sz="0" w:space="0" w:color="auto"/>
          </w:divBdr>
        </w:div>
        <w:div w:id="443115413">
          <w:marLeft w:val="0"/>
          <w:marRight w:val="0"/>
          <w:marTop w:val="0"/>
          <w:marBottom w:val="0"/>
          <w:divBdr>
            <w:top w:val="none" w:sz="0" w:space="0" w:color="auto"/>
            <w:left w:val="none" w:sz="0" w:space="0" w:color="auto"/>
            <w:bottom w:val="none" w:sz="0" w:space="0" w:color="auto"/>
            <w:right w:val="none" w:sz="0" w:space="0" w:color="auto"/>
          </w:divBdr>
        </w:div>
      </w:divsChild>
    </w:div>
    <w:div w:id="178740730">
      <w:marLeft w:val="0"/>
      <w:marRight w:val="0"/>
      <w:marTop w:val="0"/>
      <w:marBottom w:val="0"/>
      <w:divBdr>
        <w:top w:val="none" w:sz="0" w:space="0" w:color="auto"/>
        <w:left w:val="none" w:sz="0" w:space="0" w:color="auto"/>
        <w:bottom w:val="none" w:sz="0" w:space="0" w:color="auto"/>
        <w:right w:val="none" w:sz="0" w:space="0" w:color="auto"/>
      </w:divBdr>
    </w:div>
    <w:div w:id="182208169">
      <w:marLeft w:val="0"/>
      <w:marRight w:val="0"/>
      <w:marTop w:val="0"/>
      <w:marBottom w:val="0"/>
      <w:divBdr>
        <w:top w:val="none" w:sz="0" w:space="0" w:color="auto"/>
        <w:left w:val="none" w:sz="0" w:space="0" w:color="auto"/>
        <w:bottom w:val="none" w:sz="0" w:space="0" w:color="auto"/>
        <w:right w:val="none" w:sz="0" w:space="0" w:color="auto"/>
      </w:divBdr>
      <w:divsChild>
        <w:div w:id="1980071748">
          <w:marLeft w:val="0"/>
          <w:marRight w:val="0"/>
          <w:marTop w:val="0"/>
          <w:marBottom w:val="0"/>
          <w:divBdr>
            <w:top w:val="none" w:sz="0" w:space="0" w:color="auto"/>
            <w:left w:val="none" w:sz="0" w:space="0" w:color="auto"/>
            <w:bottom w:val="none" w:sz="0" w:space="0" w:color="auto"/>
            <w:right w:val="none" w:sz="0" w:space="0" w:color="auto"/>
          </w:divBdr>
        </w:div>
      </w:divsChild>
    </w:div>
    <w:div w:id="185993828">
      <w:marLeft w:val="0"/>
      <w:marRight w:val="0"/>
      <w:marTop w:val="0"/>
      <w:marBottom w:val="0"/>
      <w:divBdr>
        <w:top w:val="none" w:sz="0" w:space="0" w:color="auto"/>
        <w:left w:val="none" w:sz="0" w:space="0" w:color="auto"/>
        <w:bottom w:val="none" w:sz="0" w:space="0" w:color="auto"/>
        <w:right w:val="none" w:sz="0" w:space="0" w:color="auto"/>
      </w:divBdr>
    </w:div>
    <w:div w:id="191069333">
      <w:marLeft w:val="0"/>
      <w:marRight w:val="0"/>
      <w:marTop w:val="0"/>
      <w:marBottom w:val="0"/>
      <w:divBdr>
        <w:top w:val="none" w:sz="0" w:space="0" w:color="auto"/>
        <w:left w:val="none" w:sz="0" w:space="0" w:color="auto"/>
        <w:bottom w:val="none" w:sz="0" w:space="0" w:color="auto"/>
        <w:right w:val="none" w:sz="0" w:space="0" w:color="auto"/>
      </w:divBdr>
      <w:divsChild>
        <w:div w:id="764232692">
          <w:marLeft w:val="0"/>
          <w:marRight w:val="0"/>
          <w:marTop w:val="0"/>
          <w:marBottom w:val="0"/>
          <w:divBdr>
            <w:top w:val="none" w:sz="0" w:space="0" w:color="auto"/>
            <w:left w:val="none" w:sz="0" w:space="0" w:color="auto"/>
            <w:bottom w:val="none" w:sz="0" w:space="0" w:color="auto"/>
            <w:right w:val="none" w:sz="0" w:space="0" w:color="auto"/>
          </w:divBdr>
        </w:div>
      </w:divsChild>
    </w:div>
    <w:div w:id="191385649">
      <w:marLeft w:val="0"/>
      <w:marRight w:val="0"/>
      <w:marTop w:val="0"/>
      <w:marBottom w:val="0"/>
      <w:divBdr>
        <w:top w:val="none" w:sz="0" w:space="0" w:color="auto"/>
        <w:left w:val="none" w:sz="0" w:space="0" w:color="auto"/>
        <w:bottom w:val="none" w:sz="0" w:space="0" w:color="auto"/>
        <w:right w:val="none" w:sz="0" w:space="0" w:color="auto"/>
      </w:divBdr>
    </w:div>
    <w:div w:id="196477480">
      <w:marLeft w:val="0"/>
      <w:marRight w:val="0"/>
      <w:marTop w:val="0"/>
      <w:marBottom w:val="0"/>
      <w:divBdr>
        <w:top w:val="none" w:sz="0" w:space="0" w:color="auto"/>
        <w:left w:val="none" w:sz="0" w:space="0" w:color="auto"/>
        <w:bottom w:val="none" w:sz="0" w:space="0" w:color="auto"/>
        <w:right w:val="none" w:sz="0" w:space="0" w:color="auto"/>
      </w:divBdr>
    </w:div>
    <w:div w:id="203489446">
      <w:marLeft w:val="0"/>
      <w:marRight w:val="0"/>
      <w:marTop w:val="0"/>
      <w:marBottom w:val="180"/>
      <w:divBdr>
        <w:top w:val="none" w:sz="0" w:space="0" w:color="auto"/>
        <w:left w:val="none" w:sz="0" w:space="0" w:color="auto"/>
        <w:bottom w:val="none" w:sz="0" w:space="0" w:color="auto"/>
        <w:right w:val="none" w:sz="0" w:space="0" w:color="auto"/>
      </w:divBdr>
    </w:div>
    <w:div w:id="213852773">
      <w:marLeft w:val="0"/>
      <w:marRight w:val="0"/>
      <w:marTop w:val="100"/>
      <w:marBottom w:val="100"/>
      <w:divBdr>
        <w:top w:val="none" w:sz="0" w:space="0" w:color="auto"/>
        <w:left w:val="none" w:sz="0" w:space="0" w:color="auto"/>
        <w:bottom w:val="none" w:sz="0" w:space="0" w:color="auto"/>
        <w:right w:val="none" w:sz="0" w:space="0" w:color="auto"/>
      </w:divBdr>
    </w:div>
    <w:div w:id="215967728">
      <w:marLeft w:val="0"/>
      <w:marRight w:val="0"/>
      <w:marTop w:val="60"/>
      <w:marBottom w:val="0"/>
      <w:divBdr>
        <w:top w:val="none" w:sz="0" w:space="0" w:color="auto"/>
        <w:left w:val="none" w:sz="0" w:space="0" w:color="auto"/>
        <w:bottom w:val="none" w:sz="0" w:space="0" w:color="auto"/>
        <w:right w:val="none" w:sz="0" w:space="0" w:color="auto"/>
      </w:divBdr>
    </w:div>
    <w:div w:id="222525273">
      <w:marLeft w:val="0"/>
      <w:marRight w:val="0"/>
      <w:marTop w:val="0"/>
      <w:marBottom w:val="0"/>
      <w:divBdr>
        <w:top w:val="none" w:sz="0" w:space="0" w:color="auto"/>
        <w:left w:val="none" w:sz="0" w:space="0" w:color="auto"/>
        <w:bottom w:val="none" w:sz="0" w:space="0" w:color="auto"/>
        <w:right w:val="none" w:sz="0" w:space="0" w:color="auto"/>
      </w:divBdr>
    </w:div>
    <w:div w:id="227151310">
      <w:marLeft w:val="0"/>
      <w:marRight w:val="0"/>
      <w:marTop w:val="0"/>
      <w:marBottom w:val="0"/>
      <w:divBdr>
        <w:top w:val="none" w:sz="0" w:space="0" w:color="auto"/>
        <w:left w:val="none" w:sz="0" w:space="0" w:color="auto"/>
        <w:bottom w:val="none" w:sz="0" w:space="0" w:color="auto"/>
        <w:right w:val="none" w:sz="0" w:space="0" w:color="auto"/>
      </w:divBdr>
    </w:div>
    <w:div w:id="232009482">
      <w:marLeft w:val="0"/>
      <w:marRight w:val="0"/>
      <w:marTop w:val="0"/>
      <w:marBottom w:val="0"/>
      <w:divBdr>
        <w:top w:val="none" w:sz="0" w:space="0" w:color="auto"/>
        <w:left w:val="none" w:sz="0" w:space="0" w:color="auto"/>
        <w:bottom w:val="none" w:sz="0" w:space="0" w:color="auto"/>
        <w:right w:val="none" w:sz="0" w:space="0" w:color="auto"/>
      </w:divBdr>
    </w:div>
    <w:div w:id="232275640">
      <w:marLeft w:val="0"/>
      <w:marRight w:val="0"/>
      <w:marTop w:val="0"/>
      <w:marBottom w:val="180"/>
      <w:divBdr>
        <w:top w:val="none" w:sz="0" w:space="0" w:color="auto"/>
        <w:left w:val="none" w:sz="0" w:space="0" w:color="auto"/>
        <w:bottom w:val="none" w:sz="0" w:space="0" w:color="auto"/>
        <w:right w:val="none" w:sz="0" w:space="0" w:color="auto"/>
      </w:divBdr>
    </w:div>
    <w:div w:id="236011964">
      <w:marLeft w:val="0"/>
      <w:marRight w:val="0"/>
      <w:marTop w:val="0"/>
      <w:marBottom w:val="0"/>
      <w:divBdr>
        <w:top w:val="none" w:sz="0" w:space="0" w:color="auto"/>
        <w:left w:val="none" w:sz="0" w:space="0" w:color="auto"/>
        <w:bottom w:val="none" w:sz="0" w:space="0" w:color="auto"/>
        <w:right w:val="none" w:sz="0" w:space="0" w:color="auto"/>
      </w:divBdr>
      <w:divsChild>
        <w:div w:id="1534003024">
          <w:marLeft w:val="0"/>
          <w:marRight w:val="0"/>
          <w:marTop w:val="0"/>
          <w:marBottom w:val="0"/>
          <w:divBdr>
            <w:top w:val="none" w:sz="0" w:space="0" w:color="auto"/>
            <w:left w:val="none" w:sz="0" w:space="0" w:color="auto"/>
            <w:bottom w:val="none" w:sz="0" w:space="0" w:color="auto"/>
            <w:right w:val="none" w:sz="0" w:space="0" w:color="auto"/>
          </w:divBdr>
        </w:div>
      </w:divsChild>
    </w:div>
    <w:div w:id="238055917">
      <w:marLeft w:val="0"/>
      <w:marRight w:val="0"/>
      <w:marTop w:val="0"/>
      <w:marBottom w:val="0"/>
      <w:divBdr>
        <w:top w:val="none" w:sz="0" w:space="0" w:color="auto"/>
        <w:left w:val="none" w:sz="0" w:space="0" w:color="auto"/>
        <w:bottom w:val="none" w:sz="0" w:space="0" w:color="auto"/>
        <w:right w:val="none" w:sz="0" w:space="0" w:color="auto"/>
      </w:divBdr>
    </w:div>
    <w:div w:id="238293208">
      <w:marLeft w:val="0"/>
      <w:marRight w:val="0"/>
      <w:marTop w:val="0"/>
      <w:marBottom w:val="180"/>
      <w:divBdr>
        <w:top w:val="none" w:sz="0" w:space="0" w:color="auto"/>
        <w:left w:val="none" w:sz="0" w:space="0" w:color="auto"/>
        <w:bottom w:val="none" w:sz="0" w:space="0" w:color="auto"/>
        <w:right w:val="none" w:sz="0" w:space="0" w:color="auto"/>
      </w:divBdr>
    </w:div>
    <w:div w:id="247347374">
      <w:marLeft w:val="0"/>
      <w:marRight w:val="0"/>
      <w:marTop w:val="0"/>
      <w:marBottom w:val="0"/>
      <w:divBdr>
        <w:top w:val="none" w:sz="0" w:space="0" w:color="auto"/>
        <w:left w:val="none" w:sz="0" w:space="0" w:color="auto"/>
        <w:bottom w:val="none" w:sz="0" w:space="0" w:color="auto"/>
        <w:right w:val="none" w:sz="0" w:space="0" w:color="auto"/>
      </w:divBdr>
      <w:divsChild>
        <w:div w:id="1417901298">
          <w:marLeft w:val="0"/>
          <w:marRight w:val="0"/>
          <w:marTop w:val="0"/>
          <w:marBottom w:val="0"/>
          <w:divBdr>
            <w:top w:val="none" w:sz="0" w:space="0" w:color="auto"/>
            <w:left w:val="none" w:sz="0" w:space="0" w:color="auto"/>
            <w:bottom w:val="none" w:sz="0" w:space="0" w:color="auto"/>
            <w:right w:val="none" w:sz="0" w:space="0" w:color="auto"/>
          </w:divBdr>
        </w:div>
      </w:divsChild>
    </w:div>
    <w:div w:id="254097291">
      <w:marLeft w:val="0"/>
      <w:marRight w:val="0"/>
      <w:marTop w:val="100"/>
      <w:marBottom w:val="280"/>
      <w:divBdr>
        <w:top w:val="none" w:sz="0" w:space="0" w:color="auto"/>
        <w:left w:val="none" w:sz="0" w:space="0" w:color="auto"/>
        <w:bottom w:val="none" w:sz="0" w:space="0" w:color="auto"/>
        <w:right w:val="none" w:sz="0" w:space="0" w:color="auto"/>
      </w:divBdr>
    </w:div>
    <w:div w:id="258608334">
      <w:marLeft w:val="0"/>
      <w:marRight w:val="0"/>
      <w:marTop w:val="0"/>
      <w:marBottom w:val="0"/>
      <w:divBdr>
        <w:top w:val="none" w:sz="0" w:space="0" w:color="auto"/>
        <w:left w:val="none" w:sz="0" w:space="0" w:color="auto"/>
        <w:bottom w:val="none" w:sz="0" w:space="0" w:color="auto"/>
        <w:right w:val="none" w:sz="0" w:space="0" w:color="auto"/>
      </w:divBdr>
    </w:div>
    <w:div w:id="270668821">
      <w:marLeft w:val="0"/>
      <w:marRight w:val="0"/>
      <w:marTop w:val="0"/>
      <w:marBottom w:val="180"/>
      <w:divBdr>
        <w:top w:val="none" w:sz="0" w:space="0" w:color="auto"/>
        <w:left w:val="none" w:sz="0" w:space="0" w:color="auto"/>
        <w:bottom w:val="none" w:sz="0" w:space="0" w:color="auto"/>
        <w:right w:val="none" w:sz="0" w:space="0" w:color="auto"/>
      </w:divBdr>
    </w:div>
    <w:div w:id="272979071">
      <w:marLeft w:val="0"/>
      <w:marRight w:val="0"/>
      <w:marTop w:val="0"/>
      <w:marBottom w:val="0"/>
      <w:divBdr>
        <w:top w:val="none" w:sz="0" w:space="0" w:color="auto"/>
        <w:left w:val="none" w:sz="0" w:space="0" w:color="auto"/>
        <w:bottom w:val="none" w:sz="0" w:space="0" w:color="auto"/>
        <w:right w:val="none" w:sz="0" w:space="0" w:color="auto"/>
      </w:divBdr>
      <w:divsChild>
        <w:div w:id="1566067527">
          <w:marLeft w:val="0"/>
          <w:marRight w:val="0"/>
          <w:marTop w:val="0"/>
          <w:marBottom w:val="0"/>
          <w:divBdr>
            <w:top w:val="none" w:sz="0" w:space="0" w:color="auto"/>
            <w:left w:val="none" w:sz="0" w:space="0" w:color="auto"/>
            <w:bottom w:val="none" w:sz="0" w:space="0" w:color="auto"/>
            <w:right w:val="none" w:sz="0" w:space="0" w:color="auto"/>
          </w:divBdr>
        </w:div>
      </w:divsChild>
    </w:div>
    <w:div w:id="279528847">
      <w:marLeft w:val="0"/>
      <w:marRight w:val="0"/>
      <w:marTop w:val="0"/>
      <w:marBottom w:val="0"/>
      <w:divBdr>
        <w:top w:val="none" w:sz="0" w:space="0" w:color="auto"/>
        <w:left w:val="none" w:sz="0" w:space="0" w:color="auto"/>
        <w:bottom w:val="none" w:sz="0" w:space="0" w:color="auto"/>
        <w:right w:val="none" w:sz="0" w:space="0" w:color="auto"/>
      </w:divBdr>
      <w:divsChild>
        <w:div w:id="1671831298">
          <w:marLeft w:val="0"/>
          <w:marRight w:val="0"/>
          <w:marTop w:val="0"/>
          <w:marBottom w:val="0"/>
          <w:divBdr>
            <w:top w:val="none" w:sz="0" w:space="0" w:color="auto"/>
            <w:left w:val="none" w:sz="0" w:space="0" w:color="auto"/>
            <w:bottom w:val="none" w:sz="0" w:space="0" w:color="auto"/>
            <w:right w:val="none" w:sz="0" w:space="0" w:color="auto"/>
          </w:divBdr>
        </w:div>
      </w:divsChild>
    </w:div>
    <w:div w:id="286201257">
      <w:marLeft w:val="0"/>
      <w:marRight w:val="0"/>
      <w:marTop w:val="0"/>
      <w:marBottom w:val="180"/>
      <w:divBdr>
        <w:top w:val="none" w:sz="0" w:space="0" w:color="auto"/>
        <w:left w:val="none" w:sz="0" w:space="0" w:color="auto"/>
        <w:bottom w:val="none" w:sz="0" w:space="0" w:color="auto"/>
        <w:right w:val="none" w:sz="0" w:space="0" w:color="auto"/>
      </w:divBdr>
    </w:div>
    <w:div w:id="288365794">
      <w:marLeft w:val="0"/>
      <w:marRight w:val="0"/>
      <w:marTop w:val="0"/>
      <w:marBottom w:val="0"/>
      <w:divBdr>
        <w:top w:val="none" w:sz="0" w:space="0" w:color="auto"/>
        <w:left w:val="none" w:sz="0" w:space="0" w:color="auto"/>
        <w:bottom w:val="none" w:sz="0" w:space="0" w:color="auto"/>
        <w:right w:val="none" w:sz="0" w:space="0" w:color="auto"/>
      </w:divBdr>
      <w:divsChild>
        <w:div w:id="604847469">
          <w:marLeft w:val="0"/>
          <w:marRight w:val="0"/>
          <w:marTop w:val="0"/>
          <w:marBottom w:val="0"/>
          <w:divBdr>
            <w:top w:val="none" w:sz="0" w:space="0" w:color="auto"/>
            <w:left w:val="none" w:sz="0" w:space="0" w:color="auto"/>
            <w:bottom w:val="none" w:sz="0" w:space="0" w:color="auto"/>
            <w:right w:val="none" w:sz="0" w:space="0" w:color="auto"/>
          </w:divBdr>
        </w:div>
      </w:divsChild>
    </w:div>
    <w:div w:id="302123193">
      <w:marLeft w:val="0"/>
      <w:marRight w:val="0"/>
      <w:marTop w:val="0"/>
      <w:marBottom w:val="180"/>
      <w:divBdr>
        <w:top w:val="none" w:sz="0" w:space="0" w:color="auto"/>
        <w:left w:val="none" w:sz="0" w:space="0" w:color="auto"/>
        <w:bottom w:val="none" w:sz="0" w:space="0" w:color="auto"/>
        <w:right w:val="none" w:sz="0" w:space="0" w:color="auto"/>
      </w:divBdr>
    </w:div>
    <w:div w:id="314646434">
      <w:marLeft w:val="0"/>
      <w:marRight w:val="0"/>
      <w:marTop w:val="0"/>
      <w:marBottom w:val="180"/>
      <w:divBdr>
        <w:top w:val="none" w:sz="0" w:space="0" w:color="auto"/>
        <w:left w:val="none" w:sz="0" w:space="0" w:color="auto"/>
        <w:bottom w:val="none" w:sz="0" w:space="0" w:color="auto"/>
        <w:right w:val="none" w:sz="0" w:space="0" w:color="auto"/>
      </w:divBdr>
    </w:div>
    <w:div w:id="316737128">
      <w:marLeft w:val="0"/>
      <w:marRight w:val="0"/>
      <w:marTop w:val="0"/>
      <w:marBottom w:val="0"/>
      <w:divBdr>
        <w:top w:val="none" w:sz="0" w:space="0" w:color="auto"/>
        <w:left w:val="none" w:sz="0" w:space="0" w:color="auto"/>
        <w:bottom w:val="none" w:sz="0" w:space="0" w:color="auto"/>
        <w:right w:val="none" w:sz="0" w:space="0" w:color="auto"/>
      </w:divBdr>
      <w:divsChild>
        <w:div w:id="971444836">
          <w:marLeft w:val="0"/>
          <w:marRight w:val="0"/>
          <w:marTop w:val="0"/>
          <w:marBottom w:val="0"/>
          <w:divBdr>
            <w:top w:val="none" w:sz="0" w:space="0" w:color="auto"/>
            <w:left w:val="none" w:sz="0" w:space="0" w:color="auto"/>
            <w:bottom w:val="none" w:sz="0" w:space="0" w:color="auto"/>
            <w:right w:val="none" w:sz="0" w:space="0" w:color="auto"/>
          </w:divBdr>
        </w:div>
      </w:divsChild>
    </w:div>
    <w:div w:id="319768543">
      <w:marLeft w:val="0"/>
      <w:marRight w:val="0"/>
      <w:marTop w:val="0"/>
      <w:marBottom w:val="0"/>
      <w:divBdr>
        <w:top w:val="none" w:sz="0" w:space="0" w:color="auto"/>
        <w:left w:val="none" w:sz="0" w:space="0" w:color="auto"/>
        <w:bottom w:val="none" w:sz="0" w:space="0" w:color="auto"/>
        <w:right w:val="none" w:sz="0" w:space="0" w:color="auto"/>
      </w:divBdr>
      <w:divsChild>
        <w:div w:id="888691872">
          <w:marLeft w:val="0"/>
          <w:marRight w:val="0"/>
          <w:marTop w:val="0"/>
          <w:marBottom w:val="0"/>
          <w:divBdr>
            <w:top w:val="none" w:sz="0" w:space="0" w:color="auto"/>
            <w:left w:val="none" w:sz="0" w:space="0" w:color="auto"/>
            <w:bottom w:val="none" w:sz="0" w:space="0" w:color="auto"/>
            <w:right w:val="none" w:sz="0" w:space="0" w:color="auto"/>
          </w:divBdr>
        </w:div>
      </w:divsChild>
    </w:div>
    <w:div w:id="327907253">
      <w:marLeft w:val="0"/>
      <w:marRight w:val="0"/>
      <w:marTop w:val="0"/>
      <w:marBottom w:val="180"/>
      <w:divBdr>
        <w:top w:val="none" w:sz="0" w:space="0" w:color="auto"/>
        <w:left w:val="none" w:sz="0" w:space="0" w:color="auto"/>
        <w:bottom w:val="none" w:sz="0" w:space="0" w:color="auto"/>
        <w:right w:val="none" w:sz="0" w:space="0" w:color="auto"/>
      </w:divBdr>
    </w:div>
    <w:div w:id="331681847">
      <w:marLeft w:val="0"/>
      <w:marRight w:val="0"/>
      <w:marTop w:val="0"/>
      <w:marBottom w:val="0"/>
      <w:divBdr>
        <w:top w:val="none" w:sz="0" w:space="0" w:color="auto"/>
        <w:left w:val="none" w:sz="0" w:space="0" w:color="auto"/>
        <w:bottom w:val="none" w:sz="0" w:space="0" w:color="auto"/>
        <w:right w:val="none" w:sz="0" w:space="0" w:color="auto"/>
      </w:divBdr>
      <w:divsChild>
        <w:div w:id="671298210">
          <w:marLeft w:val="0"/>
          <w:marRight w:val="0"/>
          <w:marTop w:val="0"/>
          <w:marBottom w:val="0"/>
          <w:divBdr>
            <w:top w:val="none" w:sz="0" w:space="0" w:color="auto"/>
            <w:left w:val="none" w:sz="0" w:space="0" w:color="auto"/>
            <w:bottom w:val="none" w:sz="0" w:space="0" w:color="auto"/>
            <w:right w:val="none" w:sz="0" w:space="0" w:color="auto"/>
          </w:divBdr>
        </w:div>
      </w:divsChild>
    </w:div>
    <w:div w:id="333387666">
      <w:marLeft w:val="0"/>
      <w:marRight w:val="0"/>
      <w:marTop w:val="100"/>
      <w:marBottom w:val="280"/>
      <w:divBdr>
        <w:top w:val="none" w:sz="0" w:space="0" w:color="auto"/>
        <w:left w:val="none" w:sz="0" w:space="0" w:color="auto"/>
        <w:bottom w:val="none" w:sz="0" w:space="0" w:color="auto"/>
        <w:right w:val="none" w:sz="0" w:space="0" w:color="auto"/>
      </w:divBdr>
    </w:div>
    <w:div w:id="337927990">
      <w:marLeft w:val="0"/>
      <w:marRight w:val="0"/>
      <w:marTop w:val="0"/>
      <w:marBottom w:val="0"/>
      <w:divBdr>
        <w:top w:val="none" w:sz="0" w:space="0" w:color="auto"/>
        <w:left w:val="none" w:sz="0" w:space="0" w:color="auto"/>
        <w:bottom w:val="none" w:sz="0" w:space="0" w:color="auto"/>
        <w:right w:val="none" w:sz="0" w:space="0" w:color="auto"/>
      </w:divBdr>
      <w:divsChild>
        <w:div w:id="42410183">
          <w:marLeft w:val="0"/>
          <w:marRight w:val="0"/>
          <w:marTop w:val="0"/>
          <w:marBottom w:val="0"/>
          <w:divBdr>
            <w:top w:val="none" w:sz="0" w:space="0" w:color="auto"/>
            <w:left w:val="none" w:sz="0" w:space="0" w:color="auto"/>
            <w:bottom w:val="none" w:sz="0" w:space="0" w:color="auto"/>
            <w:right w:val="none" w:sz="0" w:space="0" w:color="auto"/>
          </w:divBdr>
        </w:div>
      </w:divsChild>
    </w:div>
    <w:div w:id="349257500">
      <w:marLeft w:val="0"/>
      <w:marRight w:val="0"/>
      <w:marTop w:val="0"/>
      <w:marBottom w:val="180"/>
      <w:divBdr>
        <w:top w:val="none" w:sz="0" w:space="0" w:color="auto"/>
        <w:left w:val="none" w:sz="0" w:space="0" w:color="auto"/>
        <w:bottom w:val="none" w:sz="0" w:space="0" w:color="auto"/>
        <w:right w:val="none" w:sz="0" w:space="0" w:color="auto"/>
      </w:divBdr>
    </w:div>
    <w:div w:id="351422822">
      <w:marLeft w:val="0"/>
      <w:marRight w:val="0"/>
      <w:marTop w:val="100"/>
      <w:marBottom w:val="100"/>
      <w:divBdr>
        <w:top w:val="none" w:sz="0" w:space="0" w:color="auto"/>
        <w:left w:val="none" w:sz="0" w:space="0" w:color="auto"/>
        <w:bottom w:val="none" w:sz="0" w:space="0" w:color="auto"/>
        <w:right w:val="none" w:sz="0" w:space="0" w:color="auto"/>
      </w:divBdr>
      <w:divsChild>
        <w:div w:id="1077170379">
          <w:marLeft w:val="0"/>
          <w:marRight w:val="0"/>
          <w:marTop w:val="0"/>
          <w:marBottom w:val="0"/>
          <w:divBdr>
            <w:top w:val="none" w:sz="0" w:space="0" w:color="auto"/>
            <w:left w:val="none" w:sz="0" w:space="0" w:color="auto"/>
            <w:bottom w:val="none" w:sz="0" w:space="0" w:color="auto"/>
            <w:right w:val="none" w:sz="0" w:space="0" w:color="auto"/>
          </w:divBdr>
        </w:div>
        <w:div w:id="437604667">
          <w:marLeft w:val="0"/>
          <w:marRight w:val="0"/>
          <w:marTop w:val="0"/>
          <w:marBottom w:val="0"/>
          <w:divBdr>
            <w:top w:val="none" w:sz="0" w:space="0" w:color="auto"/>
            <w:left w:val="none" w:sz="0" w:space="0" w:color="auto"/>
            <w:bottom w:val="none" w:sz="0" w:space="0" w:color="auto"/>
            <w:right w:val="none" w:sz="0" w:space="0" w:color="auto"/>
          </w:divBdr>
        </w:div>
        <w:div w:id="1474059230">
          <w:marLeft w:val="0"/>
          <w:marRight w:val="0"/>
          <w:marTop w:val="0"/>
          <w:marBottom w:val="0"/>
          <w:divBdr>
            <w:top w:val="none" w:sz="0" w:space="0" w:color="auto"/>
            <w:left w:val="none" w:sz="0" w:space="0" w:color="auto"/>
            <w:bottom w:val="none" w:sz="0" w:space="0" w:color="auto"/>
            <w:right w:val="none" w:sz="0" w:space="0" w:color="auto"/>
          </w:divBdr>
        </w:div>
        <w:div w:id="73867689">
          <w:marLeft w:val="0"/>
          <w:marRight w:val="0"/>
          <w:marTop w:val="0"/>
          <w:marBottom w:val="0"/>
          <w:divBdr>
            <w:top w:val="none" w:sz="0" w:space="0" w:color="auto"/>
            <w:left w:val="none" w:sz="0" w:space="0" w:color="auto"/>
            <w:bottom w:val="none" w:sz="0" w:space="0" w:color="auto"/>
            <w:right w:val="none" w:sz="0" w:space="0" w:color="auto"/>
          </w:divBdr>
        </w:div>
        <w:div w:id="1818381517">
          <w:marLeft w:val="0"/>
          <w:marRight w:val="0"/>
          <w:marTop w:val="0"/>
          <w:marBottom w:val="0"/>
          <w:divBdr>
            <w:top w:val="none" w:sz="0" w:space="0" w:color="auto"/>
            <w:left w:val="none" w:sz="0" w:space="0" w:color="auto"/>
            <w:bottom w:val="none" w:sz="0" w:space="0" w:color="auto"/>
            <w:right w:val="none" w:sz="0" w:space="0" w:color="auto"/>
          </w:divBdr>
        </w:div>
        <w:div w:id="105124686">
          <w:marLeft w:val="0"/>
          <w:marRight w:val="0"/>
          <w:marTop w:val="0"/>
          <w:marBottom w:val="0"/>
          <w:divBdr>
            <w:top w:val="none" w:sz="0" w:space="0" w:color="auto"/>
            <w:left w:val="none" w:sz="0" w:space="0" w:color="auto"/>
            <w:bottom w:val="none" w:sz="0" w:space="0" w:color="auto"/>
            <w:right w:val="none" w:sz="0" w:space="0" w:color="auto"/>
          </w:divBdr>
        </w:div>
        <w:div w:id="664210641">
          <w:marLeft w:val="0"/>
          <w:marRight w:val="0"/>
          <w:marTop w:val="0"/>
          <w:marBottom w:val="0"/>
          <w:divBdr>
            <w:top w:val="none" w:sz="0" w:space="0" w:color="auto"/>
            <w:left w:val="none" w:sz="0" w:space="0" w:color="auto"/>
            <w:bottom w:val="none" w:sz="0" w:space="0" w:color="auto"/>
            <w:right w:val="none" w:sz="0" w:space="0" w:color="auto"/>
          </w:divBdr>
        </w:div>
        <w:div w:id="779253169">
          <w:marLeft w:val="0"/>
          <w:marRight w:val="0"/>
          <w:marTop w:val="0"/>
          <w:marBottom w:val="0"/>
          <w:divBdr>
            <w:top w:val="none" w:sz="0" w:space="0" w:color="auto"/>
            <w:left w:val="none" w:sz="0" w:space="0" w:color="auto"/>
            <w:bottom w:val="none" w:sz="0" w:space="0" w:color="auto"/>
            <w:right w:val="none" w:sz="0" w:space="0" w:color="auto"/>
          </w:divBdr>
        </w:div>
        <w:div w:id="825977641">
          <w:marLeft w:val="0"/>
          <w:marRight w:val="0"/>
          <w:marTop w:val="0"/>
          <w:marBottom w:val="0"/>
          <w:divBdr>
            <w:top w:val="none" w:sz="0" w:space="0" w:color="auto"/>
            <w:left w:val="none" w:sz="0" w:space="0" w:color="auto"/>
            <w:bottom w:val="none" w:sz="0" w:space="0" w:color="auto"/>
            <w:right w:val="none" w:sz="0" w:space="0" w:color="auto"/>
          </w:divBdr>
        </w:div>
        <w:div w:id="893662030">
          <w:marLeft w:val="0"/>
          <w:marRight w:val="0"/>
          <w:marTop w:val="0"/>
          <w:marBottom w:val="0"/>
          <w:divBdr>
            <w:top w:val="none" w:sz="0" w:space="0" w:color="auto"/>
            <w:left w:val="none" w:sz="0" w:space="0" w:color="auto"/>
            <w:bottom w:val="none" w:sz="0" w:space="0" w:color="auto"/>
            <w:right w:val="none" w:sz="0" w:space="0" w:color="auto"/>
          </w:divBdr>
        </w:div>
        <w:div w:id="1328248256">
          <w:marLeft w:val="0"/>
          <w:marRight w:val="0"/>
          <w:marTop w:val="0"/>
          <w:marBottom w:val="0"/>
          <w:divBdr>
            <w:top w:val="none" w:sz="0" w:space="0" w:color="auto"/>
            <w:left w:val="none" w:sz="0" w:space="0" w:color="auto"/>
            <w:bottom w:val="none" w:sz="0" w:space="0" w:color="auto"/>
            <w:right w:val="none" w:sz="0" w:space="0" w:color="auto"/>
          </w:divBdr>
        </w:div>
        <w:div w:id="1978605029">
          <w:marLeft w:val="0"/>
          <w:marRight w:val="0"/>
          <w:marTop w:val="0"/>
          <w:marBottom w:val="0"/>
          <w:divBdr>
            <w:top w:val="none" w:sz="0" w:space="0" w:color="auto"/>
            <w:left w:val="none" w:sz="0" w:space="0" w:color="auto"/>
            <w:bottom w:val="none" w:sz="0" w:space="0" w:color="auto"/>
            <w:right w:val="none" w:sz="0" w:space="0" w:color="auto"/>
          </w:divBdr>
        </w:div>
        <w:div w:id="1646886561">
          <w:marLeft w:val="0"/>
          <w:marRight w:val="0"/>
          <w:marTop w:val="0"/>
          <w:marBottom w:val="0"/>
          <w:divBdr>
            <w:top w:val="none" w:sz="0" w:space="0" w:color="auto"/>
            <w:left w:val="none" w:sz="0" w:space="0" w:color="auto"/>
            <w:bottom w:val="none" w:sz="0" w:space="0" w:color="auto"/>
            <w:right w:val="none" w:sz="0" w:space="0" w:color="auto"/>
          </w:divBdr>
        </w:div>
        <w:div w:id="636843021">
          <w:marLeft w:val="0"/>
          <w:marRight w:val="0"/>
          <w:marTop w:val="0"/>
          <w:marBottom w:val="0"/>
          <w:divBdr>
            <w:top w:val="none" w:sz="0" w:space="0" w:color="auto"/>
            <w:left w:val="none" w:sz="0" w:space="0" w:color="auto"/>
            <w:bottom w:val="none" w:sz="0" w:space="0" w:color="auto"/>
            <w:right w:val="none" w:sz="0" w:space="0" w:color="auto"/>
          </w:divBdr>
        </w:div>
      </w:divsChild>
    </w:div>
    <w:div w:id="355422242">
      <w:marLeft w:val="0"/>
      <w:marRight w:val="0"/>
      <w:marTop w:val="0"/>
      <w:marBottom w:val="0"/>
      <w:divBdr>
        <w:top w:val="none" w:sz="0" w:space="0" w:color="auto"/>
        <w:left w:val="none" w:sz="0" w:space="0" w:color="auto"/>
        <w:bottom w:val="none" w:sz="0" w:space="0" w:color="auto"/>
        <w:right w:val="none" w:sz="0" w:space="0" w:color="auto"/>
      </w:divBdr>
    </w:div>
    <w:div w:id="361827651">
      <w:marLeft w:val="0"/>
      <w:marRight w:val="0"/>
      <w:marTop w:val="100"/>
      <w:marBottom w:val="100"/>
      <w:divBdr>
        <w:top w:val="none" w:sz="0" w:space="0" w:color="auto"/>
        <w:left w:val="none" w:sz="0" w:space="0" w:color="auto"/>
        <w:bottom w:val="none" w:sz="0" w:space="0" w:color="auto"/>
        <w:right w:val="none" w:sz="0" w:space="0" w:color="auto"/>
      </w:divBdr>
    </w:div>
    <w:div w:id="372661107">
      <w:marLeft w:val="0"/>
      <w:marRight w:val="0"/>
      <w:marTop w:val="100"/>
      <w:marBottom w:val="320"/>
      <w:divBdr>
        <w:top w:val="none" w:sz="0" w:space="0" w:color="auto"/>
        <w:left w:val="none" w:sz="0" w:space="0" w:color="auto"/>
        <w:bottom w:val="none" w:sz="0" w:space="0" w:color="auto"/>
        <w:right w:val="none" w:sz="0" w:space="0" w:color="auto"/>
      </w:divBdr>
    </w:div>
    <w:div w:id="379478801">
      <w:marLeft w:val="0"/>
      <w:marRight w:val="0"/>
      <w:marTop w:val="0"/>
      <w:marBottom w:val="180"/>
      <w:divBdr>
        <w:top w:val="none" w:sz="0" w:space="0" w:color="auto"/>
        <w:left w:val="none" w:sz="0" w:space="0" w:color="auto"/>
        <w:bottom w:val="none" w:sz="0" w:space="0" w:color="auto"/>
        <w:right w:val="none" w:sz="0" w:space="0" w:color="auto"/>
      </w:divBdr>
    </w:div>
    <w:div w:id="381566241">
      <w:marLeft w:val="0"/>
      <w:marRight w:val="0"/>
      <w:marTop w:val="0"/>
      <w:marBottom w:val="0"/>
      <w:divBdr>
        <w:top w:val="none" w:sz="0" w:space="0" w:color="auto"/>
        <w:left w:val="none" w:sz="0" w:space="0" w:color="auto"/>
        <w:bottom w:val="none" w:sz="0" w:space="0" w:color="auto"/>
        <w:right w:val="none" w:sz="0" w:space="0" w:color="auto"/>
      </w:divBdr>
      <w:divsChild>
        <w:div w:id="1788500752">
          <w:marLeft w:val="0"/>
          <w:marRight w:val="0"/>
          <w:marTop w:val="0"/>
          <w:marBottom w:val="0"/>
          <w:divBdr>
            <w:top w:val="none" w:sz="0" w:space="0" w:color="auto"/>
            <w:left w:val="none" w:sz="0" w:space="0" w:color="auto"/>
            <w:bottom w:val="none" w:sz="0" w:space="0" w:color="auto"/>
            <w:right w:val="none" w:sz="0" w:space="0" w:color="auto"/>
          </w:divBdr>
        </w:div>
      </w:divsChild>
    </w:div>
    <w:div w:id="382801055">
      <w:marLeft w:val="0"/>
      <w:marRight w:val="0"/>
      <w:marTop w:val="0"/>
      <w:marBottom w:val="180"/>
      <w:divBdr>
        <w:top w:val="none" w:sz="0" w:space="0" w:color="auto"/>
        <w:left w:val="none" w:sz="0" w:space="0" w:color="auto"/>
        <w:bottom w:val="none" w:sz="0" w:space="0" w:color="auto"/>
        <w:right w:val="none" w:sz="0" w:space="0" w:color="auto"/>
      </w:divBdr>
    </w:div>
    <w:div w:id="397215944">
      <w:marLeft w:val="0"/>
      <w:marRight w:val="0"/>
      <w:marTop w:val="100"/>
      <w:marBottom w:val="100"/>
      <w:divBdr>
        <w:top w:val="none" w:sz="0" w:space="0" w:color="auto"/>
        <w:left w:val="none" w:sz="0" w:space="0" w:color="auto"/>
        <w:bottom w:val="none" w:sz="0" w:space="0" w:color="auto"/>
        <w:right w:val="none" w:sz="0" w:space="0" w:color="auto"/>
      </w:divBdr>
    </w:div>
    <w:div w:id="412626897">
      <w:marLeft w:val="0"/>
      <w:marRight w:val="0"/>
      <w:marTop w:val="0"/>
      <w:marBottom w:val="0"/>
      <w:divBdr>
        <w:top w:val="none" w:sz="0" w:space="0" w:color="auto"/>
        <w:left w:val="none" w:sz="0" w:space="0" w:color="auto"/>
        <w:bottom w:val="none" w:sz="0" w:space="0" w:color="auto"/>
        <w:right w:val="none" w:sz="0" w:space="0" w:color="auto"/>
      </w:divBdr>
    </w:div>
    <w:div w:id="412901191">
      <w:marLeft w:val="0"/>
      <w:marRight w:val="0"/>
      <w:marTop w:val="0"/>
      <w:marBottom w:val="0"/>
      <w:divBdr>
        <w:top w:val="none" w:sz="0" w:space="0" w:color="auto"/>
        <w:left w:val="none" w:sz="0" w:space="0" w:color="auto"/>
        <w:bottom w:val="none" w:sz="0" w:space="0" w:color="auto"/>
        <w:right w:val="none" w:sz="0" w:space="0" w:color="auto"/>
      </w:divBdr>
    </w:div>
    <w:div w:id="419716079">
      <w:marLeft w:val="0"/>
      <w:marRight w:val="0"/>
      <w:marTop w:val="100"/>
      <w:marBottom w:val="100"/>
      <w:divBdr>
        <w:top w:val="none" w:sz="0" w:space="0" w:color="auto"/>
        <w:left w:val="none" w:sz="0" w:space="0" w:color="auto"/>
        <w:bottom w:val="none" w:sz="0" w:space="0" w:color="auto"/>
        <w:right w:val="none" w:sz="0" w:space="0" w:color="auto"/>
      </w:divBdr>
    </w:div>
    <w:div w:id="419958160">
      <w:marLeft w:val="0"/>
      <w:marRight w:val="0"/>
      <w:marTop w:val="0"/>
      <w:marBottom w:val="180"/>
      <w:divBdr>
        <w:top w:val="none" w:sz="0" w:space="0" w:color="auto"/>
        <w:left w:val="none" w:sz="0" w:space="0" w:color="auto"/>
        <w:bottom w:val="none" w:sz="0" w:space="0" w:color="auto"/>
        <w:right w:val="none" w:sz="0" w:space="0" w:color="auto"/>
      </w:divBdr>
    </w:div>
    <w:div w:id="420033322">
      <w:marLeft w:val="0"/>
      <w:marRight w:val="0"/>
      <w:marTop w:val="0"/>
      <w:marBottom w:val="0"/>
      <w:divBdr>
        <w:top w:val="none" w:sz="0" w:space="0" w:color="auto"/>
        <w:left w:val="none" w:sz="0" w:space="0" w:color="auto"/>
        <w:bottom w:val="none" w:sz="0" w:space="0" w:color="auto"/>
        <w:right w:val="none" w:sz="0" w:space="0" w:color="auto"/>
      </w:divBdr>
      <w:divsChild>
        <w:div w:id="658535413">
          <w:marLeft w:val="0"/>
          <w:marRight w:val="0"/>
          <w:marTop w:val="0"/>
          <w:marBottom w:val="0"/>
          <w:divBdr>
            <w:top w:val="none" w:sz="0" w:space="0" w:color="auto"/>
            <w:left w:val="none" w:sz="0" w:space="0" w:color="auto"/>
            <w:bottom w:val="none" w:sz="0" w:space="0" w:color="auto"/>
            <w:right w:val="none" w:sz="0" w:space="0" w:color="auto"/>
          </w:divBdr>
        </w:div>
      </w:divsChild>
    </w:div>
    <w:div w:id="428743264">
      <w:marLeft w:val="0"/>
      <w:marRight w:val="0"/>
      <w:marTop w:val="0"/>
      <w:marBottom w:val="0"/>
      <w:divBdr>
        <w:top w:val="none" w:sz="0" w:space="0" w:color="auto"/>
        <w:left w:val="none" w:sz="0" w:space="0" w:color="auto"/>
        <w:bottom w:val="none" w:sz="0" w:space="0" w:color="auto"/>
        <w:right w:val="none" w:sz="0" w:space="0" w:color="auto"/>
      </w:divBdr>
      <w:divsChild>
        <w:div w:id="263460693">
          <w:marLeft w:val="0"/>
          <w:marRight w:val="0"/>
          <w:marTop w:val="0"/>
          <w:marBottom w:val="0"/>
          <w:divBdr>
            <w:top w:val="none" w:sz="0" w:space="0" w:color="auto"/>
            <w:left w:val="none" w:sz="0" w:space="0" w:color="auto"/>
            <w:bottom w:val="none" w:sz="0" w:space="0" w:color="auto"/>
            <w:right w:val="none" w:sz="0" w:space="0" w:color="auto"/>
          </w:divBdr>
        </w:div>
      </w:divsChild>
    </w:div>
    <w:div w:id="434600194">
      <w:marLeft w:val="0"/>
      <w:marRight w:val="0"/>
      <w:marTop w:val="100"/>
      <w:marBottom w:val="280"/>
      <w:divBdr>
        <w:top w:val="none" w:sz="0" w:space="0" w:color="auto"/>
        <w:left w:val="none" w:sz="0" w:space="0" w:color="auto"/>
        <w:bottom w:val="none" w:sz="0" w:space="0" w:color="auto"/>
        <w:right w:val="none" w:sz="0" w:space="0" w:color="auto"/>
      </w:divBdr>
    </w:div>
    <w:div w:id="444347801">
      <w:marLeft w:val="0"/>
      <w:marRight w:val="0"/>
      <w:marTop w:val="100"/>
      <w:marBottom w:val="100"/>
      <w:divBdr>
        <w:top w:val="none" w:sz="0" w:space="0" w:color="auto"/>
        <w:left w:val="none" w:sz="0" w:space="0" w:color="auto"/>
        <w:bottom w:val="none" w:sz="0" w:space="0" w:color="auto"/>
        <w:right w:val="none" w:sz="0" w:space="0" w:color="auto"/>
      </w:divBdr>
    </w:div>
    <w:div w:id="457652702">
      <w:marLeft w:val="0"/>
      <w:marRight w:val="0"/>
      <w:marTop w:val="0"/>
      <w:marBottom w:val="180"/>
      <w:divBdr>
        <w:top w:val="none" w:sz="0" w:space="0" w:color="auto"/>
        <w:left w:val="none" w:sz="0" w:space="0" w:color="auto"/>
        <w:bottom w:val="none" w:sz="0" w:space="0" w:color="auto"/>
        <w:right w:val="none" w:sz="0" w:space="0" w:color="auto"/>
      </w:divBdr>
    </w:div>
    <w:div w:id="460611406">
      <w:marLeft w:val="0"/>
      <w:marRight w:val="0"/>
      <w:marTop w:val="100"/>
      <w:marBottom w:val="100"/>
      <w:divBdr>
        <w:top w:val="none" w:sz="0" w:space="0" w:color="auto"/>
        <w:left w:val="none" w:sz="0" w:space="0" w:color="auto"/>
        <w:bottom w:val="none" w:sz="0" w:space="0" w:color="auto"/>
        <w:right w:val="none" w:sz="0" w:space="0" w:color="auto"/>
      </w:divBdr>
      <w:divsChild>
        <w:div w:id="1929346757">
          <w:marLeft w:val="0"/>
          <w:marRight w:val="0"/>
          <w:marTop w:val="0"/>
          <w:marBottom w:val="0"/>
          <w:divBdr>
            <w:top w:val="none" w:sz="0" w:space="0" w:color="auto"/>
            <w:left w:val="none" w:sz="0" w:space="0" w:color="auto"/>
            <w:bottom w:val="none" w:sz="0" w:space="0" w:color="auto"/>
            <w:right w:val="none" w:sz="0" w:space="0" w:color="auto"/>
          </w:divBdr>
        </w:div>
        <w:div w:id="2075345990">
          <w:marLeft w:val="0"/>
          <w:marRight w:val="0"/>
          <w:marTop w:val="0"/>
          <w:marBottom w:val="0"/>
          <w:divBdr>
            <w:top w:val="none" w:sz="0" w:space="0" w:color="auto"/>
            <w:left w:val="none" w:sz="0" w:space="0" w:color="auto"/>
            <w:bottom w:val="none" w:sz="0" w:space="0" w:color="auto"/>
            <w:right w:val="none" w:sz="0" w:space="0" w:color="auto"/>
          </w:divBdr>
        </w:div>
        <w:div w:id="1059789033">
          <w:marLeft w:val="0"/>
          <w:marRight w:val="0"/>
          <w:marTop w:val="0"/>
          <w:marBottom w:val="0"/>
          <w:divBdr>
            <w:top w:val="none" w:sz="0" w:space="0" w:color="auto"/>
            <w:left w:val="none" w:sz="0" w:space="0" w:color="auto"/>
            <w:bottom w:val="none" w:sz="0" w:space="0" w:color="auto"/>
            <w:right w:val="none" w:sz="0" w:space="0" w:color="auto"/>
          </w:divBdr>
        </w:div>
        <w:div w:id="1002586777">
          <w:marLeft w:val="0"/>
          <w:marRight w:val="0"/>
          <w:marTop w:val="0"/>
          <w:marBottom w:val="0"/>
          <w:divBdr>
            <w:top w:val="none" w:sz="0" w:space="0" w:color="auto"/>
            <w:left w:val="none" w:sz="0" w:space="0" w:color="auto"/>
            <w:bottom w:val="none" w:sz="0" w:space="0" w:color="auto"/>
            <w:right w:val="none" w:sz="0" w:space="0" w:color="auto"/>
          </w:divBdr>
        </w:div>
      </w:divsChild>
    </w:div>
    <w:div w:id="465437655">
      <w:marLeft w:val="0"/>
      <w:marRight w:val="0"/>
      <w:marTop w:val="0"/>
      <w:marBottom w:val="0"/>
      <w:divBdr>
        <w:top w:val="none" w:sz="0" w:space="0" w:color="auto"/>
        <w:left w:val="none" w:sz="0" w:space="0" w:color="auto"/>
        <w:bottom w:val="none" w:sz="0" w:space="0" w:color="auto"/>
        <w:right w:val="none" w:sz="0" w:space="0" w:color="auto"/>
      </w:divBdr>
      <w:divsChild>
        <w:div w:id="667757241">
          <w:marLeft w:val="0"/>
          <w:marRight w:val="0"/>
          <w:marTop w:val="0"/>
          <w:marBottom w:val="0"/>
          <w:divBdr>
            <w:top w:val="none" w:sz="0" w:space="0" w:color="auto"/>
            <w:left w:val="none" w:sz="0" w:space="0" w:color="auto"/>
            <w:bottom w:val="none" w:sz="0" w:space="0" w:color="auto"/>
            <w:right w:val="none" w:sz="0" w:space="0" w:color="auto"/>
          </w:divBdr>
        </w:div>
      </w:divsChild>
    </w:div>
    <w:div w:id="468473109">
      <w:marLeft w:val="0"/>
      <w:marRight w:val="0"/>
      <w:marTop w:val="0"/>
      <w:marBottom w:val="180"/>
      <w:divBdr>
        <w:top w:val="none" w:sz="0" w:space="0" w:color="auto"/>
        <w:left w:val="none" w:sz="0" w:space="0" w:color="auto"/>
        <w:bottom w:val="none" w:sz="0" w:space="0" w:color="auto"/>
        <w:right w:val="none" w:sz="0" w:space="0" w:color="auto"/>
      </w:divBdr>
    </w:div>
    <w:div w:id="471217956">
      <w:marLeft w:val="0"/>
      <w:marRight w:val="0"/>
      <w:marTop w:val="0"/>
      <w:marBottom w:val="0"/>
      <w:divBdr>
        <w:top w:val="none" w:sz="0" w:space="0" w:color="auto"/>
        <w:left w:val="none" w:sz="0" w:space="0" w:color="auto"/>
        <w:bottom w:val="none" w:sz="0" w:space="0" w:color="auto"/>
        <w:right w:val="none" w:sz="0" w:space="0" w:color="auto"/>
      </w:divBdr>
    </w:div>
    <w:div w:id="484250355">
      <w:marLeft w:val="0"/>
      <w:marRight w:val="0"/>
      <w:marTop w:val="0"/>
      <w:marBottom w:val="180"/>
      <w:divBdr>
        <w:top w:val="none" w:sz="0" w:space="0" w:color="auto"/>
        <w:left w:val="none" w:sz="0" w:space="0" w:color="auto"/>
        <w:bottom w:val="none" w:sz="0" w:space="0" w:color="auto"/>
        <w:right w:val="none" w:sz="0" w:space="0" w:color="auto"/>
      </w:divBdr>
    </w:div>
    <w:div w:id="487475514">
      <w:marLeft w:val="0"/>
      <w:marRight w:val="0"/>
      <w:marTop w:val="0"/>
      <w:marBottom w:val="320"/>
      <w:divBdr>
        <w:top w:val="none" w:sz="0" w:space="0" w:color="auto"/>
        <w:left w:val="none" w:sz="0" w:space="0" w:color="auto"/>
        <w:bottom w:val="none" w:sz="0" w:space="0" w:color="auto"/>
        <w:right w:val="none" w:sz="0" w:space="0" w:color="auto"/>
      </w:divBdr>
    </w:div>
    <w:div w:id="490871824">
      <w:marLeft w:val="0"/>
      <w:marRight w:val="0"/>
      <w:marTop w:val="0"/>
      <w:marBottom w:val="120"/>
      <w:divBdr>
        <w:top w:val="none" w:sz="0" w:space="0" w:color="auto"/>
        <w:left w:val="none" w:sz="0" w:space="0" w:color="auto"/>
        <w:bottom w:val="none" w:sz="0" w:space="0" w:color="auto"/>
        <w:right w:val="none" w:sz="0" w:space="0" w:color="auto"/>
      </w:divBdr>
    </w:div>
    <w:div w:id="493108962">
      <w:marLeft w:val="0"/>
      <w:marRight w:val="0"/>
      <w:marTop w:val="0"/>
      <w:marBottom w:val="0"/>
      <w:divBdr>
        <w:top w:val="none" w:sz="0" w:space="0" w:color="auto"/>
        <w:left w:val="none" w:sz="0" w:space="0" w:color="auto"/>
        <w:bottom w:val="none" w:sz="0" w:space="0" w:color="auto"/>
        <w:right w:val="none" w:sz="0" w:space="0" w:color="auto"/>
      </w:divBdr>
    </w:div>
    <w:div w:id="494956855">
      <w:marLeft w:val="0"/>
      <w:marRight w:val="0"/>
      <w:marTop w:val="0"/>
      <w:marBottom w:val="0"/>
      <w:divBdr>
        <w:top w:val="none" w:sz="0" w:space="0" w:color="auto"/>
        <w:left w:val="none" w:sz="0" w:space="0" w:color="auto"/>
        <w:bottom w:val="none" w:sz="0" w:space="0" w:color="auto"/>
        <w:right w:val="none" w:sz="0" w:space="0" w:color="auto"/>
      </w:divBdr>
      <w:divsChild>
        <w:div w:id="76488363">
          <w:marLeft w:val="0"/>
          <w:marRight w:val="0"/>
          <w:marTop w:val="0"/>
          <w:marBottom w:val="0"/>
          <w:divBdr>
            <w:top w:val="none" w:sz="0" w:space="0" w:color="auto"/>
            <w:left w:val="none" w:sz="0" w:space="0" w:color="auto"/>
            <w:bottom w:val="none" w:sz="0" w:space="0" w:color="auto"/>
            <w:right w:val="none" w:sz="0" w:space="0" w:color="auto"/>
          </w:divBdr>
        </w:div>
      </w:divsChild>
    </w:div>
    <w:div w:id="505945721">
      <w:marLeft w:val="0"/>
      <w:marRight w:val="0"/>
      <w:marTop w:val="0"/>
      <w:marBottom w:val="0"/>
      <w:divBdr>
        <w:top w:val="none" w:sz="0" w:space="0" w:color="auto"/>
        <w:left w:val="none" w:sz="0" w:space="0" w:color="auto"/>
        <w:bottom w:val="none" w:sz="0" w:space="0" w:color="auto"/>
        <w:right w:val="none" w:sz="0" w:space="0" w:color="auto"/>
      </w:divBdr>
      <w:divsChild>
        <w:div w:id="1152021156">
          <w:marLeft w:val="0"/>
          <w:marRight w:val="0"/>
          <w:marTop w:val="0"/>
          <w:marBottom w:val="0"/>
          <w:divBdr>
            <w:top w:val="none" w:sz="0" w:space="0" w:color="auto"/>
            <w:left w:val="none" w:sz="0" w:space="0" w:color="auto"/>
            <w:bottom w:val="none" w:sz="0" w:space="0" w:color="auto"/>
            <w:right w:val="none" w:sz="0" w:space="0" w:color="auto"/>
          </w:divBdr>
        </w:div>
      </w:divsChild>
    </w:div>
    <w:div w:id="506528779">
      <w:marLeft w:val="0"/>
      <w:marRight w:val="0"/>
      <w:marTop w:val="180"/>
      <w:marBottom w:val="0"/>
      <w:divBdr>
        <w:top w:val="none" w:sz="0" w:space="0" w:color="auto"/>
        <w:left w:val="none" w:sz="0" w:space="0" w:color="auto"/>
        <w:bottom w:val="none" w:sz="0" w:space="0" w:color="auto"/>
        <w:right w:val="none" w:sz="0" w:space="0" w:color="auto"/>
      </w:divBdr>
    </w:div>
    <w:div w:id="510724881">
      <w:marLeft w:val="0"/>
      <w:marRight w:val="0"/>
      <w:marTop w:val="100"/>
      <w:marBottom w:val="100"/>
      <w:divBdr>
        <w:top w:val="none" w:sz="0" w:space="0" w:color="auto"/>
        <w:left w:val="none" w:sz="0" w:space="0" w:color="auto"/>
        <w:bottom w:val="none" w:sz="0" w:space="0" w:color="auto"/>
        <w:right w:val="none" w:sz="0" w:space="0" w:color="auto"/>
      </w:divBdr>
    </w:div>
    <w:div w:id="512837931">
      <w:marLeft w:val="0"/>
      <w:marRight w:val="0"/>
      <w:marTop w:val="0"/>
      <w:marBottom w:val="180"/>
      <w:divBdr>
        <w:top w:val="none" w:sz="0" w:space="0" w:color="auto"/>
        <w:left w:val="none" w:sz="0" w:space="0" w:color="auto"/>
        <w:bottom w:val="none" w:sz="0" w:space="0" w:color="auto"/>
        <w:right w:val="none" w:sz="0" w:space="0" w:color="auto"/>
      </w:divBdr>
    </w:div>
    <w:div w:id="518155530">
      <w:marLeft w:val="0"/>
      <w:marRight w:val="0"/>
      <w:marTop w:val="0"/>
      <w:marBottom w:val="180"/>
      <w:divBdr>
        <w:top w:val="none" w:sz="0" w:space="0" w:color="auto"/>
        <w:left w:val="none" w:sz="0" w:space="0" w:color="auto"/>
        <w:bottom w:val="none" w:sz="0" w:space="0" w:color="auto"/>
        <w:right w:val="none" w:sz="0" w:space="0" w:color="auto"/>
      </w:divBdr>
    </w:div>
    <w:div w:id="528034757">
      <w:marLeft w:val="0"/>
      <w:marRight w:val="0"/>
      <w:marTop w:val="100"/>
      <w:marBottom w:val="280"/>
      <w:divBdr>
        <w:top w:val="none" w:sz="0" w:space="0" w:color="auto"/>
        <w:left w:val="none" w:sz="0" w:space="0" w:color="auto"/>
        <w:bottom w:val="none" w:sz="0" w:space="0" w:color="auto"/>
        <w:right w:val="none" w:sz="0" w:space="0" w:color="auto"/>
      </w:divBdr>
    </w:div>
    <w:div w:id="528108357">
      <w:marLeft w:val="0"/>
      <w:marRight w:val="0"/>
      <w:marTop w:val="0"/>
      <w:marBottom w:val="0"/>
      <w:divBdr>
        <w:top w:val="none" w:sz="0" w:space="0" w:color="auto"/>
        <w:left w:val="none" w:sz="0" w:space="0" w:color="auto"/>
        <w:bottom w:val="none" w:sz="0" w:space="0" w:color="auto"/>
        <w:right w:val="none" w:sz="0" w:space="0" w:color="auto"/>
      </w:divBdr>
    </w:div>
    <w:div w:id="530267489">
      <w:marLeft w:val="0"/>
      <w:marRight w:val="0"/>
      <w:marTop w:val="0"/>
      <w:marBottom w:val="180"/>
      <w:divBdr>
        <w:top w:val="none" w:sz="0" w:space="0" w:color="auto"/>
        <w:left w:val="none" w:sz="0" w:space="0" w:color="auto"/>
        <w:bottom w:val="none" w:sz="0" w:space="0" w:color="auto"/>
        <w:right w:val="none" w:sz="0" w:space="0" w:color="auto"/>
      </w:divBdr>
    </w:div>
    <w:div w:id="531529041">
      <w:marLeft w:val="0"/>
      <w:marRight w:val="0"/>
      <w:marTop w:val="0"/>
      <w:marBottom w:val="0"/>
      <w:divBdr>
        <w:top w:val="none" w:sz="0" w:space="0" w:color="auto"/>
        <w:left w:val="none" w:sz="0" w:space="0" w:color="auto"/>
        <w:bottom w:val="none" w:sz="0" w:space="0" w:color="auto"/>
        <w:right w:val="none" w:sz="0" w:space="0" w:color="auto"/>
      </w:divBdr>
      <w:divsChild>
        <w:div w:id="2026859492">
          <w:marLeft w:val="0"/>
          <w:marRight w:val="0"/>
          <w:marTop w:val="0"/>
          <w:marBottom w:val="0"/>
          <w:divBdr>
            <w:top w:val="none" w:sz="0" w:space="0" w:color="auto"/>
            <w:left w:val="none" w:sz="0" w:space="0" w:color="auto"/>
            <w:bottom w:val="none" w:sz="0" w:space="0" w:color="auto"/>
            <w:right w:val="none" w:sz="0" w:space="0" w:color="auto"/>
          </w:divBdr>
        </w:div>
      </w:divsChild>
    </w:div>
    <w:div w:id="533730724">
      <w:marLeft w:val="0"/>
      <w:marRight w:val="0"/>
      <w:marTop w:val="0"/>
      <w:marBottom w:val="0"/>
      <w:divBdr>
        <w:top w:val="none" w:sz="0" w:space="0" w:color="auto"/>
        <w:left w:val="none" w:sz="0" w:space="0" w:color="auto"/>
        <w:bottom w:val="none" w:sz="0" w:space="0" w:color="auto"/>
        <w:right w:val="none" w:sz="0" w:space="0" w:color="auto"/>
      </w:divBdr>
    </w:div>
    <w:div w:id="538780751">
      <w:marLeft w:val="0"/>
      <w:marRight w:val="0"/>
      <w:marTop w:val="0"/>
      <w:marBottom w:val="0"/>
      <w:divBdr>
        <w:top w:val="none" w:sz="0" w:space="0" w:color="auto"/>
        <w:left w:val="none" w:sz="0" w:space="0" w:color="auto"/>
        <w:bottom w:val="none" w:sz="0" w:space="0" w:color="auto"/>
        <w:right w:val="none" w:sz="0" w:space="0" w:color="auto"/>
      </w:divBdr>
      <w:divsChild>
        <w:div w:id="2072380394">
          <w:marLeft w:val="0"/>
          <w:marRight w:val="0"/>
          <w:marTop w:val="0"/>
          <w:marBottom w:val="0"/>
          <w:divBdr>
            <w:top w:val="none" w:sz="0" w:space="0" w:color="auto"/>
            <w:left w:val="none" w:sz="0" w:space="0" w:color="auto"/>
            <w:bottom w:val="none" w:sz="0" w:space="0" w:color="auto"/>
            <w:right w:val="none" w:sz="0" w:space="0" w:color="auto"/>
          </w:divBdr>
        </w:div>
      </w:divsChild>
    </w:div>
    <w:div w:id="541944493">
      <w:marLeft w:val="0"/>
      <w:marRight w:val="0"/>
      <w:marTop w:val="0"/>
      <w:marBottom w:val="0"/>
      <w:divBdr>
        <w:top w:val="none" w:sz="0" w:space="0" w:color="auto"/>
        <w:left w:val="none" w:sz="0" w:space="0" w:color="auto"/>
        <w:bottom w:val="none" w:sz="0" w:space="0" w:color="auto"/>
        <w:right w:val="none" w:sz="0" w:space="0" w:color="auto"/>
      </w:divBdr>
    </w:div>
    <w:div w:id="546727121">
      <w:marLeft w:val="0"/>
      <w:marRight w:val="0"/>
      <w:marTop w:val="0"/>
      <w:marBottom w:val="0"/>
      <w:divBdr>
        <w:top w:val="none" w:sz="0" w:space="0" w:color="auto"/>
        <w:left w:val="none" w:sz="0" w:space="0" w:color="auto"/>
        <w:bottom w:val="none" w:sz="0" w:space="0" w:color="auto"/>
        <w:right w:val="none" w:sz="0" w:space="0" w:color="auto"/>
      </w:divBdr>
      <w:divsChild>
        <w:div w:id="1078482577">
          <w:marLeft w:val="0"/>
          <w:marRight w:val="0"/>
          <w:marTop w:val="0"/>
          <w:marBottom w:val="0"/>
          <w:divBdr>
            <w:top w:val="none" w:sz="0" w:space="0" w:color="auto"/>
            <w:left w:val="none" w:sz="0" w:space="0" w:color="auto"/>
            <w:bottom w:val="none" w:sz="0" w:space="0" w:color="auto"/>
            <w:right w:val="none" w:sz="0" w:space="0" w:color="auto"/>
          </w:divBdr>
        </w:div>
      </w:divsChild>
    </w:div>
    <w:div w:id="547255066">
      <w:marLeft w:val="0"/>
      <w:marRight w:val="0"/>
      <w:marTop w:val="0"/>
      <w:marBottom w:val="180"/>
      <w:divBdr>
        <w:top w:val="none" w:sz="0" w:space="0" w:color="auto"/>
        <w:left w:val="none" w:sz="0" w:space="0" w:color="auto"/>
        <w:bottom w:val="none" w:sz="0" w:space="0" w:color="auto"/>
        <w:right w:val="none" w:sz="0" w:space="0" w:color="auto"/>
      </w:divBdr>
    </w:div>
    <w:div w:id="559363615">
      <w:marLeft w:val="0"/>
      <w:marRight w:val="0"/>
      <w:marTop w:val="0"/>
      <w:marBottom w:val="180"/>
      <w:divBdr>
        <w:top w:val="none" w:sz="0" w:space="0" w:color="auto"/>
        <w:left w:val="none" w:sz="0" w:space="0" w:color="auto"/>
        <w:bottom w:val="none" w:sz="0" w:space="0" w:color="auto"/>
        <w:right w:val="none" w:sz="0" w:space="0" w:color="auto"/>
      </w:divBdr>
    </w:div>
    <w:div w:id="559901347">
      <w:marLeft w:val="0"/>
      <w:marRight w:val="0"/>
      <w:marTop w:val="0"/>
      <w:marBottom w:val="0"/>
      <w:divBdr>
        <w:top w:val="none" w:sz="0" w:space="0" w:color="auto"/>
        <w:left w:val="none" w:sz="0" w:space="0" w:color="auto"/>
        <w:bottom w:val="none" w:sz="0" w:space="0" w:color="auto"/>
        <w:right w:val="none" w:sz="0" w:space="0" w:color="auto"/>
      </w:divBdr>
    </w:div>
    <w:div w:id="561911187">
      <w:marLeft w:val="0"/>
      <w:marRight w:val="0"/>
      <w:marTop w:val="0"/>
      <w:marBottom w:val="0"/>
      <w:divBdr>
        <w:top w:val="none" w:sz="0" w:space="0" w:color="auto"/>
        <w:left w:val="none" w:sz="0" w:space="0" w:color="auto"/>
        <w:bottom w:val="none" w:sz="0" w:space="0" w:color="auto"/>
        <w:right w:val="none" w:sz="0" w:space="0" w:color="auto"/>
      </w:divBdr>
    </w:div>
    <w:div w:id="562452444">
      <w:marLeft w:val="0"/>
      <w:marRight w:val="0"/>
      <w:marTop w:val="100"/>
      <w:marBottom w:val="100"/>
      <w:divBdr>
        <w:top w:val="none" w:sz="0" w:space="0" w:color="auto"/>
        <w:left w:val="none" w:sz="0" w:space="0" w:color="auto"/>
        <w:bottom w:val="none" w:sz="0" w:space="0" w:color="auto"/>
        <w:right w:val="none" w:sz="0" w:space="0" w:color="auto"/>
      </w:divBdr>
    </w:div>
    <w:div w:id="566845850">
      <w:marLeft w:val="0"/>
      <w:marRight w:val="0"/>
      <w:marTop w:val="0"/>
      <w:marBottom w:val="0"/>
      <w:divBdr>
        <w:top w:val="none" w:sz="0" w:space="0" w:color="auto"/>
        <w:left w:val="none" w:sz="0" w:space="0" w:color="auto"/>
        <w:bottom w:val="none" w:sz="0" w:space="0" w:color="auto"/>
        <w:right w:val="none" w:sz="0" w:space="0" w:color="auto"/>
      </w:divBdr>
    </w:div>
    <w:div w:id="568269431">
      <w:marLeft w:val="0"/>
      <w:marRight w:val="0"/>
      <w:marTop w:val="0"/>
      <w:marBottom w:val="0"/>
      <w:divBdr>
        <w:top w:val="none" w:sz="0" w:space="0" w:color="auto"/>
        <w:left w:val="none" w:sz="0" w:space="0" w:color="auto"/>
        <w:bottom w:val="none" w:sz="0" w:space="0" w:color="auto"/>
        <w:right w:val="none" w:sz="0" w:space="0" w:color="auto"/>
      </w:divBdr>
    </w:div>
    <w:div w:id="586962026">
      <w:marLeft w:val="0"/>
      <w:marRight w:val="0"/>
      <w:marTop w:val="0"/>
      <w:marBottom w:val="280"/>
      <w:divBdr>
        <w:top w:val="none" w:sz="0" w:space="0" w:color="auto"/>
        <w:left w:val="none" w:sz="0" w:space="0" w:color="auto"/>
        <w:bottom w:val="none" w:sz="0" w:space="0" w:color="auto"/>
        <w:right w:val="none" w:sz="0" w:space="0" w:color="auto"/>
      </w:divBdr>
    </w:div>
    <w:div w:id="595989041">
      <w:marLeft w:val="0"/>
      <w:marRight w:val="0"/>
      <w:marTop w:val="0"/>
      <w:marBottom w:val="0"/>
      <w:divBdr>
        <w:top w:val="none" w:sz="0" w:space="0" w:color="auto"/>
        <w:left w:val="none" w:sz="0" w:space="0" w:color="auto"/>
        <w:bottom w:val="none" w:sz="0" w:space="0" w:color="auto"/>
        <w:right w:val="none" w:sz="0" w:space="0" w:color="auto"/>
      </w:divBdr>
      <w:divsChild>
        <w:div w:id="1275750548">
          <w:marLeft w:val="0"/>
          <w:marRight w:val="0"/>
          <w:marTop w:val="0"/>
          <w:marBottom w:val="0"/>
          <w:divBdr>
            <w:top w:val="none" w:sz="0" w:space="0" w:color="auto"/>
            <w:left w:val="none" w:sz="0" w:space="0" w:color="auto"/>
            <w:bottom w:val="none" w:sz="0" w:space="0" w:color="auto"/>
            <w:right w:val="none" w:sz="0" w:space="0" w:color="auto"/>
          </w:divBdr>
        </w:div>
      </w:divsChild>
    </w:div>
    <w:div w:id="603344911">
      <w:marLeft w:val="0"/>
      <w:marRight w:val="0"/>
      <w:marTop w:val="0"/>
      <w:marBottom w:val="0"/>
      <w:divBdr>
        <w:top w:val="none" w:sz="0" w:space="0" w:color="auto"/>
        <w:left w:val="none" w:sz="0" w:space="0" w:color="auto"/>
        <w:bottom w:val="none" w:sz="0" w:space="0" w:color="auto"/>
        <w:right w:val="none" w:sz="0" w:space="0" w:color="auto"/>
      </w:divBdr>
      <w:divsChild>
        <w:div w:id="1913274603">
          <w:marLeft w:val="0"/>
          <w:marRight w:val="0"/>
          <w:marTop w:val="0"/>
          <w:marBottom w:val="0"/>
          <w:divBdr>
            <w:top w:val="none" w:sz="0" w:space="0" w:color="auto"/>
            <w:left w:val="none" w:sz="0" w:space="0" w:color="auto"/>
            <w:bottom w:val="none" w:sz="0" w:space="0" w:color="auto"/>
            <w:right w:val="none" w:sz="0" w:space="0" w:color="auto"/>
          </w:divBdr>
        </w:div>
      </w:divsChild>
    </w:div>
    <w:div w:id="603611784">
      <w:marLeft w:val="0"/>
      <w:marRight w:val="0"/>
      <w:marTop w:val="0"/>
      <w:marBottom w:val="0"/>
      <w:divBdr>
        <w:top w:val="none" w:sz="0" w:space="0" w:color="auto"/>
        <w:left w:val="none" w:sz="0" w:space="0" w:color="auto"/>
        <w:bottom w:val="none" w:sz="0" w:space="0" w:color="auto"/>
        <w:right w:val="none" w:sz="0" w:space="0" w:color="auto"/>
      </w:divBdr>
      <w:divsChild>
        <w:div w:id="1410074021">
          <w:marLeft w:val="0"/>
          <w:marRight w:val="0"/>
          <w:marTop w:val="0"/>
          <w:marBottom w:val="0"/>
          <w:divBdr>
            <w:top w:val="none" w:sz="0" w:space="0" w:color="auto"/>
            <w:left w:val="none" w:sz="0" w:space="0" w:color="auto"/>
            <w:bottom w:val="none" w:sz="0" w:space="0" w:color="auto"/>
            <w:right w:val="none" w:sz="0" w:space="0" w:color="auto"/>
          </w:divBdr>
        </w:div>
      </w:divsChild>
    </w:div>
    <w:div w:id="606160888">
      <w:marLeft w:val="0"/>
      <w:marRight w:val="0"/>
      <w:marTop w:val="0"/>
      <w:marBottom w:val="0"/>
      <w:divBdr>
        <w:top w:val="none" w:sz="0" w:space="0" w:color="auto"/>
        <w:left w:val="none" w:sz="0" w:space="0" w:color="auto"/>
        <w:bottom w:val="none" w:sz="0" w:space="0" w:color="auto"/>
        <w:right w:val="none" w:sz="0" w:space="0" w:color="auto"/>
      </w:divBdr>
      <w:divsChild>
        <w:div w:id="282426094">
          <w:marLeft w:val="0"/>
          <w:marRight w:val="0"/>
          <w:marTop w:val="0"/>
          <w:marBottom w:val="0"/>
          <w:divBdr>
            <w:top w:val="none" w:sz="0" w:space="0" w:color="auto"/>
            <w:left w:val="none" w:sz="0" w:space="0" w:color="auto"/>
            <w:bottom w:val="none" w:sz="0" w:space="0" w:color="auto"/>
            <w:right w:val="none" w:sz="0" w:space="0" w:color="auto"/>
          </w:divBdr>
        </w:div>
      </w:divsChild>
    </w:div>
    <w:div w:id="607082754">
      <w:marLeft w:val="0"/>
      <w:marRight w:val="0"/>
      <w:marTop w:val="0"/>
      <w:marBottom w:val="0"/>
      <w:divBdr>
        <w:top w:val="none" w:sz="0" w:space="0" w:color="auto"/>
        <w:left w:val="none" w:sz="0" w:space="0" w:color="auto"/>
        <w:bottom w:val="none" w:sz="0" w:space="0" w:color="auto"/>
        <w:right w:val="none" w:sz="0" w:space="0" w:color="auto"/>
      </w:divBdr>
      <w:divsChild>
        <w:div w:id="544564906">
          <w:marLeft w:val="0"/>
          <w:marRight w:val="0"/>
          <w:marTop w:val="0"/>
          <w:marBottom w:val="0"/>
          <w:divBdr>
            <w:top w:val="none" w:sz="0" w:space="0" w:color="auto"/>
            <w:left w:val="none" w:sz="0" w:space="0" w:color="auto"/>
            <w:bottom w:val="none" w:sz="0" w:space="0" w:color="auto"/>
            <w:right w:val="none" w:sz="0" w:space="0" w:color="auto"/>
          </w:divBdr>
        </w:div>
      </w:divsChild>
    </w:div>
    <w:div w:id="607589740">
      <w:marLeft w:val="0"/>
      <w:marRight w:val="0"/>
      <w:marTop w:val="0"/>
      <w:marBottom w:val="0"/>
      <w:divBdr>
        <w:top w:val="none" w:sz="0" w:space="0" w:color="auto"/>
        <w:left w:val="none" w:sz="0" w:space="0" w:color="auto"/>
        <w:bottom w:val="none" w:sz="0" w:space="0" w:color="auto"/>
        <w:right w:val="none" w:sz="0" w:space="0" w:color="auto"/>
      </w:divBdr>
    </w:div>
    <w:div w:id="611597991">
      <w:marLeft w:val="0"/>
      <w:marRight w:val="0"/>
      <w:marTop w:val="100"/>
      <w:marBottom w:val="280"/>
      <w:divBdr>
        <w:top w:val="none" w:sz="0" w:space="0" w:color="auto"/>
        <w:left w:val="none" w:sz="0" w:space="0" w:color="auto"/>
        <w:bottom w:val="none" w:sz="0" w:space="0" w:color="auto"/>
        <w:right w:val="none" w:sz="0" w:space="0" w:color="auto"/>
      </w:divBdr>
    </w:div>
    <w:div w:id="611783613">
      <w:marLeft w:val="0"/>
      <w:marRight w:val="0"/>
      <w:marTop w:val="240"/>
      <w:marBottom w:val="0"/>
      <w:divBdr>
        <w:top w:val="none" w:sz="0" w:space="0" w:color="auto"/>
        <w:left w:val="none" w:sz="0" w:space="0" w:color="auto"/>
        <w:bottom w:val="none" w:sz="0" w:space="0" w:color="auto"/>
        <w:right w:val="none" w:sz="0" w:space="0" w:color="auto"/>
      </w:divBdr>
    </w:div>
    <w:div w:id="615907399">
      <w:marLeft w:val="0"/>
      <w:marRight w:val="0"/>
      <w:marTop w:val="0"/>
      <w:marBottom w:val="0"/>
      <w:divBdr>
        <w:top w:val="none" w:sz="0" w:space="0" w:color="auto"/>
        <w:left w:val="none" w:sz="0" w:space="0" w:color="auto"/>
        <w:bottom w:val="none" w:sz="0" w:space="0" w:color="auto"/>
        <w:right w:val="none" w:sz="0" w:space="0" w:color="auto"/>
      </w:divBdr>
    </w:div>
    <w:div w:id="618688834">
      <w:marLeft w:val="0"/>
      <w:marRight w:val="0"/>
      <w:marTop w:val="0"/>
      <w:marBottom w:val="0"/>
      <w:divBdr>
        <w:top w:val="none" w:sz="0" w:space="0" w:color="auto"/>
        <w:left w:val="none" w:sz="0" w:space="0" w:color="auto"/>
        <w:bottom w:val="none" w:sz="0" w:space="0" w:color="auto"/>
        <w:right w:val="none" w:sz="0" w:space="0" w:color="auto"/>
      </w:divBdr>
      <w:divsChild>
        <w:div w:id="1211915635">
          <w:marLeft w:val="0"/>
          <w:marRight w:val="0"/>
          <w:marTop w:val="0"/>
          <w:marBottom w:val="0"/>
          <w:divBdr>
            <w:top w:val="none" w:sz="0" w:space="0" w:color="auto"/>
            <w:left w:val="none" w:sz="0" w:space="0" w:color="auto"/>
            <w:bottom w:val="none" w:sz="0" w:space="0" w:color="auto"/>
            <w:right w:val="none" w:sz="0" w:space="0" w:color="auto"/>
          </w:divBdr>
        </w:div>
      </w:divsChild>
    </w:div>
    <w:div w:id="633221600">
      <w:marLeft w:val="0"/>
      <w:marRight w:val="0"/>
      <w:marTop w:val="0"/>
      <w:marBottom w:val="0"/>
      <w:divBdr>
        <w:top w:val="none" w:sz="0" w:space="0" w:color="auto"/>
        <w:left w:val="none" w:sz="0" w:space="0" w:color="auto"/>
        <w:bottom w:val="none" w:sz="0" w:space="0" w:color="auto"/>
        <w:right w:val="none" w:sz="0" w:space="0" w:color="auto"/>
      </w:divBdr>
      <w:divsChild>
        <w:div w:id="1946963848">
          <w:marLeft w:val="0"/>
          <w:marRight w:val="0"/>
          <w:marTop w:val="0"/>
          <w:marBottom w:val="0"/>
          <w:divBdr>
            <w:top w:val="none" w:sz="0" w:space="0" w:color="auto"/>
            <w:left w:val="none" w:sz="0" w:space="0" w:color="auto"/>
            <w:bottom w:val="none" w:sz="0" w:space="0" w:color="auto"/>
            <w:right w:val="none" w:sz="0" w:space="0" w:color="auto"/>
          </w:divBdr>
        </w:div>
      </w:divsChild>
    </w:div>
    <w:div w:id="633562620">
      <w:marLeft w:val="0"/>
      <w:marRight w:val="0"/>
      <w:marTop w:val="0"/>
      <w:marBottom w:val="180"/>
      <w:divBdr>
        <w:top w:val="none" w:sz="0" w:space="0" w:color="auto"/>
        <w:left w:val="none" w:sz="0" w:space="0" w:color="auto"/>
        <w:bottom w:val="none" w:sz="0" w:space="0" w:color="auto"/>
        <w:right w:val="none" w:sz="0" w:space="0" w:color="auto"/>
      </w:divBdr>
    </w:div>
    <w:div w:id="640234347">
      <w:marLeft w:val="0"/>
      <w:marRight w:val="0"/>
      <w:marTop w:val="0"/>
      <w:marBottom w:val="0"/>
      <w:divBdr>
        <w:top w:val="none" w:sz="0" w:space="0" w:color="auto"/>
        <w:left w:val="none" w:sz="0" w:space="0" w:color="auto"/>
        <w:bottom w:val="none" w:sz="0" w:space="0" w:color="auto"/>
        <w:right w:val="none" w:sz="0" w:space="0" w:color="auto"/>
      </w:divBdr>
    </w:div>
    <w:div w:id="653265979">
      <w:marLeft w:val="0"/>
      <w:marRight w:val="0"/>
      <w:marTop w:val="0"/>
      <w:marBottom w:val="180"/>
      <w:divBdr>
        <w:top w:val="none" w:sz="0" w:space="0" w:color="auto"/>
        <w:left w:val="none" w:sz="0" w:space="0" w:color="auto"/>
        <w:bottom w:val="none" w:sz="0" w:space="0" w:color="auto"/>
        <w:right w:val="none" w:sz="0" w:space="0" w:color="auto"/>
      </w:divBdr>
    </w:div>
    <w:div w:id="658657828">
      <w:marLeft w:val="0"/>
      <w:marRight w:val="0"/>
      <w:marTop w:val="100"/>
      <w:marBottom w:val="100"/>
      <w:divBdr>
        <w:top w:val="none" w:sz="0" w:space="0" w:color="auto"/>
        <w:left w:val="none" w:sz="0" w:space="0" w:color="auto"/>
        <w:bottom w:val="none" w:sz="0" w:space="0" w:color="auto"/>
        <w:right w:val="none" w:sz="0" w:space="0" w:color="auto"/>
      </w:divBdr>
    </w:div>
    <w:div w:id="659769475">
      <w:marLeft w:val="0"/>
      <w:marRight w:val="0"/>
      <w:marTop w:val="0"/>
      <w:marBottom w:val="0"/>
      <w:divBdr>
        <w:top w:val="none" w:sz="0" w:space="0" w:color="auto"/>
        <w:left w:val="none" w:sz="0" w:space="0" w:color="auto"/>
        <w:bottom w:val="none" w:sz="0" w:space="0" w:color="auto"/>
        <w:right w:val="none" w:sz="0" w:space="0" w:color="auto"/>
      </w:divBdr>
      <w:divsChild>
        <w:div w:id="1099106359">
          <w:marLeft w:val="0"/>
          <w:marRight w:val="0"/>
          <w:marTop w:val="0"/>
          <w:marBottom w:val="0"/>
          <w:divBdr>
            <w:top w:val="none" w:sz="0" w:space="0" w:color="auto"/>
            <w:left w:val="none" w:sz="0" w:space="0" w:color="auto"/>
            <w:bottom w:val="none" w:sz="0" w:space="0" w:color="auto"/>
            <w:right w:val="none" w:sz="0" w:space="0" w:color="auto"/>
          </w:divBdr>
        </w:div>
      </w:divsChild>
    </w:div>
    <w:div w:id="661587912">
      <w:marLeft w:val="0"/>
      <w:marRight w:val="0"/>
      <w:marTop w:val="0"/>
      <w:marBottom w:val="180"/>
      <w:divBdr>
        <w:top w:val="none" w:sz="0" w:space="0" w:color="auto"/>
        <w:left w:val="none" w:sz="0" w:space="0" w:color="auto"/>
        <w:bottom w:val="none" w:sz="0" w:space="0" w:color="auto"/>
        <w:right w:val="none" w:sz="0" w:space="0" w:color="auto"/>
      </w:divBdr>
    </w:div>
    <w:div w:id="664167352">
      <w:marLeft w:val="0"/>
      <w:marRight w:val="0"/>
      <w:marTop w:val="0"/>
      <w:marBottom w:val="0"/>
      <w:divBdr>
        <w:top w:val="none" w:sz="0" w:space="0" w:color="auto"/>
        <w:left w:val="none" w:sz="0" w:space="0" w:color="auto"/>
        <w:bottom w:val="none" w:sz="0" w:space="0" w:color="auto"/>
        <w:right w:val="none" w:sz="0" w:space="0" w:color="auto"/>
      </w:divBdr>
      <w:divsChild>
        <w:div w:id="928079089">
          <w:marLeft w:val="0"/>
          <w:marRight w:val="0"/>
          <w:marTop w:val="0"/>
          <w:marBottom w:val="0"/>
          <w:divBdr>
            <w:top w:val="none" w:sz="0" w:space="0" w:color="auto"/>
            <w:left w:val="none" w:sz="0" w:space="0" w:color="auto"/>
            <w:bottom w:val="none" w:sz="0" w:space="0" w:color="auto"/>
            <w:right w:val="none" w:sz="0" w:space="0" w:color="auto"/>
          </w:divBdr>
          <w:divsChild>
            <w:div w:id="4617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9411">
      <w:marLeft w:val="0"/>
      <w:marRight w:val="0"/>
      <w:marTop w:val="0"/>
      <w:marBottom w:val="0"/>
      <w:divBdr>
        <w:top w:val="none" w:sz="0" w:space="0" w:color="auto"/>
        <w:left w:val="none" w:sz="0" w:space="0" w:color="auto"/>
        <w:bottom w:val="none" w:sz="0" w:space="0" w:color="auto"/>
        <w:right w:val="none" w:sz="0" w:space="0" w:color="auto"/>
      </w:divBdr>
    </w:div>
    <w:div w:id="668557604">
      <w:marLeft w:val="0"/>
      <w:marRight w:val="0"/>
      <w:marTop w:val="0"/>
      <w:marBottom w:val="0"/>
      <w:divBdr>
        <w:top w:val="none" w:sz="0" w:space="0" w:color="auto"/>
        <w:left w:val="none" w:sz="0" w:space="0" w:color="auto"/>
        <w:bottom w:val="none" w:sz="0" w:space="0" w:color="auto"/>
        <w:right w:val="none" w:sz="0" w:space="0" w:color="auto"/>
      </w:divBdr>
    </w:div>
    <w:div w:id="673144331">
      <w:marLeft w:val="0"/>
      <w:marRight w:val="0"/>
      <w:marTop w:val="0"/>
      <w:marBottom w:val="0"/>
      <w:divBdr>
        <w:top w:val="none" w:sz="0" w:space="0" w:color="auto"/>
        <w:left w:val="none" w:sz="0" w:space="0" w:color="auto"/>
        <w:bottom w:val="none" w:sz="0" w:space="0" w:color="auto"/>
        <w:right w:val="none" w:sz="0" w:space="0" w:color="auto"/>
      </w:divBdr>
      <w:divsChild>
        <w:div w:id="735280611">
          <w:marLeft w:val="0"/>
          <w:marRight w:val="0"/>
          <w:marTop w:val="0"/>
          <w:marBottom w:val="0"/>
          <w:divBdr>
            <w:top w:val="none" w:sz="0" w:space="0" w:color="auto"/>
            <w:left w:val="none" w:sz="0" w:space="0" w:color="auto"/>
            <w:bottom w:val="none" w:sz="0" w:space="0" w:color="auto"/>
            <w:right w:val="none" w:sz="0" w:space="0" w:color="auto"/>
          </w:divBdr>
        </w:div>
      </w:divsChild>
    </w:div>
    <w:div w:id="675962725">
      <w:marLeft w:val="0"/>
      <w:marRight w:val="0"/>
      <w:marTop w:val="0"/>
      <w:marBottom w:val="180"/>
      <w:divBdr>
        <w:top w:val="none" w:sz="0" w:space="0" w:color="auto"/>
        <w:left w:val="none" w:sz="0" w:space="0" w:color="auto"/>
        <w:bottom w:val="none" w:sz="0" w:space="0" w:color="auto"/>
        <w:right w:val="none" w:sz="0" w:space="0" w:color="auto"/>
      </w:divBdr>
    </w:div>
    <w:div w:id="676882869">
      <w:marLeft w:val="0"/>
      <w:marRight w:val="0"/>
      <w:marTop w:val="0"/>
      <w:marBottom w:val="180"/>
      <w:divBdr>
        <w:top w:val="none" w:sz="0" w:space="0" w:color="auto"/>
        <w:left w:val="none" w:sz="0" w:space="0" w:color="auto"/>
        <w:bottom w:val="none" w:sz="0" w:space="0" w:color="auto"/>
        <w:right w:val="none" w:sz="0" w:space="0" w:color="auto"/>
      </w:divBdr>
    </w:div>
    <w:div w:id="677929492">
      <w:marLeft w:val="0"/>
      <w:marRight w:val="0"/>
      <w:marTop w:val="0"/>
      <w:marBottom w:val="180"/>
      <w:divBdr>
        <w:top w:val="none" w:sz="0" w:space="0" w:color="auto"/>
        <w:left w:val="none" w:sz="0" w:space="0" w:color="auto"/>
        <w:bottom w:val="none" w:sz="0" w:space="0" w:color="auto"/>
        <w:right w:val="none" w:sz="0" w:space="0" w:color="auto"/>
      </w:divBdr>
    </w:div>
    <w:div w:id="683091226">
      <w:marLeft w:val="0"/>
      <w:marRight w:val="0"/>
      <w:marTop w:val="0"/>
      <w:marBottom w:val="0"/>
      <w:divBdr>
        <w:top w:val="none" w:sz="0" w:space="0" w:color="auto"/>
        <w:left w:val="none" w:sz="0" w:space="0" w:color="auto"/>
        <w:bottom w:val="none" w:sz="0" w:space="0" w:color="auto"/>
        <w:right w:val="none" w:sz="0" w:space="0" w:color="auto"/>
      </w:divBdr>
      <w:divsChild>
        <w:div w:id="1555266723">
          <w:marLeft w:val="0"/>
          <w:marRight w:val="0"/>
          <w:marTop w:val="0"/>
          <w:marBottom w:val="0"/>
          <w:divBdr>
            <w:top w:val="none" w:sz="0" w:space="0" w:color="auto"/>
            <w:left w:val="none" w:sz="0" w:space="0" w:color="auto"/>
            <w:bottom w:val="none" w:sz="0" w:space="0" w:color="auto"/>
            <w:right w:val="none" w:sz="0" w:space="0" w:color="auto"/>
          </w:divBdr>
        </w:div>
      </w:divsChild>
    </w:div>
    <w:div w:id="690180410">
      <w:marLeft w:val="0"/>
      <w:marRight w:val="0"/>
      <w:marTop w:val="100"/>
      <w:marBottom w:val="100"/>
      <w:divBdr>
        <w:top w:val="none" w:sz="0" w:space="0" w:color="auto"/>
        <w:left w:val="none" w:sz="0" w:space="0" w:color="auto"/>
        <w:bottom w:val="none" w:sz="0" w:space="0" w:color="auto"/>
        <w:right w:val="none" w:sz="0" w:space="0" w:color="auto"/>
      </w:divBdr>
    </w:div>
    <w:div w:id="693769667">
      <w:marLeft w:val="0"/>
      <w:marRight w:val="0"/>
      <w:marTop w:val="0"/>
      <w:marBottom w:val="60"/>
      <w:divBdr>
        <w:top w:val="none" w:sz="0" w:space="0" w:color="auto"/>
        <w:left w:val="none" w:sz="0" w:space="0" w:color="auto"/>
        <w:bottom w:val="none" w:sz="0" w:space="0" w:color="auto"/>
        <w:right w:val="none" w:sz="0" w:space="0" w:color="auto"/>
      </w:divBdr>
    </w:div>
    <w:div w:id="697663264">
      <w:marLeft w:val="0"/>
      <w:marRight w:val="0"/>
      <w:marTop w:val="0"/>
      <w:marBottom w:val="0"/>
      <w:divBdr>
        <w:top w:val="none" w:sz="0" w:space="0" w:color="auto"/>
        <w:left w:val="none" w:sz="0" w:space="0" w:color="auto"/>
        <w:bottom w:val="none" w:sz="0" w:space="0" w:color="auto"/>
        <w:right w:val="none" w:sz="0" w:space="0" w:color="auto"/>
      </w:divBdr>
      <w:divsChild>
        <w:div w:id="260376718">
          <w:marLeft w:val="0"/>
          <w:marRight w:val="0"/>
          <w:marTop w:val="0"/>
          <w:marBottom w:val="0"/>
          <w:divBdr>
            <w:top w:val="none" w:sz="0" w:space="0" w:color="auto"/>
            <w:left w:val="none" w:sz="0" w:space="0" w:color="auto"/>
            <w:bottom w:val="none" w:sz="0" w:space="0" w:color="auto"/>
            <w:right w:val="none" w:sz="0" w:space="0" w:color="auto"/>
          </w:divBdr>
        </w:div>
      </w:divsChild>
    </w:div>
    <w:div w:id="698119149">
      <w:marLeft w:val="0"/>
      <w:marRight w:val="0"/>
      <w:marTop w:val="0"/>
      <w:marBottom w:val="180"/>
      <w:divBdr>
        <w:top w:val="none" w:sz="0" w:space="0" w:color="auto"/>
        <w:left w:val="none" w:sz="0" w:space="0" w:color="auto"/>
        <w:bottom w:val="none" w:sz="0" w:space="0" w:color="auto"/>
        <w:right w:val="none" w:sz="0" w:space="0" w:color="auto"/>
      </w:divBdr>
    </w:div>
    <w:div w:id="707920728">
      <w:marLeft w:val="0"/>
      <w:marRight w:val="0"/>
      <w:marTop w:val="0"/>
      <w:marBottom w:val="0"/>
      <w:divBdr>
        <w:top w:val="none" w:sz="0" w:space="0" w:color="auto"/>
        <w:left w:val="none" w:sz="0" w:space="0" w:color="auto"/>
        <w:bottom w:val="none" w:sz="0" w:space="0" w:color="auto"/>
        <w:right w:val="none" w:sz="0" w:space="0" w:color="auto"/>
      </w:divBdr>
    </w:div>
    <w:div w:id="708267080">
      <w:marLeft w:val="0"/>
      <w:marRight w:val="0"/>
      <w:marTop w:val="60"/>
      <w:marBottom w:val="0"/>
      <w:divBdr>
        <w:top w:val="none" w:sz="0" w:space="0" w:color="auto"/>
        <w:left w:val="none" w:sz="0" w:space="0" w:color="auto"/>
        <w:bottom w:val="none" w:sz="0" w:space="0" w:color="auto"/>
        <w:right w:val="none" w:sz="0" w:space="0" w:color="auto"/>
      </w:divBdr>
    </w:div>
    <w:div w:id="708844807">
      <w:marLeft w:val="0"/>
      <w:marRight w:val="0"/>
      <w:marTop w:val="0"/>
      <w:marBottom w:val="120"/>
      <w:divBdr>
        <w:top w:val="none" w:sz="0" w:space="0" w:color="auto"/>
        <w:left w:val="none" w:sz="0" w:space="0" w:color="auto"/>
        <w:bottom w:val="none" w:sz="0" w:space="0" w:color="auto"/>
        <w:right w:val="none" w:sz="0" w:space="0" w:color="auto"/>
      </w:divBdr>
    </w:div>
    <w:div w:id="709573490">
      <w:marLeft w:val="0"/>
      <w:marRight w:val="0"/>
      <w:marTop w:val="0"/>
      <w:marBottom w:val="0"/>
      <w:divBdr>
        <w:top w:val="none" w:sz="0" w:space="0" w:color="auto"/>
        <w:left w:val="none" w:sz="0" w:space="0" w:color="auto"/>
        <w:bottom w:val="none" w:sz="0" w:space="0" w:color="auto"/>
        <w:right w:val="none" w:sz="0" w:space="0" w:color="auto"/>
      </w:divBdr>
    </w:div>
    <w:div w:id="715469120">
      <w:marLeft w:val="0"/>
      <w:marRight w:val="0"/>
      <w:marTop w:val="0"/>
      <w:marBottom w:val="0"/>
      <w:divBdr>
        <w:top w:val="none" w:sz="0" w:space="0" w:color="auto"/>
        <w:left w:val="none" w:sz="0" w:space="0" w:color="auto"/>
        <w:bottom w:val="none" w:sz="0" w:space="0" w:color="auto"/>
        <w:right w:val="none" w:sz="0" w:space="0" w:color="auto"/>
      </w:divBdr>
      <w:divsChild>
        <w:div w:id="308755388">
          <w:marLeft w:val="0"/>
          <w:marRight w:val="0"/>
          <w:marTop w:val="0"/>
          <w:marBottom w:val="0"/>
          <w:divBdr>
            <w:top w:val="none" w:sz="0" w:space="0" w:color="auto"/>
            <w:left w:val="none" w:sz="0" w:space="0" w:color="auto"/>
            <w:bottom w:val="none" w:sz="0" w:space="0" w:color="auto"/>
            <w:right w:val="none" w:sz="0" w:space="0" w:color="auto"/>
          </w:divBdr>
        </w:div>
      </w:divsChild>
    </w:div>
    <w:div w:id="726878959">
      <w:marLeft w:val="0"/>
      <w:marRight w:val="0"/>
      <w:marTop w:val="0"/>
      <w:marBottom w:val="0"/>
      <w:divBdr>
        <w:top w:val="none" w:sz="0" w:space="0" w:color="auto"/>
        <w:left w:val="none" w:sz="0" w:space="0" w:color="auto"/>
        <w:bottom w:val="none" w:sz="0" w:space="0" w:color="auto"/>
        <w:right w:val="none" w:sz="0" w:space="0" w:color="auto"/>
      </w:divBdr>
    </w:div>
    <w:div w:id="727843736">
      <w:marLeft w:val="0"/>
      <w:marRight w:val="0"/>
      <w:marTop w:val="0"/>
      <w:marBottom w:val="280"/>
      <w:divBdr>
        <w:top w:val="none" w:sz="0" w:space="0" w:color="auto"/>
        <w:left w:val="none" w:sz="0" w:space="0" w:color="auto"/>
        <w:bottom w:val="none" w:sz="0" w:space="0" w:color="auto"/>
        <w:right w:val="none" w:sz="0" w:space="0" w:color="auto"/>
      </w:divBdr>
    </w:div>
    <w:div w:id="732314087">
      <w:marLeft w:val="0"/>
      <w:marRight w:val="0"/>
      <w:marTop w:val="0"/>
      <w:marBottom w:val="0"/>
      <w:divBdr>
        <w:top w:val="none" w:sz="0" w:space="0" w:color="auto"/>
        <w:left w:val="none" w:sz="0" w:space="0" w:color="auto"/>
        <w:bottom w:val="none" w:sz="0" w:space="0" w:color="auto"/>
        <w:right w:val="none" w:sz="0" w:space="0" w:color="auto"/>
      </w:divBdr>
    </w:div>
    <w:div w:id="734161794">
      <w:marLeft w:val="0"/>
      <w:marRight w:val="0"/>
      <w:marTop w:val="0"/>
      <w:marBottom w:val="180"/>
      <w:divBdr>
        <w:top w:val="none" w:sz="0" w:space="0" w:color="auto"/>
        <w:left w:val="none" w:sz="0" w:space="0" w:color="auto"/>
        <w:bottom w:val="none" w:sz="0" w:space="0" w:color="auto"/>
        <w:right w:val="none" w:sz="0" w:space="0" w:color="auto"/>
      </w:divBdr>
    </w:div>
    <w:div w:id="734548867">
      <w:marLeft w:val="0"/>
      <w:marRight w:val="0"/>
      <w:marTop w:val="0"/>
      <w:marBottom w:val="0"/>
      <w:divBdr>
        <w:top w:val="none" w:sz="0" w:space="0" w:color="auto"/>
        <w:left w:val="none" w:sz="0" w:space="0" w:color="auto"/>
        <w:bottom w:val="none" w:sz="0" w:space="0" w:color="auto"/>
        <w:right w:val="none" w:sz="0" w:space="0" w:color="auto"/>
      </w:divBdr>
    </w:div>
    <w:div w:id="738133764">
      <w:marLeft w:val="0"/>
      <w:marRight w:val="0"/>
      <w:marTop w:val="0"/>
      <w:marBottom w:val="180"/>
      <w:divBdr>
        <w:top w:val="none" w:sz="0" w:space="0" w:color="auto"/>
        <w:left w:val="none" w:sz="0" w:space="0" w:color="auto"/>
        <w:bottom w:val="none" w:sz="0" w:space="0" w:color="auto"/>
        <w:right w:val="none" w:sz="0" w:space="0" w:color="auto"/>
      </w:divBdr>
    </w:div>
    <w:div w:id="739328419">
      <w:marLeft w:val="0"/>
      <w:marRight w:val="0"/>
      <w:marTop w:val="0"/>
      <w:marBottom w:val="0"/>
      <w:divBdr>
        <w:top w:val="none" w:sz="0" w:space="0" w:color="auto"/>
        <w:left w:val="none" w:sz="0" w:space="0" w:color="auto"/>
        <w:bottom w:val="none" w:sz="0" w:space="0" w:color="auto"/>
        <w:right w:val="none" w:sz="0" w:space="0" w:color="auto"/>
      </w:divBdr>
      <w:divsChild>
        <w:div w:id="2051493938">
          <w:marLeft w:val="0"/>
          <w:marRight w:val="0"/>
          <w:marTop w:val="0"/>
          <w:marBottom w:val="0"/>
          <w:divBdr>
            <w:top w:val="none" w:sz="0" w:space="0" w:color="auto"/>
            <w:left w:val="none" w:sz="0" w:space="0" w:color="auto"/>
            <w:bottom w:val="none" w:sz="0" w:space="0" w:color="auto"/>
            <w:right w:val="none" w:sz="0" w:space="0" w:color="auto"/>
          </w:divBdr>
        </w:div>
      </w:divsChild>
    </w:div>
    <w:div w:id="742727995">
      <w:marLeft w:val="0"/>
      <w:marRight w:val="0"/>
      <w:marTop w:val="0"/>
      <w:marBottom w:val="180"/>
      <w:divBdr>
        <w:top w:val="none" w:sz="0" w:space="0" w:color="auto"/>
        <w:left w:val="none" w:sz="0" w:space="0" w:color="auto"/>
        <w:bottom w:val="none" w:sz="0" w:space="0" w:color="auto"/>
        <w:right w:val="none" w:sz="0" w:space="0" w:color="auto"/>
      </w:divBdr>
    </w:div>
    <w:div w:id="747847436">
      <w:marLeft w:val="0"/>
      <w:marRight w:val="0"/>
      <w:marTop w:val="180"/>
      <w:marBottom w:val="0"/>
      <w:divBdr>
        <w:top w:val="none" w:sz="0" w:space="0" w:color="auto"/>
        <w:left w:val="none" w:sz="0" w:space="0" w:color="auto"/>
        <w:bottom w:val="none" w:sz="0" w:space="0" w:color="auto"/>
        <w:right w:val="none" w:sz="0" w:space="0" w:color="auto"/>
      </w:divBdr>
    </w:div>
    <w:div w:id="770778481">
      <w:marLeft w:val="0"/>
      <w:marRight w:val="0"/>
      <w:marTop w:val="0"/>
      <w:marBottom w:val="320"/>
      <w:divBdr>
        <w:top w:val="none" w:sz="0" w:space="0" w:color="auto"/>
        <w:left w:val="none" w:sz="0" w:space="0" w:color="auto"/>
        <w:bottom w:val="none" w:sz="0" w:space="0" w:color="auto"/>
        <w:right w:val="none" w:sz="0" w:space="0" w:color="auto"/>
      </w:divBdr>
    </w:div>
    <w:div w:id="780808183">
      <w:marLeft w:val="0"/>
      <w:marRight w:val="0"/>
      <w:marTop w:val="100"/>
      <w:marBottom w:val="100"/>
      <w:divBdr>
        <w:top w:val="none" w:sz="0" w:space="0" w:color="auto"/>
        <w:left w:val="none" w:sz="0" w:space="0" w:color="auto"/>
        <w:bottom w:val="none" w:sz="0" w:space="0" w:color="auto"/>
        <w:right w:val="none" w:sz="0" w:space="0" w:color="auto"/>
      </w:divBdr>
      <w:divsChild>
        <w:div w:id="1553690779">
          <w:marLeft w:val="0"/>
          <w:marRight w:val="0"/>
          <w:marTop w:val="0"/>
          <w:marBottom w:val="0"/>
          <w:divBdr>
            <w:top w:val="none" w:sz="0" w:space="0" w:color="auto"/>
            <w:left w:val="none" w:sz="0" w:space="0" w:color="auto"/>
            <w:bottom w:val="none" w:sz="0" w:space="0" w:color="auto"/>
            <w:right w:val="none" w:sz="0" w:space="0" w:color="auto"/>
          </w:divBdr>
        </w:div>
      </w:divsChild>
    </w:div>
    <w:div w:id="805009566">
      <w:marLeft w:val="0"/>
      <w:marRight w:val="0"/>
      <w:marTop w:val="0"/>
      <w:marBottom w:val="280"/>
      <w:divBdr>
        <w:top w:val="none" w:sz="0" w:space="0" w:color="auto"/>
        <w:left w:val="none" w:sz="0" w:space="0" w:color="auto"/>
        <w:bottom w:val="none" w:sz="0" w:space="0" w:color="auto"/>
        <w:right w:val="none" w:sz="0" w:space="0" w:color="auto"/>
      </w:divBdr>
    </w:div>
    <w:div w:id="805195675">
      <w:marLeft w:val="0"/>
      <w:marRight w:val="0"/>
      <w:marTop w:val="0"/>
      <w:marBottom w:val="180"/>
      <w:divBdr>
        <w:top w:val="none" w:sz="0" w:space="0" w:color="auto"/>
        <w:left w:val="none" w:sz="0" w:space="0" w:color="auto"/>
        <w:bottom w:val="none" w:sz="0" w:space="0" w:color="auto"/>
        <w:right w:val="none" w:sz="0" w:space="0" w:color="auto"/>
      </w:divBdr>
    </w:div>
    <w:div w:id="811823788">
      <w:marLeft w:val="0"/>
      <w:marRight w:val="0"/>
      <w:marTop w:val="0"/>
      <w:marBottom w:val="180"/>
      <w:divBdr>
        <w:top w:val="none" w:sz="0" w:space="0" w:color="auto"/>
        <w:left w:val="none" w:sz="0" w:space="0" w:color="auto"/>
        <w:bottom w:val="none" w:sz="0" w:space="0" w:color="auto"/>
        <w:right w:val="none" w:sz="0" w:space="0" w:color="auto"/>
      </w:divBdr>
    </w:div>
    <w:div w:id="812872503">
      <w:marLeft w:val="0"/>
      <w:marRight w:val="0"/>
      <w:marTop w:val="0"/>
      <w:marBottom w:val="0"/>
      <w:divBdr>
        <w:top w:val="none" w:sz="0" w:space="0" w:color="auto"/>
        <w:left w:val="none" w:sz="0" w:space="0" w:color="auto"/>
        <w:bottom w:val="none" w:sz="0" w:space="0" w:color="auto"/>
        <w:right w:val="none" w:sz="0" w:space="0" w:color="auto"/>
      </w:divBdr>
      <w:divsChild>
        <w:div w:id="824316590">
          <w:marLeft w:val="0"/>
          <w:marRight w:val="0"/>
          <w:marTop w:val="0"/>
          <w:marBottom w:val="0"/>
          <w:divBdr>
            <w:top w:val="none" w:sz="0" w:space="0" w:color="auto"/>
            <w:left w:val="none" w:sz="0" w:space="0" w:color="auto"/>
            <w:bottom w:val="none" w:sz="0" w:space="0" w:color="auto"/>
            <w:right w:val="none" w:sz="0" w:space="0" w:color="auto"/>
          </w:divBdr>
        </w:div>
      </w:divsChild>
    </w:div>
    <w:div w:id="816340409">
      <w:marLeft w:val="0"/>
      <w:marRight w:val="0"/>
      <w:marTop w:val="0"/>
      <w:marBottom w:val="0"/>
      <w:divBdr>
        <w:top w:val="none" w:sz="0" w:space="0" w:color="auto"/>
        <w:left w:val="none" w:sz="0" w:space="0" w:color="auto"/>
        <w:bottom w:val="none" w:sz="0" w:space="0" w:color="auto"/>
        <w:right w:val="none" w:sz="0" w:space="0" w:color="auto"/>
      </w:divBdr>
    </w:div>
    <w:div w:id="816798694">
      <w:marLeft w:val="0"/>
      <w:marRight w:val="0"/>
      <w:marTop w:val="120"/>
      <w:marBottom w:val="0"/>
      <w:divBdr>
        <w:top w:val="none" w:sz="0" w:space="0" w:color="auto"/>
        <w:left w:val="none" w:sz="0" w:space="0" w:color="auto"/>
        <w:bottom w:val="none" w:sz="0" w:space="0" w:color="auto"/>
        <w:right w:val="none" w:sz="0" w:space="0" w:color="auto"/>
      </w:divBdr>
    </w:div>
    <w:div w:id="822626634">
      <w:marLeft w:val="0"/>
      <w:marRight w:val="0"/>
      <w:marTop w:val="0"/>
      <w:marBottom w:val="120"/>
      <w:divBdr>
        <w:top w:val="none" w:sz="0" w:space="0" w:color="auto"/>
        <w:left w:val="none" w:sz="0" w:space="0" w:color="auto"/>
        <w:bottom w:val="none" w:sz="0" w:space="0" w:color="auto"/>
        <w:right w:val="none" w:sz="0" w:space="0" w:color="auto"/>
      </w:divBdr>
    </w:div>
    <w:div w:id="827328317">
      <w:marLeft w:val="0"/>
      <w:marRight w:val="0"/>
      <w:marTop w:val="0"/>
      <w:marBottom w:val="0"/>
      <w:divBdr>
        <w:top w:val="none" w:sz="0" w:space="0" w:color="auto"/>
        <w:left w:val="none" w:sz="0" w:space="0" w:color="auto"/>
        <w:bottom w:val="none" w:sz="0" w:space="0" w:color="auto"/>
        <w:right w:val="none" w:sz="0" w:space="0" w:color="auto"/>
      </w:divBdr>
    </w:div>
    <w:div w:id="829366994">
      <w:marLeft w:val="0"/>
      <w:marRight w:val="0"/>
      <w:marTop w:val="0"/>
      <w:marBottom w:val="0"/>
      <w:divBdr>
        <w:top w:val="none" w:sz="0" w:space="0" w:color="auto"/>
        <w:left w:val="none" w:sz="0" w:space="0" w:color="auto"/>
        <w:bottom w:val="none" w:sz="0" w:space="0" w:color="auto"/>
        <w:right w:val="none" w:sz="0" w:space="0" w:color="auto"/>
      </w:divBdr>
      <w:divsChild>
        <w:div w:id="1223712139">
          <w:marLeft w:val="0"/>
          <w:marRight w:val="0"/>
          <w:marTop w:val="0"/>
          <w:marBottom w:val="0"/>
          <w:divBdr>
            <w:top w:val="none" w:sz="0" w:space="0" w:color="auto"/>
            <w:left w:val="none" w:sz="0" w:space="0" w:color="auto"/>
            <w:bottom w:val="none" w:sz="0" w:space="0" w:color="auto"/>
            <w:right w:val="none" w:sz="0" w:space="0" w:color="auto"/>
          </w:divBdr>
        </w:div>
      </w:divsChild>
    </w:div>
    <w:div w:id="833451671">
      <w:marLeft w:val="0"/>
      <w:marRight w:val="0"/>
      <w:marTop w:val="0"/>
      <w:marBottom w:val="0"/>
      <w:divBdr>
        <w:top w:val="none" w:sz="0" w:space="0" w:color="auto"/>
        <w:left w:val="none" w:sz="0" w:space="0" w:color="auto"/>
        <w:bottom w:val="none" w:sz="0" w:space="0" w:color="auto"/>
        <w:right w:val="none" w:sz="0" w:space="0" w:color="auto"/>
      </w:divBdr>
    </w:div>
    <w:div w:id="857504095">
      <w:marLeft w:val="0"/>
      <w:marRight w:val="0"/>
      <w:marTop w:val="0"/>
      <w:marBottom w:val="180"/>
      <w:divBdr>
        <w:top w:val="none" w:sz="0" w:space="0" w:color="auto"/>
        <w:left w:val="none" w:sz="0" w:space="0" w:color="auto"/>
        <w:bottom w:val="none" w:sz="0" w:space="0" w:color="auto"/>
        <w:right w:val="none" w:sz="0" w:space="0" w:color="auto"/>
      </w:divBdr>
    </w:div>
    <w:div w:id="868031182">
      <w:marLeft w:val="0"/>
      <w:marRight w:val="0"/>
      <w:marTop w:val="0"/>
      <w:marBottom w:val="0"/>
      <w:divBdr>
        <w:top w:val="none" w:sz="0" w:space="0" w:color="auto"/>
        <w:left w:val="none" w:sz="0" w:space="0" w:color="auto"/>
        <w:bottom w:val="none" w:sz="0" w:space="0" w:color="auto"/>
        <w:right w:val="none" w:sz="0" w:space="0" w:color="auto"/>
      </w:divBdr>
    </w:div>
    <w:div w:id="872881518">
      <w:marLeft w:val="0"/>
      <w:marRight w:val="0"/>
      <w:marTop w:val="0"/>
      <w:marBottom w:val="180"/>
      <w:divBdr>
        <w:top w:val="none" w:sz="0" w:space="0" w:color="auto"/>
        <w:left w:val="none" w:sz="0" w:space="0" w:color="auto"/>
        <w:bottom w:val="none" w:sz="0" w:space="0" w:color="auto"/>
        <w:right w:val="none" w:sz="0" w:space="0" w:color="auto"/>
      </w:divBdr>
    </w:div>
    <w:div w:id="884415475">
      <w:marLeft w:val="0"/>
      <w:marRight w:val="0"/>
      <w:marTop w:val="100"/>
      <w:marBottom w:val="280"/>
      <w:divBdr>
        <w:top w:val="none" w:sz="0" w:space="0" w:color="auto"/>
        <w:left w:val="none" w:sz="0" w:space="0" w:color="auto"/>
        <w:bottom w:val="none" w:sz="0" w:space="0" w:color="auto"/>
        <w:right w:val="none" w:sz="0" w:space="0" w:color="auto"/>
      </w:divBdr>
    </w:div>
    <w:div w:id="889725401">
      <w:marLeft w:val="0"/>
      <w:marRight w:val="0"/>
      <w:marTop w:val="0"/>
      <w:marBottom w:val="0"/>
      <w:divBdr>
        <w:top w:val="none" w:sz="0" w:space="0" w:color="auto"/>
        <w:left w:val="none" w:sz="0" w:space="0" w:color="auto"/>
        <w:bottom w:val="none" w:sz="0" w:space="0" w:color="auto"/>
        <w:right w:val="none" w:sz="0" w:space="0" w:color="auto"/>
      </w:divBdr>
    </w:div>
    <w:div w:id="893468075">
      <w:marLeft w:val="0"/>
      <w:marRight w:val="0"/>
      <w:marTop w:val="0"/>
      <w:marBottom w:val="180"/>
      <w:divBdr>
        <w:top w:val="none" w:sz="0" w:space="0" w:color="auto"/>
        <w:left w:val="none" w:sz="0" w:space="0" w:color="auto"/>
        <w:bottom w:val="none" w:sz="0" w:space="0" w:color="auto"/>
        <w:right w:val="none" w:sz="0" w:space="0" w:color="auto"/>
      </w:divBdr>
    </w:div>
    <w:div w:id="896084404">
      <w:marLeft w:val="0"/>
      <w:marRight w:val="0"/>
      <w:marTop w:val="0"/>
      <w:marBottom w:val="0"/>
      <w:divBdr>
        <w:top w:val="none" w:sz="0" w:space="0" w:color="auto"/>
        <w:left w:val="none" w:sz="0" w:space="0" w:color="auto"/>
        <w:bottom w:val="none" w:sz="0" w:space="0" w:color="auto"/>
        <w:right w:val="none" w:sz="0" w:space="0" w:color="auto"/>
      </w:divBdr>
    </w:div>
    <w:div w:id="917599387">
      <w:marLeft w:val="0"/>
      <w:marRight w:val="0"/>
      <w:marTop w:val="0"/>
      <w:marBottom w:val="0"/>
      <w:divBdr>
        <w:top w:val="none" w:sz="0" w:space="0" w:color="auto"/>
        <w:left w:val="none" w:sz="0" w:space="0" w:color="auto"/>
        <w:bottom w:val="none" w:sz="0" w:space="0" w:color="auto"/>
        <w:right w:val="none" w:sz="0" w:space="0" w:color="auto"/>
      </w:divBdr>
    </w:div>
    <w:div w:id="921570556">
      <w:marLeft w:val="0"/>
      <w:marRight w:val="0"/>
      <w:marTop w:val="0"/>
      <w:marBottom w:val="160"/>
      <w:divBdr>
        <w:top w:val="none" w:sz="0" w:space="0" w:color="auto"/>
        <w:left w:val="none" w:sz="0" w:space="0" w:color="auto"/>
        <w:bottom w:val="none" w:sz="0" w:space="0" w:color="auto"/>
        <w:right w:val="none" w:sz="0" w:space="0" w:color="auto"/>
      </w:divBdr>
    </w:div>
    <w:div w:id="925765099">
      <w:marLeft w:val="0"/>
      <w:marRight w:val="0"/>
      <w:marTop w:val="0"/>
      <w:marBottom w:val="180"/>
      <w:divBdr>
        <w:top w:val="none" w:sz="0" w:space="0" w:color="auto"/>
        <w:left w:val="none" w:sz="0" w:space="0" w:color="auto"/>
        <w:bottom w:val="none" w:sz="0" w:space="0" w:color="auto"/>
        <w:right w:val="none" w:sz="0" w:space="0" w:color="auto"/>
      </w:divBdr>
    </w:div>
    <w:div w:id="932207132">
      <w:marLeft w:val="0"/>
      <w:marRight w:val="0"/>
      <w:marTop w:val="0"/>
      <w:marBottom w:val="180"/>
      <w:divBdr>
        <w:top w:val="none" w:sz="0" w:space="0" w:color="auto"/>
        <w:left w:val="none" w:sz="0" w:space="0" w:color="auto"/>
        <w:bottom w:val="none" w:sz="0" w:space="0" w:color="auto"/>
        <w:right w:val="none" w:sz="0" w:space="0" w:color="auto"/>
      </w:divBdr>
    </w:div>
    <w:div w:id="935288672">
      <w:marLeft w:val="0"/>
      <w:marRight w:val="0"/>
      <w:marTop w:val="0"/>
      <w:marBottom w:val="180"/>
      <w:divBdr>
        <w:top w:val="none" w:sz="0" w:space="0" w:color="auto"/>
        <w:left w:val="none" w:sz="0" w:space="0" w:color="auto"/>
        <w:bottom w:val="none" w:sz="0" w:space="0" w:color="auto"/>
        <w:right w:val="none" w:sz="0" w:space="0" w:color="auto"/>
      </w:divBdr>
    </w:div>
    <w:div w:id="937131991">
      <w:marLeft w:val="0"/>
      <w:marRight w:val="0"/>
      <w:marTop w:val="120"/>
      <w:marBottom w:val="0"/>
      <w:divBdr>
        <w:top w:val="none" w:sz="0" w:space="0" w:color="auto"/>
        <w:left w:val="none" w:sz="0" w:space="0" w:color="auto"/>
        <w:bottom w:val="none" w:sz="0" w:space="0" w:color="auto"/>
        <w:right w:val="none" w:sz="0" w:space="0" w:color="auto"/>
      </w:divBdr>
    </w:div>
    <w:div w:id="945891827">
      <w:marLeft w:val="0"/>
      <w:marRight w:val="0"/>
      <w:marTop w:val="0"/>
      <w:marBottom w:val="0"/>
      <w:divBdr>
        <w:top w:val="none" w:sz="0" w:space="0" w:color="auto"/>
        <w:left w:val="none" w:sz="0" w:space="0" w:color="auto"/>
        <w:bottom w:val="none" w:sz="0" w:space="0" w:color="auto"/>
        <w:right w:val="none" w:sz="0" w:space="0" w:color="auto"/>
      </w:divBdr>
    </w:div>
    <w:div w:id="949703706">
      <w:marLeft w:val="0"/>
      <w:marRight w:val="0"/>
      <w:marTop w:val="100"/>
      <w:marBottom w:val="100"/>
      <w:divBdr>
        <w:top w:val="none" w:sz="0" w:space="0" w:color="auto"/>
        <w:left w:val="none" w:sz="0" w:space="0" w:color="auto"/>
        <w:bottom w:val="none" w:sz="0" w:space="0" w:color="auto"/>
        <w:right w:val="none" w:sz="0" w:space="0" w:color="auto"/>
      </w:divBdr>
    </w:div>
    <w:div w:id="955720510">
      <w:marLeft w:val="0"/>
      <w:marRight w:val="0"/>
      <w:marTop w:val="0"/>
      <w:marBottom w:val="0"/>
      <w:divBdr>
        <w:top w:val="none" w:sz="0" w:space="0" w:color="auto"/>
        <w:left w:val="none" w:sz="0" w:space="0" w:color="auto"/>
        <w:bottom w:val="none" w:sz="0" w:space="0" w:color="auto"/>
        <w:right w:val="none" w:sz="0" w:space="0" w:color="auto"/>
      </w:divBdr>
    </w:div>
    <w:div w:id="960454211">
      <w:marLeft w:val="0"/>
      <w:marRight w:val="0"/>
      <w:marTop w:val="0"/>
      <w:marBottom w:val="320"/>
      <w:divBdr>
        <w:top w:val="none" w:sz="0" w:space="0" w:color="auto"/>
        <w:left w:val="none" w:sz="0" w:space="0" w:color="auto"/>
        <w:bottom w:val="none" w:sz="0" w:space="0" w:color="auto"/>
        <w:right w:val="none" w:sz="0" w:space="0" w:color="auto"/>
      </w:divBdr>
    </w:div>
    <w:div w:id="960650993">
      <w:marLeft w:val="0"/>
      <w:marRight w:val="0"/>
      <w:marTop w:val="0"/>
      <w:marBottom w:val="0"/>
      <w:divBdr>
        <w:top w:val="none" w:sz="0" w:space="0" w:color="auto"/>
        <w:left w:val="none" w:sz="0" w:space="0" w:color="auto"/>
        <w:bottom w:val="none" w:sz="0" w:space="0" w:color="auto"/>
        <w:right w:val="none" w:sz="0" w:space="0" w:color="auto"/>
      </w:divBdr>
    </w:div>
    <w:div w:id="975065483">
      <w:marLeft w:val="0"/>
      <w:marRight w:val="0"/>
      <w:marTop w:val="0"/>
      <w:marBottom w:val="280"/>
      <w:divBdr>
        <w:top w:val="none" w:sz="0" w:space="0" w:color="auto"/>
        <w:left w:val="none" w:sz="0" w:space="0" w:color="auto"/>
        <w:bottom w:val="none" w:sz="0" w:space="0" w:color="auto"/>
        <w:right w:val="none" w:sz="0" w:space="0" w:color="auto"/>
      </w:divBdr>
    </w:div>
    <w:div w:id="980110063">
      <w:marLeft w:val="0"/>
      <w:marRight w:val="0"/>
      <w:marTop w:val="0"/>
      <w:marBottom w:val="0"/>
      <w:divBdr>
        <w:top w:val="none" w:sz="0" w:space="0" w:color="auto"/>
        <w:left w:val="none" w:sz="0" w:space="0" w:color="auto"/>
        <w:bottom w:val="none" w:sz="0" w:space="0" w:color="auto"/>
        <w:right w:val="none" w:sz="0" w:space="0" w:color="auto"/>
      </w:divBdr>
      <w:divsChild>
        <w:div w:id="1773477118">
          <w:marLeft w:val="0"/>
          <w:marRight w:val="0"/>
          <w:marTop w:val="0"/>
          <w:marBottom w:val="0"/>
          <w:divBdr>
            <w:top w:val="none" w:sz="0" w:space="0" w:color="auto"/>
            <w:left w:val="none" w:sz="0" w:space="0" w:color="auto"/>
            <w:bottom w:val="none" w:sz="0" w:space="0" w:color="auto"/>
            <w:right w:val="none" w:sz="0" w:space="0" w:color="auto"/>
          </w:divBdr>
        </w:div>
      </w:divsChild>
    </w:div>
    <w:div w:id="995916836">
      <w:marLeft w:val="0"/>
      <w:marRight w:val="0"/>
      <w:marTop w:val="0"/>
      <w:marBottom w:val="0"/>
      <w:divBdr>
        <w:top w:val="none" w:sz="0" w:space="0" w:color="auto"/>
        <w:left w:val="none" w:sz="0" w:space="0" w:color="auto"/>
        <w:bottom w:val="none" w:sz="0" w:space="0" w:color="auto"/>
        <w:right w:val="none" w:sz="0" w:space="0" w:color="auto"/>
      </w:divBdr>
    </w:div>
    <w:div w:id="1007905487">
      <w:marLeft w:val="0"/>
      <w:marRight w:val="0"/>
      <w:marTop w:val="100"/>
      <w:marBottom w:val="100"/>
      <w:divBdr>
        <w:top w:val="none" w:sz="0" w:space="0" w:color="auto"/>
        <w:left w:val="none" w:sz="0" w:space="0" w:color="auto"/>
        <w:bottom w:val="none" w:sz="0" w:space="0" w:color="auto"/>
        <w:right w:val="none" w:sz="0" w:space="0" w:color="auto"/>
      </w:divBdr>
    </w:div>
    <w:div w:id="1010527701">
      <w:marLeft w:val="0"/>
      <w:marRight w:val="0"/>
      <w:marTop w:val="0"/>
      <w:marBottom w:val="180"/>
      <w:divBdr>
        <w:top w:val="none" w:sz="0" w:space="0" w:color="auto"/>
        <w:left w:val="none" w:sz="0" w:space="0" w:color="auto"/>
        <w:bottom w:val="none" w:sz="0" w:space="0" w:color="auto"/>
        <w:right w:val="none" w:sz="0" w:space="0" w:color="auto"/>
      </w:divBdr>
    </w:div>
    <w:div w:id="1014108029">
      <w:marLeft w:val="0"/>
      <w:marRight w:val="0"/>
      <w:marTop w:val="0"/>
      <w:marBottom w:val="0"/>
      <w:divBdr>
        <w:top w:val="none" w:sz="0" w:space="0" w:color="auto"/>
        <w:left w:val="none" w:sz="0" w:space="0" w:color="auto"/>
        <w:bottom w:val="none" w:sz="0" w:space="0" w:color="auto"/>
        <w:right w:val="none" w:sz="0" w:space="0" w:color="auto"/>
      </w:divBdr>
      <w:divsChild>
        <w:div w:id="1015766214">
          <w:marLeft w:val="0"/>
          <w:marRight w:val="0"/>
          <w:marTop w:val="0"/>
          <w:marBottom w:val="0"/>
          <w:divBdr>
            <w:top w:val="none" w:sz="0" w:space="0" w:color="auto"/>
            <w:left w:val="none" w:sz="0" w:space="0" w:color="auto"/>
            <w:bottom w:val="none" w:sz="0" w:space="0" w:color="auto"/>
            <w:right w:val="none" w:sz="0" w:space="0" w:color="auto"/>
          </w:divBdr>
        </w:div>
      </w:divsChild>
    </w:div>
    <w:div w:id="1028261935">
      <w:marLeft w:val="0"/>
      <w:marRight w:val="0"/>
      <w:marTop w:val="0"/>
      <w:marBottom w:val="180"/>
      <w:divBdr>
        <w:top w:val="none" w:sz="0" w:space="0" w:color="auto"/>
        <w:left w:val="none" w:sz="0" w:space="0" w:color="auto"/>
        <w:bottom w:val="none" w:sz="0" w:space="0" w:color="auto"/>
        <w:right w:val="none" w:sz="0" w:space="0" w:color="auto"/>
      </w:divBdr>
    </w:div>
    <w:div w:id="1028414553">
      <w:marLeft w:val="0"/>
      <w:marRight w:val="0"/>
      <w:marTop w:val="0"/>
      <w:marBottom w:val="160"/>
      <w:divBdr>
        <w:top w:val="none" w:sz="0" w:space="0" w:color="auto"/>
        <w:left w:val="none" w:sz="0" w:space="0" w:color="auto"/>
        <w:bottom w:val="none" w:sz="0" w:space="0" w:color="auto"/>
        <w:right w:val="none" w:sz="0" w:space="0" w:color="auto"/>
      </w:divBdr>
    </w:div>
    <w:div w:id="1029067266">
      <w:marLeft w:val="0"/>
      <w:marRight w:val="0"/>
      <w:marTop w:val="0"/>
      <w:marBottom w:val="0"/>
      <w:divBdr>
        <w:top w:val="none" w:sz="0" w:space="0" w:color="auto"/>
        <w:left w:val="none" w:sz="0" w:space="0" w:color="auto"/>
        <w:bottom w:val="none" w:sz="0" w:space="0" w:color="auto"/>
        <w:right w:val="none" w:sz="0" w:space="0" w:color="auto"/>
      </w:divBdr>
      <w:divsChild>
        <w:div w:id="899633663">
          <w:marLeft w:val="0"/>
          <w:marRight w:val="0"/>
          <w:marTop w:val="0"/>
          <w:marBottom w:val="0"/>
          <w:divBdr>
            <w:top w:val="none" w:sz="0" w:space="0" w:color="auto"/>
            <w:left w:val="none" w:sz="0" w:space="0" w:color="auto"/>
            <w:bottom w:val="none" w:sz="0" w:space="0" w:color="auto"/>
            <w:right w:val="none" w:sz="0" w:space="0" w:color="auto"/>
          </w:divBdr>
        </w:div>
      </w:divsChild>
    </w:div>
    <w:div w:id="1030105429">
      <w:marLeft w:val="0"/>
      <w:marRight w:val="0"/>
      <w:marTop w:val="0"/>
      <w:marBottom w:val="0"/>
      <w:divBdr>
        <w:top w:val="none" w:sz="0" w:space="0" w:color="auto"/>
        <w:left w:val="none" w:sz="0" w:space="0" w:color="auto"/>
        <w:bottom w:val="none" w:sz="0" w:space="0" w:color="auto"/>
        <w:right w:val="none" w:sz="0" w:space="0" w:color="auto"/>
      </w:divBdr>
    </w:div>
    <w:div w:id="1031026916">
      <w:marLeft w:val="0"/>
      <w:marRight w:val="0"/>
      <w:marTop w:val="0"/>
      <w:marBottom w:val="180"/>
      <w:divBdr>
        <w:top w:val="none" w:sz="0" w:space="0" w:color="auto"/>
        <w:left w:val="none" w:sz="0" w:space="0" w:color="auto"/>
        <w:bottom w:val="none" w:sz="0" w:space="0" w:color="auto"/>
        <w:right w:val="none" w:sz="0" w:space="0" w:color="auto"/>
      </w:divBdr>
    </w:div>
    <w:div w:id="1038966272">
      <w:marLeft w:val="0"/>
      <w:marRight w:val="0"/>
      <w:marTop w:val="0"/>
      <w:marBottom w:val="120"/>
      <w:divBdr>
        <w:top w:val="none" w:sz="0" w:space="0" w:color="auto"/>
        <w:left w:val="none" w:sz="0" w:space="0" w:color="auto"/>
        <w:bottom w:val="none" w:sz="0" w:space="0" w:color="auto"/>
        <w:right w:val="none" w:sz="0" w:space="0" w:color="auto"/>
      </w:divBdr>
    </w:div>
    <w:div w:id="1039472737">
      <w:marLeft w:val="0"/>
      <w:marRight w:val="0"/>
      <w:marTop w:val="0"/>
      <w:marBottom w:val="0"/>
      <w:divBdr>
        <w:top w:val="none" w:sz="0" w:space="0" w:color="auto"/>
        <w:left w:val="none" w:sz="0" w:space="0" w:color="auto"/>
        <w:bottom w:val="none" w:sz="0" w:space="0" w:color="auto"/>
        <w:right w:val="none" w:sz="0" w:space="0" w:color="auto"/>
      </w:divBdr>
    </w:div>
    <w:div w:id="1046880048">
      <w:marLeft w:val="0"/>
      <w:marRight w:val="0"/>
      <w:marTop w:val="0"/>
      <w:marBottom w:val="0"/>
      <w:divBdr>
        <w:top w:val="none" w:sz="0" w:space="0" w:color="auto"/>
        <w:left w:val="none" w:sz="0" w:space="0" w:color="auto"/>
        <w:bottom w:val="none" w:sz="0" w:space="0" w:color="auto"/>
        <w:right w:val="none" w:sz="0" w:space="0" w:color="auto"/>
      </w:divBdr>
    </w:div>
    <w:div w:id="1049300441">
      <w:marLeft w:val="0"/>
      <w:marRight w:val="0"/>
      <w:marTop w:val="0"/>
      <w:marBottom w:val="180"/>
      <w:divBdr>
        <w:top w:val="none" w:sz="0" w:space="0" w:color="auto"/>
        <w:left w:val="none" w:sz="0" w:space="0" w:color="auto"/>
        <w:bottom w:val="none" w:sz="0" w:space="0" w:color="auto"/>
        <w:right w:val="none" w:sz="0" w:space="0" w:color="auto"/>
      </w:divBdr>
    </w:div>
    <w:div w:id="1051806836">
      <w:marLeft w:val="0"/>
      <w:marRight w:val="0"/>
      <w:marTop w:val="0"/>
      <w:marBottom w:val="0"/>
      <w:divBdr>
        <w:top w:val="none" w:sz="0" w:space="0" w:color="auto"/>
        <w:left w:val="none" w:sz="0" w:space="0" w:color="auto"/>
        <w:bottom w:val="none" w:sz="0" w:space="0" w:color="auto"/>
        <w:right w:val="none" w:sz="0" w:space="0" w:color="auto"/>
      </w:divBdr>
    </w:div>
    <w:div w:id="1058162210">
      <w:marLeft w:val="0"/>
      <w:marRight w:val="0"/>
      <w:marTop w:val="0"/>
      <w:marBottom w:val="180"/>
      <w:divBdr>
        <w:top w:val="none" w:sz="0" w:space="0" w:color="auto"/>
        <w:left w:val="none" w:sz="0" w:space="0" w:color="auto"/>
        <w:bottom w:val="none" w:sz="0" w:space="0" w:color="auto"/>
        <w:right w:val="none" w:sz="0" w:space="0" w:color="auto"/>
      </w:divBdr>
    </w:div>
    <w:div w:id="1058668915">
      <w:marLeft w:val="0"/>
      <w:marRight w:val="0"/>
      <w:marTop w:val="100"/>
      <w:marBottom w:val="0"/>
      <w:divBdr>
        <w:top w:val="none" w:sz="0" w:space="0" w:color="auto"/>
        <w:left w:val="none" w:sz="0" w:space="0" w:color="auto"/>
        <w:bottom w:val="none" w:sz="0" w:space="0" w:color="auto"/>
        <w:right w:val="none" w:sz="0" w:space="0" w:color="auto"/>
      </w:divBdr>
      <w:divsChild>
        <w:div w:id="1585215581">
          <w:marLeft w:val="0"/>
          <w:marRight w:val="0"/>
          <w:marTop w:val="0"/>
          <w:marBottom w:val="0"/>
          <w:divBdr>
            <w:top w:val="none" w:sz="0" w:space="0" w:color="auto"/>
            <w:left w:val="none" w:sz="0" w:space="0" w:color="auto"/>
            <w:bottom w:val="none" w:sz="0" w:space="0" w:color="auto"/>
            <w:right w:val="none" w:sz="0" w:space="0" w:color="auto"/>
          </w:divBdr>
        </w:div>
      </w:divsChild>
    </w:div>
    <w:div w:id="1060905460">
      <w:marLeft w:val="0"/>
      <w:marRight w:val="0"/>
      <w:marTop w:val="0"/>
      <w:marBottom w:val="0"/>
      <w:divBdr>
        <w:top w:val="none" w:sz="0" w:space="0" w:color="auto"/>
        <w:left w:val="none" w:sz="0" w:space="0" w:color="auto"/>
        <w:bottom w:val="none" w:sz="0" w:space="0" w:color="auto"/>
        <w:right w:val="none" w:sz="0" w:space="0" w:color="auto"/>
      </w:divBdr>
      <w:divsChild>
        <w:div w:id="712657073">
          <w:marLeft w:val="0"/>
          <w:marRight w:val="0"/>
          <w:marTop w:val="0"/>
          <w:marBottom w:val="0"/>
          <w:divBdr>
            <w:top w:val="none" w:sz="0" w:space="0" w:color="auto"/>
            <w:left w:val="none" w:sz="0" w:space="0" w:color="auto"/>
            <w:bottom w:val="none" w:sz="0" w:space="0" w:color="auto"/>
            <w:right w:val="none" w:sz="0" w:space="0" w:color="auto"/>
          </w:divBdr>
        </w:div>
      </w:divsChild>
    </w:div>
    <w:div w:id="1066999556">
      <w:marLeft w:val="0"/>
      <w:marRight w:val="0"/>
      <w:marTop w:val="0"/>
      <w:marBottom w:val="0"/>
      <w:divBdr>
        <w:top w:val="none" w:sz="0" w:space="0" w:color="auto"/>
        <w:left w:val="none" w:sz="0" w:space="0" w:color="auto"/>
        <w:bottom w:val="none" w:sz="0" w:space="0" w:color="auto"/>
        <w:right w:val="none" w:sz="0" w:space="0" w:color="auto"/>
      </w:divBdr>
    </w:div>
    <w:div w:id="1071003656">
      <w:marLeft w:val="0"/>
      <w:marRight w:val="0"/>
      <w:marTop w:val="0"/>
      <w:marBottom w:val="0"/>
      <w:divBdr>
        <w:top w:val="none" w:sz="0" w:space="0" w:color="auto"/>
        <w:left w:val="none" w:sz="0" w:space="0" w:color="auto"/>
        <w:bottom w:val="none" w:sz="0" w:space="0" w:color="auto"/>
        <w:right w:val="none" w:sz="0" w:space="0" w:color="auto"/>
      </w:divBdr>
      <w:divsChild>
        <w:div w:id="821198608">
          <w:marLeft w:val="0"/>
          <w:marRight w:val="0"/>
          <w:marTop w:val="0"/>
          <w:marBottom w:val="0"/>
          <w:divBdr>
            <w:top w:val="none" w:sz="0" w:space="0" w:color="auto"/>
            <w:left w:val="none" w:sz="0" w:space="0" w:color="auto"/>
            <w:bottom w:val="none" w:sz="0" w:space="0" w:color="auto"/>
            <w:right w:val="none" w:sz="0" w:space="0" w:color="auto"/>
          </w:divBdr>
        </w:div>
      </w:divsChild>
    </w:div>
    <w:div w:id="1073087908">
      <w:marLeft w:val="0"/>
      <w:marRight w:val="0"/>
      <w:marTop w:val="0"/>
      <w:marBottom w:val="0"/>
      <w:divBdr>
        <w:top w:val="none" w:sz="0" w:space="0" w:color="auto"/>
        <w:left w:val="none" w:sz="0" w:space="0" w:color="auto"/>
        <w:bottom w:val="none" w:sz="0" w:space="0" w:color="auto"/>
        <w:right w:val="none" w:sz="0" w:space="0" w:color="auto"/>
      </w:divBdr>
      <w:divsChild>
        <w:div w:id="1158036556">
          <w:marLeft w:val="0"/>
          <w:marRight w:val="0"/>
          <w:marTop w:val="0"/>
          <w:marBottom w:val="0"/>
          <w:divBdr>
            <w:top w:val="none" w:sz="0" w:space="0" w:color="auto"/>
            <w:left w:val="none" w:sz="0" w:space="0" w:color="auto"/>
            <w:bottom w:val="none" w:sz="0" w:space="0" w:color="auto"/>
            <w:right w:val="none" w:sz="0" w:space="0" w:color="auto"/>
          </w:divBdr>
        </w:div>
      </w:divsChild>
    </w:div>
    <w:div w:id="1077899387">
      <w:marLeft w:val="0"/>
      <w:marRight w:val="0"/>
      <w:marTop w:val="0"/>
      <w:marBottom w:val="0"/>
      <w:divBdr>
        <w:top w:val="none" w:sz="0" w:space="0" w:color="auto"/>
        <w:left w:val="none" w:sz="0" w:space="0" w:color="auto"/>
        <w:bottom w:val="none" w:sz="0" w:space="0" w:color="auto"/>
        <w:right w:val="none" w:sz="0" w:space="0" w:color="auto"/>
      </w:divBdr>
    </w:div>
    <w:div w:id="1083532664">
      <w:marLeft w:val="0"/>
      <w:marRight w:val="0"/>
      <w:marTop w:val="0"/>
      <w:marBottom w:val="180"/>
      <w:divBdr>
        <w:top w:val="none" w:sz="0" w:space="0" w:color="auto"/>
        <w:left w:val="none" w:sz="0" w:space="0" w:color="auto"/>
        <w:bottom w:val="none" w:sz="0" w:space="0" w:color="auto"/>
        <w:right w:val="none" w:sz="0" w:space="0" w:color="auto"/>
      </w:divBdr>
    </w:div>
    <w:div w:id="1085762722">
      <w:marLeft w:val="0"/>
      <w:marRight w:val="0"/>
      <w:marTop w:val="0"/>
      <w:marBottom w:val="0"/>
      <w:divBdr>
        <w:top w:val="none" w:sz="0" w:space="0" w:color="auto"/>
        <w:left w:val="none" w:sz="0" w:space="0" w:color="auto"/>
        <w:bottom w:val="none" w:sz="0" w:space="0" w:color="auto"/>
        <w:right w:val="none" w:sz="0" w:space="0" w:color="auto"/>
      </w:divBdr>
    </w:div>
    <w:div w:id="1086154545">
      <w:marLeft w:val="0"/>
      <w:marRight w:val="0"/>
      <w:marTop w:val="0"/>
      <w:marBottom w:val="180"/>
      <w:divBdr>
        <w:top w:val="none" w:sz="0" w:space="0" w:color="auto"/>
        <w:left w:val="none" w:sz="0" w:space="0" w:color="auto"/>
        <w:bottom w:val="none" w:sz="0" w:space="0" w:color="auto"/>
        <w:right w:val="none" w:sz="0" w:space="0" w:color="auto"/>
      </w:divBdr>
    </w:div>
    <w:div w:id="1088893362">
      <w:marLeft w:val="0"/>
      <w:marRight w:val="0"/>
      <w:marTop w:val="100"/>
      <w:marBottom w:val="280"/>
      <w:divBdr>
        <w:top w:val="none" w:sz="0" w:space="0" w:color="auto"/>
        <w:left w:val="none" w:sz="0" w:space="0" w:color="auto"/>
        <w:bottom w:val="none" w:sz="0" w:space="0" w:color="auto"/>
        <w:right w:val="none" w:sz="0" w:space="0" w:color="auto"/>
      </w:divBdr>
      <w:divsChild>
        <w:div w:id="710569893">
          <w:marLeft w:val="0"/>
          <w:marRight w:val="0"/>
          <w:marTop w:val="0"/>
          <w:marBottom w:val="0"/>
          <w:divBdr>
            <w:top w:val="none" w:sz="0" w:space="0" w:color="auto"/>
            <w:left w:val="none" w:sz="0" w:space="0" w:color="auto"/>
            <w:bottom w:val="none" w:sz="0" w:space="0" w:color="auto"/>
            <w:right w:val="none" w:sz="0" w:space="0" w:color="auto"/>
          </w:divBdr>
        </w:div>
        <w:div w:id="935022533">
          <w:marLeft w:val="0"/>
          <w:marRight w:val="0"/>
          <w:marTop w:val="0"/>
          <w:marBottom w:val="0"/>
          <w:divBdr>
            <w:top w:val="none" w:sz="0" w:space="0" w:color="auto"/>
            <w:left w:val="none" w:sz="0" w:space="0" w:color="auto"/>
            <w:bottom w:val="none" w:sz="0" w:space="0" w:color="auto"/>
            <w:right w:val="none" w:sz="0" w:space="0" w:color="auto"/>
          </w:divBdr>
        </w:div>
      </w:divsChild>
    </w:div>
    <w:div w:id="1091003094">
      <w:marLeft w:val="0"/>
      <w:marRight w:val="0"/>
      <w:marTop w:val="0"/>
      <w:marBottom w:val="180"/>
      <w:divBdr>
        <w:top w:val="none" w:sz="0" w:space="0" w:color="auto"/>
        <w:left w:val="none" w:sz="0" w:space="0" w:color="auto"/>
        <w:bottom w:val="none" w:sz="0" w:space="0" w:color="auto"/>
        <w:right w:val="none" w:sz="0" w:space="0" w:color="auto"/>
      </w:divBdr>
    </w:div>
    <w:div w:id="1092509238">
      <w:marLeft w:val="0"/>
      <w:marRight w:val="0"/>
      <w:marTop w:val="0"/>
      <w:marBottom w:val="180"/>
      <w:divBdr>
        <w:top w:val="none" w:sz="0" w:space="0" w:color="auto"/>
        <w:left w:val="none" w:sz="0" w:space="0" w:color="auto"/>
        <w:bottom w:val="none" w:sz="0" w:space="0" w:color="auto"/>
        <w:right w:val="none" w:sz="0" w:space="0" w:color="auto"/>
      </w:divBdr>
    </w:div>
    <w:div w:id="1096483972">
      <w:marLeft w:val="0"/>
      <w:marRight w:val="0"/>
      <w:marTop w:val="0"/>
      <w:marBottom w:val="0"/>
      <w:divBdr>
        <w:top w:val="none" w:sz="0" w:space="0" w:color="auto"/>
        <w:left w:val="none" w:sz="0" w:space="0" w:color="auto"/>
        <w:bottom w:val="none" w:sz="0" w:space="0" w:color="auto"/>
        <w:right w:val="none" w:sz="0" w:space="0" w:color="auto"/>
      </w:divBdr>
    </w:div>
    <w:div w:id="1111632552">
      <w:marLeft w:val="0"/>
      <w:marRight w:val="0"/>
      <w:marTop w:val="0"/>
      <w:marBottom w:val="280"/>
      <w:divBdr>
        <w:top w:val="none" w:sz="0" w:space="0" w:color="auto"/>
        <w:left w:val="none" w:sz="0" w:space="0" w:color="auto"/>
        <w:bottom w:val="none" w:sz="0" w:space="0" w:color="auto"/>
        <w:right w:val="none" w:sz="0" w:space="0" w:color="auto"/>
      </w:divBdr>
    </w:div>
    <w:div w:id="1114401234">
      <w:marLeft w:val="0"/>
      <w:marRight w:val="0"/>
      <w:marTop w:val="100"/>
      <w:marBottom w:val="100"/>
      <w:divBdr>
        <w:top w:val="none" w:sz="0" w:space="0" w:color="auto"/>
        <w:left w:val="none" w:sz="0" w:space="0" w:color="auto"/>
        <w:bottom w:val="none" w:sz="0" w:space="0" w:color="auto"/>
        <w:right w:val="none" w:sz="0" w:space="0" w:color="auto"/>
      </w:divBdr>
    </w:div>
    <w:div w:id="1121537620">
      <w:marLeft w:val="0"/>
      <w:marRight w:val="0"/>
      <w:marTop w:val="100"/>
      <w:marBottom w:val="120"/>
      <w:divBdr>
        <w:top w:val="none" w:sz="0" w:space="0" w:color="auto"/>
        <w:left w:val="none" w:sz="0" w:space="0" w:color="auto"/>
        <w:bottom w:val="none" w:sz="0" w:space="0" w:color="auto"/>
        <w:right w:val="none" w:sz="0" w:space="0" w:color="auto"/>
      </w:divBdr>
      <w:divsChild>
        <w:div w:id="1974359715">
          <w:marLeft w:val="0"/>
          <w:marRight w:val="0"/>
          <w:marTop w:val="0"/>
          <w:marBottom w:val="0"/>
          <w:divBdr>
            <w:top w:val="none" w:sz="0" w:space="0" w:color="auto"/>
            <w:left w:val="none" w:sz="0" w:space="0" w:color="auto"/>
            <w:bottom w:val="none" w:sz="0" w:space="0" w:color="auto"/>
            <w:right w:val="none" w:sz="0" w:space="0" w:color="auto"/>
          </w:divBdr>
        </w:div>
      </w:divsChild>
    </w:div>
    <w:div w:id="1136223535">
      <w:marLeft w:val="0"/>
      <w:marRight w:val="0"/>
      <w:marTop w:val="0"/>
      <w:marBottom w:val="180"/>
      <w:divBdr>
        <w:top w:val="none" w:sz="0" w:space="0" w:color="auto"/>
        <w:left w:val="none" w:sz="0" w:space="0" w:color="auto"/>
        <w:bottom w:val="none" w:sz="0" w:space="0" w:color="auto"/>
        <w:right w:val="none" w:sz="0" w:space="0" w:color="auto"/>
      </w:divBdr>
    </w:div>
    <w:div w:id="1142312149">
      <w:marLeft w:val="0"/>
      <w:marRight w:val="0"/>
      <w:marTop w:val="0"/>
      <w:marBottom w:val="0"/>
      <w:divBdr>
        <w:top w:val="none" w:sz="0" w:space="0" w:color="auto"/>
        <w:left w:val="none" w:sz="0" w:space="0" w:color="auto"/>
        <w:bottom w:val="none" w:sz="0" w:space="0" w:color="auto"/>
        <w:right w:val="none" w:sz="0" w:space="0" w:color="auto"/>
      </w:divBdr>
      <w:divsChild>
        <w:div w:id="568543889">
          <w:marLeft w:val="0"/>
          <w:marRight w:val="0"/>
          <w:marTop w:val="0"/>
          <w:marBottom w:val="0"/>
          <w:divBdr>
            <w:top w:val="none" w:sz="0" w:space="0" w:color="auto"/>
            <w:left w:val="none" w:sz="0" w:space="0" w:color="auto"/>
            <w:bottom w:val="none" w:sz="0" w:space="0" w:color="auto"/>
            <w:right w:val="none" w:sz="0" w:space="0" w:color="auto"/>
          </w:divBdr>
        </w:div>
      </w:divsChild>
    </w:div>
    <w:div w:id="1149442375">
      <w:marLeft w:val="0"/>
      <w:marRight w:val="0"/>
      <w:marTop w:val="0"/>
      <w:marBottom w:val="0"/>
      <w:divBdr>
        <w:top w:val="none" w:sz="0" w:space="0" w:color="auto"/>
        <w:left w:val="none" w:sz="0" w:space="0" w:color="auto"/>
        <w:bottom w:val="none" w:sz="0" w:space="0" w:color="auto"/>
        <w:right w:val="none" w:sz="0" w:space="0" w:color="auto"/>
      </w:divBdr>
    </w:div>
    <w:div w:id="1149664989">
      <w:marLeft w:val="0"/>
      <w:marRight w:val="0"/>
      <w:marTop w:val="0"/>
      <w:marBottom w:val="280"/>
      <w:divBdr>
        <w:top w:val="none" w:sz="0" w:space="0" w:color="auto"/>
        <w:left w:val="none" w:sz="0" w:space="0" w:color="auto"/>
        <w:bottom w:val="none" w:sz="0" w:space="0" w:color="auto"/>
        <w:right w:val="none" w:sz="0" w:space="0" w:color="auto"/>
      </w:divBdr>
    </w:div>
    <w:div w:id="1153062405">
      <w:marLeft w:val="0"/>
      <w:marRight w:val="0"/>
      <w:marTop w:val="0"/>
      <w:marBottom w:val="180"/>
      <w:divBdr>
        <w:top w:val="none" w:sz="0" w:space="0" w:color="auto"/>
        <w:left w:val="none" w:sz="0" w:space="0" w:color="auto"/>
        <w:bottom w:val="none" w:sz="0" w:space="0" w:color="auto"/>
        <w:right w:val="none" w:sz="0" w:space="0" w:color="auto"/>
      </w:divBdr>
    </w:div>
    <w:div w:id="1155339313">
      <w:marLeft w:val="0"/>
      <w:marRight w:val="0"/>
      <w:marTop w:val="0"/>
      <w:marBottom w:val="180"/>
      <w:divBdr>
        <w:top w:val="none" w:sz="0" w:space="0" w:color="auto"/>
        <w:left w:val="none" w:sz="0" w:space="0" w:color="auto"/>
        <w:bottom w:val="none" w:sz="0" w:space="0" w:color="auto"/>
        <w:right w:val="none" w:sz="0" w:space="0" w:color="auto"/>
      </w:divBdr>
    </w:div>
    <w:div w:id="1156337002">
      <w:marLeft w:val="0"/>
      <w:marRight w:val="0"/>
      <w:marTop w:val="0"/>
      <w:marBottom w:val="180"/>
      <w:divBdr>
        <w:top w:val="none" w:sz="0" w:space="0" w:color="auto"/>
        <w:left w:val="none" w:sz="0" w:space="0" w:color="auto"/>
        <w:bottom w:val="none" w:sz="0" w:space="0" w:color="auto"/>
        <w:right w:val="none" w:sz="0" w:space="0" w:color="auto"/>
      </w:divBdr>
    </w:div>
    <w:div w:id="1156649756">
      <w:marLeft w:val="0"/>
      <w:marRight w:val="0"/>
      <w:marTop w:val="0"/>
      <w:marBottom w:val="180"/>
      <w:divBdr>
        <w:top w:val="none" w:sz="0" w:space="0" w:color="auto"/>
        <w:left w:val="none" w:sz="0" w:space="0" w:color="auto"/>
        <w:bottom w:val="none" w:sz="0" w:space="0" w:color="auto"/>
        <w:right w:val="none" w:sz="0" w:space="0" w:color="auto"/>
      </w:divBdr>
    </w:div>
    <w:div w:id="1159228671">
      <w:marLeft w:val="0"/>
      <w:marRight w:val="0"/>
      <w:marTop w:val="100"/>
      <w:marBottom w:val="100"/>
      <w:divBdr>
        <w:top w:val="none" w:sz="0" w:space="0" w:color="auto"/>
        <w:left w:val="none" w:sz="0" w:space="0" w:color="auto"/>
        <w:bottom w:val="none" w:sz="0" w:space="0" w:color="auto"/>
        <w:right w:val="none" w:sz="0" w:space="0" w:color="auto"/>
      </w:divBdr>
    </w:div>
    <w:div w:id="1160577402">
      <w:marLeft w:val="0"/>
      <w:marRight w:val="0"/>
      <w:marTop w:val="100"/>
      <w:marBottom w:val="100"/>
      <w:divBdr>
        <w:top w:val="none" w:sz="0" w:space="0" w:color="auto"/>
        <w:left w:val="none" w:sz="0" w:space="0" w:color="auto"/>
        <w:bottom w:val="none" w:sz="0" w:space="0" w:color="auto"/>
        <w:right w:val="none" w:sz="0" w:space="0" w:color="auto"/>
      </w:divBdr>
      <w:divsChild>
        <w:div w:id="1249846059">
          <w:marLeft w:val="0"/>
          <w:marRight w:val="0"/>
          <w:marTop w:val="0"/>
          <w:marBottom w:val="0"/>
          <w:divBdr>
            <w:top w:val="none" w:sz="0" w:space="0" w:color="auto"/>
            <w:left w:val="none" w:sz="0" w:space="0" w:color="auto"/>
            <w:bottom w:val="none" w:sz="0" w:space="0" w:color="auto"/>
            <w:right w:val="none" w:sz="0" w:space="0" w:color="auto"/>
          </w:divBdr>
        </w:div>
        <w:div w:id="994378187">
          <w:marLeft w:val="0"/>
          <w:marRight w:val="0"/>
          <w:marTop w:val="0"/>
          <w:marBottom w:val="0"/>
          <w:divBdr>
            <w:top w:val="none" w:sz="0" w:space="0" w:color="auto"/>
            <w:left w:val="none" w:sz="0" w:space="0" w:color="auto"/>
            <w:bottom w:val="none" w:sz="0" w:space="0" w:color="auto"/>
            <w:right w:val="none" w:sz="0" w:space="0" w:color="auto"/>
          </w:divBdr>
        </w:div>
        <w:div w:id="1518933548">
          <w:marLeft w:val="0"/>
          <w:marRight w:val="0"/>
          <w:marTop w:val="0"/>
          <w:marBottom w:val="0"/>
          <w:divBdr>
            <w:top w:val="none" w:sz="0" w:space="0" w:color="auto"/>
            <w:left w:val="none" w:sz="0" w:space="0" w:color="auto"/>
            <w:bottom w:val="none" w:sz="0" w:space="0" w:color="auto"/>
            <w:right w:val="none" w:sz="0" w:space="0" w:color="auto"/>
          </w:divBdr>
        </w:div>
      </w:divsChild>
    </w:div>
    <w:div w:id="1163660198">
      <w:marLeft w:val="0"/>
      <w:marRight w:val="0"/>
      <w:marTop w:val="0"/>
      <w:marBottom w:val="180"/>
      <w:divBdr>
        <w:top w:val="none" w:sz="0" w:space="0" w:color="auto"/>
        <w:left w:val="none" w:sz="0" w:space="0" w:color="auto"/>
        <w:bottom w:val="none" w:sz="0" w:space="0" w:color="auto"/>
        <w:right w:val="none" w:sz="0" w:space="0" w:color="auto"/>
      </w:divBdr>
    </w:div>
    <w:div w:id="1166165891">
      <w:marLeft w:val="0"/>
      <w:marRight w:val="0"/>
      <w:marTop w:val="0"/>
      <w:marBottom w:val="0"/>
      <w:divBdr>
        <w:top w:val="none" w:sz="0" w:space="0" w:color="auto"/>
        <w:left w:val="none" w:sz="0" w:space="0" w:color="auto"/>
        <w:bottom w:val="none" w:sz="0" w:space="0" w:color="auto"/>
        <w:right w:val="none" w:sz="0" w:space="0" w:color="auto"/>
      </w:divBdr>
    </w:div>
    <w:div w:id="1168638333">
      <w:marLeft w:val="0"/>
      <w:marRight w:val="0"/>
      <w:marTop w:val="100"/>
      <w:marBottom w:val="320"/>
      <w:divBdr>
        <w:top w:val="none" w:sz="0" w:space="0" w:color="auto"/>
        <w:left w:val="none" w:sz="0" w:space="0" w:color="auto"/>
        <w:bottom w:val="none" w:sz="0" w:space="0" w:color="auto"/>
        <w:right w:val="none" w:sz="0" w:space="0" w:color="auto"/>
      </w:divBdr>
    </w:div>
    <w:div w:id="1171018815">
      <w:marLeft w:val="0"/>
      <w:marRight w:val="0"/>
      <w:marTop w:val="0"/>
      <w:marBottom w:val="0"/>
      <w:divBdr>
        <w:top w:val="none" w:sz="0" w:space="0" w:color="auto"/>
        <w:left w:val="none" w:sz="0" w:space="0" w:color="auto"/>
        <w:bottom w:val="none" w:sz="0" w:space="0" w:color="auto"/>
        <w:right w:val="none" w:sz="0" w:space="0" w:color="auto"/>
      </w:divBdr>
    </w:div>
    <w:div w:id="1171678970">
      <w:marLeft w:val="0"/>
      <w:marRight w:val="0"/>
      <w:marTop w:val="0"/>
      <w:marBottom w:val="0"/>
      <w:divBdr>
        <w:top w:val="none" w:sz="0" w:space="0" w:color="auto"/>
        <w:left w:val="none" w:sz="0" w:space="0" w:color="auto"/>
        <w:bottom w:val="none" w:sz="0" w:space="0" w:color="auto"/>
        <w:right w:val="none" w:sz="0" w:space="0" w:color="auto"/>
      </w:divBdr>
    </w:div>
    <w:div w:id="1179349866">
      <w:marLeft w:val="0"/>
      <w:marRight w:val="0"/>
      <w:marTop w:val="0"/>
      <w:marBottom w:val="0"/>
      <w:divBdr>
        <w:top w:val="none" w:sz="0" w:space="0" w:color="auto"/>
        <w:left w:val="none" w:sz="0" w:space="0" w:color="auto"/>
        <w:bottom w:val="none" w:sz="0" w:space="0" w:color="auto"/>
        <w:right w:val="none" w:sz="0" w:space="0" w:color="auto"/>
      </w:divBdr>
      <w:divsChild>
        <w:div w:id="907114386">
          <w:marLeft w:val="0"/>
          <w:marRight w:val="0"/>
          <w:marTop w:val="0"/>
          <w:marBottom w:val="0"/>
          <w:divBdr>
            <w:top w:val="none" w:sz="0" w:space="0" w:color="auto"/>
            <w:left w:val="none" w:sz="0" w:space="0" w:color="auto"/>
            <w:bottom w:val="none" w:sz="0" w:space="0" w:color="auto"/>
            <w:right w:val="none" w:sz="0" w:space="0" w:color="auto"/>
          </w:divBdr>
        </w:div>
      </w:divsChild>
    </w:div>
    <w:div w:id="1182738944">
      <w:marLeft w:val="0"/>
      <w:marRight w:val="0"/>
      <w:marTop w:val="0"/>
      <w:marBottom w:val="0"/>
      <w:divBdr>
        <w:top w:val="none" w:sz="0" w:space="0" w:color="auto"/>
        <w:left w:val="none" w:sz="0" w:space="0" w:color="auto"/>
        <w:bottom w:val="none" w:sz="0" w:space="0" w:color="auto"/>
        <w:right w:val="none" w:sz="0" w:space="0" w:color="auto"/>
      </w:divBdr>
    </w:div>
    <w:div w:id="1184394305">
      <w:marLeft w:val="0"/>
      <w:marRight w:val="0"/>
      <w:marTop w:val="0"/>
      <w:marBottom w:val="180"/>
      <w:divBdr>
        <w:top w:val="none" w:sz="0" w:space="0" w:color="auto"/>
        <w:left w:val="none" w:sz="0" w:space="0" w:color="auto"/>
        <w:bottom w:val="none" w:sz="0" w:space="0" w:color="auto"/>
        <w:right w:val="none" w:sz="0" w:space="0" w:color="auto"/>
      </w:divBdr>
    </w:div>
    <w:div w:id="1186362088">
      <w:marLeft w:val="0"/>
      <w:marRight w:val="0"/>
      <w:marTop w:val="0"/>
      <w:marBottom w:val="0"/>
      <w:divBdr>
        <w:top w:val="none" w:sz="0" w:space="0" w:color="auto"/>
        <w:left w:val="none" w:sz="0" w:space="0" w:color="auto"/>
        <w:bottom w:val="none" w:sz="0" w:space="0" w:color="auto"/>
        <w:right w:val="none" w:sz="0" w:space="0" w:color="auto"/>
      </w:divBdr>
    </w:div>
    <w:div w:id="1189874473">
      <w:marLeft w:val="0"/>
      <w:marRight w:val="0"/>
      <w:marTop w:val="100"/>
      <w:marBottom w:val="60"/>
      <w:divBdr>
        <w:top w:val="none" w:sz="0" w:space="0" w:color="auto"/>
        <w:left w:val="none" w:sz="0" w:space="0" w:color="auto"/>
        <w:bottom w:val="none" w:sz="0" w:space="0" w:color="auto"/>
        <w:right w:val="none" w:sz="0" w:space="0" w:color="auto"/>
      </w:divBdr>
    </w:div>
    <w:div w:id="1194270499">
      <w:marLeft w:val="0"/>
      <w:marRight w:val="0"/>
      <w:marTop w:val="0"/>
      <w:marBottom w:val="0"/>
      <w:divBdr>
        <w:top w:val="none" w:sz="0" w:space="0" w:color="auto"/>
        <w:left w:val="none" w:sz="0" w:space="0" w:color="auto"/>
        <w:bottom w:val="none" w:sz="0" w:space="0" w:color="auto"/>
        <w:right w:val="none" w:sz="0" w:space="0" w:color="auto"/>
      </w:divBdr>
      <w:divsChild>
        <w:div w:id="684988136">
          <w:marLeft w:val="0"/>
          <w:marRight w:val="0"/>
          <w:marTop w:val="0"/>
          <w:marBottom w:val="0"/>
          <w:divBdr>
            <w:top w:val="none" w:sz="0" w:space="0" w:color="auto"/>
            <w:left w:val="none" w:sz="0" w:space="0" w:color="auto"/>
            <w:bottom w:val="none" w:sz="0" w:space="0" w:color="auto"/>
            <w:right w:val="none" w:sz="0" w:space="0" w:color="auto"/>
          </w:divBdr>
        </w:div>
      </w:divsChild>
    </w:div>
    <w:div w:id="1196195749">
      <w:marLeft w:val="0"/>
      <w:marRight w:val="0"/>
      <w:marTop w:val="0"/>
      <w:marBottom w:val="180"/>
      <w:divBdr>
        <w:top w:val="none" w:sz="0" w:space="0" w:color="auto"/>
        <w:left w:val="none" w:sz="0" w:space="0" w:color="auto"/>
        <w:bottom w:val="none" w:sz="0" w:space="0" w:color="auto"/>
        <w:right w:val="none" w:sz="0" w:space="0" w:color="auto"/>
      </w:divBdr>
    </w:div>
    <w:div w:id="1200359807">
      <w:marLeft w:val="0"/>
      <w:marRight w:val="0"/>
      <w:marTop w:val="0"/>
      <w:marBottom w:val="0"/>
      <w:divBdr>
        <w:top w:val="none" w:sz="0" w:space="0" w:color="auto"/>
        <w:left w:val="none" w:sz="0" w:space="0" w:color="auto"/>
        <w:bottom w:val="none" w:sz="0" w:space="0" w:color="auto"/>
        <w:right w:val="none" w:sz="0" w:space="0" w:color="auto"/>
      </w:divBdr>
    </w:div>
    <w:div w:id="1201674986">
      <w:marLeft w:val="0"/>
      <w:marRight w:val="0"/>
      <w:marTop w:val="100"/>
      <w:marBottom w:val="100"/>
      <w:divBdr>
        <w:top w:val="none" w:sz="0" w:space="0" w:color="auto"/>
        <w:left w:val="none" w:sz="0" w:space="0" w:color="auto"/>
        <w:bottom w:val="none" w:sz="0" w:space="0" w:color="auto"/>
        <w:right w:val="none" w:sz="0" w:space="0" w:color="auto"/>
      </w:divBdr>
    </w:div>
    <w:div w:id="1215775500">
      <w:marLeft w:val="0"/>
      <w:marRight w:val="0"/>
      <w:marTop w:val="0"/>
      <w:marBottom w:val="0"/>
      <w:divBdr>
        <w:top w:val="none" w:sz="0" w:space="0" w:color="auto"/>
        <w:left w:val="none" w:sz="0" w:space="0" w:color="auto"/>
        <w:bottom w:val="none" w:sz="0" w:space="0" w:color="auto"/>
        <w:right w:val="none" w:sz="0" w:space="0" w:color="auto"/>
      </w:divBdr>
    </w:div>
    <w:div w:id="1215854409">
      <w:marLeft w:val="0"/>
      <w:marRight w:val="0"/>
      <w:marTop w:val="0"/>
      <w:marBottom w:val="0"/>
      <w:divBdr>
        <w:top w:val="none" w:sz="0" w:space="0" w:color="auto"/>
        <w:left w:val="none" w:sz="0" w:space="0" w:color="auto"/>
        <w:bottom w:val="none" w:sz="0" w:space="0" w:color="auto"/>
        <w:right w:val="none" w:sz="0" w:space="0" w:color="auto"/>
      </w:divBdr>
      <w:divsChild>
        <w:div w:id="148794601">
          <w:marLeft w:val="0"/>
          <w:marRight w:val="0"/>
          <w:marTop w:val="0"/>
          <w:marBottom w:val="0"/>
          <w:divBdr>
            <w:top w:val="none" w:sz="0" w:space="0" w:color="auto"/>
            <w:left w:val="none" w:sz="0" w:space="0" w:color="auto"/>
            <w:bottom w:val="none" w:sz="0" w:space="0" w:color="auto"/>
            <w:right w:val="none" w:sz="0" w:space="0" w:color="auto"/>
          </w:divBdr>
        </w:div>
      </w:divsChild>
    </w:div>
    <w:div w:id="1225875374">
      <w:marLeft w:val="0"/>
      <w:marRight w:val="0"/>
      <w:marTop w:val="0"/>
      <w:marBottom w:val="280"/>
      <w:divBdr>
        <w:top w:val="none" w:sz="0" w:space="0" w:color="auto"/>
        <w:left w:val="none" w:sz="0" w:space="0" w:color="auto"/>
        <w:bottom w:val="none" w:sz="0" w:space="0" w:color="auto"/>
        <w:right w:val="none" w:sz="0" w:space="0" w:color="auto"/>
      </w:divBdr>
    </w:div>
    <w:div w:id="1235505452">
      <w:marLeft w:val="0"/>
      <w:marRight w:val="0"/>
      <w:marTop w:val="0"/>
      <w:marBottom w:val="0"/>
      <w:divBdr>
        <w:top w:val="none" w:sz="0" w:space="0" w:color="auto"/>
        <w:left w:val="none" w:sz="0" w:space="0" w:color="auto"/>
        <w:bottom w:val="none" w:sz="0" w:space="0" w:color="auto"/>
        <w:right w:val="none" w:sz="0" w:space="0" w:color="auto"/>
      </w:divBdr>
      <w:divsChild>
        <w:div w:id="168258136">
          <w:marLeft w:val="0"/>
          <w:marRight w:val="0"/>
          <w:marTop w:val="0"/>
          <w:marBottom w:val="0"/>
          <w:divBdr>
            <w:top w:val="none" w:sz="0" w:space="0" w:color="auto"/>
            <w:left w:val="none" w:sz="0" w:space="0" w:color="auto"/>
            <w:bottom w:val="none" w:sz="0" w:space="0" w:color="auto"/>
            <w:right w:val="none" w:sz="0" w:space="0" w:color="auto"/>
          </w:divBdr>
        </w:div>
      </w:divsChild>
    </w:div>
    <w:div w:id="1240946793">
      <w:marLeft w:val="0"/>
      <w:marRight w:val="0"/>
      <w:marTop w:val="0"/>
      <w:marBottom w:val="180"/>
      <w:divBdr>
        <w:top w:val="none" w:sz="0" w:space="0" w:color="auto"/>
        <w:left w:val="none" w:sz="0" w:space="0" w:color="auto"/>
        <w:bottom w:val="none" w:sz="0" w:space="0" w:color="auto"/>
        <w:right w:val="none" w:sz="0" w:space="0" w:color="auto"/>
      </w:divBdr>
    </w:div>
    <w:div w:id="1243830814">
      <w:marLeft w:val="0"/>
      <w:marRight w:val="0"/>
      <w:marTop w:val="0"/>
      <w:marBottom w:val="0"/>
      <w:divBdr>
        <w:top w:val="none" w:sz="0" w:space="0" w:color="auto"/>
        <w:left w:val="none" w:sz="0" w:space="0" w:color="auto"/>
        <w:bottom w:val="none" w:sz="0" w:space="0" w:color="auto"/>
        <w:right w:val="none" w:sz="0" w:space="0" w:color="auto"/>
      </w:divBdr>
    </w:div>
    <w:div w:id="1243874619">
      <w:marLeft w:val="0"/>
      <w:marRight w:val="0"/>
      <w:marTop w:val="0"/>
      <w:marBottom w:val="0"/>
      <w:divBdr>
        <w:top w:val="none" w:sz="0" w:space="0" w:color="auto"/>
        <w:left w:val="none" w:sz="0" w:space="0" w:color="auto"/>
        <w:bottom w:val="none" w:sz="0" w:space="0" w:color="auto"/>
        <w:right w:val="none" w:sz="0" w:space="0" w:color="auto"/>
      </w:divBdr>
      <w:divsChild>
        <w:div w:id="1098258042">
          <w:marLeft w:val="0"/>
          <w:marRight w:val="0"/>
          <w:marTop w:val="0"/>
          <w:marBottom w:val="0"/>
          <w:divBdr>
            <w:top w:val="none" w:sz="0" w:space="0" w:color="auto"/>
            <w:left w:val="none" w:sz="0" w:space="0" w:color="auto"/>
            <w:bottom w:val="none" w:sz="0" w:space="0" w:color="auto"/>
            <w:right w:val="none" w:sz="0" w:space="0" w:color="auto"/>
          </w:divBdr>
        </w:div>
      </w:divsChild>
    </w:div>
    <w:div w:id="1243948088">
      <w:marLeft w:val="0"/>
      <w:marRight w:val="0"/>
      <w:marTop w:val="0"/>
      <w:marBottom w:val="0"/>
      <w:divBdr>
        <w:top w:val="none" w:sz="0" w:space="0" w:color="auto"/>
        <w:left w:val="none" w:sz="0" w:space="0" w:color="auto"/>
        <w:bottom w:val="none" w:sz="0" w:space="0" w:color="auto"/>
        <w:right w:val="none" w:sz="0" w:space="0" w:color="auto"/>
      </w:divBdr>
    </w:div>
    <w:div w:id="1244027468">
      <w:marLeft w:val="0"/>
      <w:marRight w:val="0"/>
      <w:marTop w:val="180"/>
      <w:marBottom w:val="0"/>
      <w:divBdr>
        <w:top w:val="none" w:sz="0" w:space="0" w:color="auto"/>
        <w:left w:val="none" w:sz="0" w:space="0" w:color="auto"/>
        <w:bottom w:val="none" w:sz="0" w:space="0" w:color="auto"/>
        <w:right w:val="none" w:sz="0" w:space="0" w:color="auto"/>
      </w:divBdr>
    </w:div>
    <w:div w:id="1245185713">
      <w:marLeft w:val="0"/>
      <w:marRight w:val="0"/>
      <w:marTop w:val="100"/>
      <w:marBottom w:val="100"/>
      <w:divBdr>
        <w:top w:val="none" w:sz="0" w:space="0" w:color="auto"/>
        <w:left w:val="none" w:sz="0" w:space="0" w:color="auto"/>
        <w:bottom w:val="none" w:sz="0" w:space="0" w:color="auto"/>
        <w:right w:val="none" w:sz="0" w:space="0" w:color="auto"/>
      </w:divBdr>
      <w:divsChild>
        <w:div w:id="500632129">
          <w:marLeft w:val="0"/>
          <w:marRight w:val="0"/>
          <w:marTop w:val="0"/>
          <w:marBottom w:val="0"/>
          <w:divBdr>
            <w:top w:val="none" w:sz="0" w:space="0" w:color="auto"/>
            <w:left w:val="none" w:sz="0" w:space="0" w:color="auto"/>
            <w:bottom w:val="none" w:sz="0" w:space="0" w:color="auto"/>
            <w:right w:val="none" w:sz="0" w:space="0" w:color="auto"/>
          </w:divBdr>
        </w:div>
      </w:divsChild>
    </w:div>
    <w:div w:id="1257401081">
      <w:marLeft w:val="0"/>
      <w:marRight w:val="0"/>
      <w:marTop w:val="0"/>
      <w:marBottom w:val="180"/>
      <w:divBdr>
        <w:top w:val="none" w:sz="0" w:space="0" w:color="auto"/>
        <w:left w:val="none" w:sz="0" w:space="0" w:color="auto"/>
        <w:bottom w:val="none" w:sz="0" w:space="0" w:color="auto"/>
        <w:right w:val="none" w:sz="0" w:space="0" w:color="auto"/>
      </w:divBdr>
    </w:div>
    <w:div w:id="1258639706">
      <w:marLeft w:val="0"/>
      <w:marRight w:val="0"/>
      <w:marTop w:val="0"/>
      <w:marBottom w:val="120"/>
      <w:divBdr>
        <w:top w:val="none" w:sz="0" w:space="0" w:color="auto"/>
        <w:left w:val="none" w:sz="0" w:space="0" w:color="auto"/>
        <w:bottom w:val="none" w:sz="0" w:space="0" w:color="auto"/>
        <w:right w:val="none" w:sz="0" w:space="0" w:color="auto"/>
      </w:divBdr>
    </w:div>
    <w:div w:id="1260259145">
      <w:marLeft w:val="0"/>
      <w:marRight w:val="0"/>
      <w:marTop w:val="0"/>
      <w:marBottom w:val="0"/>
      <w:divBdr>
        <w:top w:val="none" w:sz="0" w:space="0" w:color="auto"/>
        <w:left w:val="none" w:sz="0" w:space="0" w:color="auto"/>
        <w:bottom w:val="none" w:sz="0" w:space="0" w:color="auto"/>
        <w:right w:val="none" w:sz="0" w:space="0" w:color="auto"/>
      </w:divBdr>
    </w:div>
    <w:div w:id="1264067964">
      <w:marLeft w:val="0"/>
      <w:marRight w:val="0"/>
      <w:marTop w:val="0"/>
      <w:marBottom w:val="0"/>
      <w:divBdr>
        <w:top w:val="none" w:sz="0" w:space="0" w:color="auto"/>
        <w:left w:val="none" w:sz="0" w:space="0" w:color="auto"/>
        <w:bottom w:val="none" w:sz="0" w:space="0" w:color="auto"/>
        <w:right w:val="none" w:sz="0" w:space="0" w:color="auto"/>
      </w:divBdr>
    </w:div>
    <w:div w:id="1264537101">
      <w:marLeft w:val="0"/>
      <w:marRight w:val="0"/>
      <w:marTop w:val="0"/>
      <w:marBottom w:val="120"/>
      <w:divBdr>
        <w:top w:val="none" w:sz="0" w:space="0" w:color="auto"/>
        <w:left w:val="none" w:sz="0" w:space="0" w:color="auto"/>
        <w:bottom w:val="none" w:sz="0" w:space="0" w:color="auto"/>
        <w:right w:val="none" w:sz="0" w:space="0" w:color="auto"/>
      </w:divBdr>
      <w:divsChild>
        <w:div w:id="1481994370">
          <w:marLeft w:val="0"/>
          <w:marRight w:val="0"/>
          <w:marTop w:val="0"/>
          <w:marBottom w:val="0"/>
          <w:divBdr>
            <w:top w:val="none" w:sz="0" w:space="0" w:color="auto"/>
            <w:left w:val="none" w:sz="0" w:space="0" w:color="auto"/>
            <w:bottom w:val="none" w:sz="0" w:space="0" w:color="auto"/>
            <w:right w:val="none" w:sz="0" w:space="0" w:color="auto"/>
          </w:divBdr>
        </w:div>
      </w:divsChild>
    </w:div>
    <w:div w:id="1269971970">
      <w:marLeft w:val="0"/>
      <w:marRight w:val="0"/>
      <w:marTop w:val="0"/>
      <w:marBottom w:val="240"/>
      <w:divBdr>
        <w:top w:val="none" w:sz="0" w:space="0" w:color="auto"/>
        <w:left w:val="none" w:sz="0" w:space="0" w:color="auto"/>
        <w:bottom w:val="none" w:sz="0" w:space="0" w:color="auto"/>
        <w:right w:val="none" w:sz="0" w:space="0" w:color="auto"/>
      </w:divBdr>
    </w:div>
    <w:div w:id="1281301485">
      <w:marLeft w:val="0"/>
      <w:marRight w:val="0"/>
      <w:marTop w:val="100"/>
      <w:marBottom w:val="0"/>
      <w:divBdr>
        <w:top w:val="none" w:sz="0" w:space="0" w:color="auto"/>
        <w:left w:val="none" w:sz="0" w:space="0" w:color="auto"/>
        <w:bottom w:val="none" w:sz="0" w:space="0" w:color="auto"/>
        <w:right w:val="none" w:sz="0" w:space="0" w:color="auto"/>
      </w:divBdr>
      <w:divsChild>
        <w:div w:id="1943800097">
          <w:marLeft w:val="0"/>
          <w:marRight w:val="0"/>
          <w:marTop w:val="0"/>
          <w:marBottom w:val="0"/>
          <w:divBdr>
            <w:top w:val="none" w:sz="0" w:space="0" w:color="auto"/>
            <w:left w:val="none" w:sz="0" w:space="0" w:color="auto"/>
            <w:bottom w:val="none" w:sz="0" w:space="0" w:color="auto"/>
            <w:right w:val="none" w:sz="0" w:space="0" w:color="auto"/>
          </w:divBdr>
        </w:div>
        <w:div w:id="1283531961">
          <w:marLeft w:val="0"/>
          <w:marRight w:val="0"/>
          <w:marTop w:val="0"/>
          <w:marBottom w:val="0"/>
          <w:divBdr>
            <w:top w:val="none" w:sz="0" w:space="0" w:color="auto"/>
            <w:left w:val="none" w:sz="0" w:space="0" w:color="auto"/>
            <w:bottom w:val="none" w:sz="0" w:space="0" w:color="auto"/>
            <w:right w:val="none" w:sz="0" w:space="0" w:color="auto"/>
          </w:divBdr>
        </w:div>
      </w:divsChild>
    </w:div>
    <w:div w:id="1283076814">
      <w:marLeft w:val="0"/>
      <w:marRight w:val="0"/>
      <w:marTop w:val="120"/>
      <w:marBottom w:val="0"/>
      <w:divBdr>
        <w:top w:val="none" w:sz="0" w:space="0" w:color="auto"/>
        <w:left w:val="none" w:sz="0" w:space="0" w:color="auto"/>
        <w:bottom w:val="none" w:sz="0" w:space="0" w:color="auto"/>
        <w:right w:val="none" w:sz="0" w:space="0" w:color="auto"/>
      </w:divBdr>
    </w:div>
    <w:div w:id="1298225509">
      <w:marLeft w:val="0"/>
      <w:marRight w:val="0"/>
      <w:marTop w:val="0"/>
      <w:marBottom w:val="0"/>
      <w:divBdr>
        <w:top w:val="none" w:sz="0" w:space="0" w:color="auto"/>
        <w:left w:val="none" w:sz="0" w:space="0" w:color="auto"/>
        <w:bottom w:val="none" w:sz="0" w:space="0" w:color="auto"/>
        <w:right w:val="none" w:sz="0" w:space="0" w:color="auto"/>
      </w:divBdr>
      <w:divsChild>
        <w:div w:id="1627541311">
          <w:marLeft w:val="0"/>
          <w:marRight w:val="0"/>
          <w:marTop w:val="0"/>
          <w:marBottom w:val="0"/>
          <w:divBdr>
            <w:top w:val="none" w:sz="0" w:space="0" w:color="auto"/>
            <w:left w:val="none" w:sz="0" w:space="0" w:color="auto"/>
            <w:bottom w:val="none" w:sz="0" w:space="0" w:color="auto"/>
            <w:right w:val="none" w:sz="0" w:space="0" w:color="auto"/>
          </w:divBdr>
        </w:div>
      </w:divsChild>
    </w:div>
    <w:div w:id="1311472785">
      <w:marLeft w:val="0"/>
      <w:marRight w:val="0"/>
      <w:marTop w:val="0"/>
      <w:marBottom w:val="160"/>
      <w:divBdr>
        <w:top w:val="none" w:sz="0" w:space="0" w:color="auto"/>
        <w:left w:val="none" w:sz="0" w:space="0" w:color="auto"/>
        <w:bottom w:val="none" w:sz="0" w:space="0" w:color="auto"/>
        <w:right w:val="none" w:sz="0" w:space="0" w:color="auto"/>
      </w:divBdr>
    </w:div>
    <w:div w:id="1332754453">
      <w:marLeft w:val="0"/>
      <w:marRight w:val="0"/>
      <w:marTop w:val="0"/>
      <w:marBottom w:val="0"/>
      <w:divBdr>
        <w:top w:val="none" w:sz="0" w:space="0" w:color="auto"/>
        <w:left w:val="none" w:sz="0" w:space="0" w:color="auto"/>
        <w:bottom w:val="none" w:sz="0" w:space="0" w:color="auto"/>
        <w:right w:val="none" w:sz="0" w:space="0" w:color="auto"/>
      </w:divBdr>
    </w:div>
    <w:div w:id="1364400923">
      <w:marLeft w:val="0"/>
      <w:marRight w:val="0"/>
      <w:marTop w:val="0"/>
      <w:marBottom w:val="0"/>
      <w:divBdr>
        <w:top w:val="none" w:sz="0" w:space="0" w:color="auto"/>
        <w:left w:val="none" w:sz="0" w:space="0" w:color="auto"/>
        <w:bottom w:val="none" w:sz="0" w:space="0" w:color="auto"/>
        <w:right w:val="none" w:sz="0" w:space="0" w:color="auto"/>
      </w:divBdr>
      <w:divsChild>
        <w:div w:id="216743619">
          <w:marLeft w:val="0"/>
          <w:marRight w:val="0"/>
          <w:marTop w:val="0"/>
          <w:marBottom w:val="0"/>
          <w:divBdr>
            <w:top w:val="none" w:sz="0" w:space="0" w:color="auto"/>
            <w:left w:val="none" w:sz="0" w:space="0" w:color="auto"/>
            <w:bottom w:val="none" w:sz="0" w:space="0" w:color="auto"/>
            <w:right w:val="none" w:sz="0" w:space="0" w:color="auto"/>
          </w:divBdr>
        </w:div>
      </w:divsChild>
    </w:div>
    <w:div w:id="1368481761">
      <w:marLeft w:val="0"/>
      <w:marRight w:val="0"/>
      <w:marTop w:val="0"/>
      <w:marBottom w:val="0"/>
      <w:divBdr>
        <w:top w:val="none" w:sz="0" w:space="0" w:color="auto"/>
        <w:left w:val="none" w:sz="0" w:space="0" w:color="auto"/>
        <w:bottom w:val="none" w:sz="0" w:space="0" w:color="auto"/>
        <w:right w:val="none" w:sz="0" w:space="0" w:color="auto"/>
      </w:divBdr>
      <w:divsChild>
        <w:div w:id="1928346443">
          <w:marLeft w:val="0"/>
          <w:marRight w:val="0"/>
          <w:marTop w:val="0"/>
          <w:marBottom w:val="0"/>
          <w:divBdr>
            <w:top w:val="none" w:sz="0" w:space="0" w:color="auto"/>
            <w:left w:val="none" w:sz="0" w:space="0" w:color="auto"/>
            <w:bottom w:val="none" w:sz="0" w:space="0" w:color="auto"/>
            <w:right w:val="none" w:sz="0" w:space="0" w:color="auto"/>
          </w:divBdr>
        </w:div>
      </w:divsChild>
    </w:div>
    <w:div w:id="1372416901">
      <w:marLeft w:val="0"/>
      <w:marRight w:val="0"/>
      <w:marTop w:val="100"/>
      <w:marBottom w:val="320"/>
      <w:divBdr>
        <w:top w:val="none" w:sz="0" w:space="0" w:color="auto"/>
        <w:left w:val="none" w:sz="0" w:space="0" w:color="auto"/>
        <w:bottom w:val="none" w:sz="0" w:space="0" w:color="auto"/>
        <w:right w:val="none" w:sz="0" w:space="0" w:color="auto"/>
      </w:divBdr>
    </w:div>
    <w:div w:id="1372924631">
      <w:marLeft w:val="0"/>
      <w:marRight w:val="0"/>
      <w:marTop w:val="0"/>
      <w:marBottom w:val="0"/>
      <w:divBdr>
        <w:top w:val="none" w:sz="0" w:space="0" w:color="auto"/>
        <w:left w:val="none" w:sz="0" w:space="0" w:color="auto"/>
        <w:bottom w:val="none" w:sz="0" w:space="0" w:color="auto"/>
        <w:right w:val="none" w:sz="0" w:space="0" w:color="auto"/>
      </w:divBdr>
      <w:divsChild>
        <w:div w:id="1907643800">
          <w:marLeft w:val="0"/>
          <w:marRight w:val="0"/>
          <w:marTop w:val="0"/>
          <w:marBottom w:val="0"/>
          <w:divBdr>
            <w:top w:val="none" w:sz="0" w:space="0" w:color="auto"/>
            <w:left w:val="none" w:sz="0" w:space="0" w:color="auto"/>
            <w:bottom w:val="none" w:sz="0" w:space="0" w:color="auto"/>
            <w:right w:val="none" w:sz="0" w:space="0" w:color="auto"/>
          </w:divBdr>
        </w:div>
      </w:divsChild>
    </w:div>
    <w:div w:id="1374497465">
      <w:marLeft w:val="0"/>
      <w:marRight w:val="0"/>
      <w:marTop w:val="0"/>
      <w:marBottom w:val="0"/>
      <w:divBdr>
        <w:top w:val="none" w:sz="0" w:space="0" w:color="auto"/>
        <w:left w:val="none" w:sz="0" w:space="0" w:color="auto"/>
        <w:bottom w:val="none" w:sz="0" w:space="0" w:color="auto"/>
        <w:right w:val="none" w:sz="0" w:space="0" w:color="auto"/>
      </w:divBdr>
      <w:divsChild>
        <w:div w:id="501552428">
          <w:marLeft w:val="0"/>
          <w:marRight w:val="0"/>
          <w:marTop w:val="0"/>
          <w:marBottom w:val="0"/>
          <w:divBdr>
            <w:top w:val="none" w:sz="0" w:space="0" w:color="auto"/>
            <w:left w:val="none" w:sz="0" w:space="0" w:color="auto"/>
            <w:bottom w:val="none" w:sz="0" w:space="0" w:color="auto"/>
            <w:right w:val="none" w:sz="0" w:space="0" w:color="auto"/>
          </w:divBdr>
        </w:div>
      </w:divsChild>
    </w:div>
    <w:div w:id="1380516737">
      <w:marLeft w:val="0"/>
      <w:marRight w:val="0"/>
      <w:marTop w:val="0"/>
      <w:marBottom w:val="0"/>
      <w:divBdr>
        <w:top w:val="none" w:sz="0" w:space="0" w:color="auto"/>
        <w:left w:val="none" w:sz="0" w:space="0" w:color="auto"/>
        <w:bottom w:val="none" w:sz="0" w:space="0" w:color="auto"/>
        <w:right w:val="none" w:sz="0" w:space="0" w:color="auto"/>
      </w:divBdr>
      <w:divsChild>
        <w:div w:id="1114862285">
          <w:marLeft w:val="0"/>
          <w:marRight w:val="0"/>
          <w:marTop w:val="0"/>
          <w:marBottom w:val="0"/>
          <w:divBdr>
            <w:top w:val="none" w:sz="0" w:space="0" w:color="auto"/>
            <w:left w:val="none" w:sz="0" w:space="0" w:color="auto"/>
            <w:bottom w:val="none" w:sz="0" w:space="0" w:color="auto"/>
            <w:right w:val="none" w:sz="0" w:space="0" w:color="auto"/>
          </w:divBdr>
        </w:div>
      </w:divsChild>
    </w:div>
    <w:div w:id="1388606568">
      <w:marLeft w:val="0"/>
      <w:marRight w:val="0"/>
      <w:marTop w:val="0"/>
      <w:marBottom w:val="0"/>
      <w:divBdr>
        <w:top w:val="none" w:sz="0" w:space="0" w:color="auto"/>
        <w:left w:val="none" w:sz="0" w:space="0" w:color="auto"/>
        <w:bottom w:val="none" w:sz="0" w:space="0" w:color="auto"/>
        <w:right w:val="none" w:sz="0" w:space="0" w:color="auto"/>
      </w:divBdr>
      <w:divsChild>
        <w:div w:id="859398687">
          <w:marLeft w:val="0"/>
          <w:marRight w:val="0"/>
          <w:marTop w:val="0"/>
          <w:marBottom w:val="0"/>
          <w:divBdr>
            <w:top w:val="none" w:sz="0" w:space="0" w:color="auto"/>
            <w:left w:val="none" w:sz="0" w:space="0" w:color="auto"/>
            <w:bottom w:val="none" w:sz="0" w:space="0" w:color="auto"/>
            <w:right w:val="none" w:sz="0" w:space="0" w:color="auto"/>
          </w:divBdr>
        </w:div>
      </w:divsChild>
    </w:div>
    <w:div w:id="1392581345">
      <w:marLeft w:val="0"/>
      <w:marRight w:val="0"/>
      <w:marTop w:val="0"/>
      <w:marBottom w:val="180"/>
      <w:divBdr>
        <w:top w:val="none" w:sz="0" w:space="0" w:color="auto"/>
        <w:left w:val="none" w:sz="0" w:space="0" w:color="auto"/>
        <w:bottom w:val="none" w:sz="0" w:space="0" w:color="auto"/>
        <w:right w:val="none" w:sz="0" w:space="0" w:color="auto"/>
      </w:divBdr>
    </w:div>
    <w:div w:id="1397120784">
      <w:marLeft w:val="0"/>
      <w:marRight w:val="0"/>
      <w:marTop w:val="0"/>
      <w:marBottom w:val="0"/>
      <w:divBdr>
        <w:top w:val="none" w:sz="0" w:space="0" w:color="auto"/>
        <w:left w:val="none" w:sz="0" w:space="0" w:color="auto"/>
        <w:bottom w:val="none" w:sz="0" w:space="0" w:color="auto"/>
        <w:right w:val="none" w:sz="0" w:space="0" w:color="auto"/>
      </w:divBdr>
    </w:div>
    <w:div w:id="1406142204">
      <w:marLeft w:val="0"/>
      <w:marRight w:val="0"/>
      <w:marTop w:val="0"/>
      <w:marBottom w:val="0"/>
      <w:divBdr>
        <w:top w:val="none" w:sz="0" w:space="0" w:color="auto"/>
        <w:left w:val="none" w:sz="0" w:space="0" w:color="auto"/>
        <w:bottom w:val="none" w:sz="0" w:space="0" w:color="auto"/>
        <w:right w:val="none" w:sz="0" w:space="0" w:color="auto"/>
      </w:divBdr>
      <w:divsChild>
        <w:div w:id="1166749665">
          <w:marLeft w:val="0"/>
          <w:marRight w:val="0"/>
          <w:marTop w:val="0"/>
          <w:marBottom w:val="0"/>
          <w:divBdr>
            <w:top w:val="none" w:sz="0" w:space="0" w:color="auto"/>
            <w:left w:val="none" w:sz="0" w:space="0" w:color="auto"/>
            <w:bottom w:val="none" w:sz="0" w:space="0" w:color="auto"/>
            <w:right w:val="none" w:sz="0" w:space="0" w:color="auto"/>
          </w:divBdr>
        </w:div>
      </w:divsChild>
    </w:div>
    <w:div w:id="1408110144">
      <w:marLeft w:val="0"/>
      <w:marRight w:val="0"/>
      <w:marTop w:val="0"/>
      <w:marBottom w:val="0"/>
      <w:divBdr>
        <w:top w:val="none" w:sz="0" w:space="0" w:color="auto"/>
        <w:left w:val="none" w:sz="0" w:space="0" w:color="auto"/>
        <w:bottom w:val="none" w:sz="0" w:space="0" w:color="auto"/>
        <w:right w:val="none" w:sz="0" w:space="0" w:color="auto"/>
      </w:divBdr>
      <w:divsChild>
        <w:div w:id="1655066635">
          <w:marLeft w:val="0"/>
          <w:marRight w:val="0"/>
          <w:marTop w:val="0"/>
          <w:marBottom w:val="0"/>
          <w:divBdr>
            <w:top w:val="none" w:sz="0" w:space="0" w:color="auto"/>
            <w:left w:val="none" w:sz="0" w:space="0" w:color="auto"/>
            <w:bottom w:val="none" w:sz="0" w:space="0" w:color="auto"/>
            <w:right w:val="none" w:sz="0" w:space="0" w:color="auto"/>
          </w:divBdr>
        </w:div>
      </w:divsChild>
    </w:div>
    <w:div w:id="1410691103">
      <w:marLeft w:val="0"/>
      <w:marRight w:val="0"/>
      <w:marTop w:val="0"/>
      <w:marBottom w:val="0"/>
      <w:divBdr>
        <w:top w:val="none" w:sz="0" w:space="0" w:color="auto"/>
        <w:left w:val="none" w:sz="0" w:space="0" w:color="auto"/>
        <w:bottom w:val="none" w:sz="0" w:space="0" w:color="auto"/>
        <w:right w:val="none" w:sz="0" w:space="0" w:color="auto"/>
      </w:divBdr>
      <w:divsChild>
        <w:div w:id="1174295633">
          <w:marLeft w:val="0"/>
          <w:marRight w:val="0"/>
          <w:marTop w:val="0"/>
          <w:marBottom w:val="0"/>
          <w:divBdr>
            <w:top w:val="none" w:sz="0" w:space="0" w:color="auto"/>
            <w:left w:val="none" w:sz="0" w:space="0" w:color="auto"/>
            <w:bottom w:val="none" w:sz="0" w:space="0" w:color="auto"/>
            <w:right w:val="none" w:sz="0" w:space="0" w:color="auto"/>
          </w:divBdr>
        </w:div>
      </w:divsChild>
    </w:div>
    <w:div w:id="1411122860">
      <w:marLeft w:val="0"/>
      <w:marRight w:val="0"/>
      <w:marTop w:val="0"/>
      <w:marBottom w:val="0"/>
      <w:divBdr>
        <w:top w:val="none" w:sz="0" w:space="0" w:color="auto"/>
        <w:left w:val="none" w:sz="0" w:space="0" w:color="auto"/>
        <w:bottom w:val="none" w:sz="0" w:space="0" w:color="auto"/>
        <w:right w:val="none" w:sz="0" w:space="0" w:color="auto"/>
      </w:divBdr>
      <w:divsChild>
        <w:div w:id="839588187">
          <w:marLeft w:val="0"/>
          <w:marRight w:val="0"/>
          <w:marTop w:val="0"/>
          <w:marBottom w:val="0"/>
          <w:divBdr>
            <w:top w:val="none" w:sz="0" w:space="0" w:color="auto"/>
            <w:left w:val="none" w:sz="0" w:space="0" w:color="auto"/>
            <w:bottom w:val="none" w:sz="0" w:space="0" w:color="auto"/>
            <w:right w:val="none" w:sz="0" w:space="0" w:color="auto"/>
          </w:divBdr>
        </w:div>
      </w:divsChild>
    </w:div>
    <w:div w:id="1419516877">
      <w:marLeft w:val="0"/>
      <w:marRight w:val="0"/>
      <w:marTop w:val="0"/>
      <w:marBottom w:val="0"/>
      <w:divBdr>
        <w:top w:val="none" w:sz="0" w:space="0" w:color="auto"/>
        <w:left w:val="none" w:sz="0" w:space="0" w:color="auto"/>
        <w:bottom w:val="none" w:sz="0" w:space="0" w:color="auto"/>
        <w:right w:val="none" w:sz="0" w:space="0" w:color="auto"/>
      </w:divBdr>
      <w:divsChild>
        <w:div w:id="1088572747">
          <w:marLeft w:val="0"/>
          <w:marRight w:val="0"/>
          <w:marTop w:val="0"/>
          <w:marBottom w:val="0"/>
          <w:divBdr>
            <w:top w:val="none" w:sz="0" w:space="0" w:color="auto"/>
            <w:left w:val="none" w:sz="0" w:space="0" w:color="auto"/>
            <w:bottom w:val="none" w:sz="0" w:space="0" w:color="auto"/>
            <w:right w:val="none" w:sz="0" w:space="0" w:color="auto"/>
          </w:divBdr>
        </w:div>
      </w:divsChild>
    </w:div>
    <w:div w:id="1423259094">
      <w:marLeft w:val="0"/>
      <w:marRight w:val="0"/>
      <w:marTop w:val="0"/>
      <w:marBottom w:val="0"/>
      <w:divBdr>
        <w:top w:val="none" w:sz="0" w:space="0" w:color="auto"/>
        <w:left w:val="none" w:sz="0" w:space="0" w:color="auto"/>
        <w:bottom w:val="none" w:sz="0" w:space="0" w:color="auto"/>
        <w:right w:val="none" w:sz="0" w:space="0" w:color="auto"/>
      </w:divBdr>
      <w:divsChild>
        <w:div w:id="953630947">
          <w:marLeft w:val="0"/>
          <w:marRight w:val="0"/>
          <w:marTop w:val="0"/>
          <w:marBottom w:val="0"/>
          <w:divBdr>
            <w:top w:val="none" w:sz="0" w:space="0" w:color="auto"/>
            <w:left w:val="none" w:sz="0" w:space="0" w:color="auto"/>
            <w:bottom w:val="none" w:sz="0" w:space="0" w:color="auto"/>
            <w:right w:val="none" w:sz="0" w:space="0" w:color="auto"/>
          </w:divBdr>
        </w:div>
      </w:divsChild>
    </w:div>
    <w:div w:id="1430420310">
      <w:marLeft w:val="0"/>
      <w:marRight w:val="0"/>
      <w:marTop w:val="0"/>
      <w:marBottom w:val="120"/>
      <w:divBdr>
        <w:top w:val="none" w:sz="0" w:space="0" w:color="auto"/>
        <w:left w:val="none" w:sz="0" w:space="0" w:color="auto"/>
        <w:bottom w:val="none" w:sz="0" w:space="0" w:color="auto"/>
        <w:right w:val="none" w:sz="0" w:space="0" w:color="auto"/>
      </w:divBdr>
    </w:div>
    <w:div w:id="1435517116">
      <w:marLeft w:val="0"/>
      <w:marRight w:val="0"/>
      <w:marTop w:val="0"/>
      <w:marBottom w:val="0"/>
      <w:divBdr>
        <w:top w:val="none" w:sz="0" w:space="0" w:color="auto"/>
        <w:left w:val="none" w:sz="0" w:space="0" w:color="auto"/>
        <w:bottom w:val="none" w:sz="0" w:space="0" w:color="auto"/>
        <w:right w:val="none" w:sz="0" w:space="0" w:color="auto"/>
      </w:divBdr>
    </w:div>
    <w:div w:id="1448698983">
      <w:marLeft w:val="0"/>
      <w:marRight w:val="0"/>
      <w:marTop w:val="0"/>
      <w:marBottom w:val="0"/>
      <w:divBdr>
        <w:top w:val="none" w:sz="0" w:space="0" w:color="auto"/>
        <w:left w:val="none" w:sz="0" w:space="0" w:color="auto"/>
        <w:bottom w:val="none" w:sz="0" w:space="0" w:color="auto"/>
        <w:right w:val="none" w:sz="0" w:space="0" w:color="auto"/>
      </w:divBdr>
    </w:div>
    <w:div w:id="1451047929">
      <w:marLeft w:val="0"/>
      <w:marRight w:val="0"/>
      <w:marTop w:val="0"/>
      <w:marBottom w:val="0"/>
      <w:divBdr>
        <w:top w:val="none" w:sz="0" w:space="0" w:color="auto"/>
        <w:left w:val="none" w:sz="0" w:space="0" w:color="auto"/>
        <w:bottom w:val="none" w:sz="0" w:space="0" w:color="auto"/>
        <w:right w:val="none" w:sz="0" w:space="0" w:color="auto"/>
      </w:divBdr>
    </w:div>
    <w:div w:id="1458258470">
      <w:marLeft w:val="0"/>
      <w:marRight w:val="0"/>
      <w:marTop w:val="100"/>
      <w:marBottom w:val="280"/>
      <w:divBdr>
        <w:top w:val="none" w:sz="0" w:space="0" w:color="auto"/>
        <w:left w:val="none" w:sz="0" w:space="0" w:color="auto"/>
        <w:bottom w:val="none" w:sz="0" w:space="0" w:color="auto"/>
        <w:right w:val="none" w:sz="0" w:space="0" w:color="auto"/>
      </w:divBdr>
    </w:div>
    <w:div w:id="1467506299">
      <w:marLeft w:val="0"/>
      <w:marRight w:val="0"/>
      <w:marTop w:val="0"/>
      <w:marBottom w:val="180"/>
      <w:divBdr>
        <w:top w:val="none" w:sz="0" w:space="0" w:color="auto"/>
        <w:left w:val="none" w:sz="0" w:space="0" w:color="auto"/>
        <w:bottom w:val="none" w:sz="0" w:space="0" w:color="auto"/>
        <w:right w:val="none" w:sz="0" w:space="0" w:color="auto"/>
      </w:divBdr>
    </w:div>
    <w:div w:id="1472090853">
      <w:marLeft w:val="0"/>
      <w:marRight w:val="0"/>
      <w:marTop w:val="100"/>
      <w:marBottom w:val="100"/>
      <w:divBdr>
        <w:top w:val="none" w:sz="0" w:space="0" w:color="auto"/>
        <w:left w:val="none" w:sz="0" w:space="0" w:color="auto"/>
        <w:bottom w:val="none" w:sz="0" w:space="0" w:color="auto"/>
        <w:right w:val="none" w:sz="0" w:space="0" w:color="auto"/>
      </w:divBdr>
    </w:div>
    <w:div w:id="1481120906">
      <w:marLeft w:val="0"/>
      <w:marRight w:val="0"/>
      <w:marTop w:val="0"/>
      <w:marBottom w:val="0"/>
      <w:divBdr>
        <w:top w:val="none" w:sz="0" w:space="0" w:color="auto"/>
        <w:left w:val="none" w:sz="0" w:space="0" w:color="auto"/>
        <w:bottom w:val="none" w:sz="0" w:space="0" w:color="auto"/>
        <w:right w:val="none" w:sz="0" w:space="0" w:color="auto"/>
      </w:divBdr>
    </w:div>
    <w:div w:id="1488129145">
      <w:marLeft w:val="0"/>
      <w:marRight w:val="0"/>
      <w:marTop w:val="0"/>
      <w:marBottom w:val="180"/>
      <w:divBdr>
        <w:top w:val="none" w:sz="0" w:space="0" w:color="auto"/>
        <w:left w:val="none" w:sz="0" w:space="0" w:color="auto"/>
        <w:bottom w:val="none" w:sz="0" w:space="0" w:color="auto"/>
        <w:right w:val="none" w:sz="0" w:space="0" w:color="auto"/>
      </w:divBdr>
    </w:div>
    <w:div w:id="1494957279">
      <w:marLeft w:val="0"/>
      <w:marRight w:val="0"/>
      <w:marTop w:val="0"/>
      <w:marBottom w:val="0"/>
      <w:divBdr>
        <w:top w:val="none" w:sz="0" w:space="0" w:color="auto"/>
        <w:left w:val="none" w:sz="0" w:space="0" w:color="auto"/>
        <w:bottom w:val="none" w:sz="0" w:space="0" w:color="auto"/>
        <w:right w:val="none" w:sz="0" w:space="0" w:color="auto"/>
      </w:divBdr>
      <w:divsChild>
        <w:div w:id="2037582040">
          <w:marLeft w:val="0"/>
          <w:marRight w:val="0"/>
          <w:marTop w:val="0"/>
          <w:marBottom w:val="0"/>
          <w:divBdr>
            <w:top w:val="none" w:sz="0" w:space="0" w:color="auto"/>
            <w:left w:val="none" w:sz="0" w:space="0" w:color="auto"/>
            <w:bottom w:val="none" w:sz="0" w:space="0" w:color="auto"/>
            <w:right w:val="none" w:sz="0" w:space="0" w:color="auto"/>
          </w:divBdr>
        </w:div>
      </w:divsChild>
    </w:div>
    <w:div w:id="1498643589">
      <w:marLeft w:val="0"/>
      <w:marRight w:val="0"/>
      <w:marTop w:val="0"/>
      <w:marBottom w:val="180"/>
      <w:divBdr>
        <w:top w:val="none" w:sz="0" w:space="0" w:color="auto"/>
        <w:left w:val="none" w:sz="0" w:space="0" w:color="auto"/>
        <w:bottom w:val="none" w:sz="0" w:space="0" w:color="auto"/>
        <w:right w:val="none" w:sz="0" w:space="0" w:color="auto"/>
      </w:divBdr>
    </w:div>
    <w:div w:id="1501316076">
      <w:marLeft w:val="0"/>
      <w:marRight w:val="0"/>
      <w:marTop w:val="0"/>
      <w:marBottom w:val="180"/>
      <w:divBdr>
        <w:top w:val="none" w:sz="0" w:space="0" w:color="auto"/>
        <w:left w:val="none" w:sz="0" w:space="0" w:color="auto"/>
        <w:bottom w:val="none" w:sz="0" w:space="0" w:color="auto"/>
        <w:right w:val="none" w:sz="0" w:space="0" w:color="auto"/>
      </w:divBdr>
    </w:div>
    <w:div w:id="1516384364">
      <w:marLeft w:val="0"/>
      <w:marRight w:val="0"/>
      <w:marTop w:val="0"/>
      <w:marBottom w:val="0"/>
      <w:divBdr>
        <w:top w:val="none" w:sz="0" w:space="0" w:color="auto"/>
        <w:left w:val="none" w:sz="0" w:space="0" w:color="auto"/>
        <w:bottom w:val="none" w:sz="0" w:space="0" w:color="auto"/>
        <w:right w:val="none" w:sz="0" w:space="0" w:color="auto"/>
      </w:divBdr>
    </w:div>
    <w:div w:id="1520049488">
      <w:marLeft w:val="0"/>
      <w:marRight w:val="0"/>
      <w:marTop w:val="0"/>
      <w:marBottom w:val="0"/>
      <w:divBdr>
        <w:top w:val="none" w:sz="0" w:space="0" w:color="auto"/>
        <w:left w:val="none" w:sz="0" w:space="0" w:color="auto"/>
        <w:bottom w:val="none" w:sz="0" w:space="0" w:color="auto"/>
        <w:right w:val="none" w:sz="0" w:space="0" w:color="auto"/>
      </w:divBdr>
    </w:div>
    <w:div w:id="1531412053">
      <w:marLeft w:val="0"/>
      <w:marRight w:val="0"/>
      <w:marTop w:val="0"/>
      <w:marBottom w:val="320"/>
      <w:divBdr>
        <w:top w:val="none" w:sz="0" w:space="0" w:color="auto"/>
        <w:left w:val="none" w:sz="0" w:space="0" w:color="auto"/>
        <w:bottom w:val="none" w:sz="0" w:space="0" w:color="auto"/>
        <w:right w:val="none" w:sz="0" w:space="0" w:color="auto"/>
      </w:divBdr>
    </w:div>
    <w:div w:id="1535272095">
      <w:marLeft w:val="0"/>
      <w:marRight w:val="0"/>
      <w:marTop w:val="0"/>
      <w:marBottom w:val="180"/>
      <w:divBdr>
        <w:top w:val="none" w:sz="0" w:space="0" w:color="auto"/>
        <w:left w:val="none" w:sz="0" w:space="0" w:color="auto"/>
        <w:bottom w:val="none" w:sz="0" w:space="0" w:color="auto"/>
        <w:right w:val="none" w:sz="0" w:space="0" w:color="auto"/>
      </w:divBdr>
    </w:div>
    <w:div w:id="1538543474">
      <w:marLeft w:val="0"/>
      <w:marRight w:val="0"/>
      <w:marTop w:val="180"/>
      <w:marBottom w:val="0"/>
      <w:divBdr>
        <w:top w:val="none" w:sz="0" w:space="0" w:color="auto"/>
        <w:left w:val="none" w:sz="0" w:space="0" w:color="auto"/>
        <w:bottom w:val="none" w:sz="0" w:space="0" w:color="auto"/>
        <w:right w:val="none" w:sz="0" w:space="0" w:color="auto"/>
      </w:divBdr>
    </w:div>
    <w:div w:id="1542665284">
      <w:marLeft w:val="0"/>
      <w:marRight w:val="0"/>
      <w:marTop w:val="0"/>
      <w:marBottom w:val="0"/>
      <w:divBdr>
        <w:top w:val="none" w:sz="0" w:space="0" w:color="auto"/>
        <w:left w:val="none" w:sz="0" w:space="0" w:color="auto"/>
        <w:bottom w:val="none" w:sz="0" w:space="0" w:color="auto"/>
        <w:right w:val="none" w:sz="0" w:space="0" w:color="auto"/>
      </w:divBdr>
    </w:div>
    <w:div w:id="1549219984">
      <w:marLeft w:val="0"/>
      <w:marRight w:val="0"/>
      <w:marTop w:val="0"/>
      <w:marBottom w:val="280"/>
      <w:divBdr>
        <w:top w:val="none" w:sz="0" w:space="0" w:color="auto"/>
        <w:left w:val="none" w:sz="0" w:space="0" w:color="auto"/>
        <w:bottom w:val="none" w:sz="0" w:space="0" w:color="auto"/>
        <w:right w:val="none" w:sz="0" w:space="0" w:color="auto"/>
      </w:divBdr>
    </w:div>
    <w:div w:id="1550528605">
      <w:marLeft w:val="0"/>
      <w:marRight w:val="0"/>
      <w:marTop w:val="100"/>
      <w:marBottom w:val="280"/>
      <w:divBdr>
        <w:top w:val="none" w:sz="0" w:space="0" w:color="auto"/>
        <w:left w:val="none" w:sz="0" w:space="0" w:color="auto"/>
        <w:bottom w:val="none" w:sz="0" w:space="0" w:color="auto"/>
        <w:right w:val="none" w:sz="0" w:space="0" w:color="auto"/>
      </w:divBdr>
    </w:div>
    <w:div w:id="1550530330">
      <w:marLeft w:val="0"/>
      <w:marRight w:val="0"/>
      <w:marTop w:val="0"/>
      <w:marBottom w:val="180"/>
      <w:divBdr>
        <w:top w:val="none" w:sz="0" w:space="0" w:color="auto"/>
        <w:left w:val="none" w:sz="0" w:space="0" w:color="auto"/>
        <w:bottom w:val="none" w:sz="0" w:space="0" w:color="auto"/>
        <w:right w:val="none" w:sz="0" w:space="0" w:color="auto"/>
      </w:divBdr>
    </w:div>
    <w:div w:id="1554780011">
      <w:marLeft w:val="0"/>
      <w:marRight w:val="0"/>
      <w:marTop w:val="100"/>
      <w:marBottom w:val="280"/>
      <w:divBdr>
        <w:top w:val="none" w:sz="0" w:space="0" w:color="auto"/>
        <w:left w:val="none" w:sz="0" w:space="0" w:color="auto"/>
        <w:bottom w:val="none" w:sz="0" w:space="0" w:color="auto"/>
        <w:right w:val="none" w:sz="0" w:space="0" w:color="auto"/>
      </w:divBdr>
      <w:divsChild>
        <w:div w:id="1054543133">
          <w:marLeft w:val="0"/>
          <w:marRight w:val="0"/>
          <w:marTop w:val="0"/>
          <w:marBottom w:val="0"/>
          <w:divBdr>
            <w:top w:val="none" w:sz="0" w:space="0" w:color="auto"/>
            <w:left w:val="none" w:sz="0" w:space="0" w:color="auto"/>
            <w:bottom w:val="none" w:sz="0" w:space="0" w:color="auto"/>
            <w:right w:val="none" w:sz="0" w:space="0" w:color="auto"/>
          </w:divBdr>
        </w:div>
      </w:divsChild>
    </w:div>
    <w:div w:id="1557818118">
      <w:marLeft w:val="0"/>
      <w:marRight w:val="0"/>
      <w:marTop w:val="0"/>
      <w:marBottom w:val="0"/>
      <w:divBdr>
        <w:top w:val="none" w:sz="0" w:space="0" w:color="auto"/>
        <w:left w:val="none" w:sz="0" w:space="0" w:color="auto"/>
        <w:bottom w:val="none" w:sz="0" w:space="0" w:color="auto"/>
        <w:right w:val="none" w:sz="0" w:space="0" w:color="auto"/>
      </w:divBdr>
      <w:divsChild>
        <w:div w:id="306469760">
          <w:marLeft w:val="0"/>
          <w:marRight w:val="0"/>
          <w:marTop w:val="0"/>
          <w:marBottom w:val="0"/>
          <w:divBdr>
            <w:top w:val="none" w:sz="0" w:space="0" w:color="auto"/>
            <w:left w:val="none" w:sz="0" w:space="0" w:color="auto"/>
            <w:bottom w:val="none" w:sz="0" w:space="0" w:color="auto"/>
            <w:right w:val="none" w:sz="0" w:space="0" w:color="auto"/>
          </w:divBdr>
        </w:div>
      </w:divsChild>
    </w:div>
    <w:div w:id="1558588808">
      <w:marLeft w:val="0"/>
      <w:marRight w:val="0"/>
      <w:marTop w:val="0"/>
      <w:marBottom w:val="0"/>
      <w:divBdr>
        <w:top w:val="none" w:sz="0" w:space="0" w:color="auto"/>
        <w:left w:val="none" w:sz="0" w:space="0" w:color="auto"/>
        <w:bottom w:val="none" w:sz="0" w:space="0" w:color="auto"/>
        <w:right w:val="none" w:sz="0" w:space="0" w:color="auto"/>
      </w:divBdr>
      <w:divsChild>
        <w:div w:id="2088766811">
          <w:marLeft w:val="0"/>
          <w:marRight w:val="0"/>
          <w:marTop w:val="0"/>
          <w:marBottom w:val="0"/>
          <w:divBdr>
            <w:top w:val="none" w:sz="0" w:space="0" w:color="auto"/>
            <w:left w:val="none" w:sz="0" w:space="0" w:color="auto"/>
            <w:bottom w:val="none" w:sz="0" w:space="0" w:color="auto"/>
            <w:right w:val="none" w:sz="0" w:space="0" w:color="auto"/>
          </w:divBdr>
        </w:div>
      </w:divsChild>
    </w:div>
    <w:div w:id="1578250887">
      <w:marLeft w:val="0"/>
      <w:marRight w:val="0"/>
      <w:marTop w:val="0"/>
      <w:marBottom w:val="180"/>
      <w:divBdr>
        <w:top w:val="none" w:sz="0" w:space="0" w:color="auto"/>
        <w:left w:val="none" w:sz="0" w:space="0" w:color="auto"/>
        <w:bottom w:val="none" w:sz="0" w:space="0" w:color="auto"/>
        <w:right w:val="none" w:sz="0" w:space="0" w:color="auto"/>
      </w:divBdr>
    </w:div>
    <w:div w:id="1580476934">
      <w:marLeft w:val="0"/>
      <w:marRight w:val="0"/>
      <w:marTop w:val="0"/>
      <w:marBottom w:val="0"/>
      <w:divBdr>
        <w:top w:val="none" w:sz="0" w:space="0" w:color="auto"/>
        <w:left w:val="none" w:sz="0" w:space="0" w:color="auto"/>
        <w:bottom w:val="none" w:sz="0" w:space="0" w:color="auto"/>
        <w:right w:val="none" w:sz="0" w:space="0" w:color="auto"/>
      </w:divBdr>
      <w:divsChild>
        <w:div w:id="2090081224">
          <w:marLeft w:val="0"/>
          <w:marRight w:val="0"/>
          <w:marTop w:val="0"/>
          <w:marBottom w:val="0"/>
          <w:divBdr>
            <w:top w:val="none" w:sz="0" w:space="0" w:color="auto"/>
            <w:left w:val="none" w:sz="0" w:space="0" w:color="auto"/>
            <w:bottom w:val="none" w:sz="0" w:space="0" w:color="auto"/>
            <w:right w:val="none" w:sz="0" w:space="0" w:color="auto"/>
          </w:divBdr>
        </w:div>
      </w:divsChild>
    </w:div>
    <w:div w:id="1584684154">
      <w:marLeft w:val="0"/>
      <w:marRight w:val="0"/>
      <w:marTop w:val="0"/>
      <w:marBottom w:val="0"/>
      <w:divBdr>
        <w:top w:val="none" w:sz="0" w:space="0" w:color="auto"/>
        <w:left w:val="none" w:sz="0" w:space="0" w:color="auto"/>
        <w:bottom w:val="none" w:sz="0" w:space="0" w:color="auto"/>
        <w:right w:val="none" w:sz="0" w:space="0" w:color="auto"/>
      </w:divBdr>
    </w:div>
    <w:div w:id="1594778618">
      <w:marLeft w:val="0"/>
      <w:marRight w:val="0"/>
      <w:marTop w:val="0"/>
      <w:marBottom w:val="0"/>
      <w:divBdr>
        <w:top w:val="none" w:sz="0" w:space="0" w:color="auto"/>
        <w:left w:val="none" w:sz="0" w:space="0" w:color="auto"/>
        <w:bottom w:val="none" w:sz="0" w:space="0" w:color="auto"/>
        <w:right w:val="none" w:sz="0" w:space="0" w:color="auto"/>
      </w:divBdr>
      <w:divsChild>
        <w:div w:id="357389390">
          <w:marLeft w:val="0"/>
          <w:marRight w:val="0"/>
          <w:marTop w:val="0"/>
          <w:marBottom w:val="0"/>
          <w:divBdr>
            <w:top w:val="none" w:sz="0" w:space="0" w:color="auto"/>
            <w:left w:val="none" w:sz="0" w:space="0" w:color="auto"/>
            <w:bottom w:val="none" w:sz="0" w:space="0" w:color="auto"/>
            <w:right w:val="none" w:sz="0" w:space="0" w:color="auto"/>
          </w:divBdr>
        </w:div>
      </w:divsChild>
    </w:div>
    <w:div w:id="1605266005">
      <w:marLeft w:val="0"/>
      <w:marRight w:val="0"/>
      <w:marTop w:val="0"/>
      <w:marBottom w:val="0"/>
      <w:divBdr>
        <w:top w:val="none" w:sz="0" w:space="0" w:color="auto"/>
        <w:left w:val="none" w:sz="0" w:space="0" w:color="auto"/>
        <w:bottom w:val="none" w:sz="0" w:space="0" w:color="auto"/>
        <w:right w:val="none" w:sz="0" w:space="0" w:color="auto"/>
      </w:divBdr>
    </w:div>
    <w:div w:id="1614481533">
      <w:marLeft w:val="0"/>
      <w:marRight w:val="0"/>
      <w:marTop w:val="0"/>
      <w:marBottom w:val="0"/>
      <w:divBdr>
        <w:top w:val="none" w:sz="0" w:space="0" w:color="auto"/>
        <w:left w:val="none" w:sz="0" w:space="0" w:color="auto"/>
        <w:bottom w:val="none" w:sz="0" w:space="0" w:color="auto"/>
        <w:right w:val="none" w:sz="0" w:space="0" w:color="auto"/>
      </w:divBdr>
    </w:div>
    <w:div w:id="1616446147">
      <w:marLeft w:val="0"/>
      <w:marRight w:val="0"/>
      <w:marTop w:val="0"/>
      <w:marBottom w:val="280"/>
      <w:divBdr>
        <w:top w:val="none" w:sz="0" w:space="0" w:color="auto"/>
        <w:left w:val="none" w:sz="0" w:space="0" w:color="auto"/>
        <w:bottom w:val="none" w:sz="0" w:space="0" w:color="auto"/>
        <w:right w:val="none" w:sz="0" w:space="0" w:color="auto"/>
      </w:divBdr>
    </w:div>
    <w:div w:id="1620988471">
      <w:marLeft w:val="0"/>
      <w:marRight w:val="0"/>
      <w:marTop w:val="0"/>
      <w:marBottom w:val="0"/>
      <w:divBdr>
        <w:top w:val="none" w:sz="0" w:space="0" w:color="auto"/>
        <w:left w:val="none" w:sz="0" w:space="0" w:color="auto"/>
        <w:bottom w:val="none" w:sz="0" w:space="0" w:color="auto"/>
        <w:right w:val="none" w:sz="0" w:space="0" w:color="auto"/>
      </w:divBdr>
    </w:div>
    <w:div w:id="1622304688">
      <w:marLeft w:val="0"/>
      <w:marRight w:val="0"/>
      <w:marTop w:val="0"/>
      <w:marBottom w:val="0"/>
      <w:divBdr>
        <w:top w:val="none" w:sz="0" w:space="0" w:color="auto"/>
        <w:left w:val="none" w:sz="0" w:space="0" w:color="auto"/>
        <w:bottom w:val="none" w:sz="0" w:space="0" w:color="auto"/>
        <w:right w:val="none" w:sz="0" w:space="0" w:color="auto"/>
      </w:divBdr>
      <w:divsChild>
        <w:div w:id="1928540593">
          <w:marLeft w:val="0"/>
          <w:marRight w:val="0"/>
          <w:marTop w:val="0"/>
          <w:marBottom w:val="0"/>
          <w:divBdr>
            <w:top w:val="none" w:sz="0" w:space="0" w:color="auto"/>
            <w:left w:val="none" w:sz="0" w:space="0" w:color="auto"/>
            <w:bottom w:val="none" w:sz="0" w:space="0" w:color="auto"/>
            <w:right w:val="none" w:sz="0" w:space="0" w:color="auto"/>
          </w:divBdr>
        </w:div>
      </w:divsChild>
    </w:div>
    <w:div w:id="1628705896">
      <w:marLeft w:val="0"/>
      <w:marRight w:val="0"/>
      <w:marTop w:val="180"/>
      <w:marBottom w:val="0"/>
      <w:divBdr>
        <w:top w:val="none" w:sz="0" w:space="0" w:color="auto"/>
        <w:left w:val="none" w:sz="0" w:space="0" w:color="auto"/>
        <w:bottom w:val="none" w:sz="0" w:space="0" w:color="auto"/>
        <w:right w:val="none" w:sz="0" w:space="0" w:color="auto"/>
      </w:divBdr>
    </w:div>
    <w:div w:id="1631790384">
      <w:marLeft w:val="0"/>
      <w:marRight w:val="0"/>
      <w:marTop w:val="0"/>
      <w:marBottom w:val="0"/>
      <w:divBdr>
        <w:top w:val="none" w:sz="0" w:space="0" w:color="auto"/>
        <w:left w:val="none" w:sz="0" w:space="0" w:color="auto"/>
        <w:bottom w:val="none" w:sz="0" w:space="0" w:color="auto"/>
        <w:right w:val="none" w:sz="0" w:space="0" w:color="auto"/>
      </w:divBdr>
    </w:div>
    <w:div w:id="1634798005">
      <w:marLeft w:val="0"/>
      <w:marRight w:val="0"/>
      <w:marTop w:val="0"/>
      <w:marBottom w:val="180"/>
      <w:divBdr>
        <w:top w:val="none" w:sz="0" w:space="0" w:color="auto"/>
        <w:left w:val="none" w:sz="0" w:space="0" w:color="auto"/>
        <w:bottom w:val="none" w:sz="0" w:space="0" w:color="auto"/>
        <w:right w:val="none" w:sz="0" w:space="0" w:color="auto"/>
      </w:divBdr>
    </w:div>
    <w:div w:id="1636569371">
      <w:marLeft w:val="0"/>
      <w:marRight w:val="0"/>
      <w:marTop w:val="0"/>
      <w:marBottom w:val="0"/>
      <w:divBdr>
        <w:top w:val="none" w:sz="0" w:space="0" w:color="auto"/>
        <w:left w:val="none" w:sz="0" w:space="0" w:color="auto"/>
        <w:bottom w:val="none" w:sz="0" w:space="0" w:color="auto"/>
        <w:right w:val="none" w:sz="0" w:space="0" w:color="auto"/>
      </w:divBdr>
      <w:divsChild>
        <w:div w:id="1607884045">
          <w:marLeft w:val="0"/>
          <w:marRight w:val="0"/>
          <w:marTop w:val="0"/>
          <w:marBottom w:val="0"/>
          <w:divBdr>
            <w:top w:val="none" w:sz="0" w:space="0" w:color="auto"/>
            <w:left w:val="none" w:sz="0" w:space="0" w:color="auto"/>
            <w:bottom w:val="none" w:sz="0" w:space="0" w:color="auto"/>
            <w:right w:val="none" w:sz="0" w:space="0" w:color="auto"/>
          </w:divBdr>
          <w:divsChild>
            <w:div w:id="101962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222">
      <w:marLeft w:val="0"/>
      <w:marRight w:val="0"/>
      <w:marTop w:val="180"/>
      <w:marBottom w:val="0"/>
      <w:divBdr>
        <w:top w:val="none" w:sz="0" w:space="0" w:color="auto"/>
        <w:left w:val="none" w:sz="0" w:space="0" w:color="auto"/>
        <w:bottom w:val="none" w:sz="0" w:space="0" w:color="auto"/>
        <w:right w:val="none" w:sz="0" w:space="0" w:color="auto"/>
      </w:divBdr>
    </w:div>
    <w:div w:id="1643732583">
      <w:marLeft w:val="0"/>
      <w:marRight w:val="0"/>
      <w:marTop w:val="100"/>
      <w:marBottom w:val="320"/>
      <w:divBdr>
        <w:top w:val="none" w:sz="0" w:space="0" w:color="auto"/>
        <w:left w:val="none" w:sz="0" w:space="0" w:color="auto"/>
        <w:bottom w:val="none" w:sz="0" w:space="0" w:color="auto"/>
        <w:right w:val="none" w:sz="0" w:space="0" w:color="auto"/>
      </w:divBdr>
      <w:divsChild>
        <w:div w:id="1762990900">
          <w:marLeft w:val="0"/>
          <w:marRight w:val="0"/>
          <w:marTop w:val="0"/>
          <w:marBottom w:val="0"/>
          <w:divBdr>
            <w:top w:val="none" w:sz="0" w:space="0" w:color="auto"/>
            <w:left w:val="none" w:sz="0" w:space="0" w:color="auto"/>
            <w:bottom w:val="none" w:sz="0" w:space="0" w:color="auto"/>
            <w:right w:val="none" w:sz="0" w:space="0" w:color="auto"/>
          </w:divBdr>
        </w:div>
        <w:div w:id="382296955">
          <w:marLeft w:val="0"/>
          <w:marRight w:val="0"/>
          <w:marTop w:val="0"/>
          <w:marBottom w:val="0"/>
          <w:divBdr>
            <w:top w:val="none" w:sz="0" w:space="0" w:color="auto"/>
            <w:left w:val="none" w:sz="0" w:space="0" w:color="auto"/>
            <w:bottom w:val="none" w:sz="0" w:space="0" w:color="auto"/>
            <w:right w:val="none" w:sz="0" w:space="0" w:color="auto"/>
          </w:divBdr>
        </w:div>
      </w:divsChild>
    </w:div>
    <w:div w:id="1649019446">
      <w:marLeft w:val="0"/>
      <w:marRight w:val="0"/>
      <w:marTop w:val="0"/>
      <w:marBottom w:val="0"/>
      <w:divBdr>
        <w:top w:val="none" w:sz="0" w:space="0" w:color="auto"/>
        <w:left w:val="none" w:sz="0" w:space="0" w:color="auto"/>
        <w:bottom w:val="none" w:sz="0" w:space="0" w:color="auto"/>
        <w:right w:val="none" w:sz="0" w:space="0" w:color="auto"/>
      </w:divBdr>
    </w:div>
    <w:div w:id="1649362031">
      <w:marLeft w:val="0"/>
      <w:marRight w:val="0"/>
      <w:marTop w:val="0"/>
      <w:marBottom w:val="0"/>
      <w:divBdr>
        <w:top w:val="none" w:sz="0" w:space="0" w:color="auto"/>
        <w:left w:val="none" w:sz="0" w:space="0" w:color="auto"/>
        <w:bottom w:val="none" w:sz="0" w:space="0" w:color="auto"/>
        <w:right w:val="none" w:sz="0" w:space="0" w:color="auto"/>
      </w:divBdr>
    </w:div>
    <w:div w:id="1649476143">
      <w:marLeft w:val="0"/>
      <w:marRight w:val="0"/>
      <w:marTop w:val="0"/>
      <w:marBottom w:val="0"/>
      <w:divBdr>
        <w:top w:val="none" w:sz="0" w:space="0" w:color="auto"/>
        <w:left w:val="none" w:sz="0" w:space="0" w:color="auto"/>
        <w:bottom w:val="none" w:sz="0" w:space="0" w:color="auto"/>
        <w:right w:val="none" w:sz="0" w:space="0" w:color="auto"/>
      </w:divBdr>
    </w:div>
    <w:div w:id="1650745287">
      <w:marLeft w:val="0"/>
      <w:marRight w:val="0"/>
      <w:marTop w:val="0"/>
      <w:marBottom w:val="0"/>
      <w:divBdr>
        <w:top w:val="none" w:sz="0" w:space="0" w:color="auto"/>
        <w:left w:val="none" w:sz="0" w:space="0" w:color="auto"/>
        <w:bottom w:val="none" w:sz="0" w:space="0" w:color="auto"/>
        <w:right w:val="none" w:sz="0" w:space="0" w:color="auto"/>
      </w:divBdr>
      <w:divsChild>
        <w:div w:id="1847746286">
          <w:marLeft w:val="0"/>
          <w:marRight w:val="0"/>
          <w:marTop w:val="0"/>
          <w:marBottom w:val="0"/>
          <w:divBdr>
            <w:top w:val="none" w:sz="0" w:space="0" w:color="auto"/>
            <w:left w:val="none" w:sz="0" w:space="0" w:color="auto"/>
            <w:bottom w:val="none" w:sz="0" w:space="0" w:color="auto"/>
            <w:right w:val="none" w:sz="0" w:space="0" w:color="auto"/>
          </w:divBdr>
        </w:div>
      </w:divsChild>
    </w:div>
    <w:div w:id="1655911606">
      <w:marLeft w:val="0"/>
      <w:marRight w:val="0"/>
      <w:marTop w:val="0"/>
      <w:marBottom w:val="0"/>
      <w:divBdr>
        <w:top w:val="none" w:sz="0" w:space="0" w:color="auto"/>
        <w:left w:val="none" w:sz="0" w:space="0" w:color="auto"/>
        <w:bottom w:val="none" w:sz="0" w:space="0" w:color="auto"/>
        <w:right w:val="none" w:sz="0" w:space="0" w:color="auto"/>
      </w:divBdr>
    </w:div>
    <w:div w:id="1663853977">
      <w:marLeft w:val="0"/>
      <w:marRight w:val="0"/>
      <w:marTop w:val="0"/>
      <w:marBottom w:val="0"/>
      <w:divBdr>
        <w:top w:val="none" w:sz="0" w:space="0" w:color="auto"/>
        <w:left w:val="none" w:sz="0" w:space="0" w:color="auto"/>
        <w:bottom w:val="none" w:sz="0" w:space="0" w:color="auto"/>
        <w:right w:val="none" w:sz="0" w:space="0" w:color="auto"/>
      </w:divBdr>
      <w:divsChild>
        <w:div w:id="770205075">
          <w:marLeft w:val="0"/>
          <w:marRight w:val="0"/>
          <w:marTop w:val="0"/>
          <w:marBottom w:val="0"/>
          <w:divBdr>
            <w:top w:val="none" w:sz="0" w:space="0" w:color="auto"/>
            <w:left w:val="none" w:sz="0" w:space="0" w:color="auto"/>
            <w:bottom w:val="none" w:sz="0" w:space="0" w:color="auto"/>
            <w:right w:val="none" w:sz="0" w:space="0" w:color="auto"/>
          </w:divBdr>
        </w:div>
      </w:divsChild>
    </w:div>
    <w:div w:id="1687290972">
      <w:marLeft w:val="0"/>
      <w:marRight w:val="0"/>
      <w:marTop w:val="0"/>
      <w:marBottom w:val="180"/>
      <w:divBdr>
        <w:top w:val="none" w:sz="0" w:space="0" w:color="auto"/>
        <w:left w:val="none" w:sz="0" w:space="0" w:color="auto"/>
        <w:bottom w:val="none" w:sz="0" w:space="0" w:color="auto"/>
        <w:right w:val="none" w:sz="0" w:space="0" w:color="auto"/>
      </w:divBdr>
    </w:div>
    <w:div w:id="1689722393">
      <w:marLeft w:val="0"/>
      <w:marRight w:val="0"/>
      <w:marTop w:val="0"/>
      <w:marBottom w:val="0"/>
      <w:divBdr>
        <w:top w:val="none" w:sz="0" w:space="0" w:color="auto"/>
        <w:left w:val="none" w:sz="0" w:space="0" w:color="auto"/>
        <w:bottom w:val="none" w:sz="0" w:space="0" w:color="auto"/>
        <w:right w:val="none" w:sz="0" w:space="0" w:color="auto"/>
      </w:divBdr>
    </w:div>
    <w:div w:id="1690714790">
      <w:marLeft w:val="0"/>
      <w:marRight w:val="0"/>
      <w:marTop w:val="0"/>
      <w:marBottom w:val="0"/>
      <w:divBdr>
        <w:top w:val="none" w:sz="0" w:space="0" w:color="auto"/>
        <w:left w:val="none" w:sz="0" w:space="0" w:color="auto"/>
        <w:bottom w:val="none" w:sz="0" w:space="0" w:color="auto"/>
        <w:right w:val="none" w:sz="0" w:space="0" w:color="auto"/>
      </w:divBdr>
    </w:div>
    <w:div w:id="1694763904">
      <w:marLeft w:val="0"/>
      <w:marRight w:val="0"/>
      <w:marTop w:val="0"/>
      <w:marBottom w:val="0"/>
      <w:divBdr>
        <w:top w:val="none" w:sz="0" w:space="0" w:color="auto"/>
        <w:left w:val="none" w:sz="0" w:space="0" w:color="auto"/>
        <w:bottom w:val="none" w:sz="0" w:space="0" w:color="auto"/>
        <w:right w:val="none" w:sz="0" w:space="0" w:color="auto"/>
      </w:divBdr>
    </w:div>
    <w:div w:id="1698237646">
      <w:marLeft w:val="0"/>
      <w:marRight w:val="0"/>
      <w:marTop w:val="100"/>
      <w:marBottom w:val="180"/>
      <w:divBdr>
        <w:top w:val="none" w:sz="0" w:space="0" w:color="auto"/>
        <w:left w:val="none" w:sz="0" w:space="0" w:color="auto"/>
        <w:bottom w:val="none" w:sz="0" w:space="0" w:color="auto"/>
        <w:right w:val="none" w:sz="0" w:space="0" w:color="auto"/>
      </w:divBdr>
    </w:div>
    <w:div w:id="1716461924">
      <w:marLeft w:val="0"/>
      <w:marRight w:val="0"/>
      <w:marTop w:val="0"/>
      <w:marBottom w:val="180"/>
      <w:divBdr>
        <w:top w:val="none" w:sz="0" w:space="0" w:color="auto"/>
        <w:left w:val="none" w:sz="0" w:space="0" w:color="auto"/>
        <w:bottom w:val="none" w:sz="0" w:space="0" w:color="auto"/>
        <w:right w:val="none" w:sz="0" w:space="0" w:color="auto"/>
      </w:divBdr>
    </w:div>
    <w:div w:id="1720130381">
      <w:marLeft w:val="0"/>
      <w:marRight w:val="0"/>
      <w:marTop w:val="0"/>
      <w:marBottom w:val="280"/>
      <w:divBdr>
        <w:top w:val="none" w:sz="0" w:space="0" w:color="auto"/>
        <w:left w:val="none" w:sz="0" w:space="0" w:color="auto"/>
        <w:bottom w:val="none" w:sz="0" w:space="0" w:color="auto"/>
        <w:right w:val="none" w:sz="0" w:space="0" w:color="auto"/>
      </w:divBdr>
    </w:div>
    <w:div w:id="1724018781">
      <w:marLeft w:val="0"/>
      <w:marRight w:val="0"/>
      <w:marTop w:val="0"/>
      <w:marBottom w:val="180"/>
      <w:divBdr>
        <w:top w:val="none" w:sz="0" w:space="0" w:color="auto"/>
        <w:left w:val="none" w:sz="0" w:space="0" w:color="auto"/>
        <w:bottom w:val="none" w:sz="0" w:space="0" w:color="auto"/>
        <w:right w:val="none" w:sz="0" w:space="0" w:color="auto"/>
      </w:divBdr>
    </w:div>
    <w:div w:id="1731270597">
      <w:marLeft w:val="0"/>
      <w:marRight w:val="0"/>
      <w:marTop w:val="0"/>
      <w:marBottom w:val="0"/>
      <w:divBdr>
        <w:top w:val="none" w:sz="0" w:space="0" w:color="auto"/>
        <w:left w:val="none" w:sz="0" w:space="0" w:color="auto"/>
        <w:bottom w:val="none" w:sz="0" w:space="0" w:color="auto"/>
        <w:right w:val="none" w:sz="0" w:space="0" w:color="auto"/>
      </w:divBdr>
    </w:div>
    <w:div w:id="1740981644">
      <w:marLeft w:val="0"/>
      <w:marRight w:val="0"/>
      <w:marTop w:val="0"/>
      <w:marBottom w:val="0"/>
      <w:divBdr>
        <w:top w:val="none" w:sz="0" w:space="0" w:color="auto"/>
        <w:left w:val="none" w:sz="0" w:space="0" w:color="auto"/>
        <w:bottom w:val="none" w:sz="0" w:space="0" w:color="auto"/>
        <w:right w:val="none" w:sz="0" w:space="0" w:color="auto"/>
      </w:divBdr>
      <w:divsChild>
        <w:div w:id="225646740">
          <w:marLeft w:val="0"/>
          <w:marRight w:val="0"/>
          <w:marTop w:val="0"/>
          <w:marBottom w:val="0"/>
          <w:divBdr>
            <w:top w:val="none" w:sz="0" w:space="0" w:color="auto"/>
            <w:left w:val="none" w:sz="0" w:space="0" w:color="auto"/>
            <w:bottom w:val="none" w:sz="0" w:space="0" w:color="auto"/>
            <w:right w:val="none" w:sz="0" w:space="0" w:color="auto"/>
          </w:divBdr>
        </w:div>
      </w:divsChild>
    </w:div>
    <w:div w:id="1742174402">
      <w:marLeft w:val="0"/>
      <w:marRight w:val="0"/>
      <w:marTop w:val="0"/>
      <w:marBottom w:val="0"/>
      <w:divBdr>
        <w:top w:val="none" w:sz="0" w:space="0" w:color="auto"/>
        <w:left w:val="none" w:sz="0" w:space="0" w:color="auto"/>
        <w:bottom w:val="none" w:sz="0" w:space="0" w:color="auto"/>
        <w:right w:val="none" w:sz="0" w:space="0" w:color="auto"/>
      </w:divBdr>
    </w:div>
    <w:div w:id="1748383226">
      <w:marLeft w:val="0"/>
      <w:marRight w:val="0"/>
      <w:marTop w:val="0"/>
      <w:marBottom w:val="180"/>
      <w:divBdr>
        <w:top w:val="none" w:sz="0" w:space="0" w:color="auto"/>
        <w:left w:val="none" w:sz="0" w:space="0" w:color="auto"/>
        <w:bottom w:val="none" w:sz="0" w:space="0" w:color="auto"/>
        <w:right w:val="none" w:sz="0" w:space="0" w:color="auto"/>
      </w:divBdr>
    </w:div>
    <w:div w:id="1752502052">
      <w:marLeft w:val="0"/>
      <w:marRight w:val="0"/>
      <w:marTop w:val="0"/>
      <w:marBottom w:val="180"/>
      <w:divBdr>
        <w:top w:val="none" w:sz="0" w:space="0" w:color="auto"/>
        <w:left w:val="none" w:sz="0" w:space="0" w:color="auto"/>
        <w:bottom w:val="none" w:sz="0" w:space="0" w:color="auto"/>
        <w:right w:val="none" w:sz="0" w:space="0" w:color="auto"/>
      </w:divBdr>
    </w:div>
    <w:div w:id="1755273938">
      <w:marLeft w:val="0"/>
      <w:marRight w:val="0"/>
      <w:marTop w:val="100"/>
      <w:marBottom w:val="320"/>
      <w:divBdr>
        <w:top w:val="none" w:sz="0" w:space="0" w:color="auto"/>
        <w:left w:val="none" w:sz="0" w:space="0" w:color="auto"/>
        <w:bottom w:val="none" w:sz="0" w:space="0" w:color="auto"/>
        <w:right w:val="none" w:sz="0" w:space="0" w:color="auto"/>
      </w:divBdr>
    </w:div>
    <w:div w:id="1758284605">
      <w:marLeft w:val="0"/>
      <w:marRight w:val="0"/>
      <w:marTop w:val="0"/>
      <w:marBottom w:val="0"/>
      <w:divBdr>
        <w:top w:val="none" w:sz="0" w:space="0" w:color="auto"/>
        <w:left w:val="none" w:sz="0" w:space="0" w:color="auto"/>
        <w:bottom w:val="none" w:sz="0" w:space="0" w:color="auto"/>
        <w:right w:val="none" w:sz="0" w:space="0" w:color="auto"/>
      </w:divBdr>
    </w:div>
    <w:div w:id="1760449146">
      <w:marLeft w:val="0"/>
      <w:marRight w:val="0"/>
      <w:marTop w:val="0"/>
      <w:marBottom w:val="0"/>
      <w:divBdr>
        <w:top w:val="none" w:sz="0" w:space="0" w:color="auto"/>
        <w:left w:val="none" w:sz="0" w:space="0" w:color="auto"/>
        <w:bottom w:val="none" w:sz="0" w:space="0" w:color="auto"/>
        <w:right w:val="none" w:sz="0" w:space="0" w:color="auto"/>
      </w:divBdr>
      <w:divsChild>
        <w:div w:id="290863664">
          <w:marLeft w:val="0"/>
          <w:marRight w:val="0"/>
          <w:marTop w:val="0"/>
          <w:marBottom w:val="0"/>
          <w:divBdr>
            <w:top w:val="none" w:sz="0" w:space="0" w:color="auto"/>
            <w:left w:val="none" w:sz="0" w:space="0" w:color="auto"/>
            <w:bottom w:val="none" w:sz="0" w:space="0" w:color="auto"/>
            <w:right w:val="none" w:sz="0" w:space="0" w:color="auto"/>
          </w:divBdr>
        </w:div>
      </w:divsChild>
    </w:div>
    <w:div w:id="1763839702">
      <w:marLeft w:val="0"/>
      <w:marRight w:val="0"/>
      <w:marTop w:val="0"/>
      <w:marBottom w:val="0"/>
      <w:divBdr>
        <w:top w:val="none" w:sz="0" w:space="0" w:color="auto"/>
        <w:left w:val="none" w:sz="0" w:space="0" w:color="auto"/>
        <w:bottom w:val="none" w:sz="0" w:space="0" w:color="auto"/>
        <w:right w:val="none" w:sz="0" w:space="0" w:color="auto"/>
      </w:divBdr>
    </w:div>
    <w:div w:id="1764376616">
      <w:marLeft w:val="0"/>
      <w:marRight w:val="0"/>
      <w:marTop w:val="0"/>
      <w:marBottom w:val="0"/>
      <w:divBdr>
        <w:top w:val="none" w:sz="0" w:space="0" w:color="auto"/>
        <w:left w:val="none" w:sz="0" w:space="0" w:color="auto"/>
        <w:bottom w:val="none" w:sz="0" w:space="0" w:color="auto"/>
        <w:right w:val="none" w:sz="0" w:space="0" w:color="auto"/>
      </w:divBdr>
    </w:div>
    <w:div w:id="1764953276">
      <w:marLeft w:val="0"/>
      <w:marRight w:val="0"/>
      <w:marTop w:val="0"/>
      <w:marBottom w:val="180"/>
      <w:divBdr>
        <w:top w:val="none" w:sz="0" w:space="0" w:color="auto"/>
        <w:left w:val="none" w:sz="0" w:space="0" w:color="auto"/>
        <w:bottom w:val="none" w:sz="0" w:space="0" w:color="auto"/>
        <w:right w:val="none" w:sz="0" w:space="0" w:color="auto"/>
      </w:divBdr>
    </w:div>
    <w:div w:id="1767769985">
      <w:marLeft w:val="0"/>
      <w:marRight w:val="0"/>
      <w:marTop w:val="0"/>
      <w:marBottom w:val="0"/>
      <w:divBdr>
        <w:top w:val="none" w:sz="0" w:space="0" w:color="auto"/>
        <w:left w:val="none" w:sz="0" w:space="0" w:color="auto"/>
        <w:bottom w:val="none" w:sz="0" w:space="0" w:color="auto"/>
        <w:right w:val="none" w:sz="0" w:space="0" w:color="auto"/>
      </w:divBdr>
    </w:div>
    <w:div w:id="1769933494">
      <w:marLeft w:val="0"/>
      <w:marRight w:val="0"/>
      <w:marTop w:val="100"/>
      <w:marBottom w:val="280"/>
      <w:divBdr>
        <w:top w:val="none" w:sz="0" w:space="0" w:color="auto"/>
        <w:left w:val="none" w:sz="0" w:space="0" w:color="auto"/>
        <w:bottom w:val="none" w:sz="0" w:space="0" w:color="auto"/>
        <w:right w:val="none" w:sz="0" w:space="0" w:color="auto"/>
      </w:divBdr>
    </w:div>
    <w:div w:id="1780107229">
      <w:marLeft w:val="0"/>
      <w:marRight w:val="0"/>
      <w:marTop w:val="0"/>
      <w:marBottom w:val="0"/>
      <w:divBdr>
        <w:top w:val="none" w:sz="0" w:space="0" w:color="auto"/>
        <w:left w:val="none" w:sz="0" w:space="0" w:color="auto"/>
        <w:bottom w:val="none" w:sz="0" w:space="0" w:color="auto"/>
        <w:right w:val="none" w:sz="0" w:space="0" w:color="auto"/>
      </w:divBdr>
      <w:divsChild>
        <w:div w:id="1830318234">
          <w:marLeft w:val="0"/>
          <w:marRight w:val="0"/>
          <w:marTop w:val="0"/>
          <w:marBottom w:val="0"/>
          <w:divBdr>
            <w:top w:val="none" w:sz="0" w:space="0" w:color="auto"/>
            <w:left w:val="none" w:sz="0" w:space="0" w:color="auto"/>
            <w:bottom w:val="none" w:sz="0" w:space="0" w:color="auto"/>
            <w:right w:val="none" w:sz="0" w:space="0" w:color="auto"/>
          </w:divBdr>
        </w:div>
      </w:divsChild>
    </w:div>
    <w:div w:id="1788162908">
      <w:marLeft w:val="0"/>
      <w:marRight w:val="0"/>
      <w:marTop w:val="0"/>
      <w:marBottom w:val="320"/>
      <w:divBdr>
        <w:top w:val="none" w:sz="0" w:space="0" w:color="auto"/>
        <w:left w:val="none" w:sz="0" w:space="0" w:color="auto"/>
        <w:bottom w:val="none" w:sz="0" w:space="0" w:color="auto"/>
        <w:right w:val="none" w:sz="0" w:space="0" w:color="auto"/>
      </w:divBdr>
    </w:div>
    <w:div w:id="1807893479">
      <w:marLeft w:val="0"/>
      <w:marRight w:val="0"/>
      <w:marTop w:val="0"/>
      <w:marBottom w:val="0"/>
      <w:divBdr>
        <w:top w:val="none" w:sz="0" w:space="0" w:color="auto"/>
        <w:left w:val="none" w:sz="0" w:space="0" w:color="auto"/>
        <w:bottom w:val="none" w:sz="0" w:space="0" w:color="auto"/>
        <w:right w:val="none" w:sz="0" w:space="0" w:color="auto"/>
      </w:divBdr>
    </w:div>
    <w:div w:id="1814177402">
      <w:marLeft w:val="0"/>
      <w:marRight w:val="0"/>
      <w:marTop w:val="100"/>
      <w:marBottom w:val="280"/>
      <w:divBdr>
        <w:top w:val="none" w:sz="0" w:space="0" w:color="auto"/>
        <w:left w:val="none" w:sz="0" w:space="0" w:color="auto"/>
        <w:bottom w:val="none" w:sz="0" w:space="0" w:color="auto"/>
        <w:right w:val="none" w:sz="0" w:space="0" w:color="auto"/>
      </w:divBdr>
      <w:divsChild>
        <w:div w:id="149449363">
          <w:marLeft w:val="0"/>
          <w:marRight w:val="0"/>
          <w:marTop w:val="0"/>
          <w:marBottom w:val="0"/>
          <w:divBdr>
            <w:top w:val="none" w:sz="0" w:space="0" w:color="auto"/>
            <w:left w:val="none" w:sz="0" w:space="0" w:color="auto"/>
            <w:bottom w:val="none" w:sz="0" w:space="0" w:color="auto"/>
            <w:right w:val="none" w:sz="0" w:space="0" w:color="auto"/>
          </w:divBdr>
        </w:div>
      </w:divsChild>
    </w:div>
    <w:div w:id="1817642742">
      <w:marLeft w:val="0"/>
      <w:marRight w:val="0"/>
      <w:marTop w:val="0"/>
      <w:marBottom w:val="0"/>
      <w:divBdr>
        <w:top w:val="none" w:sz="0" w:space="0" w:color="auto"/>
        <w:left w:val="none" w:sz="0" w:space="0" w:color="auto"/>
        <w:bottom w:val="none" w:sz="0" w:space="0" w:color="auto"/>
        <w:right w:val="none" w:sz="0" w:space="0" w:color="auto"/>
      </w:divBdr>
    </w:div>
    <w:div w:id="1820264988">
      <w:marLeft w:val="0"/>
      <w:marRight w:val="0"/>
      <w:marTop w:val="100"/>
      <w:marBottom w:val="280"/>
      <w:divBdr>
        <w:top w:val="none" w:sz="0" w:space="0" w:color="auto"/>
        <w:left w:val="none" w:sz="0" w:space="0" w:color="auto"/>
        <w:bottom w:val="none" w:sz="0" w:space="0" w:color="auto"/>
        <w:right w:val="none" w:sz="0" w:space="0" w:color="auto"/>
      </w:divBdr>
      <w:divsChild>
        <w:div w:id="2009093187">
          <w:marLeft w:val="0"/>
          <w:marRight w:val="0"/>
          <w:marTop w:val="0"/>
          <w:marBottom w:val="0"/>
          <w:divBdr>
            <w:top w:val="none" w:sz="0" w:space="0" w:color="auto"/>
            <w:left w:val="none" w:sz="0" w:space="0" w:color="auto"/>
            <w:bottom w:val="none" w:sz="0" w:space="0" w:color="auto"/>
            <w:right w:val="none" w:sz="0" w:space="0" w:color="auto"/>
          </w:divBdr>
        </w:div>
      </w:divsChild>
    </w:div>
    <w:div w:id="1823352480">
      <w:marLeft w:val="0"/>
      <w:marRight w:val="0"/>
      <w:marTop w:val="0"/>
      <w:marBottom w:val="0"/>
      <w:divBdr>
        <w:top w:val="none" w:sz="0" w:space="0" w:color="auto"/>
        <w:left w:val="none" w:sz="0" w:space="0" w:color="auto"/>
        <w:bottom w:val="none" w:sz="0" w:space="0" w:color="auto"/>
        <w:right w:val="none" w:sz="0" w:space="0" w:color="auto"/>
      </w:divBdr>
    </w:div>
    <w:div w:id="1823505292">
      <w:marLeft w:val="0"/>
      <w:marRight w:val="0"/>
      <w:marTop w:val="0"/>
      <w:marBottom w:val="0"/>
      <w:divBdr>
        <w:top w:val="none" w:sz="0" w:space="0" w:color="auto"/>
        <w:left w:val="none" w:sz="0" w:space="0" w:color="auto"/>
        <w:bottom w:val="none" w:sz="0" w:space="0" w:color="auto"/>
        <w:right w:val="none" w:sz="0" w:space="0" w:color="auto"/>
      </w:divBdr>
      <w:divsChild>
        <w:div w:id="411126282">
          <w:marLeft w:val="0"/>
          <w:marRight w:val="0"/>
          <w:marTop w:val="0"/>
          <w:marBottom w:val="0"/>
          <w:divBdr>
            <w:top w:val="none" w:sz="0" w:space="0" w:color="auto"/>
            <w:left w:val="none" w:sz="0" w:space="0" w:color="auto"/>
            <w:bottom w:val="none" w:sz="0" w:space="0" w:color="auto"/>
            <w:right w:val="none" w:sz="0" w:space="0" w:color="auto"/>
          </w:divBdr>
        </w:div>
      </w:divsChild>
    </w:div>
    <w:div w:id="1829982726">
      <w:marLeft w:val="0"/>
      <w:marRight w:val="0"/>
      <w:marTop w:val="0"/>
      <w:marBottom w:val="180"/>
      <w:divBdr>
        <w:top w:val="none" w:sz="0" w:space="0" w:color="auto"/>
        <w:left w:val="none" w:sz="0" w:space="0" w:color="auto"/>
        <w:bottom w:val="none" w:sz="0" w:space="0" w:color="auto"/>
        <w:right w:val="none" w:sz="0" w:space="0" w:color="auto"/>
      </w:divBdr>
    </w:div>
    <w:div w:id="1839810072">
      <w:marLeft w:val="0"/>
      <w:marRight w:val="0"/>
      <w:marTop w:val="0"/>
      <w:marBottom w:val="0"/>
      <w:divBdr>
        <w:top w:val="none" w:sz="0" w:space="0" w:color="auto"/>
        <w:left w:val="none" w:sz="0" w:space="0" w:color="auto"/>
        <w:bottom w:val="none" w:sz="0" w:space="0" w:color="auto"/>
        <w:right w:val="none" w:sz="0" w:space="0" w:color="auto"/>
      </w:divBdr>
      <w:divsChild>
        <w:div w:id="1111439073">
          <w:marLeft w:val="0"/>
          <w:marRight w:val="0"/>
          <w:marTop w:val="0"/>
          <w:marBottom w:val="0"/>
          <w:divBdr>
            <w:top w:val="none" w:sz="0" w:space="0" w:color="auto"/>
            <w:left w:val="none" w:sz="0" w:space="0" w:color="auto"/>
            <w:bottom w:val="none" w:sz="0" w:space="0" w:color="auto"/>
            <w:right w:val="none" w:sz="0" w:space="0" w:color="auto"/>
          </w:divBdr>
        </w:div>
      </w:divsChild>
    </w:div>
    <w:div w:id="1846438858">
      <w:marLeft w:val="0"/>
      <w:marRight w:val="0"/>
      <w:marTop w:val="0"/>
      <w:marBottom w:val="0"/>
      <w:divBdr>
        <w:top w:val="none" w:sz="0" w:space="0" w:color="auto"/>
        <w:left w:val="none" w:sz="0" w:space="0" w:color="auto"/>
        <w:bottom w:val="none" w:sz="0" w:space="0" w:color="auto"/>
        <w:right w:val="none" w:sz="0" w:space="0" w:color="auto"/>
      </w:divBdr>
      <w:divsChild>
        <w:div w:id="711030675">
          <w:marLeft w:val="0"/>
          <w:marRight w:val="0"/>
          <w:marTop w:val="0"/>
          <w:marBottom w:val="0"/>
          <w:divBdr>
            <w:top w:val="none" w:sz="0" w:space="0" w:color="auto"/>
            <w:left w:val="none" w:sz="0" w:space="0" w:color="auto"/>
            <w:bottom w:val="none" w:sz="0" w:space="0" w:color="auto"/>
            <w:right w:val="none" w:sz="0" w:space="0" w:color="auto"/>
          </w:divBdr>
        </w:div>
      </w:divsChild>
    </w:div>
    <w:div w:id="1859154602">
      <w:marLeft w:val="0"/>
      <w:marRight w:val="0"/>
      <w:marTop w:val="0"/>
      <w:marBottom w:val="320"/>
      <w:divBdr>
        <w:top w:val="none" w:sz="0" w:space="0" w:color="auto"/>
        <w:left w:val="none" w:sz="0" w:space="0" w:color="auto"/>
        <w:bottom w:val="none" w:sz="0" w:space="0" w:color="auto"/>
        <w:right w:val="none" w:sz="0" w:space="0" w:color="auto"/>
      </w:divBdr>
    </w:div>
    <w:div w:id="1859852845">
      <w:marLeft w:val="0"/>
      <w:marRight w:val="0"/>
      <w:marTop w:val="0"/>
      <w:marBottom w:val="180"/>
      <w:divBdr>
        <w:top w:val="none" w:sz="0" w:space="0" w:color="auto"/>
        <w:left w:val="none" w:sz="0" w:space="0" w:color="auto"/>
        <w:bottom w:val="none" w:sz="0" w:space="0" w:color="auto"/>
        <w:right w:val="none" w:sz="0" w:space="0" w:color="auto"/>
      </w:divBdr>
    </w:div>
    <w:div w:id="1864633607">
      <w:marLeft w:val="0"/>
      <w:marRight w:val="0"/>
      <w:marTop w:val="0"/>
      <w:marBottom w:val="0"/>
      <w:divBdr>
        <w:top w:val="none" w:sz="0" w:space="0" w:color="auto"/>
        <w:left w:val="none" w:sz="0" w:space="0" w:color="auto"/>
        <w:bottom w:val="none" w:sz="0" w:space="0" w:color="auto"/>
        <w:right w:val="none" w:sz="0" w:space="0" w:color="auto"/>
      </w:divBdr>
      <w:divsChild>
        <w:div w:id="900752470">
          <w:marLeft w:val="0"/>
          <w:marRight w:val="0"/>
          <w:marTop w:val="0"/>
          <w:marBottom w:val="0"/>
          <w:divBdr>
            <w:top w:val="none" w:sz="0" w:space="0" w:color="auto"/>
            <w:left w:val="none" w:sz="0" w:space="0" w:color="auto"/>
            <w:bottom w:val="none" w:sz="0" w:space="0" w:color="auto"/>
            <w:right w:val="none" w:sz="0" w:space="0" w:color="auto"/>
          </w:divBdr>
        </w:div>
      </w:divsChild>
    </w:div>
    <w:div w:id="1865745684">
      <w:marLeft w:val="0"/>
      <w:marRight w:val="0"/>
      <w:marTop w:val="0"/>
      <w:marBottom w:val="160"/>
      <w:divBdr>
        <w:top w:val="none" w:sz="0" w:space="0" w:color="auto"/>
        <w:left w:val="none" w:sz="0" w:space="0" w:color="auto"/>
        <w:bottom w:val="none" w:sz="0" w:space="0" w:color="auto"/>
        <w:right w:val="none" w:sz="0" w:space="0" w:color="auto"/>
      </w:divBdr>
    </w:div>
    <w:div w:id="1867017703">
      <w:marLeft w:val="0"/>
      <w:marRight w:val="0"/>
      <w:marTop w:val="100"/>
      <w:marBottom w:val="320"/>
      <w:divBdr>
        <w:top w:val="none" w:sz="0" w:space="0" w:color="auto"/>
        <w:left w:val="none" w:sz="0" w:space="0" w:color="auto"/>
        <w:bottom w:val="none" w:sz="0" w:space="0" w:color="auto"/>
        <w:right w:val="none" w:sz="0" w:space="0" w:color="auto"/>
      </w:divBdr>
    </w:div>
    <w:div w:id="1869180396">
      <w:marLeft w:val="0"/>
      <w:marRight w:val="0"/>
      <w:marTop w:val="0"/>
      <w:marBottom w:val="0"/>
      <w:divBdr>
        <w:top w:val="none" w:sz="0" w:space="0" w:color="auto"/>
        <w:left w:val="none" w:sz="0" w:space="0" w:color="auto"/>
        <w:bottom w:val="none" w:sz="0" w:space="0" w:color="auto"/>
        <w:right w:val="none" w:sz="0" w:space="0" w:color="auto"/>
      </w:divBdr>
      <w:divsChild>
        <w:div w:id="1294403684">
          <w:marLeft w:val="0"/>
          <w:marRight w:val="0"/>
          <w:marTop w:val="0"/>
          <w:marBottom w:val="0"/>
          <w:divBdr>
            <w:top w:val="none" w:sz="0" w:space="0" w:color="auto"/>
            <w:left w:val="none" w:sz="0" w:space="0" w:color="auto"/>
            <w:bottom w:val="none" w:sz="0" w:space="0" w:color="auto"/>
            <w:right w:val="none" w:sz="0" w:space="0" w:color="auto"/>
          </w:divBdr>
        </w:div>
      </w:divsChild>
    </w:div>
    <w:div w:id="1872720588">
      <w:marLeft w:val="0"/>
      <w:marRight w:val="0"/>
      <w:marTop w:val="0"/>
      <w:marBottom w:val="0"/>
      <w:divBdr>
        <w:top w:val="none" w:sz="0" w:space="0" w:color="auto"/>
        <w:left w:val="none" w:sz="0" w:space="0" w:color="auto"/>
        <w:bottom w:val="none" w:sz="0" w:space="0" w:color="auto"/>
        <w:right w:val="none" w:sz="0" w:space="0" w:color="auto"/>
      </w:divBdr>
      <w:divsChild>
        <w:div w:id="1408645470">
          <w:marLeft w:val="0"/>
          <w:marRight w:val="0"/>
          <w:marTop w:val="0"/>
          <w:marBottom w:val="0"/>
          <w:divBdr>
            <w:top w:val="none" w:sz="0" w:space="0" w:color="auto"/>
            <w:left w:val="none" w:sz="0" w:space="0" w:color="auto"/>
            <w:bottom w:val="none" w:sz="0" w:space="0" w:color="auto"/>
            <w:right w:val="none" w:sz="0" w:space="0" w:color="auto"/>
          </w:divBdr>
        </w:div>
      </w:divsChild>
    </w:div>
    <w:div w:id="1875999085">
      <w:marLeft w:val="0"/>
      <w:marRight w:val="0"/>
      <w:marTop w:val="180"/>
      <w:marBottom w:val="0"/>
      <w:divBdr>
        <w:top w:val="none" w:sz="0" w:space="0" w:color="auto"/>
        <w:left w:val="none" w:sz="0" w:space="0" w:color="auto"/>
        <w:bottom w:val="none" w:sz="0" w:space="0" w:color="auto"/>
        <w:right w:val="none" w:sz="0" w:space="0" w:color="auto"/>
      </w:divBdr>
    </w:div>
    <w:div w:id="1879774786">
      <w:marLeft w:val="0"/>
      <w:marRight w:val="0"/>
      <w:marTop w:val="100"/>
      <w:marBottom w:val="100"/>
      <w:divBdr>
        <w:top w:val="none" w:sz="0" w:space="0" w:color="auto"/>
        <w:left w:val="none" w:sz="0" w:space="0" w:color="auto"/>
        <w:bottom w:val="none" w:sz="0" w:space="0" w:color="auto"/>
        <w:right w:val="none" w:sz="0" w:space="0" w:color="auto"/>
      </w:divBdr>
    </w:div>
    <w:div w:id="1879853698">
      <w:marLeft w:val="0"/>
      <w:marRight w:val="0"/>
      <w:marTop w:val="0"/>
      <w:marBottom w:val="180"/>
      <w:divBdr>
        <w:top w:val="none" w:sz="0" w:space="0" w:color="auto"/>
        <w:left w:val="none" w:sz="0" w:space="0" w:color="auto"/>
        <w:bottom w:val="none" w:sz="0" w:space="0" w:color="auto"/>
        <w:right w:val="none" w:sz="0" w:space="0" w:color="auto"/>
      </w:divBdr>
    </w:div>
    <w:div w:id="1883783370">
      <w:marLeft w:val="0"/>
      <w:marRight w:val="0"/>
      <w:marTop w:val="0"/>
      <w:marBottom w:val="180"/>
      <w:divBdr>
        <w:top w:val="none" w:sz="0" w:space="0" w:color="auto"/>
        <w:left w:val="none" w:sz="0" w:space="0" w:color="auto"/>
        <w:bottom w:val="none" w:sz="0" w:space="0" w:color="auto"/>
        <w:right w:val="none" w:sz="0" w:space="0" w:color="auto"/>
      </w:divBdr>
    </w:div>
    <w:div w:id="1886481160">
      <w:marLeft w:val="0"/>
      <w:marRight w:val="0"/>
      <w:marTop w:val="0"/>
      <w:marBottom w:val="0"/>
      <w:divBdr>
        <w:top w:val="none" w:sz="0" w:space="0" w:color="auto"/>
        <w:left w:val="none" w:sz="0" w:space="0" w:color="auto"/>
        <w:bottom w:val="none" w:sz="0" w:space="0" w:color="auto"/>
        <w:right w:val="none" w:sz="0" w:space="0" w:color="auto"/>
      </w:divBdr>
    </w:div>
    <w:div w:id="1899507613">
      <w:marLeft w:val="0"/>
      <w:marRight w:val="0"/>
      <w:marTop w:val="0"/>
      <w:marBottom w:val="0"/>
      <w:divBdr>
        <w:top w:val="none" w:sz="0" w:space="0" w:color="auto"/>
        <w:left w:val="none" w:sz="0" w:space="0" w:color="auto"/>
        <w:bottom w:val="none" w:sz="0" w:space="0" w:color="auto"/>
        <w:right w:val="none" w:sz="0" w:space="0" w:color="auto"/>
      </w:divBdr>
    </w:div>
    <w:div w:id="1900288830">
      <w:marLeft w:val="0"/>
      <w:marRight w:val="0"/>
      <w:marTop w:val="0"/>
      <w:marBottom w:val="0"/>
      <w:divBdr>
        <w:top w:val="none" w:sz="0" w:space="0" w:color="auto"/>
        <w:left w:val="none" w:sz="0" w:space="0" w:color="auto"/>
        <w:bottom w:val="none" w:sz="0" w:space="0" w:color="auto"/>
        <w:right w:val="none" w:sz="0" w:space="0" w:color="auto"/>
      </w:divBdr>
      <w:divsChild>
        <w:div w:id="811991323">
          <w:marLeft w:val="0"/>
          <w:marRight w:val="0"/>
          <w:marTop w:val="0"/>
          <w:marBottom w:val="0"/>
          <w:divBdr>
            <w:top w:val="none" w:sz="0" w:space="0" w:color="auto"/>
            <w:left w:val="none" w:sz="0" w:space="0" w:color="auto"/>
            <w:bottom w:val="none" w:sz="0" w:space="0" w:color="auto"/>
            <w:right w:val="none" w:sz="0" w:space="0" w:color="auto"/>
          </w:divBdr>
        </w:div>
      </w:divsChild>
    </w:div>
    <w:div w:id="1901820813">
      <w:marLeft w:val="0"/>
      <w:marRight w:val="0"/>
      <w:marTop w:val="0"/>
      <w:marBottom w:val="0"/>
      <w:divBdr>
        <w:top w:val="none" w:sz="0" w:space="0" w:color="auto"/>
        <w:left w:val="none" w:sz="0" w:space="0" w:color="auto"/>
        <w:bottom w:val="none" w:sz="0" w:space="0" w:color="auto"/>
        <w:right w:val="none" w:sz="0" w:space="0" w:color="auto"/>
      </w:divBdr>
      <w:divsChild>
        <w:div w:id="639458784">
          <w:marLeft w:val="0"/>
          <w:marRight w:val="0"/>
          <w:marTop w:val="0"/>
          <w:marBottom w:val="0"/>
          <w:divBdr>
            <w:top w:val="none" w:sz="0" w:space="0" w:color="auto"/>
            <w:left w:val="none" w:sz="0" w:space="0" w:color="auto"/>
            <w:bottom w:val="none" w:sz="0" w:space="0" w:color="auto"/>
            <w:right w:val="none" w:sz="0" w:space="0" w:color="auto"/>
          </w:divBdr>
        </w:div>
      </w:divsChild>
    </w:div>
    <w:div w:id="1903247991">
      <w:marLeft w:val="0"/>
      <w:marRight w:val="0"/>
      <w:marTop w:val="100"/>
      <w:marBottom w:val="280"/>
      <w:divBdr>
        <w:top w:val="none" w:sz="0" w:space="0" w:color="auto"/>
        <w:left w:val="none" w:sz="0" w:space="0" w:color="auto"/>
        <w:bottom w:val="none" w:sz="0" w:space="0" w:color="auto"/>
        <w:right w:val="none" w:sz="0" w:space="0" w:color="auto"/>
      </w:divBdr>
    </w:div>
    <w:div w:id="1908149472">
      <w:marLeft w:val="0"/>
      <w:marRight w:val="0"/>
      <w:marTop w:val="0"/>
      <w:marBottom w:val="0"/>
      <w:divBdr>
        <w:top w:val="none" w:sz="0" w:space="0" w:color="auto"/>
        <w:left w:val="none" w:sz="0" w:space="0" w:color="auto"/>
        <w:bottom w:val="none" w:sz="0" w:space="0" w:color="auto"/>
        <w:right w:val="none" w:sz="0" w:space="0" w:color="auto"/>
      </w:divBdr>
    </w:div>
    <w:div w:id="1908607481">
      <w:marLeft w:val="0"/>
      <w:marRight w:val="0"/>
      <w:marTop w:val="0"/>
      <w:marBottom w:val="180"/>
      <w:divBdr>
        <w:top w:val="none" w:sz="0" w:space="0" w:color="auto"/>
        <w:left w:val="none" w:sz="0" w:space="0" w:color="auto"/>
        <w:bottom w:val="none" w:sz="0" w:space="0" w:color="auto"/>
        <w:right w:val="none" w:sz="0" w:space="0" w:color="auto"/>
      </w:divBdr>
    </w:div>
    <w:div w:id="1909345888">
      <w:marLeft w:val="0"/>
      <w:marRight w:val="0"/>
      <w:marTop w:val="0"/>
      <w:marBottom w:val="0"/>
      <w:divBdr>
        <w:top w:val="none" w:sz="0" w:space="0" w:color="auto"/>
        <w:left w:val="none" w:sz="0" w:space="0" w:color="auto"/>
        <w:bottom w:val="none" w:sz="0" w:space="0" w:color="auto"/>
        <w:right w:val="none" w:sz="0" w:space="0" w:color="auto"/>
      </w:divBdr>
    </w:div>
    <w:div w:id="1909489355">
      <w:marLeft w:val="0"/>
      <w:marRight w:val="0"/>
      <w:marTop w:val="0"/>
      <w:marBottom w:val="0"/>
      <w:divBdr>
        <w:top w:val="none" w:sz="0" w:space="0" w:color="auto"/>
        <w:left w:val="none" w:sz="0" w:space="0" w:color="auto"/>
        <w:bottom w:val="none" w:sz="0" w:space="0" w:color="auto"/>
        <w:right w:val="none" w:sz="0" w:space="0" w:color="auto"/>
      </w:divBdr>
    </w:div>
    <w:div w:id="1913585904">
      <w:marLeft w:val="0"/>
      <w:marRight w:val="0"/>
      <w:marTop w:val="0"/>
      <w:marBottom w:val="180"/>
      <w:divBdr>
        <w:top w:val="none" w:sz="0" w:space="0" w:color="auto"/>
        <w:left w:val="none" w:sz="0" w:space="0" w:color="auto"/>
        <w:bottom w:val="none" w:sz="0" w:space="0" w:color="auto"/>
        <w:right w:val="none" w:sz="0" w:space="0" w:color="auto"/>
      </w:divBdr>
    </w:div>
    <w:div w:id="1914125256">
      <w:marLeft w:val="0"/>
      <w:marRight w:val="0"/>
      <w:marTop w:val="0"/>
      <w:marBottom w:val="0"/>
      <w:divBdr>
        <w:top w:val="none" w:sz="0" w:space="0" w:color="auto"/>
        <w:left w:val="none" w:sz="0" w:space="0" w:color="auto"/>
        <w:bottom w:val="none" w:sz="0" w:space="0" w:color="auto"/>
        <w:right w:val="none" w:sz="0" w:space="0" w:color="auto"/>
      </w:divBdr>
    </w:div>
    <w:div w:id="1918436547">
      <w:marLeft w:val="0"/>
      <w:marRight w:val="0"/>
      <w:marTop w:val="180"/>
      <w:marBottom w:val="0"/>
      <w:divBdr>
        <w:top w:val="none" w:sz="0" w:space="0" w:color="auto"/>
        <w:left w:val="none" w:sz="0" w:space="0" w:color="auto"/>
        <w:bottom w:val="none" w:sz="0" w:space="0" w:color="auto"/>
        <w:right w:val="none" w:sz="0" w:space="0" w:color="auto"/>
      </w:divBdr>
    </w:div>
    <w:div w:id="1922324162">
      <w:marLeft w:val="0"/>
      <w:marRight w:val="0"/>
      <w:marTop w:val="0"/>
      <w:marBottom w:val="0"/>
      <w:divBdr>
        <w:top w:val="none" w:sz="0" w:space="0" w:color="auto"/>
        <w:left w:val="none" w:sz="0" w:space="0" w:color="auto"/>
        <w:bottom w:val="none" w:sz="0" w:space="0" w:color="auto"/>
        <w:right w:val="none" w:sz="0" w:space="0" w:color="auto"/>
      </w:divBdr>
    </w:div>
    <w:div w:id="1923375443">
      <w:marLeft w:val="0"/>
      <w:marRight w:val="0"/>
      <w:marTop w:val="0"/>
      <w:marBottom w:val="0"/>
      <w:divBdr>
        <w:top w:val="none" w:sz="0" w:space="0" w:color="auto"/>
        <w:left w:val="none" w:sz="0" w:space="0" w:color="auto"/>
        <w:bottom w:val="none" w:sz="0" w:space="0" w:color="auto"/>
        <w:right w:val="none" w:sz="0" w:space="0" w:color="auto"/>
      </w:divBdr>
      <w:divsChild>
        <w:div w:id="228466343">
          <w:marLeft w:val="0"/>
          <w:marRight w:val="0"/>
          <w:marTop w:val="0"/>
          <w:marBottom w:val="0"/>
          <w:divBdr>
            <w:top w:val="none" w:sz="0" w:space="0" w:color="auto"/>
            <w:left w:val="none" w:sz="0" w:space="0" w:color="auto"/>
            <w:bottom w:val="none" w:sz="0" w:space="0" w:color="auto"/>
            <w:right w:val="none" w:sz="0" w:space="0" w:color="auto"/>
          </w:divBdr>
        </w:div>
      </w:divsChild>
    </w:div>
    <w:div w:id="1927415382">
      <w:marLeft w:val="0"/>
      <w:marRight w:val="0"/>
      <w:marTop w:val="0"/>
      <w:marBottom w:val="180"/>
      <w:divBdr>
        <w:top w:val="none" w:sz="0" w:space="0" w:color="auto"/>
        <w:left w:val="none" w:sz="0" w:space="0" w:color="auto"/>
        <w:bottom w:val="none" w:sz="0" w:space="0" w:color="auto"/>
        <w:right w:val="none" w:sz="0" w:space="0" w:color="auto"/>
      </w:divBdr>
    </w:div>
    <w:div w:id="1930625325">
      <w:marLeft w:val="0"/>
      <w:marRight w:val="0"/>
      <w:marTop w:val="100"/>
      <w:marBottom w:val="280"/>
      <w:divBdr>
        <w:top w:val="none" w:sz="0" w:space="0" w:color="auto"/>
        <w:left w:val="none" w:sz="0" w:space="0" w:color="auto"/>
        <w:bottom w:val="none" w:sz="0" w:space="0" w:color="auto"/>
        <w:right w:val="none" w:sz="0" w:space="0" w:color="auto"/>
      </w:divBdr>
    </w:div>
    <w:div w:id="1940331719">
      <w:marLeft w:val="0"/>
      <w:marRight w:val="0"/>
      <w:marTop w:val="0"/>
      <w:marBottom w:val="0"/>
      <w:divBdr>
        <w:top w:val="none" w:sz="0" w:space="0" w:color="auto"/>
        <w:left w:val="none" w:sz="0" w:space="0" w:color="auto"/>
        <w:bottom w:val="none" w:sz="0" w:space="0" w:color="auto"/>
        <w:right w:val="none" w:sz="0" w:space="0" w:color="auto"/>
      </w:divBdr>
    </w:div>
    <w:div w:id="1947885851">
      <w:marLeft w:val="0"/>
      <w:marRight w:val="0"/>
      <w:marTop w:val="0"/>
      <w:marBottom w:val="0"/>
      <w:divBdr>
        <w:top w:val="none" w:sz="0" w:space="0" w:color="auto"/>
        <w:left w:val="none" w:sz="0" w:space="0" w:color="auto"/>
        <w:bottom w:val="none" w:sz="0" w:space="0" w:color="auto"/>
        <w:right w:val="none" w:sz="0" w:space="0" w:color="auto"/>
      </w:divBdr>
    </w:div>
    <w:div w:id="1949847495">
      <w:marLeft w:val="0"/>
      <w:marRight w:val="0"/>
      <w:marTop w:val="0"/>
      <w:marBottom w:val="0"/>
      <w:divBdr>
        <w:top w:val="none" w:sz="0" w:space="0" w:color="auto"/>
        <w:left w:val="none" w:sz="0" w:space="0" w:color="auto"/>
        <w:bottom w:val="none" w:sz="0" w:space="0" w:color="auto"/>
        <w:right w:val="none" w:sz="0" w:space="0" w:color="auto"/>
      </w:divBdr>
      <w:divsChild>
        <w:div w:id="1097748872">
          <w:marLeft w:val="0"/>
          <w:marRight w:val="0"/>
          <w:marTop w:val="0"/>
          <w:marBottom w:val="0"/>
          <w:divBdr>
            <w:top w:val="none" w:sz="0" w:space="0" w:color="auto"/>
            <w:left w:val="none" w:sz="0" w:space="0" w:color="auto"/>
            <w:bottom w:val="none" w:sz="0" w:space="0" w:color="auto"/>
            <w:right w:val="none" w:sz="0" w:space="0" w:color="auto"/>
          </w:divBdr>
        </w:div>
      </w:divsChild>
    </w:div>
    <w:div w:id="1955089985">
      <w:marLeft w:val="0"/>
      <w:marRight w:val="0"/>
      <w:marTop w:val="100"/>
      <w:marBottom w:val="100"/>
      <w:divBdr>
        <w:top w:val="none" w:sz="0" w:space="0" w:color="auto"/>
        <w:left w:val="none" w:sz="0" w:space="0" w:color="auto"/>
        <w:bottom w:val="none" w:sz="0" w:space="0" w:color="auto"/>
        <w:right w:val="none" w:sz="0" w:space="0" w:color="auto"/>
      </w:divBdr>
    </w:div>
    <w:div w:id="1980841083">
      <w:marLeft w:val="0"/>
      <w:marRight w:val="0"/>
      <w:marTop w:val="100"/>
      <w:marBottom w:val="100"/>
      <w:divBdr>
        <w:top w:val="none" w:sz="0" w:space="0" w:color="auto"/>
        <w:left w:val="none" w:sz="0" w:space="0" w:color="auto"/>
        <w:bottom w:val="none" w:sz="0" w:space="0" w:color="auto"/>
        <w:right w:val="none" w:sz="0" w:space="0" w:color="auto"/>
      </w:divBdr>
    </w:div>
    <w:div w:id="1981840621">
      <w:marLeft w:val="0"/>
      <w:marRight w:val="0"/>
      <w:marTop w:val="100"/>
      <w:marBottom w:val="280"/>
      <w:divBdr>
        <w:top w:val="none" w:sz="0" w:space="0" w:color="auto"/>
        <w:left w:val="none" w:sz="0" w:space="0" w:color="auto"/>
        <w:bottom w:val="none" w:sz="0" w:space="0" w:color="auto"/>
        <w:right w:val="none" w:sz="0" w:space="0" w:color="auto"/>
      </w:divBdr>
    </w:div>
    <w:div w:id="1982273495">
      <w:marLeft w:val="0"/>
      <w:marRight w:val="0"/>
      <w:marTop w:val="0"/>
      <w:marBottom w:val="0"/>
      <w:divBdr>
        <w:top w:val="none" w:sz="0" w:space="0" w:color="auto"/>
        <w:left w:val="none" w:sz="0" w:space="0" w:color="auto"/>
        <w:bottom w:val="none" w:sz="0" w:space="0" w:color="auto"/>
        <w:right w:val="none" w:sz="0" w:space="0" w:color="auto"/>
      </w:divBdr>
    </w:div>
    <w:div w:id="1985233707">
      <w:marLeft w:val="0"/>
      <w:marRight w:val="0"/>
      <w:marTop w:val="0"/>
      <w:marBottom w:val="0"/>
      <w:divBdr>
        <w:top w:val="none" w:sz="0" w:space="0" w:color="auto"/>
        <w:left w:val="none" w:sz="0" w:space="0" w:color="auto"/>
        <w:bottom w:val="none" w:sz="0" w:space="0" w:color="auto"/>
        <w:right w:val="none" w:sz="0" w:space="0" w:color="auto"/>
      </w:divBdr>
    </w:div>
    <w:div w:id="1987469725">
      <w:marLeft w:val="0"/>
      <w:marRight w:val="0"/>
      <w:marTop w:val="0"/>
      <w:marBottom w:val="0"/>
      <w:divBdr>
        <w:top w:val="none" w:sz="0" w:space="0" w:color="auto"/>
        <w:left w:val="none" w:sz="0" w:space="0" w:color="auto"/>
        <w:bottom w:val="none" w:sz="0" w:space="0" w:color="auto"/>
        <w:right w:val="none" w:sz="0" w:space="0" w:color="auto"/>
      </w:divBdr>
      <w:divsChild>
        <w:div w:id="1978026749">
          <w:marLeft w:val="0"/>
          <w:marRight w:val="0"/>
          <w:marTop w:val="0"/>
          <w:marBottom w:val="0"/>
          <w:divBdr>
            <w:top w:val="none" w:sz="0" w:space="0" w:color="auto"/>
            <w:left w:val="none" w:sz="0" w:space="0" w:color="auto"/>
            <w:bottom w:val="none" w:sz="0" w:space="0" w:color="auto"/>
            <w:right w:val="none" w:sz="0" w:space="0" w:color="auto"/>
          </w:divBdr>
        </w:div>
      </w:divsChild>
    </w:div>
    <w:div w:id="1989821311">
      <w:marLeft w:val="0"/>
      <w:marRight w:val="0"/>
      <w:marTop w:val="0"/>
      <w:marBottom w:val="0"/>
      <w:divBdr>
        <w:top w:val="none" w:sz="0" w:space="0" w:color="auto"/>
        <w:left w:val="none" w:sz="0" w:space="0" w:color="auto"/>
        <w:bottom w:val="none" w:sz="0" w:space="0" w:color="auto"/>
        <w:right w:val="none" w:sz="0" w:space="0" w:color="auto"/>
      </w:divBdr>
    </w:div>
    <w:div w:id="1994795298">
      <w:marLeft w:val="0"/>
      <w:marRight w:val="0"/>
      <w:marTop w:val="0"/>
      <w:marBottom w:val="0"/>
      <w:divBdr>
        <w:top w:val="none" w:sz="0" w:space="0" w:color="auto"/>
        <w:left w:val="none" w:sz="0" w:space="0" w:color="auto"/>
        <w:bottom w:val="none" w:sz="0" w:space="0" w:color="auto"/>
        <w:right w:val="none" w:sz="0" w:space="0" w:color="auto"/>
      </w:divBdr>
    </w:div>
    <w:div w:id="1996489748">
      <w:marLeft w:val="0"/>
      <w:marRight w:val="0"/>
      <w:marTop w:val="0"/>
      <w:marBottom w:val="0"/>
      <w:divBdr>
        <w:top w:val="none" w:sz="0" w:space="0" w:color="auto"/>
        <w:left w:val="none" w:sz="0" w:space="0" w:color="auto"/>
        <w:bottom w:val="none" w:sz="0" w:space="0" w:color="auto"/>
        <w:right w:val="none" w:sz="0" w:space="0" w:color="auto"/>
      </w:divBdr>
      <w:divsChild>
        <w:div w:id="1254053537">
          <w:marLeft w:val="0"/>
          <w:marRight w:val="0"/>
          <w:marTop w:val="0"/>
          <w:marBottom w:val="0"/>
          <w:divBdr>
            <w:top w:val="none" w:sz="0" w:space="0" w:color="auto"/>
            <w:left w:val="none" w:sz="0" w:space="0" w:color="auto"/>
            <w:bottom w:val="none" w:sz="0" w:space="0" w:color="auto"/>
            <w:right w:val="none" w:sz="0" w:space="0" w:color="auto"/>
          </w:divBdr>
        </w:div>
      </w:divsChild>
    </w:div>
    <w:div w:id="1998528824">
      <w:marLeft w:val="0"/>
      <w:marRight w:val="0"/>
      <w:marTop w:val="100"/>
      <w:marBottom w:val="280"/>
      <w:divBdr>
        <w:top w:val="none" w:sz="0" w:space="0" w:color="auto"/>
        <w:left w:val="none" w:sz="0" w:space="0" w:color="auto"/>
        <w:bottom w:val="none" w:sz="0" w:space="0" w:color="auto"/>
        <w:right w:val="none" w:sz="0" w:space="0" w:color="auto"/>
      </w:divBdr>
      <w:divsChild>
        <w:div w:id="1087918606">
          <w:marLeft w:val="0"/>
          <w:marRight w:val="0"/>
          <w:marTop w:val="0"/>
          <w:marBottom w:val="0"/>
          <w:divBdr>
            <w:top w:val="none" w:sz="0" w:space="0" w:color="auto"/>
            <w:left w:val="none" w:sz="0" w:space="0" w:color="auto"/>
            <w:bottom w:val="none" w:sz="0" w:space="0" w:color="auto"/>
            <w:right w:val="none" w:sz="0" w:space="0" w:color="auto"/>
          </w:divBdr>
        </w:div>
        <w:div w:id="359013306">
          <w:marLeft w:val="0"/>
          <w:marRight w:val="0"/>
          <w:marTop w:val="0"/>
          <w:marBottom w:val="0"/>
          <w:divBdr>
            <w:top w:val="none" w:sz="0" w:space="0" w:color="auto"/>
            <w:left w:val="none" w:sz="0" w:space="0" w:color="auto"/>
            <w:bottom w:val="none" w:sz="0" w:space="0" w:color="auto"/>
            <w:right w:val="none" w:sz="0" w:space="0" w:color="auto"/>
          </w:divBdr>
        </w:div>
      </w:divsChild>
    </w:div>
    <w:div w:id="2007786356">
      <w:marLeft w:val="0"/>
      <w:marRight w:val="0"/>
      <w:marTop w:val="0"/>
      <w:marBottom w:val="0"/>
      <w:divBdr>
        <w:top w:val="none" w:sz="0" w:space="0" w:color="auto"/>
        <w:left w:val="none" w:sz="0" w:space="0" w:color="auto"/>
        <w:bottom w:val="none" w:sz="0" w:space="0" w:color="auto"/>
        <w:right w:val="none" w:sz="0" w:space="0" w:color="auto"/>
      </w:divBdr>
    </w:div>
    <w:div w:id="2011251451">
      <w:marLeft w:val="0"/>
      <w:marRight w:val="0"/>
      <w:marTop w:val="0"/>
      <w:marBottom w:val="0"/>
      <w:divBdr>
        <w:top w:val="none" w:sz="0" w:space="0" w:color="auto"/>
        <w:left w:val="none" w:sz="0" w:space="0" w:color="auto"/>
        <w:bottom w:val="none" w:sz="0" w:space="0" w:color="auto"/>
        <w:right w:val="none" w:sz="0" w:space="0" w:color="auto"/>
      </w:divBdr>
      <w:divsChild>
        <w:div w:id="1172065862">
          <w:marLeft w:val="0"/>
          <w:marRight w:val="0"/>
          <w:marTop w:val="0"/>
          <w:marBottom w:val="0"/>
          <w:divBdr>
            <w:top w:val="none" w:sz="0" w:space="0" w:color="auto"/>
            <w:left w:val="none" w:sz="0" w:space="0" w:color="auto"/>
            <w:bottom w:val="none" w:sz="0" w:space="0" w:color="auto"/>
            <w:right w:val="none" w:sz="0" w:space="0" w:color="auto"/>
          </w:divBdr>
        </w:div>
      </w:divsChild>
    </w:div>
    <w:div w:id="2015180925">
      <w:marLeft w:val="0"/>
      <w:marRight w:val="0"/>
      <w:marTop w:val="0"/>
      <w:marBottom w:val="0"/>
      <w:divBdr>
        <w:top w:val="none" w:sz="0" w:space="0" w:color="auto"/>
        <w:left w:val="none" w:sz="0" w:space="0" w:color="auto"/>
        <w:bottom w:val="none" w:sz="0" w:space="0" w:color="auto"/>
        <w:right w:val="none" w:sz="0" w:space="0" w:color="auto"/>
      </w:divBdr>
      <w:divsChild>
        <w:div w:id="1705717046">
          <w:marLeft w:val="0"/>
          <w:marRight w:val="0"/>
          <w:marTop w:val="0"/>
          <w:marBottom w:val="0"/>
          <w:divBdr>
            <w:top w:val="none" w:sz="0" w:space="0" w:color="auto"/>
            <w:left w:val="none" w:sz="0" w:space="0" w:color="auto"/>
            <w:bottom w:val="none" w:sz="0" w:space="0" w:color="auto"/>
            <w:right w:val="none" w:sz="0" w:space="0" w:color="auto"/>
          </w:divBdr>
        </w:div>
      </w:divsChild>
    </w:div>
    <w:div w:id="2018846218">
      <w:marLeft w:val="0"/>
      <w:marRight w:val="0"/>
      <w:marTop w:val="0"/>
      <w:marBottom w:val="180"/>
      <w:divBdr>
        <w:top w:val="none" w:sz="0" w:space="0" w:color="auto"/>
        <w:left w:val="none" w:sz="0" w:space="0" w:color="auto"/>
        <w:bottom w:val="none" w:sz="0" w:space="0" w:color="auto"/>
        <w:right w:val="none" w:sz="0" w:space="0" w:color="auto"/>
      </w:divBdr>
    </w:div>
    <w:div w:id="2024085287">
      <w:marLeft w:val="0"/>
      <w:marRight w:val="0"/>
      <w:marTop w:val="0"/>
      <w:marBottom w:val="0"/>
      <w:divBdr>
        <w:top w:val="none" w:sz="0" w:space="0" w:color="auto"/>
        <w:left w:val="none" w:sz="0" w:space="0" w:color="auto"/>
        <w:bottom w:val="none" w:sz="0" w:space="0" w:color="auto"/>
        <w:right w:val="none" w:sz="0" w:space="0" w:color="auto"/>
      </w:divBdr>
    </w:div>
    <w:div w:id="2027245860">
      <w:marLeft w:val="0"/>
      <w:marRight w:val="0"/>
      <w:marTop w:val="0"/>
      <w:marBottom w:val="0"/>
      <w:divBdr>
        <w:top w:val="none" w:sz="0" w:space="0" w:color="auto"/>
        <w:left w:val="none" w:sz="0" w:space="0" w:color="auto"/>
        <w:bottom w:val="none" w:sz="0" w:space="0" w:color="auto"/>
        <w:right w:val="none" w:sz="0" w:space="0" w:color="auto"/>
      </w:divBdr>
    </w:div>
    <w:div w:id="2027899691">
      <w:marLeft w:val="0"/>
      <w:marRight w:val="0"/>
      <w:marTop w:val="0"/>
      <w:marBottom w:val="180"/>
      <w:divBdr>
        <w:top w:val="none" w:sz="0" w:space="0" w:color="auto"/>
        <w:left w:val="none" w:sz="0" w:space="0" w:color="auto"/>
        <w:bottom w:val="none" w:sz="0" w:space="0" w:color="auto"/>
        <w:right w:val="none" w:sz="0" w:space="0" w:color="auto"/>
      </w:divBdr>
    </w:div>
    <w:div w:id="2029283427">
      <w:marLeft w:val="0"/>
      <w:marRight w:val="0"/>
      <w:marTop w:val="0"/>
      <w:marBottom w:val="0"/>
      <w:divBdr>
        <w:top w:val="none" w:sz="0" w:space="0" w:color="auto"/>
        <w:left w:val="none" w:sz="0" w:space="0" w:color="auto"/>
        <w:bottom w:val="none" w:sz="0" w:space="0" w:color="auto"/>
        <w:right w:val="none" w:sz="0" w:space="0" w:color="auto"/>
      </w:divBdr>
      <w:divsChild>
        <w:div w:id="840238977">
          <w:marLeft w:val="0"/>
          <w:marRight w:val="0"/>
          <w:marTop w:val="0"/>
          <w:marBottom w:val="0"/>
          <w:divBdr>
            <w:top w:val="none" w:sz="0" w:space="0" w:color="auto"/>
            <w:left w:val="none" w:sz="0" w:space="0" w:color="auto"/>
            <w:bottom w:val="none" w:sz="0" w:space="0" w:color="auto"/>
            <w:right w:val="none" w:sz="0" w:space="0" w:color="auto"/>
          </w:divBdr>
        </w:div>
      </w:divsChild>
    </w:div>
    <w:div w:id="2030568233">
      <w:marLeft w:val="0"/>
      <w:marRight w:val="0"/>
      <w:marTop w:val="100"/>
      <w:marBottom w:val="100"/>
      <w:divBdr>
        <w:top w:val="none" w:sz="0" w:space="0" w:color="auto"/>
        <w:left w:val="none" w:sz="0" w:space="0" w:color="auto"/>
        <w:bottom w:val="none" w:sz="0" w:space="0" w:color="auto"/>
        <w:right w:val="none" w:sz="0" w:space="0" w:color="auto"/>
      </w:divBdr>
      <w:divsChild>
        <w:div w:id="723407219">
          <w:marLeft w:val="0"/>
          <w:marRight w:val="0"/>
          <w:marTop w:val="100"/>
          <w:marBottom w:val="100"/>
          <w:divBdr>
            <w:top w:val="none" w:sz="0" w:space="0" w:color="auto"/>
            <w:left w:val="none" w:sz="0" w:space="0" w:color="auto"/>
            <w:bottom w:val="none" w:sz="0" w:space="0" w:color="auto"/>
            <w:right w:val="none" w:sz="0" w:space="0" w:color="auto"/>
          </w:divBdr>
        </w:div>
        <w:div w:id="1319924549">
          <w:marLeft w:val="0"/>
          <w:marRight w:val="0"/>
          <w:marTop w:val="40"/>
          <w:marBottom w:val="40"/>
          <w:divBdr>
            <w:top w:val="none" w:sz="0" w:space="0" w:color="auto"/>
            <w:left w:val="none" w:sz="0" w:space="0" w:color="auto"/>
            <w:bottom w:val="none" w:sz="0" w:space="0" w:color="auto"/>
            <w:right w:val="none" w:sz="0" w:space="0" w:color="auto"/>
          </w:divBdr>
        </w:div>
      </w:divsChild>
    </w:div>
    <w:div w:id="2031107247">
      <w:marLeft w:val="0"/>
      <w:marRight w:val="0"/>
      <w:marTop w:val="0"/>
      <w:marBottom w:val="180"/>
      <w:divBdr>
        <w:top w:val="none" w:sz="0" w:space="0" w:color="auto"/>
        <w:left w:val="none" w:sz="0" w:space="0" w:color="auto"/>
        <w:bottom w:val="none" w:sz="0" w:space="0" w:color="auto"/>
        <w:right w:val="none" w:sz="0" w:space="0" w:color="auto"/>
      </w:divBdr>
    </w:div>
    <w:div w:id="2034571258">
      <w:marLeft w:val="0"/>
      <w:marRight w:val="0"/>
      <w:marTop w:val="0"/>
      <w:marBottom w:val="0"/>
      <w:divBdr>
        <w:top w:val="none" w:sz="0" w:space="0" w:color="auto"/>
        <w:left w:val="none" w:sz="0" w:space="0" w:color="auto"/>
        <w:bottom w:val="none" w:sz="0" w:space="0" w:color="auto"/>
        <w:right w:val="none" w:sz="0" w:space="0" w:color="auto"/>
      </w:divBdr>
    </w:div>
    <w:div w:id="2049715687">
      <w:marLeft w:val="0"/>
      <w:marRight w:val="0"/>
      <w:marTop w:val="180"/>
      <w:marBottom w:val="0"/>
      <w:divBdr>
        <w:top w:val="none" w:sz="0" w:space="0" w:color="auto"/>
        <w:left w:val="none" w:sz="0" w:space="0" w:color="auto"/>
        <w:bottom w:val="none" w:sz="0" w:space="0" w:color="auto"/>
        <w:right w:val="none" w:sz="0" w:space="0" w:color="auto"/>
      </w:divBdr>
    </w:div>
    <w:div w:id="2056392199">
      <w:marLeft w:val="0"/>
      <w:marRight w:val="0"/>
      <w:marTop w:val="0"/>
      <w:marBottom w:val="0"/>
      <w:divBdr>
        <w:top w:val="none" w:sz="0" w:space="0" w:color="auto"/>
        <w:left w:val="none" w:sz="0" w:space="0" w:color="auto"/>
        <w:bottom w:val="none" w:sz="0" w:space="0" w:color="auto"/>
        <w:right w:val="none" w:sz="0" w:space="0" w:color="auto"/>
      </w:divBdr>
      <w:divsChild>
        <w:div w:id="1395272073">
          <w:marLeft w:val="0"/>
          <w:marRight w:val="0"/>
          <w:marTop w:val="0"/>
          <w:marBottom w:val="0"/>
          <w:divBdr>
            <w:top w:val="none" w:sz="0" w:space="0" w:color="auto"/>
            <w:left w:val="none" w:sz="0" w:space="0" w:color="auto"/>
            <w:bottom w:val="none" w:sz="0" w:space="0" w:color="auto"/>
            <w:right w:val="none" w:sz="0" w:space="0" w:color="auto"/>
          </w:divBdr>
        </w:div>
      </w:divsChild>
    </w:div>
    <w:div w:id="2060207858">
      <w:marLeft w:val="0"/>
      <w:marRight w:val="0"/>
      <w:marTop w:val="100"/>
      <w:marBottom w:val="360"/>
      <w:divBdr>
        <w:top w:val="none" w:sz="0" w:space="0" w:color="auto"/>
        <w:left w:val="none" w:sz="0" w:space="0" w:color="auto"/>
        <w:bottom w:val="none" w:sz="0" w:space="0" w:color="auto"/>
        <w:right w:val="none" w:sz="0" w:space="0" w:color="auto"/>
      </w:divBdr>
    </w:div>
    <w:div w:id="2060468816">
      <w:marLeft w:val="0"/>
      <w:marRight w:val="0"/>
      <w:marTop w:val="0"/>
      <w:marBottom w:val="0"/>
      <w:divBdr>
        <w:top w:val="none" w:sz="0" w:space="0" w:color="auto"/>
        <w:left w:val="none" w:sz="0" w:space="0" w:color="auto"/>
        <w:bottom w:val="none" w:sz="0" w:space="0" w:color="auto"/>
        <w:right w:val="none" w:sz="0" w:space="0" w:color="auto"/>
      </w:divBdr>
    </w:div>
    <w:div w:id="2070953217">
      <w:marLeft w:val="0"/>
      <w:marRight w:val="0"/>
      <w:marTop w:val="0"/>
      <w:marBottom w:val="0"/>
      <w:divBdr>
        <w:top w:val="none" w:sz="0" w:space="0" w:color="auto"/>
        <w:left w:val="none" w:sz="0" w:space="0" w:color="auto"/>
        <w:bottom w:val="none" w:sz="0" w:space="0" w:color="auto"/>
        <w:right w:val="none" w:sz="0" w:space="0" w:color="auto"/>
      </w:divBdr>
    </w:div>
    <w:div w:id="2071997421">
      <w:marLeft w:val="0"/>
      <w:marRight w:val="0"/>
      <w:marTop w:val="100"/>
      <w:marBottom w:val="100"/>
      <w:divBdr>
        <w:top w:val="none" w:sz="0" w:space="0" w:color="auto"/>
        <w:left w:val="none" w:sz="0" w:space="0" w:color="auto"/>
        <w:bottom w:val="none" w:sz="0" w:space="0" w:color="auto"/>
        <w:right w:val="none" w:sz="0" w:space="0" w:color="auto"/>
      </w:divBdr>
    </w:div>
    <w:div w:id="2073388829">
      <w:marLeft w:val="0"/>
      <w:marRight w:val="0"/>
      <w:marTop w:val="100"/>
      <w:marBottom w:val="100"/>
      <w:divBdr>
        <w:top w:val="none" w:sz="0" w:space="0" w:color="auto"/>
        <w:left w:val="none" w:sz="0" w:space="0" w:color="auto"/>
        <w:bottom w:val="none" w:sz="0" w:space="0" w:color="auto"/>
        <w:right w:val="none" w:sz="0" w:space="0" w:color="auto"/>
      </w:divBdr>
    </w:div>
    <w:div w:id="2074886395">
      <w:marLeft w:val="0"/>
      <w:marRight w:val="0"/>
      <w:marTop w:val="0"/>
      <w:marBottom w:val="0"/>
      <w:divBdr>
        <w:top w:val="none" w:sz="0" w:space="0" w:color="auto"/>
        <w:left w:val="none" w:sz="0" w:space="0" w:color="auto"/>
        <w:bottom w:val="none" w:sz="0" w:space="0" w:color="auto"/>
        <w:right w:val="none" w:sz="0" w:space="0" w:color="auto"/>
      </w:divBdr>
    </w:div>
    <w:div w:id="2075934740">
      <w:marLeft w:val="0"/>
      <w:marRight w:val="0"/>
      <w:marTop w:val="0"/>
      <w:marBottom w:val="180"/>
      <w:divBdr>
        <w:top w:val="none" w:sz="0" w:space="0" w:color="auto"/>
        <w:left w:val="none" w:sz="0" w:space="0" w:color="auto"/>
        <w:bottom w:val="none" w:sz="0" w:space="0" w:color="auto"/>
        <w:right w:val="none" w:sz="0" w:space="0" w:color="auto"/>
      </w:divBdr>
    </w:div>
    <w:div w:id="2075935017">
      <w:marLeft w:val="0"/>
      <w:marRight w:val="0"/>
      <w:marTop w:val="0"/>
      <w:marBottom w:val="320"/>
      <w:divBdr>
        <w:top w:val="none" w:sz="0" w:space="0" w:color="auto"/>
        <w:left w:val="none" w:sz="0" w:space="0" w:color="auto"/>
        <w:bottom w:val="none" w:sz="0" w:space="0" w:color="auto"/>
        <w:right w:val="none" w:sz="0" w:space="0" w:color="auto"/>
      </w:divBdr>
    </w:div>
    <w:div w:id="2078094215">
      <w:marLeft w:val="0"/>
      <w:marRight w:val="0"/>
      <w:marTop w:val="0"/>
      <w:marBottom w:val="0"/>
      <w:divBdr>
        <w:top w:val="none" w:sz="0" w:space="0" w:color="auto"/>
        <w:left w:val="none" w:sz="0" w:space="0" w:color="auto"/>
        <w:bottom w:val="none" w:sz="0" w:space="0" w:color="auto"/>
        <w:right w:val="none" w:sz="0" w:space="0" w:color="auto"/>
      </w:divBdr>
    </w:div>
    <w:div w:id="2084377676">
      <w:marLeft w:val="0"/>
      <w:marRight w:val="0"/>
      <w:marTop w:val="0"/>
      <w:marBottom w:val="160"/>
      <w:divBdr>
        <w:top w:val="none" w:sz="0" w:space="0" w:color="auto"/>
        <w:left w:val="none" w:sz="0" w:space="0" w:color="auto"/>
        <w:bottom w:val="none" w:sz="0" w:space="0" w:color="auto"/>
        <w:right w:val="none" w:sz="0" w:space="0" w:color="auto"/>
      </w:divBdr>
    </w:div>
    <w:div w:id="2097706993">
      <w:marLeft w:val="0"/>
      <w:marRight w:val="0"/>
      <w:marTop w:val="0"/>
      <w:marBottom w:val="0"/>
      <w:divBdr>
        <w:top w:val="none" w:sz="0" w:space="0" w:color="auto"/>
        <w:left w:val="none" w:sz="0" w:space="0" w:color="auto"/>
        <w:bottom w:val="none" w:sz="0" w:space="0" w:color="auto"/>
        <w:right w:val="none" w:sz="0" w:space="0" w:color="auto"/>
      </w:divBdr>
    </w:div>
    <w:div w:id="2107264627">
      <w:marLeft w:val="0"/>
      <w:marRight w:val="0"/>
      <w:marTop w:val="0"/>
      <w:marBottom w:val="0"/>
      <w:divBdr>
        <w:top w:val="none" w:sz="0" w:space="0" w:color="auto"/>
        <w:left w:val="none" w:sz="0" w:space="0" w:color="auto"/>
        <w:bottom w:val="none" w:sz="0" w:space="0" w:color="auto"/>
        <w:right w:val="none" w:sz="0" w:space="0" w:color="auto"/>
      </w:divBdr>
      <w:divsChild>
        <w:div w:id="200213174">
          <w:marLeft w:val="0"/>
          <w:marRight w:val="0"/>
          <w:marTop w:val="0"/>
          <w:marBottom w:val="0"/>
          <w:divBdr>
            <w:top w:val="none" w:sz="0" w:space="0" w:color="auto"/>
            <w:left w:val="none" w:sz="0" w:space="0" w:color="auto"/>
            <w:bottom w:val="none" w:sz="0" w:space="0" w:color="auto"/>
            <w:right w:val="none" w:sz="0" w:space="0" w:color="auto"/>
          </w:divBdr>
        </w:div>
      </w:divsChild>
    </w:div>
    <w:div w:id="2112510498">
      <w:marLeft w:val="0"/>
      <w:marRight w:val="0"/>
      <w:marTop w:val="100"/>
      <w:marBottom w:val="280"/>
      <w:divBdr>
        <w:top w:val="none" w:sz="0" w:space="0" w:color="auto"/>
        <w:left w:val="none" w:sz="0" w:space="0" w:color="auto"/>
        <w:bottom w:val="none" w:sz="0" w:space="0" w:color="auto"/>
        <w:right w:val="none" w:sz="0" w:space="0" w:color="auto"/>
      </w:divBdr>
    </w:div>
    <w:div w:id="2117434420">
      <w:marLeft w:val="0"/>
      <w:marRight w:val="0"/>
      <w:marTop w:val="100"/>
      <w:marBottom w:val="100"/>
      <w:divBdr>
        <w:top w:val="none" w:sz="0" w:space="0" w:color="auto"/>
        <w:left w:val="none" w:sz="0" w:space="0" w:color="auto"/>
        <w:bottom w:val="none" w:sz="0" w:space="0" w:color="auto"/>
        <w:right w:val="none" w:sz="0" w:space="0" w:color="auto"/>
      </w:divBdr>
    </w:div>
    <w:div w:id="2120293315">
      <w:marLeft w:val="0"/>
      <w:marRight w:val="0"/>
      <w:marTop w:val="0"/>
      <w:marBottom w:val="0"/>
      <w:divBdr>
        <w:top w:val="none" w:sz="0" w:space="0" w:color="auto"/>
        <w:left w:val="none" w:sz="0" w:space="0" w:color="auto"/>
        <w:bottom w:val="none" w:sz="0" w:space="0" w:color="auto"/>
        <w:right w:val="none" w:sz="0" w:space="0" w:color="auto"/>
      </w:divBdr>
      <w:divsChild>
        <w:div w:id="455635502">
          <w:marLeft w:val="0"/>
          <w:marRight w:val="0"/>
          <w:marTop w:val="0"/>
          <w:marBottom w:val="0"/>
          <w:divBdr>
            <w:top w:val="none" w:sz="0" w:space="0" w:color="auto"/>
            <w:left w:val="none" w:sz="0" w:space="0" w:color="auto"/>
            <w:bottom w:val="none" w:sz="0" w:space="0" w:color="auto"/>
            <w:right w:val="none" w:sz="0" w:space="0" w:color="auto"/>
          </w:divBdr>
        </w:div>
      </w:divsChild>
    </w:div>
    <w:div w:id="2127044979">
      <w:marLeft w:val="0"/>
      <w:marRight w:val="0"/>
      <w:marTop w:val="0"/>
      <w:marBottom w:val="0"/>
      <w:divBdr>
        <w:top w:val="none" w:sz="0" w:space="0" w:color="auto"/>
        <w:left w:val="none" w:sz="0" w:space="0" w:color="auto"/>
        <w:bottom w:val="none" w:sz="0" w:space="0" w:color="auto"/>
        <w:right w:val="none" w:sz="0" w:space="0" w:color="auto"/>
      </w:divBdr>
      <w:divsChild>
        <w:div w:id="1990549043">
          <w:marLeft w:val="0"/>
          <w:marRight w:val="0"/>
          <w:marTop w:val="0"/>
          <w:marBottom w:val="0"/>
          <w:divBdr>
            <w:top w:val="none" w:sz="0" w:space="0" w:color="auto"/>
            <w:left w:val="none" w:sz="0" w:space="0" w:color="auto"/>
            <w:bottom w:val="none" w:sz="0" w:space="0" w:color="auto"/>
            <w:right w:val="none" w:sz="0" w:space="0" w:color="auto"/>
          </w:divBdr>
        </w:div>
      </w:divsChild>
    </w:div>
    <w:div w:id="2127772016">
      <w:marLeft w:val="0"/>
      <w:marRight w:val="0"/>
      <w:marTop w:val="0"/>
      <w:marBottom w:val="180"/>
      <w:divBdr>
        <w:top w:val="none" w:sz="0" w:space="0" w:color="auto"/>
        <w:left w:val="none" w:sz="0" w:space="0" w:color="auto"/>
        <w:bottom w:val="none" w:sz="0" w:space="0" w:color="auto"/>
        <w:right w:val="none" w:sz="0" w:space="0" w:color="auto"/>
      </w:divBdr>
    </w:div>
    <w:div w:id="2131631046">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hibit322q32020.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hibit321q32020.htm" TargetMode="External"/><Relationship Id="rId5" Type="http://schemas.openxmlformats.org/officeDocument/2006/relationships/hyperlink" Target="exhibit312q32020.htm" TargetMode="External"/><Relationship Id="rId4" Type="http://schemas.openxmlformats.org/officeDocument/2006/relationships/hyperlink" Target="exhibit311q32020.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27769</Words>
  <Characters>158288</Characters>
  <Application>Microsoft Office Word</Application>
  <DocSecurity>0</DocSecurity>
  <Lines>1319</Lines>
  <Paragraphs>371</Paragraphs>
  <ScaleCrop>false</ScaleCrop>
  <Company/>
  <LinksUpToDate>false</LinksUpToDate>
  <CharactersWithSpaces>185686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avdl-20200930</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