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65947">
      <w:pPr>
        <w:divId w:val="1602295811"/>
        <w:rPr>
          <w:rFonts w:eastAsia="Times New Roman"/>
          <w:vanish/>
        </w:rPr>
      </w:pPr>
      <w:r>
        <w:rPr>
          <w:rFonts w:eastAsia="Times New Roman"/>
          <w:vanish/>
        </w:rPr>
        <w:t>000101247712/312021Q2false</w:t>
      </w:r>
      <w:r>
        <w:rPr>
          <w:rFonts w:ascii="Segoe UI Symbol" w:eastAsia="Times New Roman" w:hAnsi="Segoe UI Symbol" w:cs="Segoe UI Symbol"/>
          <w:vanish/>
        </w:rPr>
        <w:t>☒</w:t>
      </w:r>
      <w:r>
        <w:rPr>
          <w:rFonts w:eastAsia="Times New Roman"/>
          <w:vanish/>
        </w:rPr>
        <w:t>http://fasb.org/us-gaap/2021-01-31#AccountingStandardsUpdate202006MemberP10MP5DP5D00010124772021-01-012021-06-300001012477exch:XNMS2021-01-012021-06-30xbrli:shares00010124772021-08-05iso4217:USD00010124772021-04-01</w:t>
      </w:r>
      <w:r>
        <w:rPr>
          <w:rFonts w:eastAsia="Times New Roman"/>
          <w:vanish/>
        </w:rPr>
        <w:t>2021-06-3000010124772020-04-012020-06-3000010124772020-01-012020-06-3000010124772021-01-012021-03-31iso4217:USDxbrli:shares00010124772021-06-3000010124772020-12-310001012477us-gaap:CommonStockMember2020-12-310001012477us-gaap:PreferredStockMember2020-12-31</w:t>
      </w:r>
      <w:r>
        <w:rPr>
          <w:rFonts w:eastAsia="Times New Roman"/>
          <w:vanish/>
        </w:rPr>
        <w:t>0001012477us-gaap:AdditionalPaidInCapitalMember2020-12-310001012477us-gaap:RetainedEarningsMember2020-12-310001012477us-gaap:AccumulatedOtherComprehensiveIncomeMember2020-12-3100010124772020-01-012020-12-310001012477srt:CumulativeEffectPeriodOfAdoptionAdju</w:t>
      </w:r>
      <w:r>
        <w:rPr>
          <w:rFonts w:eastAsia="Times New Roman"/>
          <w:vanish/>
        </w:rPr>
        <w:t>stmentMemberus-gaap:AdditionalPaidInCapitalMember2020-12-310001012477srt:CumulativeEffectPeriodOfAdoptionAdjustmentMemberus-gaap:RetainedEarningsMember2020-12-310001012477srt:CumulativeEffectPeriodOfAdoptionAdjustmentMember2020-12-310001012477us-gaap:Retai</w:t>
      </w:r>
      <w:r>
        <w:rPr>
          <w:rFonts w:eastAsia="Times New Roman"/>
          <w:vanish/>
        </w:rPr>
        <w:t>nedEarningsMember2021-01-012021-03-310001012477us-gaap:AccumulatedOtherComprehensiveIncomeMember2021-01-012021-03-310001012477us-gaap:CommonStockMember2021-01-012021-03-310001012477us-gaap:AdditionalPaidInCapitalMember2021-01-012021-03-310001012477us-gaap:</w:t>
      </w:r>
      <w:r>
        <w:rPr>
          <w:rFonts w:eastAsia="Times New Roman"/>
          <w:vanish/>
        </w:rPr>
        <w:t>CommonStockMember2021-03-310001012477us-gaap:PreferredStockMember2021-03-310001012477us-gaap:AdditionalPaidInCapitalMember2021-03-310001012477us-gaap:RetainedEarningsMember2021-03-310001012477us-gaap:AccumulatedOtherComprehensiveIncomeMember2021-03-3100010</w:t>
      </w:r>
      <w:r>
        <w:rPr>
          <w:rFonts w:eastAsia="Times New Roman"/>
          <w:vanish/>
        </w:rPr>
        <w:t>124772021-03-310001012477us-gaap:RetainedEarningsMember2021-04-012021-06-300001012477us-gaap:AccumulatedOtherComprehensiveIncomeMember2021-04-012021-06-300001012477us-gaap:AdditionalPaidInCapitalMember2021-04-012021-06-300001012477us-gaap:CommonStockMember</w:t>
      </w:r>
      <w:r>
        <w:rPr>
          <w:rFonts w:eastAsia="Times New Roman"/>
          <w:vanish/>
        </w:rPr>
        <w:t>2021-06-300001012477us-gaap:PreferredStockMember2021-06-300001012477us-gaap:AdditionalPaidInCapitalMember2021-06-300001012477us-gaap:RetainedEarningsMember2021-06-300001012477us-gaap:AccumulatedOtherComprehensiveIncomeMember2021-06-300001012477us-gaap:Comm</w:t>
      </w:r>
      <w:r>
        <w:rPr>
          <w:rFonts w:eastAsia="Times New Roman"/>
          <w:vanish/>
        </w:rPr>
        <w:t>onStockMember2019-12-310001012477us-gaap:PreferredStockMember2019-12-310001012477us-gaap:AdditionalPaidInCapitalMember2019-12-310001012477us-gaap:RetainedEarningsMember2019-12-310001012477us-gaap:AccumulatedOtherComprehensiveIncomeMember2019-12-31000101247</w:t>
      </w:r>
      <w:r>
        <w:rPr>
          <w:rFonts w:eastAsia="Times New Roman"/>
          <w:vanish/>
        </w:rPr>
        <w:t>7us-gaap:TreasuryStockMember2019-12-3100010124772019-12-310001012477us-gaap:RetainedEarningsMember2020-01-012020-03-3100010124772020-01-012020-03-310001012477us-gaap:AccumulatedOtherComprehensiveIncomeMember2020-01-012020-03-310001012477us-gaap:CommonStock</w:t>
      </w:r>
      <w:r>
        <w:rPr>
          <w:rFonts w:eastAsia="Times New Roman"/>
          <w:vanish/>
        </w:rPr>
        <w:t>Member2020-01-012020-03-310001012477us-gaap:AdditionalPaidInCapitalMember2020-01-012020-03-310001012477us-gaap:PreferredStockMember2020-01-012020-03-310001012477us-gaap:CommonStockMember2020-03-310001012477us-gaap:PreferredStockMember2020-03-310001012477us</w:t>
      </w:r>
      <w:r>
        <w:rPr>
          <w:rFonts w:eastAsia="Times New Roman"/>
          <w:vanish/>
        </w:rPr>
        <w:t>-gaap:AdditionalPaidInCapitalMember2020-03-310001012477us-gaap:RetainedEarningsMember2020-03-310001012477us-gaap:AccumulatedOtherComprehensiveIncomeMember2020-03-310001012477us-gaap:TreasuryStockMember2020-03-3100010124772020-03-310001012477us-gaap:Retaine</w:t>
      </w:r>
      <w:r>
        <w:rPr>
          <w:rFonts w:eastAsia="Times New Roman"/>
          <w:vanish/>
        </w:rPr>
        <w:t>dEarningsMember2020-04-012020-06-300001012477us-gaap:AccumulatedOtherComprehensiveIncomeMember2020-04-012020-06-300001012477us-gaap:CommonStockMember2020-04-012020-06-300001012477us-gaap:AdditionalPaidInCapitalMember2020-04-012020-06-300001012477us-gaap:Co</w:t>
      </w:r>
      <w:r>
        <w:rPr>
          <w:rFonts w:eastAsia="Times New Roman"/>
          <w:vanish/>
        </w:rPr>
        <w:t>mmonStockMember2020-06-300001012477us-gaap:PreferredStockMember2020-06-300001012477us-gaap:AdditionalPaidInCapitalMember2020-06-300001012477us-gaap:RetainedEarningsMember2020-06-300001012477us-gaap:AccumulatedOtherComprehensiveIncomeMember2020-06-300001012</w:t>
      </w:r>
      <w:r>
        <w:rPr>
          <w:rFonts w:eastAsia="Times New Roman"/>
          <w:vanish/>
        </w:rPr>
        <w:t>477us-gaap:TreasuryStockMember2020-06-3000010124772020-06-30xbrli:pure0001012477us-gaap:SeniorNotesMemberavdl:A450PercentExchangeableSeniorNotesDue2023Member2020-12-310001012477avdl:BloxiverzVazculepAkovazandNouressMemberus-gaap:DisposalGroupDisposedOfBySa</w:t>
      </w:r>
      <w:r>
        <w:rPr>
          <w:rFonts w:eastAsia="Times New Roman"/>
          <w:vanish/>
        </w:rPr>
        <w:t>leNotDiscontinuedOperationsMember2020-06-300001012477avdl:BloxiverzVazculepAkovazandNouressMemberus-gaap:DisposalGroupDisposedOfBySaleNotDiscontinuedOperationsMember2020-01-012020-12-310001012477avdl:BloxiverzVazculepAkovazandNouressMemberus-gaap:DisposalG</w:t>
      </w:r>
      <w:r>
        <w:rPr>
          <w:rFonts w:eastAsia="Times New Roman"/>
          <w:vanish/>
        </w:rPr>
        <w:t>roupDisposedOfBySaleNotDiscontinuedOperationsMember2021-01-012021-06-300001012477avdl:BloxiverzVazculepAkovazandNouressMemberus-gaap:DisposalGroupDisposedOfBySaleNotDiscontinuedOperationsMember2020-01-012020-06-300001012477srt:ScenarioPreviouslyReportedMem</w:t>
      </w:r>
      <w:r>
        <w:rPr>
          <w:rFonts w:eastAsia="Times New Roman"/>
          <w:vanish/>
        </w:rPr>
        <w:t>ber2020-01-012020-06-300001012477srt:RestatementAdjustmentMembersrt:ProFormaMember2020-01-012020-06-300001012477srt:ProFormaMember2020-01-012020-06-300001012477srt:RestatementAdjustmentMemberus-gaap:DisposalGroupDisposedOfBySaleNotDiscontinuedOperationsMem</w:t>
      </w:r>
      <w:r>
        <w:rPr>
          <w:rFonts w:eastAsia="Times New Roman"/>
          <w:vanish/>
        </w:rPr>
        <w:t>bersrt:ProFormaMember2020-01-012020-06-300001012477avdl:MutualAndMoneyMarketFundsMemberus-gaap:FairValueInputsLevel1Memberus-gaap:FairValueMeasurementsRecurringMember2021-06-300001012477avdl:MutualAndMoneyMarketFundsMemberus-gaap:FairValueInputsLevel2Membe</w:t>
      </w:r>
      <w:r>
        <w:rPr>
          <w:rFonts w:eastAsia="Times New Roman"/>
          <w:vanish/>
        </w:rPr>
        <w:t>rus-gaap:FairValueMeasurementsRecurringMember2021-06-300001012477avdl:MutualAndMoneyMarketFundsMemberus-gaap:FairValueMeasurementsRecurringMemberus-gaap:FairValueInputsLevel3Member2021-06-300001012477avdl:MutualAndMoneyMarketFundsMemberus-gaap:FairValueInp</w:t>
      </w:r>
      <w:r>
        <w:rPr>
          <w:rFonts w:eastAsia="Times New Roman"/>
          <w:vanish/>
        </w:rPr>
        <w:t>utsLevel1Memberus-gaap:FairValueMeasurementsRecurringMember2020-12-310001012477avdl:MutualAndMoneyMarketFundsMemberus-gaap:FairValueInputsLevel2Memberus-gaap:FairValueMeasurementsRecurringMember2020-12-310001012477avdl:MutualAndMoneyMarketFundsMemberus-gaa</w:t>
      </w:r>
      <w:r>
        <w:rPr>
          <w:rFonts w:eastAsia="Times New Roman"/>
          <w:vanish/>
        </w:rPr>
        <w:t>p:FairValueMeasurementsRecurringMemberus-gaap:FairValueInputsLevel3Member2020-12-310001012477us-gaap:FairValueInputsLevel1Memberus-gaap:CorporateDebtSecuritiesMemberus-gaap:FairValueMeasurementsRecurringMember2021-06-300001012477us-gaap:FairValueInputsLeve</w:t>
      </w:r>
      <w:r>
        <w:rPr>
          <w:rFonts w:eastAsia="Times New Roman"/>
          <w:vanish/>
        </w:rPr>
        <w:t>l2Memberus-gaap:CorporateDebtSecuritiesMemberus-gaap:FairValueMeasurementsRecurringMember2021-06-300001012477us-gaap:CorporateDebtSecuritiesMemberus-gaap:FairValueMeasurementsRecurringMemberus-gaap:FairValueInputsLevel3Member2021-06-300001012477us-gaap:Fai</w:t>
      </w:r>
      <w:r>
        <w:rPr>
          <w:rFonts w:eastAsia="Times New Roman"/>
          <w:vanish/>
        </w:rPr>
        <w:t>rValueInputsLevel1Memberus-gaap:CorporateDebtSecuritiesMemberus-gaap:FairValueMeasurementsRecurringMember2020-12-310001012477us-gaap:FairValueInputsLevel2Memberus-gaap:CorporateDebtSecuritiesMemberus-gaap:FairValueMeasurementsRecurringMember2020-12-3100010</w:t>
      </w:r>
      <w:r>
        <w:rPr>
          <w:rFonts w:eastAsia="Times New Roman"/>
          <w:vanish/>
        </w:rPr>
        <w:t>12477us-gaap:CorporateDebtSecuritiesMemberus-gaap:FairValueMeasurementsRecurringMemberus-gaap:FairValueInputsLevel3Member2020-12-310001012477us-gaap:FairValueInputsLevel1Memberus-gaap:USGovernmentAgenciesDebtSecuritiesMemberus-gaap:FairValueMeasurementsRec</w:t>
      </w:r>
      <w:r>
        <w:rPr>
          <w:rFonts w:eastAsia="Times New Roman"/>
          <w:vanish/>
        </w:rPr>
        <w:t>urringMember2021-06-300001012477us-gaap:FairValueInputsLevel2Memberus-gaap:USGovernmentAgenciesDebtSecuritiesMemberus-gaap:FairValueMeasurementsRecurringMember2021-06-300001012477us-gaap:USGovernmentAgenciesDebtSecuritiesMemberus-gaap:FairValueMeasurements</w:t>
      </w:r>
      <w:r>
        <w:rPr>
          <w:rFonts w:eastAsia="Times New Roman"/>
          <w:vanish/>
        </w:rPr>
        <w:t>RecurringMemberus-gaap:FairValueInputsLevel3Member2021-06-300001012477us-gaap:FairValueInputsLevel1Memberus-gaap:USGovernmentAgenciesDebtSecuritiesMemberus-gaap:FairValueMeasurementsRecurringMember2020-12-310001012477us-gaap:FairValueInputsLevel2Memberus-g</w:t>
      </w:r>
      <w:r>
        <w:rPr>
          <w:rFonts w:eastAsia="Times New Roman"/>
          <w:vanish/>
        </w:rPr>
        <w:t>aap:USGovernmentAgenciesDebtSecuritiesMemberus-gaap:FairValueMeasurementsRecurringMember2020-12-310001012477us-gaap:USGovernmentAgenciesDebtSecuritiesMemberus-gaap:FairValueMeasurementsRecurringMemberus-gaap:FairValueInputsLevel3Member2020-12-310001012477u</w:t>
      </w:r>
      <w:r>
        <w:rPr>
          <w:rFonts w:eastAsia="Times New Roman"/>
          <w:vanish/>
        </w:rPr>
        <w:t>s-gaap:FairValueInputsLevel1Memberus-gaap:FixedIncomeSecuritiesMemberus-gaap:FairValueMeasurementsRecurringMember2021-06-300001012477us-gaap:FixedIncomeSecuritiesMemberus-gaap:FairValueInputsLevel2Memberus-gaap:FairValueMeasurementsRecurringMember2021-06-3</w:t>
      </w:r>
      <w:r>
        <w:rPr>
          <w:rFonts w:eastAsia="Times New Roman"/>
          <w:vanish/>
        </w:rPr>
        <w:t>00001012477us-gaap:FixedIncomeSecuritiesMemberus-gaap:FairValueMeasurementsRecurringMemberus-gaap:FairValueInputsLevel3Member2021-06-300001012477us-gaap:FairValueInputsLevel1Memberus-gaap:FixedIncomeSecuritiesMemberus-gaap:FairValueMeasurementsRecurringMem</w:t>
      </w:r>
      <w:r>
        <w:rPr>
          <w:rFonts w:eastAsia="Times New Roman"/>
          <w:vanish/>
        </w:rPr>
        <w:t>ber2020-12-310001012477us-gaap:FixedIncomeSecuritiesMemberus-gaap:FairValueInputsLevel2Memberus-gaap:FairValueMeasurementsRecurringMember2020-12-310001012477us-gaap:FixedIncomeSecuritiesMemberus-gaap:FairValueMeasurementsRecurringMemberus-gaap:FairValueInp</w:t>
      </w:r>
      <w:r>
        <w:rPr>
          <w:rFonts w:eastAsia="Times New Roman"/>
          <w:vanish/>
        </w:rPr>
        <w:t>utsLevel3Member2020-12-310001012477us-gaap:FairValueInputsLevel1Memberus-gaap:FairValueMeasurementsRecurringMember2021-06-300001012477us-gaap:FairValueInputsLevel2Memberus-gaap:FairValueMeasurementsRecurringMember2021-06-300001012477us-gaap:FairValueMeasur</w:t>
      </w:r>
      <w:r>
        <w:rPr>
          <w:rFonts w:eastAsia="Times New Roman"/>
          <w:vanish/>
        </w:rPr>
        <w:t>ementsRecurringMemberus-gaap:FairValueInputsLevel3Member2021-06-300001012477us-gaap:FairValueInputsLevel1Memberus-gaap:FairValueMeasurementsRecurringMember2020-12-310001012477us-gaap:FairValueInputsLevel2Memberus-gaap:FairValueMeasurementsRecurringMember20</w:t>
      </w:r>
      <w:r>
        <w:rPr>
          <w:rFonts w:eastAsia="Times New Roman"/>
          <w:vanish/>
        </w:rPr>
        <w:t>20-12-310001012477us-gaap:FairValueMeasurementsRecurringMemberus-gaap:FairValueInputsLevel3Member2020-12-310001012477us-gaap:SeniorNotesMemberavdl:A450PercentExchangeableSeniorNotesDue2023Member2021-06-300001012477avdl:MutualAndMoneyMarketFundsMember2021-0</w:t>
      </w:r>
      <w:r>
        <w:rPr>
          <w:rFonts w:eastAsia="Times New Roman"/>
          <w:vanish/>
        </w:rPr>
        <w:t>6-300001012477us-gaap:CorporateDebtSecuritiesMember2021-06-300001012477us-gaap:USGovernmentAgenciesDebtSecuritiesMember2021-06-300001012477us-gaap:FixedIncomeSecuritiesMember2021-06-300001012477avdl:MutualAndMoneyMarketFundsMember2020-12-310001012477us-gaa</w:t>
      </w:r>
      <w:r>
        <w:rPr>
          <w:rFonts w:eastAsia="Times New Roman"/>
          <w:vanish/>
        </w:rPr>
        <w:t>p:CorporateDebtSecuritiesMember2020-12-310001012477us-gaap:USGovernmentAgenciesDebtSecuritiesMember2020-12-310001012477us-gaap:FixedIncomeSecuritiesMember2020-12-310001012477avdl:DebtSecuritiesExcludingMoneyMarketFundsAvailableForSaleMember2021-06-30000101</w:t>
      </w:r>
      <w:r>
        <w:rPr>
          <w:rFonts w:eastAsia="Times New Roman"/>
          <w:vanish/>
        </w:rPr>
        <w:t>2477us-gaap:SeniorNotesMember2021-06-300001012477us-gaap:SeniorNotesMember2020-12-310001012477us-gaap:ConvertibleDebtMemberavdl:A450PercentExchangeableSeniorNotesDue2023Member2018-02-160001012477us-gaap:ConvertibleDebtMemberavdl:A450PercentExchangeableSeni</w:t>
      </w:r>
      <w:r>
        <w:rPr>
          <w:rFonts w:eastAsia="Times New Roman"/>
          <w:vanish/>
        </w:rPr>
        <w:t>orNotesDue2023Member2018-02-162018-02-16utr:Rate00010124772018-02-162018-02-160001012477us-gaap:DebtInstrumentRedemptionPeriodOneMemberus-gaap:ConvertibleDebtMemberavdl:A450PercentExchangeableSeniorNotesDue2023Member2018-02-162018-02-16avdl:day0001012477us</w:t>
      </w:r>
      <w:r>
        <w:rPr>
          <w:rFonts w:eastAsia="Times New Roman"/>
          <w:vanish/>
        </w:rPr>
        <w:t>-gaap:ConvertibleDebtMemberavdl:A450PercentExchangeableSeniorNotesDue2023Memberus-gaap:DebtInstrumentRedemptionPeriodTwoMember2018-02-162018-02-160001012477us-gaap:DebtInstrumentRedemptionPeriodThreeMemberus-gaap:ConvertibleDebtMemberavdl:A450PercentExchan</w:t>
      </w:r>
      <w:r>
        <w:rPr>
          <w:rFonts w:eastAsia="Times New Roman"/>
          <w:vanish/>
        </w:rPr>
        <w:t>geableSeniorNotesDue2023Member2018-02-162018-02-160001012477avdl:TwoThousandNineteenCorporateFrenchRestructuringObligationMember2020-12-310001012477avdl:TwoThousandNineteenCorporateFrenchRestructuringObligationMemberus-gaap:EmployeeSeveranceMember2021-01-0</w:t>
      </w:r>
      <w:r>
        <w:rPr>
          <w:rFonts w:eastAsia="Times New Roman"/>
          <w:vanish/>
        </w:rPr>
        <w:t>12021-06-300001012477avdl:TwoThousandNineteenCorporateFrenchRestructuringObligationMember2021-01-012021-06-300001012477avdl:TwoThousandNineteenCorporateFrenchRestructuringObligationMember2021-06-300001012477avdl:CorporateWorkforceReductionMemberus-gaap:Emp</w:t>
      </w:r>
      <w:r>
        <w:rPr>
          <w:rFonts w:eastAsia="Times New Roman"/>
          <w:vanish/>
        </w:rPr>
        <w:t>loyeeSeveranceMember2019-03-310001012477avdl:TwoThousandNineteenCorporateRestructuringObligationsMember2020-12-310001012477us-gaap:EmployeeSeveranceMemberavdl:TwoThousandNineteenCorporateRestructuringObligationsMember2021-01-012021-06-300001012477avdl:TwoT</w:t>
      </w:r>
      <w:r>
        <w:rPr>
          <w:rFonts w:eastAsia="Times New Roman"/>
          <w:vanish/>
        </w:rPr>
        <w:t>housandNineteenCorporateRestructuringObligationsMember2021-01-012021-06-300001012477avdl:TwoThousandNineteenCorporateRestructuringObligationsMember2021-06-300001012477us-gaap:AccumulatedTranslationAdjustmentMember2021-03-310001012477us-gaap:AccumulatedTran</w:t>
      </w:r>
      <w:r>
        <w:rPr>
          <w:rFonts w:eastAsia="Times New Roman"/>
          <w:vanish/>
        </w:rPr>
        <w:t>slationAdjustmentMember2020-03-310001012477us-gaap:AccumulatedTranslationAdjustmentMember2020-12-310001012477us-gaap:AccumulatedTranslationAdjustmentMember2019-12-310001012477us-gaap:AccumulatedTranslationAdjustmentMember2021-04-012021-06-300001012477us-ga</w:t>
      </w:r>
      <w:r>
        <w:rPr>
          <w:rFonts w:eastAsia="Times New Roman"/>
          <w:vanish/>
        </w:rPr>
        <w:t>ap:AccumulatedTranslationAdjustmentMember2020-04-012020-06-300001012477us-gaap:AccumulatedTranslationAdjustmentMember2021-01-012021-06-300001012477us-gaap:AccumulatedTranslationAdjustmentMember2020-01-012020-06-300001012477us-gaap:AccumulatedTranslationAdj</w:t>
      </w:r>
      <w:r>
        <w:rPr>
          <w:rFonts w:eastAsia="Times New Roman"/>
          <w:vanish/>
        </w:rPr>
        <w:t>ustmentMember2021-06-300001012477us-gaap:AccumulatedTranslationAdjustmentMember2020-06-300001012477us-gaap:AccumulatedNetUnrealizedInvestmentGainLossMember2021-03-310001012477us-gaap:AccumulatedNetUnrealizedInvestmentGainLossMember2020-03-310001012477us-ga</w:t>
      </w:r>
      <w:r>
        <w:rPr>
          <w:rFonts w:eastAsia="Times New Roman"/>
          <w:vanish/>
        </w:rPr>
        <w:t>ap:AccumulatedNetUnrealizedInvestmentGainLossMember2020-12-310001012477us-gaap:AccumulatedNetUnrealizedInvestmentGainLossMember2019-12-310001012477us-gaap:AccumulatedNetUnrealizedInvestmentGainLossMember2021-04-012021-06-300001012477us-gaap:AccumulatedNetU</w:t>
      </w:r>
      <w:r>
        <w:rPr>
          <w:rFonts w:eastAsia="Times New Roman"/>
          <w:vanish/>
        </w:rPr>
        <w:t>nrealizedInvestmentGainLossMember2020-04-012020-06-300001012477us-gaap:AccumulatedNetUnrealizedInvestmentGainLossMember2021-01-012021-06-300001012477us-gaap:AccumulatedNetUnrealizedInvestmentGainLossMember2020-01-012020-06-300001012477us-gaap:AccumulatedNe</w:t>
      </w:r>
      <w:r>
        <w:rPr>
          <w:rFonts w:eastAsia="Times New Roman"/>
          <w:vanish/>
        </w:rPr>
        <w:t>tUnrealizedInvestmentGainLossMember2021-06-300001012477us-gaap:AccumulatedNetUnrealizedInvestmentGainLossMember2020-06-30avdl:segment0001012477avdl:BloxiverzMember2020-04-012020-06-300001012477avdl:BloxiverzMember2020-01-012020-06-300001012477avdl:Vazculep</w:t>
      </w:r>
      <w:r>
        <w:rPr>
          <w:rFonts w:eastAsia="Times New Roman"/>
          <w:vanish/>
        </w:rPr>
        <w:t>Member2020-04-012020-06-300001012477avdl:VazculepMember2020-01-012020-06-300001012477avdl:AkovazMember2020-04-012020-06-300001012477avdl:AkovazMember2020-01-012020-06-300001012477avdl:OtherProductsMember2020-04-012020-06-300001012477avdl:OtherProductsMembe</w:t>
      </w:r>
      <w:r>
        <w:rPr>
          <w:rFonts w:eastAsia="Times New Roman"/>
          <w:vanish/>
        </w:rPr>
        <w:t>r2020-01-012020-06-300001012477srt:MaximumMember2021-06-30</w:t>
      </w:r>
    </w:p>
    <w:p w:rsidR="00000000" w:rsidRDefault="00E65947">
      <w:pPr>
        <w:divId w:val="1267155920"/>
        <w:rPr>
          <w:rFonts w:eastAsia="Times New Roman"/>
        </w:rPr>
      </w:pPr>
    </w:p>
    <w:p w:rsidR="00000000" w:rsidRDefault="00E65947">
      <w:pPr>
        <w:jc w:val="center"/>
        <w:rPr>
          <w:rFonts w:eastAsia="Times New Roman"/>
        </w:rPr>
      </w:pPr>
      <w:r>
        <w:rPr>
          <w:rFonts w:eastAsia="Times New Roman"/>
          <w:b/>
          <w:bCs/>
          <w:color w:val="000000"/>
          <w:sz w:val="28"/>
          <w:szCs w:val="28"/>
        </w:rPr>
        <w:t>UNITED STATES</w:t>
      </w:r>
    </w:p>
    <w:p w:rsidR="00000000" w:rsidRDefault="00E65947">
      <w:pPr>
        <w:jc w:val="center"/>
        <w:rPr>
          <w:rFonts w:eastAsia="Times New Roman"/>
        </w:rPr>
      </w:pPr>
      <w:r>
        <w:rPr>
          <w:rFonts w:eastAsia="Times New Roman"/>
          <w:b/>
          <w:bCs/>
          <w:color w:val="000000"/>
          <w:sz w:val="28"/>
          <w:szCs w:val="28"/>
        </w:rPr>
        <w:t>SECURITIES AND EXCHANGE COMMISSION            </w:t>
      </w:r>
    </w:p>
    <w:p w:rsidR="00000000" w:rsidRDefault="00E65947">
      <w:pPr>
        <w:jc w:val="center"/>
        <w:rPr>
          <w:rFonts w:eastAsia="Times New Roman"/>
        </w:rPr>
      </w:pPr>
      <w:r>
        <w:rPr>
          <w:rFonts w:eastAsia="Times New Roman"/>
          <w:b/>
          <w:bCs/>
          <w:color w:val="000000"/>
        </w:rPr>
        <w:t>Washington, D.C. 20549</w:t>
      </w:r>
    </w:p>
    <w:p w:rsidR="00000000" w:rsidRDefault="00E65947">
      <w:pPr>
        <w:ind w:firstLine="720"/>
        <w:divId w:val="1181965885"/>
        <w:rPr>
          <w:rFonts w:eastAsia="Times New Roman"/>
        </w:rPr>
      </w:pPr>
      <w:r>
        <w:rPr>
          <w:rFonts w:eastAsia="Times New Roman"/>
          <w:color w:val="000000"/>
          <w:sz w:val="20"/>
          <w:szCs w:val="20"/>
        </w:rPr>
        <w:t> </w:t>
      </w:r>
    </w:p>
    <w:p w:rsidR="00000000" w:rsidRDefault="00E65947">
      <w:pPr>
        <w:jc w:val="center"/>
        <w:rPr>
          <w:rFonts w:eastAsia="Times New Roman"/>
        </w:rPr>
      </w:pPr>
      <w:r>
        <w:rPr>
          <w:rFonts w:eastAsia="Times New Roman"/>
          <w:color w:val="000000"/>
          <w:sz w:val="20"/>
          <w:szCs w:val="20"/>
        </w:rPr>
        <w:t>———————</w:t>
      </w:r>
    </w:p>
    <w:p w:rsidR="00000000" w:rsidRDefault="00E65947">
      <w:pPr>
        <w:jc w:val="center"/>
        <w:divId w:val="1663772998"/>
        <w:rPr>
          <w:rFonts w:eastAsia="Times New Roman"/>
        </w:rPr>
      </w:pPr>
      <w:r>
        <w:rPr>
          <w:rFonts w:eastAsia="Times New Roman"/>
          <w:b/>
          <w:bCs/>
          <w:color w:val="000000"/>
          <w:sz w:val="28"/>
          <w:szCs w:val="28"/>
        </w:rPr>
        <w:t xml:space="preserve">FORM 10-Q </w:t>
      </w:r>
    </w:p>
    <w:p w:rsidR="00000000" w:rsidRDefault="00E65947">
      <w:pPr>
        <w:jc w:val="center"/>
        <w:rPr>
          <w:rFonts w:eastAsia="Times New Roman"/>
        </w:rPr>
      </w:pPr>
      <w:r>
        <w:rPr>
          <w:rFonts w:eastAsia="Times New Roman"/>
          <w:color w:val="000000"/>
          <w:sz w:val="20"/>
          <w:szCs w:val="20"/>
        </w:rPr>
        <w:t>———————</w:t>
      </w:r>
    </w:p>
    <w:p w:rsidR="00000000" w:rsidRDefault="00E65947">
      <w:pPr>
        <w:ind w:hanging="540"/>
        <w:divId w:val="1858499920"/>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QUARTERLY REPORT PURSUANT TO SECTION 13 OR 15(d) OF THE SECURITIES EXCHANGE A</w:t>
      </w:r>
      <w:r>
        <w:rPr>
          <w:rFonts w:eastAsia="Times New Roman"/>
          <w:color w:val="000000"/>
        </w:rPr>
        <w:t>CT OF 1934</w:t>
      </w:r>
    </w:p>
    <w:p w:rsidR="00000000" w:rsidRDefault="00E65947">
      <w:pPr>
        <w:ind w:firstLine="720"/>
        <w:jc w:val="center"/>
        <w:rPr>
          <w:rFonts w:eastAsia="Times New Roman"/>
        </w:rPr>
      </w:pPr>
      <w:r>
        <w:rPr>
          <w:rFonts w:eastAsia="Times New Roman"/>
          <w:b/>
          <w:bCs/>
          <w:color w:val="000000"/>
          <w:sz w:val="20"/>
          <w:szCs w:val="20"/>
        </w:rPr>
        <w:t> </w:t>
      </w:r>
    </w:p>
    <w:p w:rsidR="00000000" w:rsidRDefault="00E65947">
      <w:pPr>
        <w:jc w:val="center"/>
        <w:rPr>
          <w:rFonts w:eastAsia="Times New Roman"/>
        </w:rPr>
      </w:pPr>
      <w:r>
        <w:rPr>
          <w:rFonts w:eastAsia="Times New Roman"/>
          <w:color w:val="000000"/>
          <w:sz w:val="20"/>
          <w:szCs w:val="20"/>
        </w:rPr>
        <w:t xml:space="preserve">For the quarterly period ended: June 30, 2021 </w:t>
      </w:r>
    </w:p>
    <w:p w:rsidR="00000000" w:rsidRDefault="00E65947">
      <w:pPr>
        <w:jc w:val="center"/>
        <w:rPr>
          <w:rFonts w:eastAsia="Times New Roman"/>
        </w:rPr>
      </w:pPr>
    </w:p>
    <w:p w:rsidR="00000000" w:rsidRDefault="00E65947">
      <w:pPr>
        <w:jc w:val="center"/>
        <w:divId w:val="550506340"/>
        <w:rPr>
          <w:rFonts w:eastAsia="Times New Roman"/>
        </w:rPr>
      </w:pPr>
      <w:r>
        <w:rPr>
          <w:rFonts w:eastAsia="Times New Roman"/>
          <w:color w:val="000000"/>
          <w:sz w:val="20"/>
          <w:szCs w:val="20"/>
        </w:rPr>
        <w:t>OR</w:t>
      </w:r>
    </w:p>
    <w:p w:rsidR="00000000" w:rsidRDefault="00E65947">
      <w:pPr>
        <w:ind w:hanging="540"/>
        <w:divId w:val="1898005404"/>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TRANSITION REPORT PURSUANT TO SECTION 13 OR 15(d) OF THE SECURITIES EXCHANGE ACT OF 1934</w:t>
      </w:r>
    </w:p>
    <w:p w:rsidR="00000000" w:rsidRDefault="00E65947">
      <w:pPr>
        <w:jc w:val="center"/>
        <w:divId w:val="1517379955"/>
        <w:rPr>
          <w:rFonts w:eastAsia="Times New Roman"/>
        </w:rPr>
      </w:pPr>
      <w:r>
        <w:rPr>
          <w:rFonts w:eastAsia="Times New Roman"/>
          <w:color w:val="000000"/>
          <w:sz w:val="20"/>
          <w:szCs w:val="20"/>
        </w:rPr>
        <w:t xml:space="preserve">For the transition period from </w:t>
      </w:r>
      <w:r>
        <w:rPr>
          <w:rFonts w:eastAsia="Times New Roman"/>
          <w:color w:val="000000"/>
          <w:sz w:val="20"/>
          <w:szCs w:val="20"/>
          <w:u w:val="single"/>
        </w:rPr>
        <w:t>                    </w:t>
      </w:r>
      <w:r>
        <w:rPr>
          <w:rFonts w:eastAsia="Times New Roman"/>
          <w:color w:val="000000"/>
          <w:sz w:val="20"/>
          <w:szCs w:val="20"/>
        </w:rPr>
        <w:t xml:space="preserve"> to </w:t>
      </w:r>
      <w:r>
        <w:rPr>
          <w:rFonts w:eastAsia="Times New Roman"/>
          <w:color w:val="000000"/>
          <w:sz w:val="20"/>
          <w:szCs w:val="20"/>
          <w:u w:val="single"/>
        </w:rPr>
        <w:t>                    </w:t>
      </w: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3472"/>
        <w:gridCol w:w="36"/>
      </w:tblGrid>
      <w:tr w:rsidR="00000000">
        <w:trPr>
          <w:divId w:val="1045983999"/>
          <w:jc w:val="center"/>
        </w:trPr>
        <w:tc>
          <w:tcPr>
            <w:tcW w:w="50" w:type="pct"/>
            <w:vAlign w:val="center"/>
            <w:hideMark/>
          </w:tcPr>
          <w:p w:rsidR="00000000" w:rsidRDefault="00E65947">
            <w:pPr>
              <w:jc w:val="center"/>
              <w:rPr>
                <w:rFonts w:eastAsia="Times New Roman"/>
              </w:rPr>
            </w:pPr>
          </w:p>
        </w:tc>
        <w:tc>
          <w:tcPr>
            <w:tcW w:w="49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045983999"/>
          <w:jc w:val="center"/>
        </w:trPr>
        <w:tc>
          <w:tcPr>
            <w:tcW w:w="0" w:type="auto"/>
            <w:gridSpan w:val="3"/>
            <w:tcMar>
              <w:top w:w="30" w:type="dxa"/>
              <w:left w:w="20" w:type="dxa"/>
              <w:bottom w:w="30" w:type="dxa"/>
              <w:right w:w="20" w:type="dxa"/>
            </w:tcMar>
            <w:vAlign w:val="center"/>
            <w:hideMark/>
          </w:tcPr>
          <w:p w:rsidR="00000000" w:rsidRDefault="00E65947">
            <w:pPr>
              <w:spacing w:after="100"/>
              <w:jc w:val="center"/>
              <w:rPr>
                <w:rFonts w:eastAsia="Times New Roman"/>
              </w:rPr>
            </w:pPr>
            <w:r>
              <w:rPr>
                <w:rFonts w:eastAsia="Times New Roman"/>
                <w:b/>
                <w:bCs/>
                <w:color w:val="000000"/>
                <w:sz w:val="20"/>
                <w:szCs w:val="20"/>
              </w:rPr>
              <w:t>Commission File Number: 000-28508</w:t>
            </w:r>
          </w:p>
        </w:tc>
      </w:tr>
    </w:tbl>
    <w:p w:rsidR="00000000" w:rsidRDefault="00E65947">
      <w:pPr>
        <w:ind w:firstLine="720"/>
        <w:divId w:val="1005474313"/>
        <w:rPr>
          <w:rFonts w:eastAsia="Times New Roman"/>
        </w:rPr>
      </w:pPr>
      <w:r>
        <w:rPr>
          <w:rFonts w:eastAsia="Times New Roman"/>
          <w:color w:val="000000"/>
          <w:sz w:val="20"/>
          <w:szCs w:val="20"/>
        </w:rPr>
        <w:t> </w:t>
      </w:r>
    </w:p>
    <w:p w:rsidR="00000000" w:rsidRDefault="00E65947">
      <w:pPr>
        <w:jc w:val="center"/>
        <w:rPr>
          <w:rFonts w:eastAsia="Times New Roman"/>
        </w:rPr>
      </w:pPr>
      <w:r>
        <w:rPr>
          <w:rFonts w:eastAsia="Times New Roman"/>
          <w:color w:val="000000"/>
          <w:sz w:val="20"/>
          <w:szCs w:val="20"/>
        </w:rPr>
        <w:t>———————</w:t>
      </w:r>
    </w:p>
    <w:p w:rsidR="00000000" w:rsidRDefault="00E65947">
      <w:pPr>
        <w:jc w:val="center"/>
        <w:divId w:val="1221356283"/>
        <w:rPr>
          <w:rFonts w:eastAsia="Times New Roman"/>
        </w:rPr>
      </w:pPr>
      <w:r>
        <w:rPr>
          <w:rFonts w:eastAsia="Times New Roman"/>
          <w:b/>
          <w:bCs/>
          <w:color w:val="000000"/>
          <w:sz w:val="36"/>
          <w:szCs w:val="36"/>
        </w:rPr>
        <w:t xml:space="preserve">AVADEL PHARMACEUTICALS PLC </w:t>
      </w:r>
    </w:p>
    <w:p w:rsidR="00000000" w:rsidRDefault="00E65947">
      <w:pPr>
        <w:jc w:val="center"/>
        <w:rPr>
          <w:rFonts w:eastAsia="Times New Roman"/>
        </w:rPr>
      </w:pPr>
      <w:r>
        <w:rPr>
          <w:rFonts w:eastAsia="Times New Roman"/>
          <w:color w:val="000000"/>
          <w:sz w:val="20"/>
          <w:szCs w:val="20"/>
        </w:rPr>
        <w:t>(Exact name of registrant as specified in its charter)</w:t>
      </w:r>
    </w:p>
    <w:p w:rsidR="00000000" w:rsidRDefault="00E65947">
      <w:pPr>
        <w:jc w:val="center"/>
        <w:rPr>
          <w:rFonts w:eastAsia="Times New Roman"/>
        </w:rPr>
      </w:pPr>
      <w:r>
        <w:rPr>
          <w:rFonts w:eastAsia="Times New Roman"/>
          <w:color w:val="000000"/>
          <w:sz w:val="20"/>
          <w:szCs w:val="20"/>
        </w:rPr>
        <w:t>———————</w:t>
      </w:r>
    </w:p>
    <w:p w:rsidR="00000000" w:rsidRDefault="00E65947">
      <w:pPr>
        <w:ind w:firstLine="720"/>
        <w:divId w:val="1386684332"/>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2942"/>
        <w:gridCol w:w="36"/>
        <w:gridCol w:w="69"/>
        <w:gridCol w:w="2092"/>
        <w:gridCol w:w="36"/>
        <w:gridCol w:w="70"/>
        <w:gridCol w:w="2943"/>
        <w:gridCol w:w="36"/>
      </w:tblGrid>
      <w:tr w:rsidR="00000000">
        <w:trPr>
          <w:divId w:val="1587878441"/>
        </w:trPr>
        <w:tc>
          <w:tcPr>
            <w:tcW w:w="50" w:type="pct"/>
            <w:vAlign w:val="center"/>
            <w:hideMark/>
          </w:tcPr>
          <w:p w:rsidR="00000000" w:rsidRDefault="00E65947">
            <w:pPr>
              <w:ind w:firstLine="720"/>
              <w:rPr>
                <w:rFonts w:eastAsia="Times New Roman"/>
              </w:rPr>
            </w:pPr>
          </w:p>
        </w:tc>
        <w:tc>
          <w:tcPr>
            <w:tcW w:w="178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127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178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587878441"/>
        </w:trPr>
        <w:tc>
          <w:tcPr>
            <w:tcW w:w="0" w:type="auto"/>
            <w:gridSpan w:val="3"/>
            <w:tcMar>
              <w:top w:w="30" w:type="dxa"/>
              <w:left w:w="20" w:type="dxa"/>
              <w:bottom w:w="30" w:type="dxa"/>
              <w:right w:w="20" w:type="dxa"/>
            </w:tcMar>
            <w:vAlign w:val="center"/>
            <w:hideMark/>
          </w:tcPr>
          <w:p w:rsidR="00000000" w:rsidRDefault="00E65947">
            <w:pPr>
              <w:spacing w:after="100"/>
              <w:jc w:val="center"/>
              <w:rPr>
                <w:rFonts w:eastAsia="Times New Roman"/>
              </w:rPr>
            </w:pPr>
            <w:r>
              <w:rPr>
                <w:rFonts w:eastAsia="Times New Roman"/>
                <w:b/>
                <w:bCs/>
                <w:color w:val="000000"/>
                <w:sz w:val="20"/>
                <w:szCs w:val="20"/>
              </w:rPr>
              <w:t>Ireland</w:t>
            </w:r>
          </w:p>
        </w:tc>
        <w:tc>
          <w:tcPr>
            <w:tcW w:w="0" w:type="auto"/>
            <w:gridSpan w:val="3"/>
            <w:tcMar>
              <w:top w:w="30" w:type="dxa"/>
              <w:left w:w="20" w:type="dxa"/>
              <w:bottom w:w="30" w:type="dxa"/>
              <w:right w:w="20" w:type="dxa"/>
            </w:tcMar>
            <w:vAlign w:val="center"/>
            <w:hideMark/>
          </w:tcPr>
          <w:p w:rsidR="00000000" w:rsidRDefault="00E65947">
            <w:pPr>
              <w:spacing w:after="100"/>
              <w:jc w:val="center"/>
              <w:rPr>
                <w:rFonts w:eastAsia="Times New Roman"/>
              </w:rPr>
            </w:pPr>
            <w:r>
              <w:rPr>
                <w:rFonts w:eastAsia="Times New Roman"/>
                <w:b/>
                <w:bCs/>
                <w:color w:val="000000"/>
                <w:sz w:val="20"/>
                <w:szCs w:val="20"/>
              </w:rPr>
              <w:t>000-28508</w:t>
            </w:r>
          </w:p>
        </w:tc>
        <w:tc>
          <w:tcPr>
            <w:tcW w:w="0" w:type="auto"/>
            <w:gridSpan w:val="3"/>
            <w:tcMar>
              <w:top w:w="30" w:type="dxa"/>
              <w:left w:w="20" w:type="dxa"/>
              <w:bottom w:w="30" w:type="dxa"/>
              <w:right w:w="20" w:type="dxa"/>
            </w:tcMar>
            <w:vAlign w:val="center"/>
            <w:hideMark/>
          </w:tcPr>
          <w:p w:rsidR="00000000" w:rsidRDefault="00E65947">
            <w:pPr>
              <w:spacing w:after="100"/>
              <w:jc w:val="center"/>
              <w:rPr>
                <w:rFonts w:eastAsia="Times New Roman"/>
              </w:rPr>
            </w:pPr>
            <w:r>
              <w:rPr>
                <w:rFonts w:eastAsia="Times New Roman"/>
                <w:b/>
                <w:bCs/>
                <w:color w:val="000000"/>
                <w:sz w:val="20"/>
                <w:szCs w:val="20"/>
              </w:rPr>
              <w:t>98-1341933</w:t>
            </w:r>
          </w:p>
        </w:tc>
      </w:tr>
      <w:tr w:rsidR="00000000">
        <w:trPr>
          <w:divId w:val="1587878441"/>
        </w:trPr>
        <w:tc>
          <w:tcPr>
            <w:tcW w:w="0" w:type="auto"/>
            <w:gridSpan w:val="3"/>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(State or Other Jurisdiction of Incorporation)</w:t>
            </w:r>
          </w:p>
        </w:tc>
        <w:tc>
          <w:tcPr>
            <w:tcW w:w="0" w:type="auto"/>
            <w:gridSpan w:val="3"/>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(Commission File Number)</w:t>
            </w:r>
          </w:p>
        </w:tc>
        <w:tc>
          <w:tcPr>
            <w:tcW w:w="0" w:type="auto"/>
            <w:gridSpan w:val="3"/>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(I.R.S. Employer Identification No.)</w:t>
            </w:r>
          </w:p>
        </w:tc>
      </w:tr>
    </w:tbl>
    <w:p w:rsidR="00000000" w:rsidRDefault="00E65947">
      <w:pPr>
        <w:ind w:firstLine="720"/>
        <w:jc w:val="center"/>
        <w:rPr>
          <w:rFonts w:eastAsia="Times New Roman"/>
        </w:rPr>
      </w:pPr>
      <w:r>
        <w:rPr>
          <w:rFonts w:eastAsia="Times New Roman"/>
          <w:color w:val="000000"/>
          <w:sz w:val="20"/>
          <w:szCs w:val="20"/>
        </w:rPr>
        <w:t> </w:t>
      </w:r>
    </w:p>
    <w:p w:rsidR="00000000" w:rsidRDefault="00E65947">
      <w:pPr>
        <w:jc w:val="center"/>
        <w:rPr>
          <w:rFonts w:eastAsia="Times New Roman"/>
        </w:rPr>
      </w:pPr>
      <w:r>
        <w:rPr>
          <w:rFonts w:eastAsia="Times New Roman"/>
          <w:b/>
          <w:bCs/>
          <w:color w:val="000000"/>
          <w:sz w:val="20"/>
          <w:szCs w:val="20"/>
        </w:rPr>
        <w:t xml:space="preserve">10 Earlsfort Terrace </w:t>
      </w:r>
    </w:p>
    <w:p w:rsidR="00000000" w:rsidRDefault="00E65947">
      <w:pPr>
        <w:jc w:val="center"/>
        <w:rPr>
          <w:rFonts w:eastAsia="Times New Roman"/>
        </w:rPr>
      </w:pPr>
      <w:r>
        <w:rPr>
          <w:rFonts w:eastAsia="Times New Roman"/>
          <w:b/>
          <w:bCs/>
          <w:color w:val="000000"/>
          <w:sz w:val="20"/>
          <w:szCs w:val="20"/>
        </w:rPr>
        <w:t xml:space="preserve">Dublin 2, Ireland </w:t>
      </w:r>
    </w:p>
    <w:p w:rsidR="00000000" w:rsidRDefault="00E65947">
      <w:pPr>
        <w:jc w:val="center"/>
        <w:rPr>
          <w:rFonts w:eastAsia="Times New Roman"/>
        </w:rPr>
      </w:pPr>
      <w:r>
        <w:rPr>
          <w:rFonts w:eastAsia="Times New Roman"/>
          <w:b/>
          <w:bCs/>
          <w:color w:val="000000"/>
          <w:sz w:val="20"/>
          <w:szCs w:val="20"/>
        </w:rPr>
        <w:t xml:space="preserve">D02 T380 </w:t>
      </w:r>
    </w:p>
    <w:p w:rsidR="00000000" w:rsidRDefault="00E65947">
      <w:pPr>
        <w:ind w:firstLine="45"/>
        <w:jc w:val="center"/>
        <w:rPr>
          <w:rFonts w:eastAsia="Times New Roman"/>
        </w:rPr>
      </w:pPr>
      <w:r>
        <w:rPr>
          <w:rFonts w:eastAsia="Times New Roman"/>
          <w:color w:val="000000"/>
          <w:sz w:val="20"/>
          <w:szCs w:val="20"/>
        </w:rPr>
        <w:t>(Address of Principal Executive Office and Zip Code)</w:t>
      </w:r>
    </w:p>
    <w:p w:rsidR="00000000" w:rsidRDefault="00E65947">
      <w:pPr>
        <w:ind w:firstLine="720"/>
        <w:jc w:val="center"/>
        <w:rPr>
          <w:rFonts w:eastAsia="Times New Roman"/>
        </w:rPr>
      </w:pPr>
      <w:r>
        <w:rPr>
          <w:rFonts w:eastAsia="Times New Roman"/>
          <w:b/>
          <w:bCs/>
          <w:color w:val="000000"/>
          <w:sz w:val="20"/>
          <w:szCs w:val="20"/>
        </w:rPr>
        <w:t> </w:t>
      </w:r>
    </w:p>
    <w:p w:rsidR="00000000" w:rsidRDefault="00E65947">
      <w:pPr>
        <w:jc w:val="center"/>
        <w:rPr>
          <w:rFonts w:eastAsia="Times New Roman"/>
        </w:rPr>
      </w:pPr>
      <w:r>
        <w:rPr>
          <w:rFonts w:eastAsia="Times New Roman"/>
          <w:b/>
          <w:bCs/>
          <w:color w:val="000000"/>
          <w:sz w:val="20"/>
          <w:szCs w:val="20"/>
        </w:rPr>
        <w:t xml:space="preserve">+011-1-485-1200 </w:t>
      </w:r>
    </w:p>
    <w:p w:rsidR="00000000" w:rsidRDefault="00E65947">
      <w:pPr>
        <w:ind w:firstLine="45"/>
        <w:jc w:val="center"/>
        <w:rPr>
          <w:rFonts w:eastAsia="Times New Roman"/>
        </w:rPr>
      </w:pPr>
      <w:r>
        <w:rPr>
          <w:rFonts w:eastAsia="Times New Roman"/>
          <w:color w:val="000000"/>
          <w:sz w:val="20"/>
          <w:szCs w:val="20"/>
        </w:rPr>
        <w:t>(Registrant’s telephone number, including area code)</w:t>
      </w:r>
    </w:p>
    <w:p w:rsidR="00000000" w:rsidRDefault="00E65947">
      <w:pPr>
        <w:ind w:firstLine="720"/>
        <w:divId w:val="569192197"/>
        <w:rPr>
          <w:rFonts w:eastAsia="Times New Roman"/>
        </w:rPr>
      </w:pPr>
      <w:r>
        <w:rPr>
          <w:rFonts w:eastAsia="Times New Roman"/>
          <w:color w:val="000000"/>
          <w:sz w:val="20"/>
          <w:szCs w:val="20"/>
        </w:rPr>
        <w:t> </w:t>
      </w:r>
    </w:p>
    <w:p w:rsidR="00000000" w:rsidRDefault="00E65947">
      <w:pPr>
        <w:jc w:val="center"/>
        <w:rPr>
          <w:rFonts w:eastAsia="Times New Roman"/>
        </w:rPr>
      </w:pPr>
      <w:r>
        <w:rPr>
          <w:rFonts w:eastAsia="Times New Roman"/>
          <w:b/>
          <w:bCs/>
          <w:color w:val="000000"/>
          <w:sz w:val="20"/>
          <w:szCs w:val="20"/>
        </w:rPr>
        <w:t>N/A</w:t>
      </w:r>
    </w:p>
    <w:p w:rsidR="00000000" w:rsidRDefault="00E65947">
      <w:pPr>
        <w:jc w:val="center"/>
        <w:rPr>
          <w:rFonts w:eastAsia="Times New Roman"/>
        </w:rPr>
      </w:pPr>
      <w:r>
        <w:rPr>
          <w:rFonts w:eastAsia="Times New Roman"/>
          <w:color w:val="000000"/>
          <w:sz w:val="20"/>
          <w:szCs w:val="20"/>
        </w:rPr>
        <w:t>(Former name, former address and former fiscal year, if changed since last report) </w:t>
      </w:r>
    </w:p>
    <w:p w:rsidR="00000000" w:rsidRDefault="00E65947">
      <w:pPr>
        <w:jc w:val="center"/>
        <w:rPr>
          <w:rFonts w:eastAsia="Times New Roman"/>
        </w:rPr>
      </w:pPr>
      <w:r>
        <w:rPr>
          <w:rFonts w:eastAsia="Times New Roman"/>
          <w:color w:val="000000"/>
          <w:sz w:val="20"/>
          <w:szCs w:val="20"/>
        </w:rPr>
        <w:t>———————</w:t>
      </w:r>
    </w:p>
    <w:p w:rsidR="00000000" w:rsidRDefault="00E65947">
      <w:pPr>
        <w:jc w:val="both"/>
        <w:rPr>
          <w:rFonts w:eastAsia="Times New Roman"/>
        </w:rPr>
      </w:pPr>
      <w:r>
        <w:rPr>
          <w:rFonts w:eastAsia="Times New Roman"/>
          <w:color w:val="000000"/>
          <w:sz w:val="20"/>
          <w:szCs w:val="20"/>
        </w:rPr>
        <w:t>Securities registered pursuant to</w:t>
      </w:r>
      <w:r>
        <w:rPr>
          <w:rFonts w:eastAsia="Times New Roman"/>
          <w:color w:val="000000"/>
          <w:sz w:val="20"/>
          <w:szCs w:val="20"/>
        </w:rPr>
        <w:t xml:space="preserve"> Section 12(b) of the Act:</w:t>
      </w:r>
    </w:p>
    <w:p w:rsidR="00000000" w:rsidRDefault="00E6594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trPr>
          <w:jc w:val="center"/>
        </w:trPr>
        <w:tc>
          <w:tcPr>
            <w:tcW w:w="50" w:type="pct"/>
            <w:vAlign w:val="center"/>
            <w:hideMark/>
          </w:tcPr>
          <w:p w:rsidR="00000000" w:rsidRDefault="00E65947">
            <w:pPr>
              <w:jc w:val="both"/>
              <w:rPr>
                <w:rFonts w:eastAsia="Times New Roman"/>
              </w:rPr>
            </w:pPr>
          </w:p>
        </w:tc>
        <w:tc>
          <w:tcPr>
            <w:tcW w:w="161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161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161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Name of each exchange on which registered</w:t>
            </w: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American Depositary Shares* </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AVDL </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E65947">
            <w:pPr>
              <w:spacing w:after="100"/>
              <w:jc w:val="center"/>
              <w:rPr>
                <w:rFonts w:eastAsia="Times New Roman"/>
              </w:rPr>
            </w:pPr>
            <w:r>
              <w:rPr>
                <w:rFonts w:eastAsia="Times New Roman"/>
                <w:color w:val="000000"/>
                <w:sz w:val="20"/>
                <w:szCs w:val="20"/>
              </w:rPr>
              <w:t>The Nasdaq Global Market</w:t>
            </w:r>
          </w:p>
        </w:tc>
      </w:tr>
      <w:tr w:rsidR="00000000">
        <w:trPr>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E65947">
            <w:pPr>
              <w:spacing w:after="100"/>
              <w:jc w:val="center"/>
              <w:divId w:val="1888645732"/>
              <w:rPr>
                <w:rFonts w:eastAsia="Times New Roman"/>
              </w:rPr>
            </w:pPr>
            <w:r>
              <w:rPr>
                <w:rFonts w:eastAsia="Times New Roman"/>
                <w:color w:val="000000"/>
                <w:sz w:val="20"/>
                <w:szCs w:val="20"/>
              </w:rPr>
              <w:t>Ordinary Shares, nominal value $0.01 per share**</w:t>
            </w:r>
          </w:p>
        </w:tc>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E65947">
            <w:pPr>
              <w:spacing w:after="100"/>
              <w:jc w:val="center"/>
              <w:divId w:val="545144177"/>
              <w:rPr>
                <w:rFonts w:eastAsia="Times New Roman"/>
              </w:rPr>
            </w:pPr>
            <w:r>
              <w:rPr>
                <w:rFonts w:eastAsia="Times New Roman"/>
                <w:color w:val="000000"/>
                <w:sz w:val="20"/>
                <w:szCs w:val="20"/>
              </w:rPr>
              <w:t>N/A</w:t>
            </w:r>
          </w:p>
        </w:tc>
        <w:tc>
          <w:tcPr>
            <w:tcW w:w="0" w:type="auto"/>
            <w:gridSpan w:val="3"/>
            <w:tcBorders>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r>
    </w:tbl>
    <w:p w:rsidR="00000000" w:rsidRDefault="00E65947">
      <w:pPr>
        <w:divId w:val="1600138948"/>
        <w:rPr>
          <w:rFonts w:eastAsia="Times New Roman"/>
        </w:rPr>
      </w:pPr>
      <w:r>
        <w:rPr>
          <w:rFonts w:eastAsia="Times New Roman"/>
          <w:color w:val="000000"/>
          <w:sz w:val="20"/>
          <w:szCs w:val="20"/>
        </w:rPr>
        <w:t>*American Depositary Shares may be evidenced by American Depositary Receipts. Each American Depositary Share represents one (1) Ordinary Share.</w:t>
      </w:r>
    </w:p>
    <w:p w:rsidR="00000000" w:rsidRDefault="00E65947">
      <w:pPr>
        <w:divId w:val="404036358"/>
        <w:rPr>
          <w:rFonts w:eastAsia="Times New Roman"/>
        </w:rPr>
      </w:pPr>
      <w:r>
        <w:rPr>
          <w:rFonts w:eastAsia="Times New Roman"/>
          <w:color w:val="000000"/>
          <w:sz w:val="20"/>
          <w:szCs w:val="20"/>
        </w:rPr>
        <w:lastRenderedPageBreak/>
        <w:t> </w:t>
      </w:r>
    </w:p>
    <w:p w:rsidR="00000000" w:rsidRDefault="00E65947">
      <w:pPr>
        <w:divId w:val="1282765475"/>
        <w:rPr>
          <w:rFonts w:eastAsia="Times New Roman"/>
        </w:rPr>
      </w:pPr>
      <w:r>
        <w:rPr>
          <w:rFonts w:eastAsia="Times New Roman"/>
          <w:color w:val="000000"/>
          <w:sz w:val="20"/>
          <w:szCs w:val="20"/>
        </w:rPr>
        <w:t>** Not for trading, but only in connection with the listing of American Depositary Shares on The Nasdaq Global</w:t>
      </w:r>
      <w:r>
        <w:rPr>
          <w:rFonts w:eastAsia="Times New Roman"/>
          <w:color w:val="000000"/>
          <w:sz w:val="20"/>
          <w:szCs w:val="20"/>
        </w:rPr>
        <w:t xml:space="preserve"> Market.</w:t>
      </w:r>
    </w:p>
    <w:p w:rsidR="00000000" w:rsidRDefault="00E65947">
      <w:pPr>
        <w:jc w:val="both"/>
        <w:rPr>
          <w:rFonts w:eastAsia="Times New Roman"/>
        </w:rPr>
      </w:pPr>
    </w:p>
    <w:p w:rsidR="00000000" w:rsidRDefault="00E65947">
      <w:pPr>
        <w:divId w:val="252904141"/>
        <w:rPr>
          <w:rFonts w:eastAsia="Times New Roman"/>
        </w:rPr>
      </w:pPr>
    </w:p>
    <w:p w:rsidR="00000000" w:rsidRDefault="00E65947">
      <w:pPr>
        <w:rPr>
          <w:rFonts w:eastAsia="Times New Roman"/>
        </w:rPr>
      </w:pPr>
      <w:r>
        <w:rPr>
          <w:rFonts w:eastAsia="Times New Roman"/>
        </w:rPr>
        <w:pict>
          <v:rect id="_x0000_i1025" style="width:0;height:1.5pt" o:hralign="center" o:hrstd="t" o:hr="t" fillcolor="#a0a0a0" stroked="f"/>
        </w:pict>
      </w:r>
    </w:p>
    <w:p w:rsidR="00000000" w:rsidRDefault="00E65947">
      <w:pPr>
        <w:divId w:val="1055280237"/>
        <w:rPr>
          <w:rFonts w:eastAsia="Times New Roman"/>
        </w:rPr>
      </w:pPr>
    </w:p>
    <w:p w:rsidR="00000000" w:rsidRDefault="00E65947">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w:t>
      </w:r>
      <w:r>
        <w:rPr>
          <w:rFonts w:eastAsia="Times New Roman"/>
          <w:color w:val="000000"/>
          <w:sz w:val="20"/>
          <w:szCs w:val="20"/>
        </w:rPr>
        <w:t xml:space="preserve">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E65947">
      <w:pPr>
        <w:ind w:firstLine="720"/>
        <w:divId w:val="1756511784"/>
        <w:rPr>
          <w:rFonts w:eastAsia="Times New Roman"/>
        </w:rPr>
      </w:pP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eastAsia="Times New Roman"/>
          <w:color w:val="000000"/>
          <w:sz w:val="20"/>
          <w:szCs w:val="20"/>
        </w:rPr>
        <w:t xml:space="preserve">or for such shorter period that the registrant was required to submit and post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E65947">
      <w:pPr>
        <w:ind w:firstLine="720"/>
        <w:divId w:val="218444820"/>
        <w:rPr>
          <w:rFonts w:eastAsia="Times New Roman"/>
        </w:rPr>
      </w:pPr>
      <w:r>
        <w:rPr>
          <w:rFonts w:eastAsia="Times New Roman"/>
          <w:color w:val="000000"/>
          <w:sz w:val="20"/>
          <w:szCs w:val="20"/>
        </w:rPr>
        <w:t> </w:t>
      </w:r>
    </w:p>
    <w:p w:rsidR="00000000" w:rsidRDefault="00E65947">
      <w:pPr>
        <w:jc w:val="both"/>
        <w:divId w:val="1777096265"/>
        <w:rPr>
          <w:rFonts w:eastAsia="Times New Roman"/>
        </w:rPr>
      </w:pPr>
      <w:r>
        <w:rPr>
          <w:rFonts w:eastAsia="Times New Roman"/>
          <w:color w:val="000000"/>
          <w:sz w:val="20"/>
          <w:szCs w:val="20"/>
        </w:rPr>
        <w:t xml:space="preserve">Indicate by check mark whether the registrant is a large accelerated filer, an accelerated filer, a non-accelerated filer, smaller reporting company, </w:t>
      </w:r>
      <w:r>
        <w:rPr>
          <w:rFonts w:eastAsia="Times New Roman"/>
          <w:color w:val="000000"/>
          <w:sz w:val="20"/>
          <w:szCs w:val="20"/>
        </w:rPr>
        <w:t xml:space="preserve">or an emerging growth company. See the definitions of “large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3199"/>
        <w:gridCol w:w="36"/>
        <w:gridCol w:w="69"/>
        <w:gridCol w:w="731"/>
        <w:gridCol w:w="36"/>
        <w:gridCol w:w="69"/>
        <w:gridCol w:w="3199"/>
        <w:gridCol w:w="36"/>
        <w:gridCol w:w="69"/>
        <w:gridCol w:w="732"/>
        <w:gridCol w:w="36"/>
      </w:tblGrid>
      <w:tr w:rsidR="00000000">
        <w:trPr>
          <w:divId w:val="214970768"/>
        </w:trPr>
        <w:tc>
          <w:tcPr>
            <w:tcW w:w="50" w:type="pct"/>
            <w:vAlign w:val="center"/>
            <w:hideMark/>
          </w:tcPr>
          <w:p w:rsidR="00000000" w:rsidRDefault="00E65947">
            <w:pPr>
              <w:jc w:val="both"/>
              <w:rPr>
                <w:rFonts w:eastAsia="Times New Roman"/>
              </w:rPr>
            </w:pPr>
          </w:p>
        </w:tc>
        <w:tc>
          <w:tcPr>
            <w:tcW w:w="193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5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193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5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214970768"/>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xml:space="preserve">Large accelerated filer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xml:space="preserve">Accelerated filer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ascii="Wingdings" w:eastAsia="Times New Roman" w:hAnsi="Wingdings"/>
                <w:color w:val="000000"/>
                <w:sz w:val="20"/>
                <w:szCs w:val="20"/>
              </w:rPr>
              <w:t>þ</w:t>
            </w:r>
          </w:p>
        </w:tc>
      </w:tr>
      <w:tr w:rsidR="00000000">
        <w:trPr>
          <w:divId w:val="214970768"/>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xml:space="preserve">Non-accelerated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ascii="Segoe UI Symbol" w:eastAsia="Times New Roman" w:hAnsi="Segoe UI Symbol" w:cs="Segoe UI Symbol"/>
                <w:color w:val="000000"/>
                <w:sz w:val="20"/>
                <w:szCs w:val="20"/>
              </w:rPr>
              <w:t>☐</w:t>
            </w:r>
          </w:p>
        </w:tc>
      </w:tr>
      <w:tr w:rsidR="00000000">
        <w:trPr>
          <w:divId w:val="214970768"/>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ascii="Segoe UI Symbol" w:eastAsia="Times New Roman" w:hAnsi="Segoe UI Symbol" w:cs="Segoe UI Symbol"/>
                <w:color w:val="000000"/>
                <w:sz w:val="20"/>
                <w:szCs w:val="20"/>
              </w:rPr>
              <w:t>☐</w:t>
            </w:r>
          </w:p>
        </w:tc>
      </w:tr>
    </w:tbl>
    <w:p w:rsidR="00000000" w:rsidRDefault="00E65947">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E65947">
      <w:pPr>
        <w:ind w:firstLine="720"/>
        <w:jc w:val="both"/>
        <w:rPr>
          <w:rFonts w:eastAsia="Times New Roman"/>
        </w:rPr>
      </w:pP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rsidR="00000000" w:rsidRDefault="00E65947">
      <w:pPr>
        <w:ind w:firstLine="720"/>
        <w:jc w:val="both"/>
        <w:rPr>
          <w:rFonts w:eastAsia="Times New Roman"/>
        </w:rPr>
      </w:pP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At August 5, 2021, 58,596,238 ordinary shares, nominal value $0.01 each, of the Company were outstanding.</w:t>
      </w:r>
    </w:p>
    <w:p w:rsidR="00000000" w:rsidRDefault="00E65947">
      <w:pPr>
        <w:jc w:val="center"/>
        <w:rPr>
          <w:rFonts w:eastAsia="Times New Roman"/>
        </w:rPr>
      </w:pPr>
    </w:p>
    <w:p w:rsidR="00000000" w:rsidRDefault="00E65947">
      <w:pPr>
        <w:jc w:val="center"/>
        <w:rPr>
          <w:rFonts w:eastAsia="Times New Roman"/>
        </w:rPr>
      </w:pPr>
    </w:p>
    <w:p w:rsidR="00000000" w:rsidRDefault="00E65947">
      <w:pPr>
        <w:divId w:val="2107532086"/>
        <w:rPr>
          <w:rFonts w:eastAsia="Times New Roman"/>
        </w:rPr>
      </w:pPr>
    </w:p>
    <w:p w:rsidR="00000000" w:rsidRDefault="00E65947">
      <w:pPr>
        <w:rPr>
          <w:rFonts w:eastAsia="Times New Roman"/>
        </w:rPr>
      </w:pPr>
      <w:r>
        <w:rPr>
          <w:rFonts w:eastAsia="Times New Roman"/>
        </w:rPr>
        <w:pict>
          <v:rect id="_x0000_i1026" style="width:0;height:1.5pt" o:hralign="center" o:hrstd="t" o:hr="t" fillcolor="#a0a0a0" stroked="f"/>
        </w:pict>
      </w:r>
    </w:p>
    <w:p w:rsidR="00000000" w:rsidRDefault="00E65947">
      <w:pPr>
        <w:divId w:val="380985703"/>
        <w:rPr>
          <w:rFonts w:eastAsia="Times New Roman"/>
        </w:rPr>
      </w:pPr>
    </w:p>
    <w:p w:rsidR="00000000" w:rsidRDefault="00E65947">
      <w:pPr>
        <w:jc w:val="center"/>
        <w:divId w:val="213201481"/>
        <w:rPr>
          <w:rFonts w:eastAsia="Times New Roman"/>
        </w:rPr>
      </w:pPr>
      <w:r>
        <w:rPr>
          <w:rFonts w:eastAsia="Times New Roman"/>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572"/>
        <w:gridCol w:w="39"/>
        <w:gridCol w:w="68"/>
        <w:gridCol w:w="6939"/>
        <w:gridCol w:w="37"/>
        <w:gridCol w:w="69"/>
        <w:gridCol w:w="465"/>
        <w:gridCol w:w="36"/>
      </w:tblGrid>
      <w:tr w:rsidR="00000000">
        <w:trPr>
          <w:divId w:val="615912095"/>
        </w:trPr>
        <w:tc>
          <w:tcPr>
            <w:tcW w:w="50" w:type="pct"/>
            <w:vAlign w:val="center"/>
            <w:hideMark/>
          </w:tcPr>
          <w:p w:rsidR="00000000" w:rsidRDefault="00E65947">
            <w:pPr>
              <w:jc w:val="center"/>
              <w:rPr>
                <w:rFonts w:eastAsia="Times New Roman"/>
              </w:rPr>
            </w:pPr>
          </w:p>
        </w:tc>
        <w:tc>
          <w:tcPr>
            <w:tcW w:w="354"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9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28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615912095"/>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20"/>
                <w:szCs w:val="20"/>
              </w:rPr>
              <w:t>Page #</w:t>
            </w:r>
          </w:p>
        </w:tc>
      </w:tr>
      <w:tr w:rsidR="00000000">
        <w:trPr>
          <w:divId w:val="615912095"/>
        </w:trPr>
        <w:tc>
          <w:tcPr>
            <w:tcW w:w="0" w:type="auto"/>
            <w:gridSpan w:val="6"/>
            <w:shd w:val="clear" w:color="auto" w:fill="CCEEFF"/>
            <w:tcMar>
              <w:top w:w="30" w:type="dxa"/>
              <w:left w:w="20" w:type="dxa"/>
              <w:bottom w:w="30" w:type="dxa"/>
              <w:right w:w="20" w:type="dxa"/>
            </w:tcMar>
            <w:vAlign w:val="bottom"/>
            <w:hideMark/>
          </w:tcPr>
          <w:p w:rsidR="00000000" w:rsidRDefault="00E65947">
            <w:pPr>
              <w:spacing w:after="100"/>
              <w:divId w:val="865024329"/>
              <w:rPr>
                <w:rFonts w:eastAsia="Times New Roman"/>
              </w:rPr>
            </w:pPr>
            <w:hyperlink w:anchor="i50b89bc599794eeaa322f99bdef30cea_10" w:history="1">
              <w:r>
                <w:rPr>
                  <w:rStyle w:val="a3"/>
                  <w:rFonts w:eastAsia="Times New Roman"/>
                  <w:b/>
                  <w:bCs/>
                  <w:sz w:val="20"/>
                  <w:szCs w:val="20"/>
                </w:rPr>
                <w:t>Cautionary Note Regarding Forward 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0" w:history="1">
              <w:r>
                <w:rPr>
                  <w:rStyle w:val="a3"/>
                  <w:rFonts w:eastAsia="Times New Roman"/>
                  <w:sz w:val="20"/>
                  <w:szCs w:val="20"/>
                </w:rPr>
                <w:t>3</w:t>
              </w:r>
            </w:hyperlink>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color w:val="000000"/>
                <w:sz w:val="20"/>
                <w:szCs w:val="20"/>
              </w:rPr>
              <w:t> </w:t>
            </w:r>
          </w:p>
        </w:tc>
      </w:tr>
      <w:tr w:rsidR="00000000">
        <w:trPr>
          <w:divId w:val="615912095"/>
        </w:trPr>
        <w:tc>
          <w:tcPr>
            <w:tcW w:w="0" w:type="auto"/>
            <w:gridSpan w:val="6"/>
            <w:shd w:val="clear" w:color="auto" w:fill="CCEEFF"/>
            <w:tcMar>
              <w:top w:w="30" w:type="dxa"/>
              <w:left w:w="20" w:type="dxa"/>
              <w:bottom w:w="30" w:type="dxa"/>
              <w:right w:w="20" w:type="dxa"/>
            </w:tcMar>
            <w:vAlign w:val="bottom"/>
            <w:hideMark/>
          </w:tcPr>
          <w:p w:rsidR="00000000" w:rsidRDefault="00E65947">
            <w:pPr>
              <w:spacing w:after="100"/>
              <w:divId w:val="1094861778"/>
              <w:rPr>
                <w:rFonts w:eastAsia="Times New Roman"/>
              </w:rPr>
            </w:pPr>
            <w:hyperlink w:anchor="i50b89bc599794eeaa322f99bdef30cea_13" w:history="1">
              <w:r>
                <w:rPr>
                  <w:rStyle w:val="a3"/>
                  <w:rFonts w:eastAsia="Times New Roman"/>
                  <w:b/>
                  <w:bCs/>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color w:val="000000"/>
                <w:sz w:val="20"/>
                <w:szCs w:val="20"/>
              </w:rPr>
              <w:t> </w:t>
            </w:r>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1894929914"/>
              <w:rPr>
                <w:rFonts w:eastAsia="Times New Roman"/>
              </w:rPr>
            </w:pPr>
            <w:hyperlink w:anchor="i50b89bc599794eeaa322f99bdef30cea_16"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6" w:history="1">
              <w:r>
                <w:rPr>
                  <w:rStyle w:val="a3"/>
                  <w:rFonts w:eastAsia="Times New Roman"/>
                  <w:sz w:val="20"/>
                  <w:szCs w:val="20"/>
                </w:rPr>
                <w:t>4</w:t>
              </w:r>
            </w:hyperlink>
          </w:p>
        </w:tc>
      </w:tr>
      <w:tr w:rsidR="00000000">
        <w:trPr>
          <w:divId w:val="615912095"/>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2.</w:t>
            </w: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188300708"/>
              <w:rPr>
                <w:rFonts w:eastAsia="Times New Roman"/>
              </w:rPr>
            </w:pPr>
            <w:hyperlink w:anchor="i50b89bc599794eeaa322f99bdef30cea_91" w:history="1">
              <w:r>
                <w:rPr>
                  <w:rStyle w:val="a3"/>
                  <w:rFonts w:eastAsia="Times New Roman"/>
                  <w:sz w:val="20"/>
                  <w:szCs w:val="20"/>
                </w:rPr>
                <w:t>Management’s Discussion and Analysis of F</w:t>
              </w:r>
              <w:r>
                <w:rPr>
                  <w:rStyle w:val="a3"/>
                  <w:rFonts w:eastAsia="Times New Roman"/>
                  <w:sz w:val="20"/>
                  <w:szCs w:val="20"/>
                </w:rPr>
                <w:t>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91" w:history="1">
              <w:r>
                <w:rPr>
                  <w:rStyle w:val="a3"/>
                  <w:rFonts w:eastAsia="Times New Roman"/>
                  <w:sz w:val="20"/>
                  <w:szCs w:val="20"/>
                </w:rPr>
                <w:t>25</w:t>
              </w:r>
            </w:hyperlink>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3.</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1559316341"/>
              <w:rPr>
                <w:rFonts w:eastAsia="Times New Roman"/>
              </w:rPr>
            </w:pPr>
            <w:hyperlink w:anchor="i50b89bc599794eeaa322f99bdef30cea_112"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12" w:history="1">
              <w:r>
                <w:rPr>
                  <w:rStyle w:val="a3"/>
                  <w:rFonts w:eastAsia="Times New Roman"/>
                  <w:sz w:val="20"/>
                  <w:szCs w:val="20"/>
                </w:rPr>
                <w:t>34</w:t>
              </w:r>
            </w:hyperlink>
          </w:p>
        </w:tc>
      </w:tr>
      <w:tr w:rsidR="00000000">
        <w:trPr>
          <w:divId w:val="615912095"/>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lastRenderedPageBreak/>
              <w:t>Item 4.</w:t>
            </w: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1816799426"/>
              <w:rPr>
                <w:rFonts w:eastAsia="Times New Roman"/>
              </w:rPr>
            </w:pPr>
            <w:hyperlink w:anchor="i50b89bc599794eeaa322f99bdef30cea_115"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15" w:history="1">
              <w:r>
                <w:rPr>
                  <w:rStyle w:val="a3"/>
                  <w:rFonts w:eastAsia="Times New Roman"/>
                  <w:sz w:val="20"/>
                  <w:szCs w:val="20"/>
                </w:rPr>
                <w:t>35</w:t>
              </w:r>
            </w:hyperlink>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color w:val="000000"/>
                <w:sz w:val="20"/>
                <w:szCs w:val="20"/>
              </w:rPr>
              <w:t> </w:t>
            </w:r>
          </w:p>
        </w:tc>
      </w:tr>
      <w:tr w:rsidR="00000000">
        <w:trPr>
          <w:divId w:val="615912095"/>
        </w:trPr>
        <w:tc>
          <w:tcPr>
            <w:tcW w:w="0" w:type="auto"/>
            <w:gridSpan w:val="6"/>
            <w:shd w:val="clear" w:color="auto" w:fill="CCEEFF"/>
            <w:tcMar>
              <w:top w:w="30" w:type="dxa"/>
              <w:left w:w="20" w:type="dxa"/>
              <w:bottom w:w="30" w:type="dxa"/>
              <w:right w:w="20" w:type="dxa"/>
            </w:tcMar>
            <w:vAlign w:val="bottom"/>
            <w:hideMark/>
          </w:tcPr>
          <w:p w:rsidR="00000000" w:rsidRDefault="00E65947">
            <w:pPr>
              <w:spacing w:after="100"/>
              <w:divId w:val="926042602"/>
              <w:rPr>
                <w:rFonts w:eastAsia="Times New Roman"/>
              </w:rPr>
            </w:pPr>
            <w:hyperlink w:anchor="i50b89bc599794eeaa322f99bdef30cea_118" w:history="1">
              <w:r>
                <w:rPr>
                  <w:rStyle w:val="a3"/>
                  <w:rFonts w:eastAsia="Times New Roman"/>
                  <w:b/>
                  <w:bCs/>
                  <w:sz w:val="20"/>
                  <w:szCs w:val="20"/>
                </w:rPr>
                <w:t>PART II -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color w:val="000000"/>
                <w:sz w:val="20"/>
                <w:szCs w:val="20"/>
              </w:rPr>
              <w:t> </w:t>
            </w:r>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627977857"/>
              <w:rPr>
                <w:rFonts w:eastAsia="Times New Roman"/>
              </w:rPr>
            </w:pPr>
            <w:hyperlink w:anchor="i50b89bc599794eeaa322f99bdef30cea_121"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21" w:history="1">
              <w:r>
                <w:rPr>
                  <w:rStyle w:val="a3"/>
                  <w:rFonts w:eastAsia="Times New Roman"/>
                  <w:sz w:val="20"/>
                  <w:szCs w:val="20"/>
                </w:rPr>
                <w:t>35</w:t>
              </w:r>
            </w:hyperlink>
          </w:p>
        </w:tc>
      </w:tr>
      <w:tr w:rsidR="00000000">
        <w:trPr>
          <w:divId w:val="615912095"/>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1A.</w:t>
            </w: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262302035"/>
              <w:rPr>
                <w:rFonts w:eastAsia="Times New Roman"/>
              </w:rPr>
            </w:pPr>
            <w:hyperlink w:anchor="i50b89bc599794eeaa322f99bdef30cea_124"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24" w:history="1">
              <w:r>
                <w:rPr>
                  <w:rStyle w:val="a3"/>
                  <w:rFonts w:eastAsia="Times New Roman"/>
                  <w:sz w:val="20"/>
                  <w:szCs w:val="20"/>
                </w:rPr>
                <w:t>35</w:t>
              </w:r>
            </w:hyperlink>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1305045223"/>
              <w:rPr>
                <w:rFonts w:eastAsia="Times New Roman"/>
              </w:rPr>
            </w:pPr>
            <w:hyperlink w:anchor="i50b89bc599794eeaa322f99bdef30cea_127" w:history="1">
              <w:r>
                <w:rPr>
                  <w:rStyle w:val="a3"/>
                  <w:rFonts w:eastAsia="Times New Roman"/>
                  <w:sz w:val="20"/>
                  <w:szCs w:val="20"/>
                </w:rPr>
                <w:t>Unregistered Sales of Equity Securities and U</w:t>
              </w:r>
              <w:r>
                <w:rPr>
                  <w:rStyle w:val="a3"/>
                  <w:rFonts w:eastAsia="Times New Roman"/>
                  <w:sz w:val="20"/>
                  <w:szCs w:val="20"/>
                </w:rPr>
                <w:t>se of Proceeds</w:t>
              </w:r>
            </w:hyperlink>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27" w:history="1">
              <w:r>
                <w:rPr>
                  <w:rStyle w:val="a3"/>
                  <w:rFonts w:eastAsia="Times New Roman"/>
                  <w:sz w:val="20"/>
                  <w:szCs w:val="20"/>
                </w:rPr>
                <w:t>36</w:t>
              </w:r>
            </w:hyperlink>
          </w:p>
        </w:tc>
      </w:tr>
      <w:tr w:rsidR="00000000">
        <w:trPr>
          <w:divId w:val="615912095"/>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2360151"/>
              <w:rPr>
                <w:rFonts w:eastAsia="Times New Roman"/>
              </w:rPr>
            </w:pPr>
            <w:hyperlink w:anchor="i50b89bc599794eeaa322f99bdef30cea_130"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30" w:history="1">
              <w:r>
                <w:rPr>
                  <w:rStyle w:val="a3"/>
                  <w:rFonts w:eastAsia="Times New Roman"/>
                  <w:sz w:val="20"/>
                  <w:szCs w:val="20"/>
                </w:rPr>
                <w:t>36</w:t>
              </w:r>
            </w:hyperlink>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923226055"/>
              <w:rPr>
                <w:rFonts w:eastAsia="Times New Roman"/>
              </w:rPr>
            </w:pPr>
            <w:hyperlink w:anchor="i50b89bc599794eeaa322f99bdef30cea_133"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33" w:history="1">
              <w:r>
                <w:rPr>
                  <w:rStyle w:val="a3"/>
                  <w:rFonts w:eastAsia="Times New Roman"/>
                  <w:sz w:val="20"/>
                  <w:szCs w:val="20"/>
                </w:rPr>
                <w:t>36</w:t>
              </w:r>
            </w:hyperlink>
          </w:p>
        </w:tc>
      </w:tr>
      <w:tr w:rsidR="00000000">
        <w:trPr>
          <w:divId w:val="615912095"/>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665285712"/>
              <w:rPr>
                <w:rFonts w:eastAsia="Times New Roman"/>
              </w:rPr>
            </w:pPr>
            <w:hyperlink w:anchor="i50b89bc599794eeaa322f99bdef30cea_136"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36" w:history="1">
              <w:r>
                <w:rPr>
                  <w:rStyle w:val="a3"/>
                  <w:rFonts w:eastAsia="Times New Roman"/>
                  <w:sz w:val="20"/>
                  <w:szCs w:val="20"/>
                </w:rPr>
                <w:t>36</w:t>
              </w:r>
            </w:hyperlink>
          </w:p>
        </w:tc>
      </w:tr>
      <w:tr w:rsidR="00000000">
        <w:trPr>
          <w:divId w:val="615912095"/>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1406995137"/>
              <w:rPr>
                <w:rFonts w:eastAsia="Times New Roman"/>
              </w:rPr>
            </w:pPr>
            <w:hyperlink w:anchor="i50b89bc599794eeaa322f99bdef30cea_139"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hyperlink w:anchor="i50b89bc599794eeaa322f99bdef30cea_139" w:history="1">
              <w:r>
                <w:rPr>
                  <w:rStyle w:val="a3"/>
                  <w:rFonts w:eastAsia="Times New Roman"/>
                  <w:sz w:val="20"/>
                  <w:szCs w:val="20"/>
                </w:rPr>
                <w:t>37</w:t>
              </w:r>
            </w:hyperlink>
          </w:p>
        </w:tc>
      </w:tr>
    </w:tbl>
    <w:p w:rsidR="00000000" w:rsidRDefault="00E65947">
      <w:pPr>
        <w:ind w:firstLine="720"/>
        <w:divId w:val="1624459072"/>
        <w:rPr>
          <w:rFonts w:eastAsia="Times New Roman"/>
        </w:rPr>
      </w:pP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We own various trademark registrations and applications, and unregistered trademarks, including Avadel™, Micropump™, LiquiTime™ and</w:t>
      </w:r>
      <w:r>
        <w:rPr>
          <w:rFonts w:eastAsia="Times New Roman"/>
          <w:color w:val="000000"/>
        </w:rPr>
        <w:t xml:space="preserve"> </w:t>
      </w:r>
      <w:r>
        <w:rPr>
          <w:rFonts w:eastAsia="Times New Roman"/>
          <w:color w:val="000000"/>
          <w:sz w:val="20"/>
          <w:szCs w:val="20"/>
        </w:rPr>
        <w:t>Medusa™. All other trade names, trademarks and service marks of other companies appearing in this Quarterly Report are the p</w:t>
      </w:r>
      <w:r>
        <w:rPr>
          <w:rFonts w:eastAsia="Times New Roman"/>
          <w:color w:val="000000"/>
          <w:sz w:val="20"/>
          <w:szCs w:val="20"/>
        </w:rPr>
        <w:t>roperty of their respective holders. Solely for convenience, the trademarks and trade names in this Quarterly Report may be referred to without the</w:t>
      </w:r>
      <w:r>
        <w:rPr>
          <w:rFonts w:eastAsia="Times New Roman"/>
          <w:color w:val="000000"/>
          <w:sz w:val="20"/>
          <w:szCs w:val="20"/>
        </w:rPr>
        <w:t> </w:t>
      </w:r>
      <w:r>
        <w:rPr>
          <w:rFonts w:eastAsia="Times New Roman"/>
          <w:color w:val="000000"/>
          <w:sz w:val="13"/>
          <w:szCs w:val="13"/>
        </w:rPr>
        <w:t>®</w:t>
      </w:r>
      <w:r>
        <w:rPr>
          <w:rFonts w:eastAsia="Times New Roman"/>
          <w:color w:val="000000"/>
          <w:sz w:val="20"/>
          <w:szCs w:val="20"/>
        </w:rPr>
        <w:t> and ™ symbols, but such references should not be construed as any indicator that their respective owners w</w:t>
      </w:r>
      <w:r>
        <w:rPr>
          <w:rFonts w:eastAsia="Times New Roman"/>
          <w:color w:val="000000"/>
          <w:sz w:val="20"/>
          <w:szCs w:val="20"/>
        </w:rPr>
        <w:t xml:space="preserve">ill not assert, to the fullest extent under applicable law, their rights thereto. We do not intend to use or display other companies’ trademarks and trade names to imply a relationship with, or endorsement or sponsorship of us by, any other companies.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F</w:t>
      </w:r>
      <w:r>
        <w:rPr>
          <w:rFonts w:eastAsia="Times New Roman"/>
          <w:color w:val="000000"/>
          <w:sz w:val="20"/>
          <w:szCs w:val="20"/>
        </w:rPr>
        <w:t>rom time to time, we may use our website, our LinkedIn or our Twitter account (@AvadelPharma) to distribute material information. Our financial and other material information is routinely posted to and accessible on the Investors section of our website, av</w:t>
      </w:r>
      <w:r>
        <w:rPr>
          <w:rFonts w:eastAsia="Times New Roman"/>
          <w:color w:val="000000"/>
          <w:sz w:val="20"/>
          <w:szCs w:val="20"/>
        </w:rPr>
        <w:t xml:space="preserve">ailable at www.avadel.com. Investors are encouraged to review the Investors section of our website because we may post material information on that site that is not otherwise disseminated by us. Information that is contained in and can be accessed through </w:t>
      </w:r>
      <w:r>
        <w:rPr>
          <w:rFonts w:eastAsia="Times New Roman"/>
          <w:color w:val="000000"/>
          <w:sz w:val="20"/>
          <w:szCs w:val="20"/>
        </w:rPr>
        <w:t xml:space="preserve">our website, LinkedIn account or our Twitter posts are not incorporated into, and does not form a part of, this Quarterly Report. </w:t>
      </w:r>
    </w:p>
    <w:p w:rsidR="00000000" w:rsidRDefault="00E65947">
      <w:pPr>
        <w:jc w:val="both"/>
        <w:rPr>
          <w:rFonts w:eastAsia="Times New Roman"/>
        </w:rPr>
      </w:pPr>
    </w:p>
    <w:p w:rsidR="00000000" w:rsidRDefault="00E65947">
      <w:pPr>
        <w:jc w:val="center"/>
        <w:divId w:val="2118793636"/>
        <w:rPr>
          <w:rFonts w:eastAsia="Times New Roman"/>
        </w:rPr>
      </w:pPr>
      <w:r>
        <w:rPr>
          <w:rFonts w:eastAsia="Times New Roman"/>
          <w:color w:val="000000"/>
          <w:sz w:val="20"/>
          <w:szCs w:val="20"/>
        </w:rPr>
        <w:t>- 2 -</w:t>
      </w:r>
    </w:p>
    <w:p w:rsidR="00000000" w:rsidRDefault="00E65947">
      <w:pPr>
        <w:rPr>
          <w:rFonts w:eastAsia="Times New Roman"/>
        </w:rPr>
      </w:pPr>
      <w:r>
        <w:rPr>
          <w:rFonts w:eastAsia="Times New Roman"/>
        </w:rPr>
        <w:pict>
          <v:rect id="_x0000_i1027" style="width:0;height:1.5pt" o:hralign="center" o:hrstd="t" o:hr="t" fillcolor="#a0a0a0" stroked="f"/>
        </w:pict>
      </w:r>
    </w:p>
    <w:p w:rsidR="00000000" w:rsidRDefault="00E65947">
      <w:pPr>
        <w:divId w:val="428619960"/>
        <w:rPr>
          <w:rFonts w:eastAsia="Times New Roman"/>
        </w:rPr>
      </w:pPr>
    </w:p>
    <w:p w:rsidR="00000000" w:rsidRDefault="00E65947">
      <w:pPr>
        <w:jc w:val="center"/>
        <w:divId w:val="2046831149"/>
        <w:rPr>
          <w:rFonts w:eastAsia="Times New Roman"/>
        </w:rPr>
      </w:pPr>
      <w:r>
        <w:rPr>
          <w:rFonts w:eastAsia="Times New Roman"/>
          <w:b/>
          <w:bCs/>
          <w:color w:val="000000"/>
          <w:sz w:val="20"/>
          <w:szCs w:val="20"/>
        </w:rPr>
        <w:t>Cautionary Disclosure Regarding Forward-Looking Statements</w:t>
      </w:r>
    </w:p>
    <w:p w:rsidR="00000000" w:rsidRDefault="00E65947">
      <w:pPr>
        <w:ind w:firstLine="720"/>
        <w:jc w:val="center"/>
        <w:rPr>
          <w:rFonts w:eastAsia="Times New Roman"/>
        </w:rPr>
      </w:pPr>
      <w:r>
        <w:rPr>
          <w:rFonts w:eastAsia="Times New Roman"/>
          <w:b/>
          <w:bCs/>
          <w:color w:val="000000"/>
          <w:sz w:val="20"/>
          <w:szCs w:val="20"/>
        </w:rPr>
        <w:t> </w:t>
      </w:r>
    </w:p>
    <w:p w:rsidR="00000000" w:rsidRDefault="00E65947">
      <w:pPr>
        <w:jc w:val="both"/>
        <w:rPr>
          <w:rFonts w:eastAsia="Times New Roman"/>
        </w:rPr>
      </w:pPr>
      <w:r>
        <w:rPr>
          <w:rFonts w:eastAsia="Times New Roman"/>
          <w:color w:val="000000"/>
          <w:sz w:val="20"/>
          <w:szCs w:val="20"/>
        </w:rPr>
        <w:t xml:space="preserve">This Quarterly Report on Form 10-Q includes “forward-looking statements” </w:t>
      </w:r>
      <w:r>
        <w:rPr>
          <w:rFonts w:eastAsia="Times New Roman"/>
          <w:color w:val="000000"/>
          <w:sz w:val="20"/>
          <w:szCs w:val="20"/>
        </w:rPr>
        <w:t>within the meaning of Section 27A of the Securities Act of 1933, as amended (the “Securities Act”), and Section 21E of the Securities Exchange Act of 1934, as amended, (the “Exchange Act”). Any statements about our expectations, beliefs, plans, objectives,</w:t>
      </w:r>
      <w:r>
        <w:rPr>
          <w:rFonts w:eastAsia="Times New Roman"/>
          <w:color w:val="000000"/>
          <w:sz w:val="20"/>
          <w:szCs w:val="20"/>
        </w:rPr>
        <w:t xml:space="preserve"> assumptions or future events or performance are not historical facts and may be forward-looking. These statements are often, but are not always, made through the use of words or phrases such as “may,” “will,” “could,” “should,” “expects,” “intends,” “plan</w:t>
      </w:r>
      <w:r>
        <w:rPr>
          <w:rFonts w:eastAsia="Times New Roman"/>
          <w:color w:val="000000"/>
          <w:sz w:val="20"/>
          <w:szCs w:val="20"/>
        </w:rPr>
        <w:t>s,” “anticipates,” “believes,” “estimates,” “predicts,” “projects,” “potential,” “continue,” and similar expressions, or the negative of these terms, or similar expressions. Accordingly, these statements involve estimates, assumptions, risks and uncertaint</w:t>
      </w:r>
      <w:r>
        <w:rPr>
          <w:rFonts w:eastAsia="Times New Roman"/>
          <w:color w:val="000000"/>
          <w:sz w:val="20"/>
          <w:szCs w:val="20"/>
        </w:rPr>
        <w:t xml:space="preserve">ies which could cause actual results to differ materially from those expressed in them.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This Quarterly Report on Form 10-Q contains forward-looking statements that are based on our management’s belief and assumptions and on information currently availab</w:t>
      </w:r>
      <w:r>
        <w:rPr>
          <w:rFonts w:eastAsia="Times New Roman"/>
          <w:color w:val="000000"/>
          <w:sz w:val="20"/>
          <w:szCs w:val="20"/>
        </w:rPr>
        <w:t>le to our management. These statements relate to future events or our future financial performance, and involve known and unknown risks, uncertainties and other factors that may cause our actual results, levels of activity, performance or achievements to b</w:t>
      </w:r>
      <w:r>
        <w:rPr>
          <w:rFonts w:eastAsia="Times New Roman"/>
          <w:color w:val="000000"/>
          <w:sz w:val="20"/>
          <w:szCs w:val="20"/>
        </w:rPr>
        <w:t xml:space="preserve">e materially different from any future results, levels of activity, performance or </w:t>
      </w:r>
      <w:r>
        <w:rPr>
          <w:rFonts w:eastAsia="Times New Roman"/>
          <w:color w:val="000000"/>
          <w:sz w:val="20"/>
          <w:szCs w:val="20"/>
        </w:rPr>
        <w:lastRenderedPageBreak/>
        <w:t>achievements expressed or implied by these forward-looking statements. Forward-looking statements include, but are not limited to, statements about:</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color w:val="000000"/>
          <w:sz w:val="20"/>
          <w:szCs w:val="20"/>
        </w:rPr>
        <w:t>•Our reliance on a sin</w:t>
      </w:r>
      <w:r>
        <w:rPr>
          <w:rFonts w:eastAsia="Times New Roman"/>
          <w:color w:val="000000"/>
          <w:sz w:val="20"/>
          <w:szCs w:val="20"/>
        </w:rPr>
        <w:t>gle lead product candidate, FT218, the timing of and our ability to obtain regulatory approval, if at all;</w:t>
      </w:r>
    </w:p>
    <w:p w:rsidR="00000000" w:rsidRDefault="00E65947">
      <w:pPr>
        <w:ind w:hanging="360"/>
        <w:jc w:val="both"/>
        <w:rPr>
          <w:rFonts w:eastAsia="Times New Roman"/>
        </w:rPr>
      </w:pPr>
      <w:r>
        <w:rPr>
          <w:rFonts w:eastAsia="Times New Roman"/>
          <w:color w:val="000000"/>
          <w:sz w:val="20"/>
          <w:szCs w:val="20"/>
        </w:rPr>
        <w:t>•Our ability to obtain desired regulatory exclusivity for FT218, including orphan drug exclusivity;</w:t>
      </w:r>
    </w:p>
    <w:p w:rsidR="00000000" w:rsidRDefault="00E65947">
      <w:pPr>
        <w:ind w:hanging="360"/>
        <w:jc w:val="both"/>
        <w:rPr>
          <w:rFonts w:eastAsia="Times New Roman"/>
        </w:rPr>
      </w:pPr>
      <w:r>
        <w:rPr>
          <w:rFonts w:eastAsia="Times New Roman"/>
          <w:color w:val="000000"/>
          <w:sz w:val="20"/>
          <w:szCs w:val="20"/>
        </w:rPr>
        <w:t xml:space="preserve">•Our ability to successfully commercialize FT218 </w:t>
      </w:r>
      <w:r>
        <w:rPr>
          <w:rFonts w:eastAsia="Times New Roman"/>
          <w:color w:val="000000"/>
          <w:sz w:val="20"/>
          <w:szCs w:val="20"/>
        </w:rPr>
        <w:t xml:space="preserve">in a timely manner or at all, if approved; </w:t>
      </w:r>
    </w:p>
    <w:p w:rsidR="00000000" w:rsidRDefault="00E65947">
      <w:pPr>
        <w:ind w:hanging="360"/>
        <w:jc w:val="both"/>
        <w:rPr>
          <w:rFonts w:eastAsia="Times New Roman"/>
        </w:rPr>
      </w:pPr>
      <w:r>
        <w:rPr>
          <w:rFonts w:eastAsia="Times New Roman"/>
          <w:color w:val="000000"/>
          <w:sz w:val="20"/>
          <w:szCs w:val="20"/>
        </w:rPr>
        <w:t>•The ability of FT218, if approved and launched commercially, to gain market acceptance;</w:t>
      </w:r>
    </w:p>
    <w:p w:rsidR="00000000" w:rsidRDefault="00E65947">
      <w:pPr>
        <w:ind w:hanging="360"/>
        <w:jc w:val="both"/>
        <w:rPr>
          <w:rFonts w:eastAsia="Times New Roman"/>
        </w:rPr>
      </w:pPr>
      <w:r>
        <w:rPr>
          <w:rFonts w:eastAsia="Times New Roman"/>
          <w:color w:val="000000"/>
          <w:sz w:val="20"/>
          <w:szCs w:val="20"/>
        </w:rPr>
        <w:t>•Our ability to enter into strategic partnerships for the commercialization, manufacturing and distribution of FT218, if ap</w:t>
      </w:r>
      <w:r>
        <w:rPr>
          <w:rFonts w:eastAsia="Times New Roman"/>
          <w:color w:val="000000"/>
          <w:sz w:val="20"/>
          <w:szCs w:val="20"/>
        </w:rPr>
        <w:t>proved;</w:t>
      </w:r>
    </w:p>
    <w:p w:rsidR="00000000" w:rsidRDefault="00E65947">
      <w:pPr>
        <w:ind w:hanging="360"/>
        <w:jc w:val="both"/>
        <w:rPr>
          <w:rFonts w:eastAsia="Times New Roman"/>
        </w:rPr>
      </w:pPr>
      <w:r>
        <w:rPr>
          <w:rFonts w:eastAsia="Times New Roman"/>
          <w:color w:val="000000"/>
          <w:sz w:val="20"/>
          <w:szCs w:val="20"/>
        </w:rPr>
        <w:t xml:space="preserve">•Our dependence on a limited number of suppliers for the manufacturing of our lead product candidate and certain raw materials in our lead product candidate and any failure of such suppliers to deliver sufficient quantities of these raw materials, </w:t>
      </w:r>
      <w:r>
        <w:rPr>
          <w:rFonts w:eastAsia="Times New Roman"/>
          <w:color w:val="000000"/>
          <w:sz w:val="20"/>
          <w:szCs w:val="20"/>
        </w:rPr>
        <w:t>which could have a material adverse effect on our business;</w:t>
      </w:r>
    </w:p>
    <w:p w:rsidR="00000000" w:rsidRDefault="00E65947">
      <w:pPr>
        <w:ind w:hanging="360"/>
        <w:jc w:val="both"/>
        <w:rPr>
          <w:rFonts w:eastAsia="Times New Roman"/>
        </w:rPr>
      </w:pPr>
      <w:r>
        <w:rPr>
          <w:rFonts w:eastAsia="Times New Roman"/>
          <w:color w:val="000000"/>
          <w:sz w:val="20"/>
          <w:szCs w:val="20"/>
        </w:rPr>
        <w:t>•Our ability to finance our operations on acceptable terms, either through the raising of capital, the incurrence of convertible or other indebtedness or through strategic financing or commerciali</w:t>
      </w:r>
      <w:r>
        <w:rPr>
          <w:rFonts w:eastAsia="Times New Roman"/>
          <w:color w:val="000000"/>
          <w:sz w:val="20"/>
          <w:szCs w:val="20"/>
        </w:rPr>
        <w:t>zation partnerships;</w:t>
      </w:r>
    </w:p>
    <w:p w:rsidR="00000000" w:rsidRDefault="00E65947">
      <w:pPr>
        <w:ind w:hanging="360"/>
        <w:jc w:val="both"/>
        <w:rPr>
          <w:rFonts w:eastAsia="Times New Roman"/>
        </w:rPr>
      </w:pPr>
      <w:r>
        <w:rPr>
          <w:rFonts w:eastAsia="Times New Roman"/>
          <w:color w:val="000000"/>
          <w:sz w:val="20"/>
          <w:szCs w:val="20"/>
        </w:rPr>
        <w:t>•Our expectations about the potential market size and market participation for our lead product candidate, if approved and commercialized;</w:t>
      </w:r>
    </w:p>
    <w:p w:rsidR="00000000" w:rsidRDefault="00E65947">
      <w:pPr>
        <w:ind w:hanging="360"/>
        <w:jc w:val="both"/>
        <w:rPr>
          <w:rFonts w:eastAsia="Times New Roman"/>
        </w:rPr>
      </w:pPr>
      <w:r>
        <w:rPr>
          <w:rFonts w:eastAsia="Times New Roman"/>
          <w:color w:val="000000"/>
          <w:sz w:val="20"/>
          <w:szCs w:val="20"/>
        </w:rPr>
        <w:t xml:space="preserve">•Our expectations about pending and potential future patent infringement claims against us; </w:t>
      </w:r>
    </w:p>
    <w:p w:rsidR="00000000" w:rsidRDefault="00E65947">
      <w:pPr>
        <w:ind w:hanging="360"/>
        <w:jc w:val="both"/>
        <w:rPr>
          <w:rFonts w:eastAsia="Times New Roman"/>
        </w:rPr>
      </w:pPr>
      <w:r>
        <w:rPr>
          <w:rFonts w:eastAsia="Times New Roman"/>
          <w:color w:val="000000"/>
          <w:sz w:val="20"/>
          <w:szCs w:val="20"/>
        </w:rPr>
        <w:t>•An</w:t>
      </w:r>
      <w:r>
        <w:rPr>
          <w:rFonts w:eastAsia="Times New Roman"/>
          <w:color w:val="000000"/>
          <w:sz w:val="20"/>
          <w:szCs w:val="20"/>
        </w:rPr>
        <w:t xml:space="preserve">y further restructuring actions that may be required and our ability to obtain any required consents (including any consents required pursuant to the Indenture governing our exchange notes due 2023, or the 2023 Notes); </w:t>
      </w:r>
    </w:p>
    <w:p w:rsidR="00000000" w:rsidRDefault="00E65947">
      <w:pPr>
        <w:ind w:hanging="360"/>
        <w:jc w:val="both"/>
        <w:rPr>
          <w:rFonts w:eastAsia="Times New Roman"/>
        </w:rPr>
      </w:pPr>
      <w:r>
        <w:rPr>
          <w:rFonts w:eastAsia="Times New Roman"/>
          <w:color w:val="000000"/>
          <w:sz w:val="20"/>
          <w:szCs w:val="20"/>
        </w:rPr>
        <w:t xml:space="preserve">•Our ability to continue to service </w:t>
      </w:r>
      <w:r>
        <w:rPr>
          <w:rFonts w:eastAsia="Times New Roman"/>
          <w:color w:val="000000"/>
          <w:sz w:val="20"/>
          <w:szCs w:val="20"/>
        </w:rPr>
        <w:t xml:space="preserve">the 2023 Notes, including making the ongoing interest payments on the 2023 Notes, settling exchanges of the 2023 Notes in cash or completing any required repurchases of the 2023 Notes; </w:t>
      </w:r>
    </w:p>
    <w:p w:rsidR="00000000" w:rsidRDefault="00E65947">
      <w:pPr>
        <w:ind w:hanging="360"/>
        <w:jc w:val="both"/>
        <w:rPr>
          <w:rFonts w:eastAsia="Times New Roman"/>
        </w:rPr>
      </w:pPr>
      <w:r>
        <w:rPr>
          <w:rFonts w:eastAsia="Times New Roman"/>
          <w:color w:val="000000"/>
          <w:sz w:val="20"/>
          <w:szCs w:val="20"/>
        </w:rPr>
        <w:t>•The potential impact of COVID-19 on our business and future operating</w:t>
      </w:r>
      <w:r>
        <w:rPr>
          <w:rFonts w:eastAsia="Times New Roman"/>
          <w:color w:val="000000"/>
          <w:sz w:val="20"/>
          <w:szCs w:val="20"/>
        </w:rPr>
        <w:t xml:space="preserve"> results;</w:t>
      </w:r>
    </w:p>
    <w:p w:rsidR="00000000" w:rsidRDefault="00E65947">
      <w:pPr>
        <w:ind w:hanging="360"/>
        <w:jc w:val="both"/>
        <w:rPr>
          <w:rFonts w:eastAsia="Times New Roman"/>
        </w:rPr>
      </w:pPr>
      <w:r>
        <w:rPr>
          <w:rFonts w:eastAsia="Times New Roman"/>
          <w:color w:val="000000"/>
          <w:sz w:val="20"/>
          <w:szCs w:val="20"/>
        </w:rPr>
        <w:t>•Our ability to hire and retain members of our management team and our employees; and</w:t>
      </w:r>
    </w:p>
    <w:p w:rsidR="00000000" w:rsidRDefault="00E65947">
      <w:pPr>
        <w:ind w:hanging="360"/>
        <w:jc w:val="both"/>
        <w:rPr>
          <w:rFonts w:eastAsia="Times New Roman"/>
        </w:rPr>
      </w:pPr>
      <w:r>
        <w:rPr>
          <w:rFonts w:eastAsia="Times New Roman"/>
          <w:color w:val="000000"/>
          <w:sz w:val="20"/>
          <w:szCs w:val="20"/>
        </w:rPr>
        <w:t>•Competition existing today or that will likely arise in the future.</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These forward-looking statements are neither promises nor guarantees of future performanc</w:t>
      </w:r>
      <w:r>
        <w:rPr>
          <w:rFonts w:eastAsia="Times New Roman"/>
          <w:color w:val="000000"/>
          <w:sz w:val="20"/>
          <w:szCs w:val="20"/>
        </w:rPr>
        <w:t xml:space="preserve">e due to a variety of risks and uncertainties and other factors more fully discussed in the “Risk Factors” section in Part I, Item 1A of the Annual Report on Form 10-K filed with the U.S. Securities and Exchange Commission (“SEC”) on March 9, 2021 and the </w:t>
      </w:r>
      <w:r>
        <w:rPr>
          <w:rFonts w:eastAsia="Times New Roman"/>
          <w:color w:val="000000"/>
          <w:sz w:val="20"/>
          <w:szCs w:val="20"/>
        </w:rPr>
        <w:t>risk factors and cautionary statements described in other documents that we file from time to time with the SEC. Given these uncertainties, readers should not place undue reliance on our forward-looking statements. These forward-looking statements speak on</w:t>
      </w:r>
      <w:r>
        <w:rPr>
          <w:rFonts w:eastAsia="Times New Roman"/>
          <w:color w:val="000000"/>
          <w:sz w:val="20"/>
          <w:szCs w:val="20"/>
        </w:rPr>
        <w:t>ly as of the date on which the statements were made and are not guarantees of future performance. Except as required by law, we assume no obligation to update these forward-looking statements publicly, or to revise any forward-looking statements to reflect</w:t>
      </w:r>
      <w:r>
        <w:rPr>
          <w:rFonts w:eastAsia="Times New Roman"/>
          <w:color w:val="000000"/>
          <w:sz w:val="20"/>
          <w:szCs w:val="20"/>
        </w:rPr>
        <w:t xml:space="preserve"> events or developments occurring after the date of this quarterly report, even if new information becomes available in the future.</w:t>
      </w:r>
    </w:p>
    <w:p w:rsidR="00000000" w:rsidRDefault="00E65947">
      <w:pPr>
        <w:divId w:val="309947886"/>
        <w:rPr>
          <w:rFonts w:eastAsia="Times New Roman"/>
        </w:rPr>
      </w:pPr>
    </w:p>
    <w:p w:rsidR="00000000" w:rsidRDefault="00E65947">
      <w:pPr>
        <w:jc w:val="center"/>
        <w:divId w:val="1753549252"/>
        <w:rPr>
          <w:rFonts w:eastAsia="Times New Roman"/>
        </w:rPr>
      </w:pPr>
      <w:r>
        <w:rPr>
          <w:rFonts w:eastAsia="Times New Roman"/>
          <w:color w:val="000000"/>
          <w:sz w:val="20"/>
          <w:szCs w:val="20"/>
        </w:rPr>
        <w:t>- 3 -</w:t>
      </w:r>
    </w:p>
    <w:p w:rsidR="00000000" w:rsidRDefault="00E65947">
      <w:pPr>
        <w:rPr>
          <w:rFonts w:eastAsia="Times New Roman"/>
        </w:rPr>
      </w:pPr>
      <w:r>
        <w:rPr>
          <w:rFonts w:eastAsia="Times New Roman"/>
        </w:rPr>
        <w:pict>
          <v:rect id="_x0000_i1028" style="width:0;height:1.5pt" o:hralign="center" o:hrstd="t" o:hr="t" fillcolor="#a0a0a0" stroked="f"/>
        </w:pict>
      </w:r>
    </w:p>
    <w:p w:rsidR="00000000" w:rsidRDefault="00E65947">
      <w:pPr>
        <w:divId w:val="1966424918"/>
        <w:rPr>
          <w:rFonts w:eastAsia="Times New Roman"/>
        </w:rPr>
      </w:pPr>
    </w:p>
    <w:p w:rsidR="00000000" w:rsidRDefault="00E65947">
      <w:pPr>
        <w:jc w:val="center"/>
        <w:divId w:val="1352952906"/>
        <w:rPr>
          <w:rFonts w:eastAsia="Times New Roman"/>
        </w:rPr>
      </w:pPr>
      <w:r>
        <w:rPr>
          <w:rFonts w:eastAsia="Times New Roman"/>
          <w:b/>
          <w:bCs/>
          <w:color w:val="000000"/>
          <w:sz w:val="20"/>
          <w:szCs w:val="20"/>
        </w:rPr>
        <w:t>PART I – FINANCIAL INFORMATION </w:t>
      </w:r>
    </w:p>
    <w:p w:rsidR="00000000" w:rsidRDefault="00E65947">
      <w:pPr>
        <w:divId w:val="57096441"/>
        <w:rPr>
          <w:rFonts w:eastAsia="Times New Roman"/>
        </w:rPr>
      </w:pPr>
      <w:r>
        <w:rPr>
          <w:rFonts w:eastAsia="Times New Roman"/>
          <w:b/>
          <w:bCs/>
          <w:color w:val="000000"/>
          <w:sz w:val="20"/>
          <w:szCs w:val="20"/>
        </w:rPr>
        <w:t>ITEM 1.      </w:t>
      </w:r>
      <w:r>
        <w:rPr>
          <w:rFonts w:eastAsia="Times New Roman"/>
          <w:b/>
          <w:bCs/>
          <w:color w:val="000000"/>
          <w:sz w:val="20"/>
          <w:szCs w:val="20"/>
        </w:rPr>
        <w:t>FINANCIAL STATEMENTS </w:t>
      </w:r>
    </w:p>
    <w:p w:rsidR="00000000" w:rsidRDefault="00E65947">
      <w:pPr>
        <w:jc w:val="center"/>
        <w:divId w:val="962342110"/>
        <w:rPr>
          <w:rFonts w:eastAsia="Times New Roman"/>
        </w:rPr>
      </w:pPr>
      <w:r>
        <w:rPr>
          <w:rFonts w:eastAsia="Times New Roman"/>
          <w:b/>
          <w:bCs/>
          <w:color w:val="000000"/>
          <w:sz w:val="20"/>
          <w:szCs w:val="20"/>
        </w:rPr>
        <w:t>AVADEL PHARMACEUTICALS PLC</w:t>
      </w:r>
    </w:p>
    <w:p w:rsidR="00000000" w:rsidRDefault="00E65947">
      <w:pPr>
        <w:jc w:val="center"/>
        <w:rPr>
          <w:rFonts w:eastAsia="Times New Roman"/>
        </w:rPr>
      </w:pPr>
      <w:r>
        <w:rPr>
          <w:rFonts w:eastAsia="Times New Roman"/>
          <w:b/>
          <w:bCs/>
          <w:color w:val="000000"/>
          <w:sz w:val="20"/>
          <w:szCs w:val="20"/>
        </w:rPr>
        <w:t>CONDENSED CONSOLIDATED STATEMENTS OF (LOSS) INCOME</w:t>
      </w:r>
    </w:p>
    <w:p w:rsidR="00000000" w:rsidRDefault="00E65947">
      <w:pPr>
        <w:jc w:val="center"/>
        <w:rPr>
          <w:rFonts w:eastAsia="Times New Roman"/>
        </w:rPr>
      </w:pPr>
      <w:r>
        <w:rPr>
          <w:rFonts w:eastAsia="Times New Roman"/>
          <w:i/>
          <w:iCs/>
          <w:color w:val="000000"/>
          <w:sz w:val="20"/>
          <w:szCs w:val="20"/>
        </w:rPr>
        <w:t>(In thousands, except per share data)</w:t>
      </w:r>
    </w:p>
    <w:p w:rsidR="00000000" w:rsidRDefault="00E65947">
      <w:pPr>
        <w:jc w:val="center"/>
        <w:rPr>
          <w:rFonts w:eastAsia="Times New Roman"/>
        </w:rPr>
      </w:pPr>
      <w:r>
        <w:rPr>
          <w:rFonts w:eastAsia="Times New Roman"/>
          <w:color w:val="000000"/>
          <w:sz w:val="20"/>
          <w:szCs w:val="20"/>
        </w:rPr>
        <w:t> </w:t>
      </w:r>
      <w:r>
        <w:rPr>
          <w:rFonts w:eastAsia="Times New Roman"/>
          <w:i/>
          <w:iCs/>
          <w:color w:val="000000"/>
          <w:sz w:val="20"/>
          <w:szCs w:val="20"/>
        </w:rPr>
        <w:t>(Unaudited)</w:t>
      </w:r>
    </w:p>
    <w:p w:rsidR="00000000" w:rsidRDefault="00E6594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258"/>
        <w:gridCol w:w="39"/>
        <w:gridCol w:w="36"/>
        <w:gridCol w:w="36"/>
        <w:gridCol w:w="36"/>
        <w:gridCol w:w="110"/>
        <w:gridCol w:w="988"/>
        <w:gridCol w:w="36"/>
        <w:gridCol w:w="36"/>
        <w:gridCol w:w="36"/>
        <w:gridCol w:w="36"/>
        <w:gridCol w:w="110"/>
        <w:gridCol w:w="988"/>
        <w:gridCol w:w="36"/>
        <w:gridCol w:w="36"/>
        <w:gridCol w:w="36"/>
        <w:gridCol w:w="36"/>
        <w:gridCol w:w="110"/>
        <w:gridCol w:w="988"/>
        <w:gridCol w:w="36"/>
        <w:gridCol w:w="36"/>
        <w:gridCol w:w="36"/>
        <w:gridCol w:w="36"/>
        <w:gridCol w:w="110"/>
        <w:gridCol w:w="989"/>
        <w:gridCol w:w="36"/>
      </w:tblGrid>
      <w:tr w:rsidR="00000000">
        <w:trPr>
          <w:jc w:val="center"/>
        </w:trPr>
        <w:tc>
          <w:tcPr>
            <w:tcW w:w="50" w:type="pct"/>
            <w:vAlign w:val="center"/>
            <w:hideMark/>
          </w:tcPr>
          <w:p w:rsidR="00000000" w:rsidRDefault="00E65947">
            <w:pPr>
              <w:jc w:val="center"/>
              <w:rPr>
                <w:rFonts w:eastAsia="Times New Roman"/>
              </w:rPr>
            </w:pPr>
          </w:p>
        </w:tc>
        <w:tc>
          <w:tcPr>
            <w:tcW w:w="199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4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4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4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4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10,091 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lastRenderedPageBreak/>
              <w:t>Cost of products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3,285 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6,762 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4,057 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10,614 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9,587 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15,174 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7,095 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26,186 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15,008 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3,396 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Restructuring costs (income)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operating expense (income)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21,936 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36,747 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(11,438)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Operating (loss) income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(21,936)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(36,747)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(741)</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1,042 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(1,119)</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(1,930)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(3,237)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(3,859)</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(6,427)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36,166 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(39,398)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25,791 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Income tax (benefit) expense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(19,581)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(33,026)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 per share - basic</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(0.33)</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0.63 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(0.33)</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0.49 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58,488 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54,272 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58,465 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47,665 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58,488 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69,942 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58,465 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63,083 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divId w:val="1079400373"/>
        <w:rPr>
          <w:rFonts w:eastAsia="Times New Roman"/>
        </w:rPr>
      </w:pPr>
      <w:r>
        <w:rPr>
          <w:rFonts w:eastAsia="Times New Roman"/>
          <w:i/>
          <w:iCs/>
          <w:color w:val="000000"/>
          <w:sz w:val="20"/>
          <w:szCs w:val="20"/>
        </w:rPr>
        <w:t> </w:t>
      </w:r>
    </w:p>
    <w:p w:rsidR="00000000" w:rsidRDefault="00E65947">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E65947">
      <w:pPr>
        <w:jc w:val="center"/>
        <w:divId w:val="1828473429"/>
        <w:rPr>
          <w:rFonts w:eastAsia="Times New Roman"/>
        </w:rPr>
      </w:pPr>
      <w:r>
        <w:rPr>
          <w:rFonts w:eastAsia="Times New Roman"/>
          <w:color w:val="000000"/>
          <w:sz w:val="20"/>
          <w:szCs w:val="20"/>
        </w:rPr>
        <w:t>- 4 -</w:t>
      </w:r>
    </w:p>
    <w:p w:rsidR="00000000" w:rsidRDefault="00E65947">
      <w:pPr>
        <w:rPr>
          <w:rFonts w:eastAsia="Times New Roman"/>
        </w:rPr>
      </w:pPr>
      <w:r>
        <w:rPr>
          <w:rFonts w:eastAsia="Times New Roman"/>
        </w:rPr>
        <w:pict>
          <v:rect id="_x0000_i1029" style="width:0;height:1.5pt" o:hralign="center" o:hrstd="t" o:hr="t" fillcolor="#a0a0a0" stroked="f"/>
        </w:pict>
      </w:r>
    </w:p>
    <w:p w:rsidR="00000000" w:rsidRDefault="00E65947">
      <w:pPr>
        <w:divId w:val="1952665429"/>
        <w:rPr>
          <w:rFonts w:eastAsia="Times New Roman"/>
        </w:rPr>
      </w:pPr>
    </w:p>
    <w:p w:rsidR="00000000" w:rsidRDefault="00E65947">
      <w:pPr>
        <w:jc w:val="center"/>
        <w:divId w:val="1628511269"/>
        <w:rPr>
          <w:rFonts w:eastAsia="Times New Roman"/>
        </w:rPr>
      </w:pPr>
      <w:r>
        <w:rPr>
          <w:rFonts w:eastAsia="Times New Roman"/>
          <w:b/>
          <w:bCs/>
          <w:color w:val="000000"/>
          <w:sz w:val="20"/>
          <w:szCs w:val="20"/>
        </w:rPr>
        <w:t>AVADEL PHARMACEUTICALS PLC</w:t>
      </w:r>
    </w:p>
    <w:p w:rsidR="00000000" w:rsidRDefault="00E65947">
      <w:pPr>
        <w:jc w:val="center"/>
        <w:rPr>
          <w:rFonts w:eastAsia="Times New Roman"/>
        </w:rPr>
      </w:pPr>
      <w:r>
        <w:rPr>
          <w:rFonts w:eastAsia="Times New Roman"/>
          <w:b/>
          <w:bCs/>
          <w:color w:val="000000"/>
          <w:sz w:val="20"/>
          <w:szCs w:val="20"/>
        </w:rPr>
        <w:t>CONDENSED CONSOLIDATED STATEMENTS OF COMPREHENSIVE (LOSS) INCOME</w:t>
      </w:r>
    </w:p>
    <w:p w:rsidR="00000000" w:rsidRDefault="00E65947">
      <w:pPr>
        <w:jc w:val="center"/>
        <w:rPr>
          <w:rFonts w:eastAsia="Times New Roman"/>
        </w:rPr>
      </w:pPr>
      <w:r>
        <w:rPr>
          <w:rFonts w:eastAsia="Times New Roman"/>
          <w:i/>
          <w:iCs/>
          <w:color w:val="000000"/>
          <w:sz w:val="20"/>
          <w:szCs w:val="20"/>
        </w:rPr>
        <w:t>(In thousands)</w:t>
      </w:r>
    </w:p>
    <w:p w:rsidR="00000000" w:rsidRDefault="00E65947">
      <w:pPr>
        <w:jc w:val="center"/>
        <w:rPr>
          <w:rFonts w:eastAsia="Times New Roman"/>
        </w:rPr>
      </w:pPr>
      <w:r>
        <w:rPr>
          <w:rFonts w:eastAsia="Times New Roman"/>
          <w:i/>
          <w:iCs/>
          <w:color w:val="000000"/>
          <w:sz w:val="20"/>
          <w:szCs w:val="20"/>
        </w:rPr>
        <w:t>(Unaudited)</w:t>
      </w:r>
    </w:p>
    <w:p w:rsidR="00000000" w:rsidRDefault="00E65947">
      <w:pPr>
        <w:jc w:val="center"/>
        <w:rPr>
          <w:rFonts w:eastAsia="Times New Roman"/>
        </w:rPr>
      </w:pPr>
      <w:r>
        <w:rPr>
          <w:rFonts w:eastAsia="Times New Roman"/>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290"/>
        <w:gridCol w:w="37"/>
        <w:gridCol w:w="36"/>
        <w:gridCol w:w="36"/>
        <w:gridCol w:w="36"/>
        <w:gridCol w:w="110"/>
        <w:gridCol w:w="981"/>
        <w:gridCol w:w="36"/>
        <w:gridCol w:w="36"/>
        <w:gridCol w:w="36"/>
        <w:gridCol w:w="36"/>
        <w:gridCol w:w="110"/>
        <w:gridCol w:w="981"/>
        <w:gridCol w:w="36"/>
        <w:gridCol w:w="36"/>
        <w:gridCol w:w="36"/>
        <w:gridCol w:w="36"/>
        <w:gridCol w:w="110"/>
        <w:gridCol w:w="981"/>
        <w:gridCol w:w="36"/>
        <w:gridCol w:w="36"/>
        <w:gridCol w:w="36"/>
        <w:gridCol w:w="36"/>
        <w:gridCol w:w="110"/>
        <w:gridCol w:w="982"/>
        <w:gridCol w:w="36"/>
      </w:tblGrid>
      <w:tr w:rsidR="00000000">
        <w:trPr>
          <w:jc w:val="center"/>
        </w:trPr>
        <w:tc>
          <w:tcPr>
            <w:tcW w:w="50" w:type="pct"/>
            <w:vAlign w:val="center"/>
            <w:hideMark/>
          </w:tcPr>
          <w:p w:rsidR="00000000" w:rsidRDefault="00E65947">
            <w:pPr>
              <w:jc w:val="center"/>
              <w:rPr>
                <w:rFonts w:eastAsia="Times New Roman"/>
              </w:rPr>
            </w:pPr>
          </w:p>
        </w:tc>
        <w:tc>
          <w:tcPr>
            <w:tcW w:w="205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3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3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3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3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(19,581)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30,874 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(33,026)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30,009 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comprehensive (loss) income, net of tax:</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lastRenderedPageBreak/>
              <w:t>Foreign currency translation loss (income)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(602)</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divId w:val="1458068799"/>
              <w:rPr>
                <w:rFonts w:eastAsia="Times New Roman"/>
              </w:rPr>
            </w:pPr>
            <w:r>
              <w:rPr>
                <w:rFonts w:eastAsia="Times New Roman"/>
                <w:color w:val="000000"/>
                <w:sz w:val="18"/>
                <w:szCs w:val="18"/>
              </w:rPr>
              <w:t>Net other comprehensive (loss) income, net of $(78), $(81), $(133) and $(130</w:t>
            </w:r>
            <w:r>
              <w:rPr>
                <w:rFonts w:eastAsia="Times New Roman"/>
                <w:color w:val="000000"/>
                <w:sz w:val="18"/>
                <w:szCs w:val="18"/>
              </w:rPr>
              <w:t>) tax, respectively</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927 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(697)</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283 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other comprehensive (loss) income, net of tax</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(19,625)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(34,325)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30,297 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ind w:firstLine="720"/>
        <w:jc w:val="center"/>
        <w:rPr>
          <w:rFonts w:eastAsia="Times New Roman"/>
        </w:rPr>
      </w:pPr>
      <w:r>
        <w:rPr>
          <w:rFonts w:eastAsia="Times New Roman"/>
          <w:color w:val="000000"/>
          <w:sz w:val="20"/>
          <w:szCs w:val="20"/>
        </w:rPr>
        <w:t> </w:t>
      </w:r>
    </w:p>
    <w:p w:rsidR="00000000" w:rsidRDefault="00E65947">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E65947">
      <w:pPr>
        <w:jc w:val="center"/>
        <w:divId w:val="988364415"/>
        <w:rPr>
          <w:rFonts w:eastAsia="Times New Roman"/>
        </w:rPr>
      </w:pPr>
      <w:r>
        <w:rPr>
          <w:rFonts w:eastAsia="Times New Roman"/>
          <w:color w:val="000000"/>
          <w:sz w:val="20"/>
          <w:szCs w:val="20"/>
        </w:rPr>
        <w:t>- 5 -</w:t>
      </w:r>
    </w:p>
    <w:p w:rsidR="00000000" w:rsidRDefault="00E65947">
      <w:pPr>
        <w:rPr>
          <w:rFonts w:eastAsia="Times New Roman"/>
        </w:rPr>
      </w:pPr>
      <w:r>
        <w:rPr>
          <w:rFonts w:eastAsia="Times New Roman"/>
        </w:rPr>
        <w:pict>
          <v:rect id="_x0000_i1030" style="width:0;height:1.5pt" o:hralign="center" o:hrstd="t" o:hr="t" fillcolor="#a0a0a0" stroked="f"/>
        </w:pict>
      </w:r>
    </w:p>
    <w:p w:rsidR="00000000" w:rsidRDefault="00E65947">
      <w:pPr>
        <w:divId w:val="1768770446"/>
        <w:rPr>
          <w:rFonts w:eastAsia="Times New Roman"/>
        </w:rPr>
      </w:pPr>
    </w:p>
    <w:p w:rsidR="00000000" w:rsidRDefault="00E65947">
      <w:pPr>
        <w:jc w:val="center"/>
        <w:divId w:val="1662735089"/>
        <w:rPr>
          <w:rFonts w:eastAsia="Times New Roman"/>
        </w:rPr>
      </w:pPr>
      <w:r>
        <w:rPr>
          <w:rFonts w:eastAsia="Times New Roman"/>
          <w:b/>
          <w:bCs/>
          <w:color w:val="000000"/>
          <w:sz w:val="20"/>
          <w:szCs w:val="20"/>
        </w:rPr>
        <w:t>AVADEL PHARMACEUTICALS PLC</w:t>
      </w:r>
    </w:p>
    <w:p w:rsidR="00000000" w:rsidRDefault="00E65947">
      <w:pPr>
        <w:jc w:val="center"/>
        <w:rPr>
          <w:rFonts w:eastAsia="Times New Roman"/>
        </w:rPr>
      </w:pPr>
      <w:r>
        <w:rPr>
          <w:rFonts w:eastAsia="Times New Roman"/>
          <w:b/>
          <w:bCs/>
          <w:color w:val="000000"/>
          <w:sz w:val="20"/>
          <w:szCs w:val="20"/>
        </w:rPr>
        <w:t>CONDENSED CONSOLIDATED BALANCE SHEETS</w:t>
      </w:r>
    </w:p>
    <w:p w:rsidR="00000000" w:rsidRDefault="00E65947">
      <w:pPr>
        <w:jc w:val="center"/>
        <w:rPr>
          <w:rFonts w:eastAsia="Times New Roman"/>
        </w:rPr>
      </w:pPr>
      <w:r>
        <w:rPr>
          <w:rFonts w:eastAsia="Times New Roman"/>
          <w:i/>
          <w:iCs/>
          <w:color w:val="000000"/>
          <w:sz w:val="20"/>
          <w:szCs w:val="20"/>
        </w:rPr>
        <w:t>(In thousands, except per share data)</w:t>
      </w:r>
    </w:p>
    <w:p w:rsidR="00000000" w:rsidRDefault="00E65947">
      <w:pPr>
        <w:jc w:val="center"/>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211"/>
        <w:gridCol w:w="38"/>
        <w:gridCol w:w="36"/>
        <w:gridCol w:w="36"/>
        <w:gridCol w:w="36"/>
        <w:gridCol w:w="111"/>
        <w:gridCol w:w="1240"/>
        <w:gridCol w:w="37"/>
        <w:gridCol w:w="36"/>
        <w:gridCol w:w="36"/>
        <w:gridCol w:w="36"/>
        <w:gridCol w:w="111"/>
        <w:gridCol w:w="1240"/>
        <w:gridCol w:w="36"/>
      </w:tblGrid>
      <w:tr w:rsidR="00000000">
        <w:trPr>
          <w:jc w:val="center"/>
        </w:trPr>
        <w:tc>
          <w:tcPr>
            <w:tcW w:w="50" w:type="pct"/>
            <w:vAlign w:val="center"/>
            <w:hideMark/>
          </w:tcPr>
          <w:p w:rsidR="00000000" w:rsidRDefault="00E65947">
            <w:pPr>
              <w:jc w:val="center"/>
              <w:rPr>
                <w:rFonts w:eastAsia="Times New Roman"/>
              </w:rPr>
            </w:pPr>
          </w:p>
        </w:tc>
        <w:tc>
          <w:tcPr>
            <w:tcW w:w="317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79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79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jc w:val="center"/>
        </w:trPr>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i/>
                <w:i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67,142 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71,722 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135,701 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149,680 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2,551 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3,326 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25,308 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38,726 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230,702 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263,454 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2,249 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2,604 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983 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3,445 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31,500 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24,939 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282,591 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311,637 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 xml:space="preserve">LIABILITIES AND SHAREHOLDERS’ EQUITY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vAlign w:val="center"/>
            <w:hideMark/>
          </w:tcPr>
          <w:p w:rsidR="00000000" w:rsidRDefault="00E65947">
            <w:pPr>
              <w:spacing w:after="100"/>
              <w:jc w:val="right"/>
              <w:rPr>
                <w:rFonts w:eastAsia="Times New Roman"/>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Current portion of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5,116 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2,934 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7,524 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6,501 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3,146 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141,774 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Long-term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1,589 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1,840 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4,068 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4,212 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163,711 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149,371 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120"/>
          <w:jc w:val="center"/>
        </w:trPr>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Shareholders’ equity:</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E65947">
            <w:pPr>
              <w:spacing w:after="100"/>
              <w:divId w:val="42218171"/>
              <w:rPr>
                <w:rFonts w:eastAsia="Times New Roman"/>
              </w:rPr>
            </w:pPr>
            <w:r>
              <w:rPr>
                <w:rFonts w:eastAsia="Times New Roman"/>
                <w:color w:val="000000"/>
                <w:sz w:val="18"/>
                <w:szCs w:val="18"/>
              </w:rPr>
              <w:t>Preferred shares, nominal value of $0.01 per share; 50,000 shares authorized; 488 issued and outstanding at June 30, 2021 and 488 issued and outstanding at December 31, 2020, respectively</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1085691016"/>
              <w:rPr>
                <w:rFonts w:eastAsia="Times New Roman"/>
              </w:rPr>
            </w:pPr>
            <w:r>
              <w:rPr>
                <w:rFonts w:eastAsia="Times New Roman"/>
                <w:color w:val="000000"/>
                <w:sz w:val="18"/>
                <w:szCs w:val="18"/>
              </w:rPr>
              <w:t>Ordinary shares, nominal value of $0.01 per share; 500,000 shares authorized; 58,488 issued and outstanding at June 30, 2021 and 58,396 issued and outstanding at December 31, 2020</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544,094 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566,916 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(403,453)</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(384,187)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(22,350)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(21,051)</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shareholders’ equity</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118,880 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liabilities and shareholders’ equity</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282,591 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311,637 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ind w:firstLine="720"/>
        <w:jc w:val="center"/>
        <w:divId w:val="1588538975"/>
        <w:rPr>
          <w:rFonts w:eastAsia="Times New Roman"/>
        </w:rPr>
      </w:pPr>
      <w:r>
        <w:rPr>
          <w:rFonts w:eastAsia="Times New Roman"/>
          <w:i/>
          <w:iCs/>
          <w:color w:val="000000"/>
          <w:sz w:val="20"/>
          <w:szCs w:val="20"/>
        </w:rPr>
        <w:t> See accompanying notes to unaudited condensed consolidated financial statements.</w:t>
      </w:r>
    </w:p>
    <w:p w:rsidR="00000000" w:rsidRDefault="00E65947">
      <w:pPr>
        <w:jc w:val="center"/>
        <w:divId w:val="1968583128"/>
        <w:rPr>
          <w:rFonts w:eastAsia="Times New Roman"/>
        </w:rPr>
      </w:pPr>
      <w:r>
        <w:rPr>
          <w:rFonts w:eastAsia="Times New Roman"/>
          <w:color w:val="000000"/>
          <w:sz w:val="20"/>
          <w:szCs w:val="20"/>
        </w:rPr>
        <w:t>- 6 -</w:t>
      </w:r>
    </w:p>
    <w:p w:rsidR="00000000" w:rsidRDefault="00E65947">
      <w:pPr>
        <w:rPr>
          <w:rFonts w:eastAsia="Times New Roman"/>
        </w:rPr>
      </w:pPr>
      <w:r>
        <w:rPr>
          <w:rFonts w:eastAsia="Times New Roman"/>
        </w:rPr>
        <w:pict>
          <v:rect id="_x0000_i1031" style="width:0;height:1.5pt" o:hralign="center" o:hrstd="t" o:hr="t" fillcolor="#a0a0a0" stroked="f"/>
        </w:pict>
      </w:r>
    </w:p>
    <w:p w:rsidR="00000000" w:rsidRDefault="00E65947">
      <w:pPr>
        <w:divId w:val="1250698511"/>
        <w:rPr>
          <w:rFonts w:eastAsia="Times New Roman"/>
        </w:rPr>
      </w:pPr>
    </w:p>
    <w:p w:rsidR="00000000" w:rsidRDefault="00E65947">
      <w:pPr>
        <w:jc w:val="center"/>
        <w:rPr>
          <w:rFonts w:eastAsia="Times New Roman"/>
        </w:rPr>
      </w:pPr>
      <w:r>
        <w:rPr>
          <w:rFonts w:eastAsia="Times New Roman"/>
          <w:b/>
          <w:bCs/>
          <w:color w:val="000000"/>
          <w:sz w:val="20"/>
          <w:szCs w:val="20"/>
        </w:rPr>
        <w:t>AVADEL PHARMACEUTICALS PLC</w:t>
      </w:r>
    </w:p>
    <w:p w:rsidR="00000000" w:rsidRDefault="00E65947">
      <w:pPr>
        <w:jc w:val="center"/>
        <w:rPr>
          <w:rFonts w:eastAsia="Times New Roman"/>
        </w:rPr>
      </w:pPr>
      <w:r>
        <w:rPr>
          <w:rFonts w:eastAsia="Times New Roman"/>
          <w:b/>
          <w:bCs/>
          <w:color w:val="000000"/>
          <w:sz w:val="20"/>
          <w:szCs w:val="20"/>
        </w:rPr>
        <w:t>CONDENSED CONSOLIDATED STATEMENTS OF SHAREHOLDERS’ EQUITY</w:t>
      </w:r>
    </w:p>
    <w:p w:rsidR="00000000" w:rsidRDefault="00E65947">
      <w:pPr>
        <w:jc w:val="center"/>
        <w:rPr>
          <w:rFonts w:eastAsia="Times New Roman"/>
        </w:rPr>
      </w:pPr>
      <w:r>
        <w:rPr>
          <w:rFonts w:eastAsia="Times New Roman"/>
          <w:i/>
          <w:iCs/>
          <w:color w:val="000000"/>
          <w:sz w:val="20"/>
          <w:szCs w:val="20"/>
        </w:rPr>
        <w:t>(In thousands)</w:t>
      </w:r>
    </w:p>
    <w:p w:rsidR="00000000" w:rsidRDefault="00E65947">
      <w:pPr>
        <w:jc w:val="center"/>
        <w:rPr>
          <w:rFonts w:eastAsia="Times New Roman"/>
        </w:rPr>
      </w:pPr>
      <w:r>
        <w:rPr>
          <w:rFonts w:eastAsia="Times New Roman"/>
          <w:i/>
          <w:iCs/>
          <w:color w:val="000000"/>
          <w:sz w:val="20"/>
          <w:szCs w:val="20"/>
        </w:rPr>
        <w:t>(Unaudited)</w:t>
      </w:r>
    </w:p>
    <w:p w:rsidR="00000000" w:rsidRDefault="00E65947">
      <w:pPr>
        <w:divId w:val="1373731185"/>
        <w:rPr>
          <w:rFonts w:eastAsia="Times New Roman"/>
        </w:rPr>
      </w:pPr>
    </w:p>
    <w:p w:rsidR="00000000" w:rsidRDefault="00E65947">
      <w:pPr>
        <w:jc w:val="center"/>
        <w:rPr>
          <w:rFonts w:eastAsia="Times New Roman"/>
        </w:rPr>
      </w:pPr>
      <w:r>
        <w:rPr>
          <w:rFonts w:eastAsia="Times New Roman"/>
          <w:b/>
          <w:bCs/>
          <w:color w:val="000000"/>
          <w:sz w:val="20"/>
          <w:szCs w:val="20"/>
        </w:rPr>
        <w:t xml:space="preserve">Six Months Ended June 30, 2021 </w:t>
      </w:r>
    </w:p>
    <w:tbl>
      <w:tblPr>
        <w:tblW w:w="4972" w:type="pct"/>
        <w:jc w:val="center"/>
        <w:tblCellMar>
          <w:top w:w="15" w:type="dxa"/>
          <w:left w:w="15" w:type="dxa"/>
          <w:bottom w:w="15" w:type="dxa"/>
          <w:right w:w="15" w:type="dxa"/>
        </w:tblCellMar>
        <w:tblLook w:val="04A0" w:firstRow="1" w:lastRow="0" w:firstColumn="1" w:lastColumn="0" w:noHBand="0" w:noVBand="1"/>
      </w:tblPr>
      <w:tblGrid>
        <w:gridCol w:w="64"/>
        <w:gridCol w:w="1196"/>
        <w:gridCol w:w="37"/>
        <w:gridCol w:w="36"/>
        <w:gridCol w:w="36"/>
        <w:gridCol w:w="36"/>
        <w:gridCol w:w="60"/>
        <w:gridCol w:w="496"/>
        <w:gridCol w:w="37"/>
        <w:gridCol w:w="37"/>
        <w:gridCol w:w="37"/>
        <w:gridCol w:w="37"/>
        <w:gridCol w:w="111"/>
        <w:gridCol w:w="593"/>
        <w:gridCol w:w="36"/>
        <w:gridCol w:w="36"/>
        <w:gridCol w:w="36"/>
        <w:gridCol w:w="36"/>
        <w:gridCol w:w="60"/>
        <w:gridCol w:w="496"/>
        <w:gridCol w:w="37"/>
        <w:gridCol w:w="36"/>
        <w:gridCol w:w="36"/>
        <w:gridCol w:w="36"/>
        <w:gridCol w:w="111"/>
        <w:gridCol w:w="593"/>
        <w:gridCol w:w="36"/>
        <w:gridCol w:w="36"/>
        <w:gridCol w:w="36"/>
        <w:gridCol w:w="36"/>
        <w:gridCol w:w="111"/>
        <w:gridCol w:w="760"/>
        <w:gridCol w:w="36"/>
        <w:gridCol w:w="36"/>
        <w:gridCol w:w="36"/>
        <w:gridCol w:w="36"/>
        <w:gridCol w:w="113"/>
        <w:gridCol w:w="936"/>
        <w:gridCol w:w="36"/>
        <w:gridCol w:w="36"/>
        <w:gridCol w:w="36"/>
        <w:gridCol w:w="36"/>
        <w:gridCol w:w="126"/>
        <w:gridCol w:w="1052"/>
        <w:gridCol w:w="36"/>
        <w:gridCol w:w="36"/>
        <w:gridCol w:w="36"/>
        <w:gridCol w:w="36"/>
        <w:gridCol w:w="116"/>
        <w:gridCol w:w="963"/>
        <w:gridCol w:w="36"/>
      </w:tblGrid>
      <w:tr w:rsidR="00000000">
        <w:trPr>
          <w:jc w:val="center"/>
        </w:trPr>
        <w:tc>
          <w:tcPr>
            <w:tcW w:w="50" w:type="pct"/>
            <w:vAlign w:val="center"/>
            <w:hideMark/>
          </w:tcPr>
          <w:p w:rsidR="00000000" w:rsidRDefault="00E65947">
            <w:pPr>
              <w:jc w:val="center"/>
              <w:rPr>
                <w:rFonts w:eastAsia="Times New Roman"/>
              </w:rPr>
            </w:pPr>
          </w:p>
        </w:tc>
        <w:tc>
          <w:tcPr>
            <w:tcW w:w="9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Additional</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w:t>
            </w: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paid-in capital</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 </w:t>
            </w:r>
            <w:r>
              <w:rPr>
                <w:rFonts w:eastAsia="Times New Roman"/>
                <w:b/>
                <w:bCs/>
                <w:color w:val="000000"/>
                <w:sz w:val="18"/>
                <w:szCs w:val="18"/>
              </w:rPr>
              <w:t>equity</w:t>
            </w:r>
          </w:p>
        </w:tc>
      </w:tr>
      <w:tr w:rsidR="00E65947">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Balance, December 31, 2020</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Impact of the adoption of ASU 2020-0</w:t>
            </w:r>
            <w:r>
              <w:rPr>
                <w:rFonts w:eastAsia="Times New Roman"/>
                <w:color w:val="000000"/>
                <w:sz w:val="18"/>
                <w:szCs w:val="18"/>
              </w:rPr>
              <w:t>6</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13,760 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w:t>
            </w:r>
            <w:r>
              <w:rPr>
                <w:rFonts w:eastAsia="Times New Roman"/>
                <w:color w:val="000000"/>
                <w:sz w:val="18"/>
                <w:szCs w:val="18"/>
              </w:rPr>
              <w:t>12,939)</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(13,445)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(1,255)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Exercise of stock options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Balance, March 31, 2021</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542,093 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(383,872)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136,504 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(19,581)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2,001 </w:t>
            </w:r>
          </w:p>
        </w:tc>
        <w:tc>
          <w:tcPr>
            <w:tcW w:w="0" w:type="auto"/>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2,001 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Balance, June 30, 2021</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544,094 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(403,453)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118,880 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bl>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divId w:val="1955207135"/>
        <w:rPr>
          <w:rFonts w:eastAsia="Times New Roman"/>
        </w:rPr>
      </w:pPr>
      <w:r>
        <w:rPr>
          <w:rFonts w:eastAsia="Times New Roman"/>
          <w:color w:val="000000"/>
          <w:sz w:val="20"/>
          <w:szCs w:val="20"/>
        </w:rPr>
        <w:t>- 7 -</w:t>
      </w:r>
    </w:p>
    <w:p w:rsidR="00000000" w:rsidRDefault="00E65947">
      <w:pPr>
        <w:rPr>
          <w:rFonts w:eastAsia="Times New Roman"/>
        </w:rPr>
      </w:pPr>
      <w:r>
        <w:rPr>
          <w:rFonts w:eastAsia="Times New Roman"/>
        </w:rPr>
        <w:pict>
          <v:rect id="_x0000_i1032" style="width:0;height:1.5pt" o:hralign="center" o:hrstd="t" o:hr="t" fillcolor="#a0a0a0" stroked="f"/>
        </w:pict>
      </w:r>
    </w:p>
    <w:p w:rsidR="00000000" w:rsidRDefault="00E65947">
      <w:pPr>
        <w:divId w:val="937369451"/>
        <w:rPr>
          <w:rFonts w:eastAsia="Times New Roman"/>
        </w:rPr>
      </w:pPr>
    </w:p>
    <w:p w:rsidR="00000000" w:rsidRDefault="00E65947">
      <w:pPr>
        <w:jc w:val="center"/>
        <w:rPr>
          <w:rFonts w:eastAsia="Times New Roman"/>
        </w:rPr>
      </w:pPr>
      <w:r>
        <w:rPr>
          <w:rFonts w:eastAsia="Times New Roman"/>
          <w:b/>
          <w:bCs/>
          <w:color w:val="000000"/>
          <w:sz w:val="20"/>
          <w:szCs w:val="20"/>
        </w:rPr>
        <w:t>AVADEL PHARMACEUTICALS PLC</w:t>
      </w:r>
    </w:p>
    <w:p w:rsidR="00000000" w:rsidRDefault="00E65947">
      <w:pPr>
        <w:jc w:val="center"/>
        <w:rPr>
          <w:rFonts w:eastAsia="Times New Roman"/>
        </w:rPr>
      </w:pPr>
      <w:r>
        <w:rPr>
          <w:rFonts w:eastAsia="Times New Roman"/>
          <w:b/>
          <w:bCs/>
          <w:color w:val="000000"/>
          <w:sz w:val="20"/>
          <w:szCs w:val="20"/>
        </w:rPr>
        <w:t>CONDENSED CONSOLIDATED STATEMENTS OF SHAREHOLDERS’ EQUITY</w:t>
      </w:r>
    </w:p>
    <w:p w:rsidR="00000000" w:rsidRDefault="00E65947">
      <w:pPr>
        <w:jc w:val="center"/>
        <w:rPr>
          <w:rFonts w:eastAsia="Times New Roman"/>
        </w:rPr>
      </w:pPr>
      <w:r>
        <w:rPr>
          <w:rFonts w:eastAsia="Times New Roman"/>
          <w:i/>
          <w:iCs/>
          <w:color w:val="000000"/>
          <w:sz w:val="20"/>
          <w:szCs w:val="20"/>
        </w:rPr>
        <w:t>(In thousands)</w:t>
      </w:r>
    </w:p>
    <w:p w:rsidR="00000000" w:rsidRDefault="00E65947">
      <w:pPr>
        <w:jc w:val="center"/>
        <w:rPr>
          <w:rFonts w:eastAsia="Times New Roman"/>
        </w:rPr>
      </w:pPr>
      <w:r>
        <w:rPr>
          <w:rFonts w:eastAsia="Times New Roman"/>
          <w:i/>
          <w:iCs/>
          <w:color w:val="000000"/>
          <w:sz w:val="20"/>
          <w:szCs w:val="20"/>
        </w:rPr>
        <w:t>(Unaudited)</w:t>
      </w:r>
    </w:p>
    <w:p w:rsidR="00000000" w:rsidRDefault="00E65947">
      <w:pPr>
        <w:jc w:val="center"/>
        <w:rPr>
          <w:rFonts w:eastAsia="Times New Roman"/>
        </w:rPr>
      </w:pPr>
    </w:p>
    <w:p w:rsidR="00000000" w:rsidRDefault="00E65947">
      <w:pPr>
        <w:jc w:val="center"/>
        <w:rPr>
          <w:rFonts w:eastAsia="Times New Roman"/>
        </w:rPr>
      </w:pPr>
      <w:r>
        <w:rPr>
          <w:rFonts w:eastAsia="Times New Roman"/>
          <w:b/>
          <w:bCs/>
          <w:color w:val="000000"/>
          <w:sz w:val="20"/>
          <w:szCs w:val="20"/>
        </w:rPr>
        <w:t xml:space="preserve">Six Months Ended June 30, 2020 </w:t>
      </w:r>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1164"/>
        <w:gridCol w:w="37"/>
        <w:gridCol w:w="36"/>
        <w:gridCol w:w="36"/>
        <w:gridCol w:w="36"/>
        <w:gridCol w:w="73"/>
        <w:gridCol w:w="488"/>
        <w:gridCol w:w="37"/>
        <w:gridCol w:w="37"/>
        <w:gridCol w:w="37"/>
        <w:gridCol w:w="36"/>
        <w:gridCol w:w="111"/>
        <w:gridCol w:w="578"/>
        <w:gridCol w:w="36"/>
        <w:gridCol w:w="36"/>
        <w:gridCol w:w="36"/>
        <w:gridCol w:w="36"/>
        <w:gridCol w:w="72"/>
        <w:gridCol w:w="482"/>
        <w:gridCol w:w="37"/>
        <w:gridCol w:w="37"/>
        <w:gridCol w:w="37"/>
        <w:gridCol w:w="37"/>
        <w:gridCol w:w="111"/>
        <w:gridCol w:w="578"/>
        <w:gridCol w:w="36"/>
        <w:gridCol w:w="36"/>
        <w:gridCol w:w="36"/>
        <w:gridCol w:w="36"/>
        <w:gridCol w:w="111"/>
        <w:gridCol w:w="742"/>
        <w:gridCol w:w="36"/>
        <w:gridCol w:w="36"/>
        <w:gridCol w:w="36"/>
        <w:gridCol w:w="36"/>
        <w:gridCol w:w="131"/>
        <w:gridCol w:w="916"/>
        <w:gridCol w:w="36"/>
        <w:gridCol w:w="36"/>
        <w:gridCol w:w="36"/>
        <w:gridCol w:w="36"/>
        <w:gridCol w:w="128"/>
        <w:gridCol w:w="1050"/>
        <w:gridCol w:w="36"/>
        <w:gridCol w:w="36"/>
        <w:gridCol w:w="36"/>
        <w:gridCol w:w="36"/>
        <w:gridCol w:w="72"/>
        <w:gridCol w:w="482"/>
        <w:gridCol w:w="36"/>
        <w:gridCol w:w="36"/>
        <w:gridCol w:w="36"/>
        <w:gridCol w:w="36"/>
        <w:gridCol w:w="110"/>
        <w:gridCol w:w="615"/>
        <w:gridCol w:w="36"/>
        <w:gridCol w:w="36"/>
        <w:gridCol w:w="36"/>
        <w:gridCol w:w="36"/>
        <w:gridCol w:w="133"/>
        <w:gridCol w:w="957"/>
        <w:gridCol w:w="36"/>
      </w:tblGrid>
      <w:tr w:rsidR="00000000">
        <w:trPr>
          <w:jc w:val="center"/>
        </w:trPr>
        <w:tc>
          <w:tcPr>
            <w:tcW w:w="50" w:type="pct"/>
            <w:vAlign w:val="center"/>
            <w:hideMark/>
          </w:tcPr>
          <w:p w:rsidR="00000000" w:rsidRDefault="00E65947">
            <w:pPr>
              <w:jc w:val="center"/>
              <w:rPr>
                <w:rFonts w:eastAsia="Times New Roman"/>
              </w:rPr>
            </w:pPr>
          </w:p>
        </w:tc>
        <w:tc>
          <w:tcPr>
            <w:tcW w:w="63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5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1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4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36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Preferred shares</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Additional paid-in</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Treasury shares</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 (deficit)</w:t>
            </w: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capital</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loss</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 xml:space="preserve">equity </w:t>
            </w:r>
          </w:p>
        </w:tc>
        <w:tc>
          <w:tcPr>
            <w:tcW w:w="0" w:type="auto"/>
            <w:vAlign w:val="center"/>
            <w:hideMark/>
          </w:tcPr>
          <w:p w:rsidR="00000000" w:rsidRDefault="00E65947">
            <w:pPr>
              <w:spacing w:after="100"/>
              <w:rPr>
                <w:rFonts w:eastAsia="Times New Roman"/>
                <w:sz w:val="20"/>
                <w:szCs w:val="20"/>
              </w:rPr>
            </w:pPr>
          </w:p>
        </w:tc>
      </w:tr>
      <w:tr w:rsidR="00E65947">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Balance, December 31, 2019</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434,391 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(391,215)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(22,806)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(29,199)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(865)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(865)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(821)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(821)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1,387 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1,389 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8,680 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488 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60,641 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60,733 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742 </w:t>
            </w:r>
          </w:p>
        </w:tc>
        <w:tc>
          <w:tcPr>
            <w:tcW w:w="0" w:type="auto"/>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742 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Balance, March 31, 2020</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51,812 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497,249 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(392,080)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(23,627)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Net income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30,874 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30,874 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1,109 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1,109 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392 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393 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May 2020 public offering</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11,630 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116,858 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116,974 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769 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769 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E65947">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Balance, June 30, 2020</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63,537 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615,207 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(361,206)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(22,518)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(49,998)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182,125 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2"/>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bl>
    <w:p w:rsidR="00000000" w:rsidRDefault="00E65947">
      <w:pPr>
        <w:jc w:val="center"/>
        <w:rPr>
          <w:rFonts w:eastAsia="Times New Roman"/>
        </w:rPr>
      </w:pPr>
    </w:p>
    <w:p w:rsidR="00000000" w:rsidRDefault="00E65947">
      <w:pPr>
        <w:jc w:val="center"/>
        <w:rPr>
          <w:rFonts w:eastAsia="Times New Roman"/>
        </w:rPr>
      </w:pPr>
    </w:p>
    <w:p w:rsidR="00000000" w:rsidRDefault="00E65947">
      <w:pPr>
        <w:jc w:val="center"/>
        <w:divId w:val="1127163545"/>
        <w:rPr>
          <w:rFonts w:eastAsia="Times New Roman"/>
        </w:rPr>
      </w:pPr>
      <w:r>
        <w:rPr>
          <w:rFonts w:eastAsia="Times New Roman"/>
          <w:color w:val="000000"/>
          <w:sz w:val="20"/>
          <w:szCs w:val="20"/>
        </w:rPr>
        <w:t>- 8 -</w:t>
      </w:r>
    </w:p>
    <w:p w:rsidR="00000000" w:rsidRDefault="00E65947">
      <w:pPr>
        <w:rPr>
          <w:rFonts w:eastAsia="Times New Roman"/>
        </w:rPr>
      </w:pPr>
      <w:r>
        <w:rPr>
          <w:rFonts w:eastAsia="Times New Roman"/>
        </w:rPr>
        <w:pict>
          <v:rect id="_x0000_i1033" style="width:0;height:1.5pt" o:hralign="center" o:hrstd="t" o:hr="t" fillcolor="#a0a0a0" stroked="f"/>
        </w:pict>
      </w:r>
    </w:p>
    <w:p w:rsidR="00000000" w:rsidRDefault="00E65947">
      <w:pPr>
        <w:divId w:val="786966120"/>
        <w:rPr>
          <w:rFonts w:eastAsia="Times New Roman"/>
        </w:rPr>
      </w:pPr>
    </w:p>
    <w:p w:rsidR="00000000" w:rsidRDefault="00E65947">
      <w:pPr>
        <w:jc w:val="center"/>
        <w:divId w:val="988678788"/>
        <w:rPr>
          <w:rFonts w:eastAsia="Times New Roman"/>
        </w:rPr>
      </w:pPr>
      <w:r>
        <w:rPr>
          <w:rFonts w:eastAsia="Times New Roman"/>
          <w:b/>
          <w:bCs/>
          <w:color w:val="000000"/>
          <w:sz w:val="20"/>
          <w:szCs w:val="20"/>
        </w:rPr>
        <w:t>AVADEL PHARMACEUTICALS PLC</w:t>
      </w:r>
    </w:p>
    <w:p w:rsidR="00000000" w:rsidRDefault="00E65947">
      <w:pPr>
        <w:jc w:val="center"/>
        <w:rPr>
          <w:rFonts w:eastAsia="Times New Roman"/>
        </w:rPr>
      </w:pPr>
      <w:r>
        <w:rPr>
          <w:rFonts w:eastAsia="Times New Roman"/>
          <w:b/>
          <w:bCs/>
          <w:color w:val="000000"/>
          <w:sz w:val="20"/>
          <w:szCs w:val="20"/>
        </w:rPr>
        <w:t>CONDENSED CONSOLIDATED STATEMENTS OF CASH FLOWS</w:t>
      </w:r>
    </w:p>
    <w:p w:rsidR="00000000" w:rsidRDefault="00E65947">
      <w:pPr>
        <w:jc w:val="center"/>
        <w:rPr>
          <w:rFonts w:eastAsia="Times New Roman"/>
        </w:rPr>
      </w:pPr>
      <w:r>
        <w:rPr>
          <w:rFonts w:eastAsia="Times New Roman"/>
          <w:i/>
          <w:iCs/>
          <w:color w:val="000000"/>
          <w:sz w:val="16"/>
          <w:szCs w:val="16"/>
        </w:rPr>
        <w:t>(In thousands)</w:t>
      </w:r>
      <w:r>
        <w:rPr>
          <w:rFonts w:eastAsia="Times New Roman"/>
          <w:color w:val="000000"/>
          <w:sz w:val="16"/>
          <w:szCs w:val="16"/>
        </w:rPr>
        <w:t> </w:t>
      </w:r>
    </w:p>
    <w:p w:rsidR="00000000" w:rsidRDefault="00E65947">
      <w:pPr>
        <w:jc w:val="center"/>
        <w:rPr>
          <w:rFonts w:eastAsia="Times New Roman"/>
        </w:rPr>
      </w:pPr>
      <w:r>
        <w:rPr>
          <w:rFonts w:eastAsia="Times New Roman"/>
          <w:i/>
          <w:iCs/>
          <w:color w:val="000000"/>
          <w:sz w:val="16"/>
          <w:szCs w:val="16"/>
        </w:rPr>
        <w:t>(Unaudited)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4"/>
        <w:gridCol w:w="5602"/>
        <w:gridCol w:w="39"/>
        <w:gridCol w:w="36"/>
        <w:gridCol w:w="36"/>
        <w:gridCol w:w="36"/>
        <w:gridCol w:w="100"/>
        <w:gridCol w:w="1054"/>
        <w:gridCol w:w="36"/>
        <w:gridCol w:w="36"/>
        <w:gridCol w:w="36"/>
        <w:gridCol w:w="36"/>
        <w:gridCol w:w="100"/>
        <w:gridCol w:w="1054"/>
        <w:gridCol w:w="36"/>
      </w:tblGrid>
      <w:tr w:rsidR="00000000">
        <w:trPr>
          <w:jc w:val="center"/>
        </w:trPr>
        <w:tc>
          <w:tcPr>
            <w:tcW w:w="50" w:type="pct"/>
            <w:vAlign w:val="center"/>
            <w:hideMark/>
          </w:tcPr>
          <w:p w:rsidR="00000000" w:rsidRDefault="00E65947">
            <w:pPr>
              <w:jc w:val="center"/>
              <w:rPr>
                <w:rFonts w:eastAsia="Times New Roman"/>
              </w:rPr>
            </w:pPr>
          </w:p>
        </w:tc>
        <w:tc>
          <w:tcPr>
            <w:tcW w:w="340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7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7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6"/>
                <w:szCs w:val="16"/>
              </w:rPr>
              <w:t>Six Months Ended June 30,</w:t>
            </w:r>
          </w:p>
        </w:tc>
      </w:tr>
      <w:tr w:rsidR="00000000">
        <w:trPr>
          <w:jc w:val="center"/>
        </w:trPr>
        <w:tc>
          <w:tcPr>
            <w:tcW w:w="0" w:type="auto"/>
            <w:gridSpan w:val="3"/>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6"/>
                <w:szCs w:val="16"/>
              </w:rPr>
              <w:t>2020</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6"/>
                <w:szCs w:val="16"/>
              </w:rPr>
              <w:t>Cash flows from operating activities: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6"/>
                <w:szCs w:val="16"/>
              </w:rPr>
              <w:t>(33,026)</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6"/>
                <w:szCs w:val="16"/>
              </w:rPr>
              <w:t>30,009 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Adjustments to reconcile net (loss) income to 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417 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975 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Remeasurement of acquisition-related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3,396 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Remeasurement of financing-related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435 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625 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3,193 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Change in deferred tax and income tax deferred charge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(6,228)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161 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3,729 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1,511 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Gain from the 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(45,760)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Gain from the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(166)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Other adjustments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757 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477 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Net changes in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2,589 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Inventories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(1,353)</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(3,106)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(1,149)</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Research and development tax credit receivable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3,078 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2,036 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Accounts payable &amp;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176 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(1,550)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1,199 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(6,906)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Accrued income taxes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321 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Earn-out payments for contingent consideration in excess of acquisition-date fair value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(3,736)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Royalty payments for contingent consideration payable in excess of original fair value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(608)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Other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(1,021)</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(3,458)</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(33,566)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(19,417)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6"/>
                <w:szCs w:val="16"/>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Purchases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Proceeds from the 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16,500 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14,500 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Proceeds from sales of marketable securities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66,213 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15,716 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Purchases of marketable securities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(53,372)</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(97,878)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29,315 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(67,662)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Proceeds from the 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60,639 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Proceeds from the May 2020 public offering</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116,974 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Proceeds from stock option exercises and employee stock purchase plan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149 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1,903 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Net cash provided by financing activities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179,516 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Effect of foreign currency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(478)</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(37)</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160"/>
          <w:jc w:val="center"/>
        </w:trPr>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Net change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(4,580)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92,400 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Cash and cash equivalents at January 1,</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71,722 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9,774 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Cash and cash equivalents at June 30,</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67,142 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102,174 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Supplemental disclosures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     Interest paid</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3,234 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3,234 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6"/>
                <w:szCs w:val="16"/>
              </w:rPr>
              <w:t>     Income taxes paid (refund)</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6"/>
                <w:szCs w:val="16"/>
              </w:rPr>
              <w:t>(1,795)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center"/>
        <w:rPr>
          <w:rFonts w:eastAsia="Times New Roman"/>
        </w:rPr>
      </w:pPr>
      <w:r>
        <w:rPr>
          <w:rFonts w:eastAsia="Times New Roman"/>
          <w:i/>
          <w:iCs/>
          <w:color w:val="000000"/>
          <w:sz w:val="16"/>
          <w:szCs w:val="16"/>
        </w:rPr>
        <w:t>See accompanying notes to unaudited condensed consolidated financial statements.</w:t>
      </w:r>
    </w:p>
    <w:p w:rsidR="00000000" w:rsidRDefault="00E65947">
      <w:pPr>
        <w:jc w:val="center"/>
        <w:divId w:val="1853104313"/>
        <w:rPr>
          <w:rFonts w:eastAsia="Times New Roman"/>
        </w:rPr>
      </w:pPr>
      <w:r>
        <w:rPr>
          <w:rFonts w:eastAsia="Times New Roman"/>
          <w:color w:val="000000"/>
          <w:sz w:val="20"/>
          <w:szCs w:val="20"/>
        </w:rPr>
        <w:t>- 9 -</w:t>
      </w:r>
    </w:p>
    <w:p w:rsidR="00000000" w:rsidRDefault="00E65947">
      <w:pPr>
        <w:rPr>
          <w:rFonts w:eastAsia="Times New Roman"/>
        </w:rPr>
      </w:pPr>
      <w:r>
        <w:rPr>
          <w:rFonts w:eastAsia="Times New Roman"/>
        </w:rPr>
        <w:pict>
          <v:rect id="_x0000_i1034" style="width:0;height:1.5pt" o:hralign="center" o:hrstd="t" o:hr="t" fillcolor="#a0a0a0" stroked="f"/>
        </w:pict>
      </w:r>
    </w:p>
    <w:p w:rsidR="00000000" w:rsidRDefault="00E65947">
      <w:pPr>
        <w:divId w:val="1816531855"/>
        <w:rPr>
          <w:rFonts w:eastAsia="Times New Roman"/>
        </w:rPr>
      </w:pPr>
    </w:p>
    <w:p w:rsidR="00000000" w:rsidRDefault="00E65947">
      <w:pPr>
        <w:jc w:val="center"/>
        <w:divId w:val="666707828"/>
        <w:rPr>
          <w:rFonts w:eastAsia="Times New Roman"/>
        </w:rPr>
      </w:pPr>
      <w:r>
        <w:rPr>
          <w:rFonts w:eastAsia="Times New Roman"/>
          <w:b/>
          <w:bCs/>
          <w:color w:val="000000"/>
          <w:sz w:val="20"/>
          <w:szCs w:val="20"/>
        </w:rPr>
        <w:t>AVADEL PHARMACEUTICALS PLC</w:t>
      </w:r>
    </w:p>
    <w:p w:rsidR="00000000" w:rsidRDefault="00E65947">
      <w:pPr>
        <w:jc w:val="center"/>
        <w:rPr>
          <w:rFonts w:eastAsia="Times New Roman"/>
        </w:rPr>
      </w:pPr>
      <w:r>
        <w:rPr>
          <w:rFonts w:eastAsia="Times New Roman"/>
          <w:b/>
          <w:bCs/>
          <w:color w:val="000000"/>
          <w:sz w:val="20"/>
          <w:szCs w:val="20"/>
        </w:rPr>
        <w:t>NOTES TO THE UNAUDITED CONDENSED CONSOLIDATED FINANCIAL STATEMENTS</w:t>
      </w:r>
    </w:p>
    <w:p w:rsidR="00000000" w:rsidRDefault="00E65947">
      <w:pPr>
        <w:jc w:val="center"/>
        <w:rPr>
          <w:rFonts w:eastAsia="Times New Roman"/>
        </w:rPr>
      </w:pPr>
      <w:r>
        <w:rPr>
          <w:rFonts w:eastAsia="Times New Roman"/>
          <w:i/>
          <w:iCs/>
          <w:color w:val="000000"/>
          <w:sz w:val="20"/>
          <w:szCs w:val="20"/>
        </w:rPr>
        <w:t>(In thousands, except per share data) </w:t>
      </w:r>
    </w:p>
    <w:p w:rsidR="00000000" w:rsidRDefault="00E65947">
      <w:pPr>
        <w:jc w:val="both"/>
        <w:divId w:val="828714479"/>
        <w:rPr>
          <w:rFonts w:eastAsia="Times New Roman"/>
        </w:rPr>
      </w:pPr>
    </w:p>
    <w:p w:rsidR="00000000" w:rsidRDefault="00E65947">
      <w:pPr>
        <w:jc w:val="both"/>
        <w:divId w:val="1370835724"/>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rsidR="00000000" w:rsidRDefault="00E65947">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Avadel Pharmaceuticals plc (Nasdaq: AVDL) (“Avadel,” the “Company,” “we,” “our,” or “us”) is a biopharmaceutical company. Our lead product candidate, FT218, is an investigational once-nightl</w:t>
      </w:r>
      <w:r>
        <w:rPr>
          <w:rFonts w:eastAsia="Times New Roman"/>
          <w:color w:val="000000"/>
          <w:sz w:val="20"/>
          <w:szCs w:val="20"/>
        </w:rPr>
        <w:t>y, extended-release formulation of sodium oxybate for the treatment of excessive daytime sleepiness (“EDS”) and cataplexy in adults with narcolepsy. We are primarily focused on the development and potential United States (“U.S.”) Food and Drug Administrati</w:t>
      </w:r>
      <w:r>
        <w:rPr>
          <w:rFonts w:eastAsia="Times New Roman"/>
          <w:color w:val="000000"/>
          <w:sz w:val="20"/>
          <w:szCs w:val="20"/>
        </w:rPr>
        <w:t>on (“FDA”) approval of FT218. In December 2020, we submitted a New Drug Application (“NDA”) to the FDA for FT218 to treat excessive daytime sleepiness and cataplexy in adults with narcolepsy. The NDA for FT218 was accepted by the FDA in February 2021 and a</w:t>
      </w:r>
      <w:r>
        <w:rPr>
          <w:rFonts w:eastAsia="Times New Roman"/>
          <w:color w:val="000000"/>
          <w:sz w:val="20"/>
          <w:szCs w:val="20"/>
        </w:rPr>
        <w:t xml:space="preserve">ssigned a Prescription Drug User Fee Act (“PDUFA”) target action date of October 15, 2021. </w:t>
      </w:r>
    </w:p>
    <w:p w:rsidR="00000000" w:rsidRDefault="00E65947">
      <w:pPr>
        <w:divId w:val="408038860"/>
        <w:rPr>
          <w:rFonts w:eastAsia="Times New Roman"/>
        </w:rPr>
      </w:pPr>
    </w:p>
    <w:p w:rsidR="00000000" w:rsidRDefault="00E65947">
      <w:pPr>
        <w:jc w:val="both"/>
        <w:rPr>
          <w:rFonts w:eastAsia="Times New Roman"/>
        </w:rPr>
      </w:pPr>
      <w:r>
        <w:rPr>
          <w:rFonts w:eastAsia="Times New Roman"/>
          <w:color w:val="000000"/>
          <w:sz w:val="20"/>
          <w:szCs w:val="20"/>
        </w:rPr>
        <w:t>Outside of our lead product candidate, we continue to evaluate opportunities to expand our product portfolio. As of June 30, 2021, we do not have any approved and</w:t>
      </w:r>
      <w:r>
        <w:rPr>
          <w:rFonts w:eastAsia="Times New Roman"/>
          <w:color w:val="000000"/>
          <w:sz w:val="20"/>
          <w:szCs w:val="20"/>
        </w:rPr>
        <w:t xml:space="preserve"> commercialized products in our portfolio.</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We are registered as an Irish public limited company. Our headquarters are in Dublin, Ireland and we have operations in St. Louis, Missouri, U.S.</w:t>
      </w:r>
    </w:p>
    <w:p w:rsidR="00000000" w:rsidRDefault="00E65947">
      <w:pPr>
        <w:jc w:val="both"/>
        <w:rPr>
          <w:rFonts w:eastAsia="Times New Roman"/>
        </w:rPr>
      </w:pPr>
    </w:p>
    <w:p w:rsidR="00000000" w:rsidRDefault="00E65947">
      <w:pPr>
        <w:divId w:val="2099594033"/>
        <w:rPr>
          <w:rFonts w:eastAsia="Times New Roman"/>
        </w:rPr>
      </w:pPr>
      <w:r>
        <w:rPr>
          <w:rFonts w:eastAsia="Times New Roman"/>
          <w:b/>
          <w:bCs/>
          <w:i/>
          <w:iCs/>
          <w:color w:val="000000"/>
          <w:sz w:val="20"/>
          <w:szCs w:val="20"/>
        </w:rPr>
        <w:t>FT218</w:t>
      </w:r>
    </w:p>
    <w:p w:rsidR="00000000" w:rsidRDefault="00E65947">
      <w:pPr>
        <w:divId w:val="1164393890"/>
        <w:rPr>
          <w:rFonts w:eastAsia="Times New Roman"/>
        </w:rPr>
      </w:pPr>
    </w:p>
    <w:p w:rsidR="00000000" w:rsidRDefault="00E65947">
      <w:pPr>
        <w:jc w:val="both"/>
        <w:rPr>
          <w:rFonts w:eastAsia="Times New Roman"/>
        </w:rPr>
      </w:pPr>
      <w:r>
        <w:rPr>
          <w:rFonts w:eastAsia="Times New Roman"/>
          <w:color w:val="000000"/>
          <w:sz w:val="20"/>
          <w:szCs w:val="20"/>
        </w:rPr>
        <w:t>FT218 is a once-nightly formulation of sodium oxybate t</w:t>
      </w:r>
      <w:r>
        <w:rPr>
          <w:rFonts w:eastAsia="Times New Roman"/>
          <w:color w:val="000000"/>
          <w:sz w:val="20"/>
          <w:szCs w:val="20"/>
        </w:rPr>
        <w:t>hat uses our Micropump controlled release drug-delivery technology for the treatment of EDS and cataplexy in adults suffering from narcolepsy. Sodium oxybate is the sodium salt of gamma hydroxybutyrate, an endogenous compound and metabolite of the neurotra</w:t>
      </w:r>
      <w:r>
        <w:rPr>
          <w:rFonts w:eastAsia="Times New Roman"/>
          <w:color w:val="000000"/>
          <w:sz w:val="20"/>
          <w:szCs w:val="20"/>
        </w:rPr>
        <w:t>nsmitter gamma-aminobutyric acid. Sodium oxybate is approved in the U.S. for the treatment of EDS and cataplexy in patients with narcolepsy and is approved in Europe for the treatment of cataplexy in patients with narcolepsy. Since 2002, sodium oxybate has</w:t>
      </w:r>
      <w:r>
        <w:rPr>
          <w:rFonts w:eastAsia="Times New Roman"/>
          <w:color w:val="000000"/>
          <w:sz w:val="20"/>
          <w:szCs w:val="20"/>
        </w:rPr>
        <w:t xml:space="preserve"> only been available as a formulation that must be taken twice nightly, first at bedtime, and then again 2.5 to 4 hours later.</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December 16, 2020, we announced the submission of our NDA to the FDA for FT218. On February 26, 2021, the FDA notified us of</w:t>
      </w:r>
      <w:r>
        <w:rPr>
          <w:rFonts w:eastAsia="Times New Roman"/>
          <w:color w:val="000000"/>
          <w:sz w:val="20"/>
          <w:szCs w:val="20"/>
        </w:rPr>
        <w:t xml:space="preserve"> formal acceptance of the NDA with an assigned PDUFA target action date of October 15, 2021.</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We conducted a Phase 3 clinical trial of FT218, the REST-ON trial, which was a randomized, double-blind, placebo-controlled study that enrolled 212 patients and </w:t>
      </w:r>
      <w:r>
        <w:rPr>
          <w:rFonts w:eastAsia="Times New Roman"/>
          <w:color w:val="000000"/>
          <w:sz w:val="20"/>
          <w:szCs w:val="20"/>
        </w:rPr>
        <w:t>was conducted in clinical sites in the U.S., Canada, Western Europe and Australia. The last patient, last visit was completed at the end of the first quarter of 2020 and positive top line data from the REST-ON trial was announced on April 27, 2020. Patient</w:t>
      </w:r>
      <w:r>
        <w:rPr>
          <w:rFonts w:eastAsia="Times New Roman"/>
          <w:color w:val="000000"/>
          <w:sz w:val="20"/>
          <w:szCs w:val="20"/>
        </w:rPr>
        <w:t>s who received 9 g of once-nightly FT218, the highest dose administered in the trial, demonstrated a statistically significant and clinically meaningful improvement compared to placebo across the three co-primary endpoints of the trial: maintenance of wake</w:t>
      </w:r>
      <w:r>
        <w:rPr>
          <w:rFonts w:eastAsia="Times New Roman"/>
          <w:color w:val="000000"/>
          <w:sz w:val="20"/>
          <w:szCs w:val="20"/>
        </w:rPr>
        <w:t>fulness test, or MWT, clinical global impression-improvement, or CGI-I, and mean weekly cataplexy attacks. The lower doses assessed, 6 g and 7.5 g also demonstrated a statistically significant and clinically meaningful improvement on all three co-primary e</w:t>
      </w:r>
      <w:r>
        <w:rPr>
          <w:rFonts w:eastAsia="Times New Roman"/>
          <w:color w:val="000000"/>
          <w:sz w:val="20"/>
          <w:szCs w:val="20"/>
        </w:rPr>
        <w:t>ndpoints compared to placebo. We observed the 9 g dose of once-nightly FT218 to be generally well tolerated. Adverse reactions commonly associated with sodium oxybate were observed in a small number of patients (nausea 1.3%, vomiting 5.2%, decreased appeti</w:t>
      </w:r>
      <w:r>
        <w:rPr>
          <w:rFonts w:eastAsia="Times New Roman"/>
          <w:color w:val="000000"/>
          <w:sz w:val="20"/>
          <w:szCs w:val="20"/>
        </w:rPr>
        <w:t>te 2.6%, dizziness 5.2%, somnolence 3.9%, tremor 1.3% and enuresis 9%), and 3.9% of the patients who received 9 g of FT218 discontinued the trial due to adverse reactions.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 January 2018, the FDA granted FT218 Orphan Drug Designation, which makes the dr</w:t>
      </w:r>
      <w:r>
        <w:rPr>
          <w:rFonts w:eastAsia="Times New Roman"/>
          <w:color w:val="000000"/>
          <w:sz w:val="20"/>
          <w:szCs w:val="20"/>
        </w:rPr>
        <w:t>ug eligible for certain development and commercial incentives, including potential U.S. market exclusivity for up to seven years. Additionally, several FT218-related U.S. patents have been issued, and there are additional patent applications currently in d</w:t>
      </w:r>
      <w:r>
        <w:rPr>
          <w:rFonts w:eastAsia="Times New Roman"/>
          <w:color w:val="000000"/>
          <w:sz w:val="20"/>
          <w:szCs w:val="20"/>
        </w:rPr>
        <w:t>evelopment and/or pending at the U.S. Patent and Trademark Office (“USPTO”), as well as foreign patent offices.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 July 2020, we announced that the first patient was dosed initiating an open-label extension (“OLE”)/switch study of FT218 as a potential tr</w:t>
      </w:r>
      <w:r>
        <w:rPr>
          <w:rFonts w:eastAsia="Times New Roman"/>
          <w:color w:val="000000"/>
          <w:sz w:val="20"/>
          <w:szCs w:val="20"/>
        </w:rPr>
        <w:t xml:space="preserve">eatment for EDS and cataplexy in patients with narcolepsy. The OLE/switch study is examining the long-term safety and maintenance of efficacy of FT218 in patients with narcolepsy who participated in the REST-ON study, as well as dosing and preference data </w:t>
      </w:r>
      <w:r>
        <w:rPr>
          <w:rFonts w:eastAsia="Times New Roman"/>
          <w:color w:val="000000"/>
          <w:sz w:val="20"/>
          <w:szCs w:val="20"/>
        </w:rPr>
        <w:t xml:space="preserve">for patients switching from twice-nightly sodium oxybate to once-nightly FT218, regardless of whether they participated in REST-ON.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New secondary endpoints from the REST-ON trial were presented at the American Academy of Neurology, beginning April 17, 2</w:t>
      </w:r>
      <w:r>
        <w:rPr>
          <w:rFonts w:eastAsia="Times New Roman"/>
          <w:color w:val="000000"/>
          <w:sz w:val="20"/>
          <w:szCs w:val="20"/>
        </w:rPr>
        <w:t xml:space="preserve">021. The first poster described FT218 improvements in disturbed nocturnal sleep (“DNS”), defined in REST-ON as the number of shifts from stages N1, N2, N3, and rapid eye movement (“REM”) sleep to wake and from stages N2, N3, and REM </w:t>
      </w:r>
    </w:p>
    <w:p w:rsidR="00000000" w:rsidRDefault="00E65947">
      <w:pPr>
        <w:jc w:val="center"/>
        <w:divId w:val="1998605010"/>
        <w:rPr>
          <w:rFonts w:eastAsia="Times New Roman"/>
        </w:rPr>
      </w:pPr>
      <w:r>
        <w:rPr>
          <w:rFonts w:eastAsia="Times New Roman"/>
          <w:color w:val="000000"/>
          <w:sz w:val="20"/>
          <w:szCs w:val="20"/>
        </w:rPr>
        <w:t>- 10 -</w:t>
      </w:r>
    </w:p>
    <w:p w:rsidR="00000000" w:rsidRDefault="00E65947">
      <w:pPr>
        <w:rPr>
          <w:rFonts w:eastAsia="Times New Roman"/>
        </w:rPr>
      </w:pPr>
      <w:r>
        <w:rPr>
          <w:rFonts w:eastAsia="Times New Roman"/>
        </w:rPr>
        <w:pict>
          <v:rect id="_x0000_i1035" style="width:0;height:1.5pt" o:hralign="center" o:hrstd="t" o:hr="t" fillcolor="#a0a0a0" stroked="f"/>
        </w:pict>
      </w:r>
    </w:p>
    <w:p w:rsidR="00000000" w:rsidRDefault="00E65947">
      <w:pPr>
        <w:divId w:val="2106682594"/>
        <w:rPr>
          <w:rFonts w:eastAsia="Times New Roman"/>
        </w:rPr>
      </w:pPr>
    </w:p>
    <w:p w:rsidR="00000000" w:rsidRDefault="00E65947">
      <w:pPr>
        <w:jc w:val="both"/>
        <w:rPr>
          <w:rFonts w:eastAsia="Times New Roman"/>
        </w:rPr>
      </w:pPr>
      <w:r>
        <w:rPr>
          <w:rFonts w:eastAsia="Times New Roman"/>
          <w:color w:val="000000"/>
          <w:sz w:val="20"/>
          <w:szCs w:val="20"/>
        </w:rPr>
        <w:t>sleep to stage N1. FT218 also decreased the number of nocturnal arousals as measured on polysomnography. Improvements in DNS were further supported by post-hoc analyses demonstrating increased time in deep sleep (N3, a</w:t>
      </w:r>
      <w:r>
        <w:rPr>
          <w:rFonts w:eastAsia="Times New Roman"/>
          <w:color w:val="000000"/>
          <w:sz w:val="20"/>
          <w:szCs w:val="20"/>
        </w:rPr>
        <w:t>lso known as slow wave sleep), and less time in N1. A second poster described the statistically significant improvements in the Epworth Sleepiness Scale, both the quality of sleep and the refreshing nature of sleep, and a decrease in sleep paralysis. These</w:t>
      </w:r>
      <w:r>
        <w:rPr>
          <w:rFonts w:eastAsia="Times New Roman"/>
          <w:color w:val="000000"/>
          <w:sz w:val="20"/>
          <w:szCs w:val="20"/>
        </w:rPr>
        <w:t xml:space="preserve"> clinically relevant improvements were observed for all doses, beginning at Week 3, for the lowest 6 g dose, compared to placebo. FT218 did not demonstrate significant improvement for hypnagogic hallucinations compared to placebo.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Additional data suppor</w:t>
      </w:r>
      <w:r>
        <w:rPr>
          <w:rFonts w:eastAsia="Times New Roman"/>
          <w:color w:val="000000"/>
          <w:sz w:val="20"/>
          <w:szCs w:val="20"/>
        </w:rPr>
        <w:t>tive of the efficacy findings in REST-ON were presented at the annual meeting of the 3</w:t>
      </w:r>
      <w:r>
        <w:rPr>
          <w:rFonts w:eastAsia="Times New Roman"/>
          <w:color w:val="000000"/>
          <w:sz w:val="20"/>
          <w:szCs w:val="20"/>
        </w:rPr>
        <w:t>5</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Annual Meeting of the Associated Professional Sleep Societies, a joint meeting of the American Academy of Sleep Medicine and the Sleep Research Society, also known as</w:t>
      </w:r>
      <w:r>
        <w:rPr>
          <w:rFonts w:eastAsia="Times New Roman"/>
          <w:color w:val="000000"/>
          <w:sz w:val="20"/>
          <w:szCs w:val="20"/>
        </w:rPr>
        <w:t xml:space="preserve"> SLEEP 2021, beginning June 10, 2021. New data included post-hoc analyses demonstrating endpoints improvements, regardless of concomitant stimulant use, in both narcolepsy Type 1 or Type 2. Additionally, a post-hoc analysis showed that FT218 was associated</w:t>
      </w:r>
      <w:r>
        <w:rPr>
          <w:rFonts w:eastAsia="Times New Roman"/>
          <w:color w:val="000000"/>
          <w:sz w:val="20"/>
          <w:szCs w:val="20"/>
        </w:rPr>
        <w:t xml:space="preserve"> with decreased body mass index compared to placebo, which may be relevant as people with narcolepsy often have co-morbid obesity. </w:t>
      </w:r>
    </w:p>
    <w:p w:rsidR="00000000" w:rsidRDefault="00E65947">
      <w:pPr>
        <w:divId w:val="1563104294"/>
        <w:rPr>
          <w:rFonts w:eastAsia="Times New Roman"/>
        </w:rPr>
      </w:pPr>
    </w:p>
    <w:p w:rsidR="00000000" w:rsidRDefault="00E65947">
      <w:pPr>
        <w:divId w:val="2015494486"/>
        <w:rPr>
          <w:rFonts w:eastAsia="Times New Roman"/>
        </w:rPr>
      </w:pPr>
      <w:r>
        <w:rPr>
          <w:rFonts w:eastAsia="Times New Roman"/>
          <w:i/>
          <w:iCs/>
          <w:color w:val="000000"/>
          <w:sz w:val="20"/>
          <w:szCs w:val="20"/>
        </w:rPr>
        <w:t>Previously Approved FDA Products</w:t>
      </w:r>
    </w:p>
    <w:p w:rsidR="00000000" w:rsidRDefault="00E65947">
      <w:pPr>
        <w:divId w:val="1458062190"/>
        <w:rPr>
          <w:rFonts w:eastAsia="Times New Roman"/>
        </w:rPr>
      </w:pPr>
    </w:p>
    <w:p w:rsidR="00000000" w:rsidRDefault="00E65947">
      <w:pPr>
        <w:jc w:val="both"/>
        <w:rPr>
          <w:rFonts w:eastAsia="Times New Roman"/>
        </w:rPr>
      </w:pPr>
      <w:r>
        <w:rPr>
          <w:rFonts w:eastAsia="Times New Roman"/>
          <w:color w:val="000000"/>
          <w:sz w:val="20"/>
          <w:szCs w:val="20"/>
        </w:rPr>
        <w:t>On June 30, 2020 (the “Closing Date”), we announced the sale by Avadel Legacy Pharmaceu</w:t>
      </w:r>
      <w:r>
        <w:rPr>
          <w:rFonts w:eastAsia="Times New Roman"/>
          <w:color w:val="000000"/>
          <w:sz w:val="20"/>
          <w:szCs w:val="20"/>
        </w:rPr>
        <w:t>ticals, LLC (the “Avadel Seller”) of the portfolio of sterile injectable drugs used in the hospital setting (the “Hospital Products”), which included our three commercial products, Akovaz, Bloxiverz and Vazculep, as well as Nouress, to Exela Sterile Medici</w:t>
      </w:r>
      <w:r>
        <w:rPr>
          <w:rFonts w:eastAsia="Times New Roman"/>
          <w:color w:val="000000"/>
          <w:sz w:val="20"/>
          <w:szCs w:val="20"/>
        </w:rPr>
        <w:t>nes LLC (“Exela Buyer”) pursuant to an asset purchase agreement (the “Purchase Agreement”) by and among the Avadel Seller, Avadel US Holdings, Inc., the Exela Buyer and Exela Holdings, Inc. This sale included the following FDA approved products:</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Bloxive</w:t>
      </w:r>
      <w:r>
        <w:rPr>
          <w:rFonts w:eastAsia="Times New Roman"/>
          <w:b/>
          <w:bCs/>
          <w:color w:val="000000"/>
          <w:sz w:val="20"/>
          <w:szCs w:val="20"/>
        </w:rPr>
        <w:t>rz (neostigmine methylsulfate injection)</w:t>
      </w:r>
      <w:r>
        <w:rPr>
          <w:rFonts w:eastAsia="Times New Roman"/>
          <w:color w:val="000000"/>
          <w:sz w:val="20"/>
          <w:szCs w:val="20"/>
        </w:rPr>
        <w:t xml:space="preserve"> - Bloxiverz is a drug used intravenously in the operating room to reverse the effects of non-depolarizing neuromuscular blocking agents after surgery.</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(phenylephrine hydrochloride injection)</w:t>
      </w:r>
      <w:r>
        <w:rPr>
          <w:rFonts w:eastAsia="Times New Roman"/>
          <w:color w:val="000000"/>
          <w:sz w:val="20"/>
          <w:szCs w:val="20"/>
        </w:rPr>
        <w:t xml:space="preserve"> - Vazculep i</w:t>
      </w:r>
      <w:r>
        <w:rPr>
          <w:rFonts w:eastAsia="Times New Roman"/>
          <w:color w:val="000000"/>
          <w:sz w:val="20"/>
          <w:szCs w:val="20"/>
        </w:rPr>
        <w:t>s indicated for the treatment of clinically important hypotension occurring in the setting of anesthesia.</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w:t>
      </w:r>
      <w:r>
        <w:rPr>
          <w:rFonts w:eastAsia="Times New Roman"/>
          <w:color w:val="000000"/>
          <w:sz w:val="20"/>
          <w:szCs w:val="20"/>
        </w:rPr>
        <w:t xml:space="preserve"> - Akovaz was the first FDA approved formulation of ephedrine sulfate, an alpha- and beta- adrenergic agonist a</w:t>
      </w:r>
      <w:r>
        <w:rPr>
          <w:rFonts w:eastAsia="Times New Roman"/>
          <w:color w:val="000000"/>
          <w:sz w:val="20"/>
          <w:szCs w:val="20"/>
        </w:rPr>
        <w:t>nd a norepinephrine-releasing agent that is indicated for the treatment of clinically important hypotension occurring in the setting of anesthesia.</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b/>
          <w:bCs/>
          <w:i/>
          <w:iCs/>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 Nouress is a sterile injectable product for use in the hospi</w:t>
      </w:r>
      <w:r>
        <w:rPr>
          <w:rFonts w:eastAsia="Times New Roman"/>
          <w:color w:val="000000"/>
          <w:sz w:val="20"/>
          <w:szCs w:val="20"/>
        </w:rPr>
        <w:t>tal setting to provide parenteral nutrition to neonates.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Note 3: Disposition of the Hospital Products</w:t>
      </w:r>
      <w:r>
        <w:rPr>
          <w:rFonts w:eastAsia="Times New Roman"/>
          <w:color w:val="000000"/>
          <w:sz w:val="20"/>
          <w:szCs w:val="20"/>
        </w:rPr>
        <w:t>.</w:t>
      </w:r>
    </w:p>
    <w:p w:rsidR="00000000" w:rsidRDefault="00E65947">
      <w:pPr>
        <w:divId w:val="1647129587"/>
        <w:rPr>
          <w:rFonts w:eastAsia="Times New Roman"/>
        </w:rPr>
      </w:pPr>
    </w:p>
    <w:p w:rsidR="00000000" w:rsidRDefault="00E65947">
      <w:pPr>
        <w:jc w:val="both"/>
        <w:divId w:val="2096512320"/>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 unaudited condensed consolidated balance sheet as of June 30, 2021, which is derived from the prior year 2020 audited </w:t>
      </w:r>
      <w:r>
        <w:rPr>
          <w:rFonts w:eastAsia="Times New Roman"/>
          <w:color w:val="000000"/>
          <w:sz w:val="20"/>
          <w:szCs w:val="20"/>
        </w:rPr>
        <w:t>consolidated financial statements, and the interim unaudited condensed consolidated financial statements presented herein, have been prepared in accordance with accounting principles generally accepted in the U.S. (U.S. GAAP), the requirements of Form 10-Q</w:t>
      </w:r>
      <w:r>
        <w:rPr>
          <w:rFonts w:eastAsia="Times New Roman"/>
          <w:color w:val="000000"/>
          <w:sz w:val="20"/>
          <w:szCs w:val="20"/>
        </w:rPr>
        <w:t xml:space="preserve"> and Article 10 of Regulation S-X and, consequently, do not include all information or footnotes required by U.S. GAAP for complete financial statements or all the disclosures normally made in an Annual Report on Form 10-K. Accordingly, the unaudited conde</w:t>
      </w:r>
      <w:r>
        <w:rPr>
          <w:rFonts w:eastAsia="Times New Roman"/>
          <w:color w:val="000000"/>
          <w:sz w:val="20"/>
          <w:szCs w:val="20"/>
        </w:rPr>
        <w:t>nsed consolidated financial statements included herein should be read in conjunction with the audited consolidated financial statements and footnotes included in the Company’s 2020 Annual Report on Form 10-K filed with the SEC on March 9, 2021.</w:t>
      </w:r>
    </w:p>
    <w:p w:rsidR="00000000" w:rsidRDefault="00E65947">
      <w:pPr>
        <w:jc w:val="both"/>
        <w:rPr>
          <w:rFonts w:eastAsia="Times New Roman"/>
        </w:rPr>
      </w:pPr>
      <w:r>
        <w:rPr>
          <w:rFonts w:eastAsia="Times New Roman"/>
          <w:color w:val="000000"/>
          <w:sz w:val="20"/>
          <w:szCs w:val="20"/>
        </w:rPr>
        <w:t>The unaudit</w:t>
      </w:r>
      <w:r>
        <w:rPr>
          <w:rFonts w:eastAsia="Times New Roman"/>
          <w:color w:val="000000"/>
          <w:sz w:val="20"/>
          <w:szCs w:val="20"/>
        </w:rPr>
        <w:t xml:space="preserve">ed condensed consolidated financial statements include the accounts of the Company and subsidiaries, and reflect all adjustments (consisting only of normal recurring adjustments) that are, in the opinion of management, necessary for a fair presentation of </w:t>
      </w:r>
      <w:r>
        <w:rPr>
          <w:rFonts w:eastAsia="Times New Roman"/>
          <w:color w:val="000000"/>
          <w:sz w:val="20"/>
          <w:szCs w:val="20"/>
        </w:rPr>
        <w:t>the Company’s financial position, results of operations and cash flows for the dates and periods presented. All intercompany accounts and transactions have been eliminated. Results for interim periods are not necessarily indicative of the results to be exp</w:t>
      </w:r>
      <w:r>
        <w:rPr>
          <w:rFonts w:eastAsia="Times New Roman"/>
          <w:color w:val="000000"/>
          <w:sz w:val="20"/>
          <w:szCs w:val="20"/>
        </w:rPr>
        <w:t>ected during the remainder of the current year or for any future period.</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Revenue.</w:t>
      </w:r>
      <w:r>
        <w:rPr>
          <w:rFonts w:eastAsia="Times New Roman"/>
          <w:color w:val="000000"/>
          <w:sz w:val="20"/>
          <w:szCs w:val="20"/>
        </w:rPr>
        <w:t xml:space="preserve"> Prior to June 30, 2020, revenue was earned from the sales of pharmaceutical products.</w:t>
      </w:r>
    </w:p>
    <w:p w:rsidR="00000000" w:rsidRDefault="00E65947">
      <w:pPr>
        <w:jc w:val="both"/>
        <w:rPr>
          <w:rFonts w:eastAsia="Times New Roman"/>
        </w:rPr>
      </w:pPr>
    </w:p>
    <w:p w:rsidR="00000000" w:rsidRDefault="00E65947">
      <w:pPr>
        <w:jc w:val="both"/>
        <w:rPr>
          <w:rFonts w:eastAsia="Times New Roman"/>
        </w:rPr>
      </w:pPr>
      <w:r>
        <w:rPr>
          <w:rFonts w:eastAsia="Times New Roman"/>
          <w:i/>
          <w:iCs/>
          <w:color w:val="000000"/>
          <w:sz w:val="20"/>
          <w:szCs w:val="20"/>
        </w:rPr>
        <w:t>Product Sales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Prior to June 30, 2020, we sold products primarily through wholesalers and considered these wholesalers to be our customers. Under ASC 606, revenue from product sales is recognized when the customer obtains control of our product, which occurs typically up</w:t>
      </w:r>
      <w:r>
        <w:rPr>
          <w:rFonts w:eastAsia="Times New Roman"/>
          <w:color w:val="000000"/>
          <w:sz w:val="20"/>
          <w:szCs w:val="20"/>
        </w:rPr>
        <w:t xml:space="preserve">on receipt by the customer. Our gross product sales were subject to a variety of price adjustments in arriving at </w:t>
      </w:r>
    </w:p>
    <w:p w:rsidR="00000000" w:rsidRDefault="00E65947">
      <w:pPr>
        <w:jc w:val="center"/>
        <w:divId w:val="1529487365"/>
        <w:rPr>
          <w:rFonts w:eastAsia="Times New Roman"/>
        </w:rPr>
      </w:pPr>
      <w:r>
        <w:rPr>
          <w:rFonts w:eastAsia="Times New Roman"/>
          <w:color w:val="000000"/>
          <w:sz w:val="20"/>
          <w:szCs w:val="20"/>
        </w:rPr>
        <w:t>- 11 -</w:t>
      </w:r>
    </w:p>
    <w:p w:rsidR="00000000" w:rsidRDefault="00E65947">
      <w:pPr>
        <w:rPr>
          <w:rFonts w:eastAsia="Times New Roman"/>
        </w:rPr>
      </w:pPr>
      <w:r>
        <w:rPr>
          <w:rFonts w:eastAsia="Times New Roman"/>
        </w:rPr>
        <w:pict>
          <v:rect id="_x0000_i1036" style="width:0;height:1.5pt" o:hralign="center" o:hrstd="t" o:hr="t" fillcolor="#a0a0a0" stroked="f"/>
        </w:pict>
      </w:r>
    </w:p>
    <w:p w:rsidR="00000000" w:rsidRDefault="00E65947">
      <w:pPr>
        <w:divId w:val="1724480983"/>
        <w:rPr>
          <w:rFonts w:eastAsia="Times New Roman"/>
        </w:rPr>
      </w:pPr>
    </w:p>
    <w:p w:rsidR="00000000" w:rsidRDefault="00E65947">
      <w:pPr>
        <w:jc w:val="both"/>
        <w:rPr>
          <w:rFonts w:eastAsia="Times New Roman"/>
        </w:rPr>
      </w:pPr>
      <w:r>
        <w:rPr>
          <w:rFonts w:eastAsia="Times New Roman"/>
          <w:color w:val="000000"/>
          <w:sz w:val="20"/>
          <w:szCs w:val="20"/>
        </w:rPr>
        <w:t>reported net product sales. These adjustments included estimates of product returns, chargebacks</w:t>
      </w:r>
      <w:r>
        <w:rPr>
          <w:rFonts w:eastAsia="Times New Roman"/>
          <w:color w:val="000000"/>
          <w:sz w:val="20"/>
          <w:szCs w:val="20"/>
        </w:rPr>
        <w:t xml:space="preserve">, payment discounts, rebates, and other sales allowances and were estimated based on analysis of historical data for the product or comparable products, future expectations for such products and other judgments and analysis. </w:t>
      </w:r>
    </w:p>
    <w:p w:rsidR="00000000" w:rsidRDefault="00E65947">
      <w:pPr>
        <w:jc w:val="both"/>
        <w:rPr>
          <w:rFonts w:eastAsia="Times New Roman"/>
        </w:rPr>
      </w:pPr>
    </w:p>
    <w:p w:rsidR="00000000" w:rsidRDefault="00E65947">
      <w:pPr>
        <w:jc w:val="both"/>
        <w:rPr>
          <w:rFonts w:eastAsia="Times New Roman"/>
        </w:rPr>
      </w:pPr>
      <w:r>
        <w:rPr>
          <w:rFonts w:eastAsia="Times New Roman"/>
          <w:color w:val="0D0D0D"/>
          <w:sz w:val="20"/>
          <w:szCs w:val="20"/>
        </w:rPr>
        <w:t>For a complete discussion of</w:t>
      </w:r>
      <w:r>
        <w:rPr>
          <w:rFonts w:eastAsia="Times New Roman"/>
          <w:color w:val="0D0D0D"/>
          <w:sz w:val="20"/>
          <w:szCs w:val="20"/>
        </w:rPr>
        <w:t xml:space="preserve"> the accounting for net product revenue, see </w:t>
      </w:r>
      <w:r>
        <w:rPr>
          <w:rFonts w:eastAsia="Times New Roman"/>
          <w:i/>
          <w:iCs/>
          <w:color w:val="0D0D0D"/>
          <w:sz w:val="20"/>
          <w:szCs w:val="20"/>
        </w:rPr>
        <w:t xml:space="preserve">Note </w:t>
      </w:r>
      <w:r>
        <w:rPr>
          <w:rFonts w:eastAsia="Times New Roman"/>
          <w:i/>
          <w:iCs/>
          <w:color w:val="000000"/>
          <w:sz w:val="20"/>
          <w:szCs w:val="20"/>
        </w:rPr>
        <w:t>4</w:t>
      </w:r>
      <w:r>
        <w:rPr>
          <w:rFonts w:eastAsia="Times New Roman"/>
          <w:i/>
          <w:iCs/>
          <w:color w:val="0D0D0D"/>
          <w:sz w:val="20"/>
          <w:szCs w:val="20"/>
        </w:rPr>
        <w:t>: Revenue Recognition</w:t>
      </w:r>
      <w:r>
        <w:rPr>
          <w:rFonts w:eastAsia="Times New Roman"/>
          <w:color w:val="0D0D0D"/>
          <w:sz w:val="20"/>
          <w:szCs w:val="20"/>
        </w:rPr>
        <w:t>.</w:t>
      </w:r>
    </w:p>
    <w:p w:rsidR="00000000" w:rsidRDefault="00E65947">
      <w:pPr>
        <w:jc w:val="both"/>
        <w:rPr>
          <w:rFonts w:eastAsia="Times New Roman"/>
        </w:rPr>
      </w:pPr>
    </w:p>
    <w:p w:rsidR="00000000" w:rsidRDefault="00E65947">
      <w:pPr>
        <w:jc w:val="both"/>
        <w:divId w:val="827329264"/>
        <w:rPr>
          <w:rFonts w:eastAsia="Times New Roman"/>
        </w:rPr>
      </w:pPr>
      <w:r>
        <w:rPr>
          <w:rFonts w:eastAsia="Times New Roman"/>
          <w:b/>
          <w:bCs/>
          <w:color w:val="000000"/>
          <w:sz w:val="20"/>
          <w:szCs w:val="20"/>
        </w:rPr>
        <w:t>NOTE 2: Newly Issued Accounting Standards</w:t>
      </w:r>
    </w:p>
    <w:p w:rsidR="00000000" w:rsidRDefault="00E65947">
      <w:pPr>
        <w:divId w:val="566959096"/>
        <w:rPr>
          <w:rFonts w:eastAsia="Times New Roman"/>
        </w:rPr>
      </w:pPr>
      <w:r>
        <w:rPr>
          <w:rFonts w:eastAsia="Times New Roman"/>
          <w:b/>
          <w:bCs/>
          <w:i/>
          <w:iCs/>
          <w:color w:val="000000"/>
          <w:sz w:val="20"/>
          <w:szCs w:val="20"/>
        </w:rPr>
        <w:t>Recently Adopted Accounting Guidance</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 December 2019, the Financial Accounting Standards Board (“FASB”) issued Accounting Standards Upd</w:t>
      </w:r>
      <w:r>
        <w:rPr>
          <w:rFonts w:eastAsia="Times New Roman"/>
          <w:color w:val="000000"/>
          <w:sz w:val="20"/>
          <w:szCs w:val="20"/>
        </w:rPr>
        <w:t xml:space="preserve">ate (“ASU”) 2019-12, </w:t>
      </w:r>
      <w:r>
        <w:rPr>
          <w:rFonts w:eastAsia="Times New Roman"/>
          <w:i/>
          <w:iCs/>
          <w:color w:val="000000"/>
          <w:sz w:val="20"/>
          <w:szCs w:val="20"/>
        </w:rPr>
        <w:t>Income Taxes (Topic 740): Simplifying the Accounting for Income Taxes</w:t>
      </w:r>
      <w:r>
        <w:rPr>
          <w:rFonts w:eastAsia="Times New Roman"/>
          <w:color w:val="000000"/>
          <w:sz w:val="20"/>
          <w:szCs w:val="20"/>
        </w:rPr>
        <w:t>, as part of its overall simplification initiative to reduce costs and complexity of applying accounting standards while maintaining or improving the usefulness of th</w:t>
      </w:r>
      <w:r>
        <w:rPr>
          <w:rFonts w:eastAsia="Times New Roman"/>
          <w:color w:val="000000"/>
          <w:sz w:val="20"/>
          <w:szCs w:val="20"/>
        </w:rPr>
        <w:t xml:space="preserve">e information provided to users of financial statements. The FASB’s amendments primarily impact ASC 740, </w:t>
      </w:r>
      <w:r>
        <w:rPr>
          <w:rFonts w:eastAsia="Times New Roman"/>
          <w:i/>
          <w:iCs/>
          <w:color w:val="000000"/>
          <w:sz w:val="20"/>
          <w:szCs w:val="20"/>
        </w:rPr>
        <w:t>Income Taxes</w:t>
      </w:r>
      <w:r>
        <w:rPr>
          <w:rFonts w:eastAsia="Times New Roman"/>
          <w:color w:val="000000"/>
          <w:sz w:val="20"/>
          <w:szCs w:val="20"/>
        </w:rPr>
        <w:t>, and may impact both interim and annual reporting periods. ASU 2019-12 is effective for fiscal years beginning after December 15, 2020, an</w:t>
      </w:r>
      <w:r>
        <w:rPr>
          <w:rFonts w:eastAsia="Times New Roman"/>
          <w:color w:val="000000"/>
          <w:sz w:val="20"/>
          <w:szCs w:val="20"/>
        </w:rPr>
        <w:t xml:space="preserve">d interim periods within those fiscal years and early adoption is permitted. We adopted the provisions of ASU 2019-12 on January 1, 2021. Adoption of ASU 2019-12 did not have any impact on our unaudited condensed consolidated financial statements.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 Au</w:t>
      </w:r>
      <w:r>
        <w:rPr>
          <w:rFonts w:eastAsia="Times New Roman"/>
          <w:color w:val="000000"/>
          <w:sz w:val="20"/>
          <w:szCs w:val="20"/>
        </w:rPr>
        <w:t xml:space="preserve">gust 2020, the FASB issued ASU 2020-06, </w:t>
      </w:r>
      <w:r>
        <w:rPr>
          <w:rFonts w:eastAsia="Times New Roman"/>
          <w:i/>
          <w:iCs/>
          <w:color w:val="000000"/>
          <w:sz w:val="20"/>
          <w:szCs w:val="20"/>
        </w:rPr>
        <w:t>Debt with Conversion and Other Options (Subtopic 470-20) and Derivatives and Hedging- Contracts in Entity’s Own Equity (Subtopic 815-40)</w:t>
      </w:r>
      <w:r>
        <w:rPr>
          <w:rFonts w:eastAsia="Times New Roman"/>
          <w:color w:val="000000"/>
          <w:sz w:val="20"/>
          <w:szCs w:val="20"/>
        </w:rPr>
        <w:t>, to reduce the complexity associated with applying U.S. GAAP principles for cer</w:t>
      </w:r>
      <w:r>
        <w:rPr>
          <w:rFonts w:eastAsia="Times New Roman"/>
          <w:color w:val="000000"/>
          <w:sz w:val="20"/>
          <w:szCs w:val="20"/>
        </w:rPr>
        <w:t>tain financial instruments with characteristics of liabilities and equity. The amendments in this ASU reduce the number of accounting models for convertible instruments and expand the existing disclosure requirements over earnings per share as it relates t</w:t>
      </w:r>
      <w:r>
        <w:rPr>
          <w:rFonts w:eastAsia="Times New Roman"/>
          <w:color w:val="000000"/>
          <w:sz w:val="20"/>
          <w:szCs w:val="20"/>
        </w:rPr>
        <w:t xml:space="preserve">o convertible instruments. Convertible debt will be accounted for as a single liability measured at its amortized cost, as long as no other features require bifurcation and recognition as derivatives. The update also requires the if-converted method to be </w:t>
      </w:r>
      <w:r>
        <w:rPr>
          <w:rFonts w:eastAsia="Times New Roman"/>
          <w:color w:val="000000"/>
          <w:sz w:val="20"/>
          <w:szCs w:val="20"/>
        </w:rPr>
        <w:t>used for convertible instruments and the effect of potential share settlement be included in the diluted earnings per share calculation when an instrument may be settled in cash or shares. This ASU is effective for our fiscal year beginning January 1, 2022</w:t>
      </w:r>
      <w:r>
        <w:rPr>
          <w:rFonts w:eastAsia="Times New Roman"/>
          <w:color w:val="000000"/>
          <w:sz w:val="20"/>
          <w:szCs w:val="20"/>
        </w:rPr>
        <w:t xml:space="preserve"> and interim periods therein. Early adoption is permitted, but no earlier than fiscal years beginning after December 15, 2020. The amendments may be adopted through either a modified retrospective method, or a fully retrospective method.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Company ele</w:t>
      </w:r>
      <w:r>
        <w:rPr>
          <w:rFonts w:eastAsia="Times New Roman"/>
          <w:color w:val="000000"/>
          <w:sz w:val="20"/>
          <w:szCs w:val="20"/>
        </w:rPr>
        <w:t xml:space="preserve">cted to early adopt ASU 2020-06 as of January 1, 2021 using a modified retrospective method. The Company’s 4.50% exchangeable senior notes due 2023 (the “2023 Notes”) are a convertible instrument with a cash-conversion feature that is accounted for within </w:t>
      </w:r>
      <w:r>
        <w:rPr>
          <w:rFonts w:eastAsia="Times New Roman"/>
          <w:color w:val="000000"/>
          <w:sz w:val="20"/>
          <w:szCs w:val="20"/>
        </w:rPr>
        <w:t>the scope of Subtopic 470-20. The Company calculated the cumulative-effect adjustment as of January 1, 2021 by comparing (i) the historical amortization schedule for the 2023 Notes through December 31, 2020 and (ii) an updated amortization schedule wherein</w:t>
      </w:r>
      <w:r>
        <w:rPr>
          <w:rFonts w:eastAsia="Times New Roman"/>
          <w:color w:val="000000"/>
          <w:sz w:val="20"/>
          <w:szCs w:val="20"/>
        </w:rPr>
        <w:t xml:space="preserve"> the conversion feature within the 2023 Notes would not be separated as an equity component and subsequently recognized as non-cash interest expense under ASC 835-30. The adoption resulted in a $26,699 decrease in additional paid-in capital, a $12,939 incr</w:t>
      </w:r>
      <w:r>
        <w:rPr>
          <w:rFonts w:eastAsia="Times New Roman"/>
          <w:color w:val="000000"/>
          <w:sz w:val="20"/>
          <w:szCs w:val="20"/>
        </w:rPr>
        <w:t xml:space="preserve">ease in long-term debt, and a $13,760 increase to the opening balance of retained earnings. </w:t>
      </w:r>
    </w:p>
    <w:p w:rsidR="00000000" w:rsidRDefault="00E65947">
      <w:pPr>
        <w:divId w:val="2035106985"/>
        <w:rPr>
          <w:rFonts w:eastAsia="Times New Roman"/>
        </w:rPr>
      </w:pPr>
    </w:p>
    <w:p w:rsidR="00000000" w:rsidRDefault="00E65947">
      <w:pPr>
        <w:divId w:val="648287981"/>
        <w:rPr>
          <w:rFonts w:eastAsia="Times New Roman"/>
        </w:rPr>
      </w:pPr>
      <w:r>
        <w:rPr>
          <w:rFonts w:eastAsia="Times New Roman"/>
          <w:b/>
          <w:bCs/>
          <w:color w:val="000000"/>
          <w:sz w:val="20"/>
          <w:szCs w:val="20"/>
        </w:rPr>
        <w:t xml:space="preserve">NOTE 3: Disposition of the Hospital Products </w:t>
      </w:r>
    </w:p>
    <w:p w:rsidR="00000000" w:rsidRDefault="00E65947">
      <w:pPr>
        <w:divId w:val="302926604"/>
        <w:rPr>
          <w:rFonts w:eastAsia="Times New Roman"/>
        </w:rPr>
      </w:pPr>
    </w:p>
    <w:p w:rsidR="00000000" w:rsidRDefault="00E65947">
      <w:pPr>
        <w:jc w:val="both"/>
        <w:rPr>
          <w:rFonts w:eastAsia="Times New Roman"/>
        </w:rPr>
      </w:pPr>
      <w:r>
        <w:rPr>
          <w:rFonts w:eastAsia="Times New Roman"/>
          <w:color w:val="000000"/>
          <w:sz w:val="20"/>
          <w:szCs w:val="20"/>
        </w:rPr>
        <w:t>On the Closing Date, we announced the sale of our Hospital Products to the Exela Buyer pursuant to the Purchase A</w:t>
      </w:r>
      <w:r>
        <w:rPr>
          <w:rFonts w:eastAsia="Times New Roman"/>
          <w:color w:val="000000"/>
          <w:sz w:val="20"/>
          <w:szCs w:val="20"/>
        </w:rPr>
        <w:t>greement (the “Transaction”).</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Pursuant to the Purchase Agreement, the Exela Buyer agreed to pay a total aggregate consideration amount of $42,000, of which $14,500 was paid on the Closing Date and an additional $27,500 was paid in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equal monthly insta</w:t>
      </w:r>
      <w:r>
        <w:rPr>
          <w:rFonts w:eastAsia="Times New Roman"/>
          <w:color w:val="000000"/>
          <w:sz w:val="20"/>
          <w:szCs w:val="20"/>
        </w:rPr>
        <w:t>llments following the Closing Date. During the year ended December 31, 2020, we collected four installment payments, totaling $11,000 and during the six months ended June 30, 2021, we collected the remaining six installment payments, totaling $16,500. In c</w:t>
      </w:r>
      <w:r>
        <w:rPr>
          <w:rFonts w:eastAsia="Times New Roman"/>
          <w:color w:val="000000"/>
          <w:sz w:val="20"/>
          <w:szCs w:val="20"/>
        </w:rPr>
        <w:t>onnection with the sale of the Hospital Products, the parties also agreed to cause the dismissal of the pending civil litigation related to Nouress in the District Court for the District of Delaware.</w:t>
      </w:r>
    </w:p>
    <w:p w:rsidR="00000000" w:rsidRDefault="00E65947">
      <w:pPr>
        <w:divId w:val="392654593"/>
        <w:rPr>
          <w:rFonts w:eastAsia="Times New Roman"/>
        </w:rPr>
      </w:pP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We were party to a Membership Interest Purchase Agreem</w:t>
      </w:r>
      <w:r>
        <w:rPr>
          <w:rFonts w:eastAsia="Times New Roman"/>
          <w:color w:val="000000"/>
          <w:sz w:val="20"/>
          <w:szCs w:val="20"/>
        </w:rPr>
        <w:t>ent, dated March 13, 2012, by and among us, Avadel Legacy, Breaking Stick Holdings, LLC, Deerfield Private Design International II, L.P. (“Deerfield International”), Deerfield Private Design Fund II, L.P. (“Deerfield Fund”) and Horizon Santé FLML, Sarl (“H</w:t>
      </w:r>
      <w:r>
        <w:rPr>
          <w:rFonts w:eastAsia="Times New Roman"/>
          <w:color w:val="000000"/>
          <w:sz w:val="20"/>
          <w:szCs w:val="20"/>
        </w:rPr>
        <w:t>orizon”) (the “Deerfield MIPA”) and a Royalty Agreement, dated February 4, 2013, by and among us, Avadel Legacy, the Deerfield Fund and Horizon (the “Deerfield Royalty Agreement”). In connection with the closing of the sale of the Hospital Products, the De</w:t>
      </w:r>
      <w:r>
        <w:rPr>
          <w:rFonts w:eastAsia="Times New Roman"/>
          <w:color w:val="000000"/>
          <w:sz w:val="20"/>
          <w:szCs w:val="20"/>
        </w:rPr>
        <w:t xml:space="preserve">erfield MIPA (with respect to certain sections thereof) and the Royalty Agreement were assigned to the Exela Buyer. Pursuant to the Purchase Agreement, the Exela </w:t>
      </w:r>
    </w:p>
    <w:p w:rsidR="00000000" w:rsidRDefault="00E65947">
      <w:pPr>
        <w:jc w:val="center"/>
        <w:divId w:val="315379795"/>
        <w:rPr>
          <w:rFonts w:eastAsia="Times New Roman"/>
        </w:rPr>
      </w:pPr>
      <w:r>
        <w:rPr>
          <w:rFonts w:eastAsia="Times New Roman"/>
          <w:color w:val="000000"/>
          <w:sz w:val="20"/>
          <w:szCs w:val="20"/>
        </w:rPr>
        <w:t>- 12 -</w:t>
      </w:r>
    </w:p>
    <w:p w:rsidR="00000000" w:rsidRDefault="00E65947">
      <w:pPr>
        <w:rPr>
          <w:rFonts w:eastAsia="Times New Roman"/>
        </w:rPr>
      </w:pPr>
      <w:r>
        <w:rPr>
          <w:rFonts w:eastAsia="Times New Roman"/>
        </w:rPr>
        <w:pict>
          <v:rect id="_x0000_i1037" style="width:0;height:1.5pt" o:hralign="center" o:hrstd="t" o:hr="t" fillcolor="#a0a0a0" stroked="f"/>
        </w:pict>
      </w:r>
    </w:p>
    <w:p w:rsidR="00000000" w:rsidRDefault="00E65947">
      <w:pPr>
        <w:divId w:val="1099106526"/>
        <w:rPr>
          <w:rFonts w:eastAsia="Times New Roman"/>
        </w:rPr>
      </w:pPr>
    </w:p>
    <w:p w:rsidR="00000000" w:rsidRDefault="00E65947">
      <w:pPr>
        <w:jc w:val="both"/>
        <w:rPr>
          <w:rFonts w:eastAsia="Times New Roman"/>
        </w:rPr>
      </w:pPr>
      <w:r>
        <w:rPr>
          <w:rFonts w:eastAsia="Times New Roman"/>
          <w:color w:val="000000"/>
          <w:sz w:val="20"/>
          <w:szCs w:val="20"/>
        </w:rPr>
        <w:t>Buyer assumed and will pay, perform, satisfy and</w:t>
      </w:r>
      <w:r>
        <w:rPr>
          <w:rFonts w:eastAsia="Times New Roman"/>
          <w:color w:val="000000"/>
          <w:sz w:val="20"/>
          <w:szCs w:val="20"/>
        </w:rPr>
        <w:t xml:space="preserve"> discharge the liabilities and obligations of Avadel Legacy under the Deerfield Royalty Agreement for obligations that arise after the Closing Date.</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We were also party to a Royalty Agreement, dated December 3, 2013, by and between us, Avadel Legacy and Broadfin Healthcare Master Fund, Ltd. (the “Broadfin Royalty Agreement”). In connection with the closing of the sale of the Hospital Products, the Broad</w:t>
      </w:r>
      <w:r>
        <w:rPr>
          <w:rFonts w:eastAsia="Times New Roman"/>
          <w:color w:val="000000"/>
          <w:sz w:val="20"/>
          <w:szCs w:val="20"/>
        </w:rPr>
        <w:t>fin Royalty Agreement was assigned to the Exela Buyer and the Exela Buyer assumed and shall pay, perform, satisfy and discharge the liabilities and obligations of Avadel Legacy under the Broadfin Royalty Agreement for obligations that arise after the Closi</w:t>
      </w:r>
      <w:r>
        <w:rPr>
          <w:rFonts w:eastAsia="Times New Roman"/>
          <w:color w:val="000000"/>
          <w:sz w:val="20"/>
          <w:szCs w:val="20"/>
        </w:rPr>
        <w:t>ng Date.</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following table represents the major classes of assets and liabilities either transferred to the Exela Buyer or eliminated by us due to the sale of the Hospital Products in exchange for aggregate consideration of $42,000, less transaction fe</w:t>
      </w:r>
      <w:r>
        <w:rPr>
          <w:rFonts w:eastAsia="Times New Roman"/>
          <w:color w:val="000000"/>
          <w:sz w:val="20"/>
          <w:szCs w:val="20"/>
        </w:rPr>
        <w:t xml:space="preserve">es of $2,928. </w:t>
      </w:r>
    </w:p>
    <w:p w:rsidR="00000000" w:rsidRDefault="00E65947">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6448"/>
        <w:gridCol w:w="38"/>
        <w:gridCol w:w="36"/>
        <w:gridCol w:w="36"/>
        <w:gridCol w:w="36"/>
        <w:gridCol w:w="110"/>
        <w:gridCol w:w="1447"/>
        <w:gridCol w:w="36"/>
        <w:gridCol w:w="36"/>
        <w:gridCol w:w="36"/>
      </w:tblGrid>
      <w:tr w:rsidR="00000000">
        <w:trPr>
          <w:jc w:val="center"/>
        </w:trPr>
        <w:tc>
          <w:tcPr>
            <w:tcW w:w="50" w:type="pct"/>
            <w:vAlign w:val="center"/>
            <w:hideMark/>
          </w:tcPr>
          <w:p w:rsidR="00000000" w:rsidRDefault="00E65947">
            <w:pPr>
              <w:jc w:val="both"/>
              <w:rPr>
                <w:rFonts w:eastAsia="Times New Roman"/>
              </w:rPr>
            </w:pPr>
          </w:p>
        </w:tc>
        <w:tc>
          <w:tcPr>
            <w:tcW w:w="393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9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2020</w:t>
            </w:r>
          </w:p>
        </w:tc>
        <w:tc>
          <w:tcPr>
            <w:tcW w:w="0" w:type="auto"/>
            <w:vAlign w:val="center"/>
            <w:hideMark/>
          </w:tcPr>
          <w:p w:rsidR="00000000" w:rsidRDefault="00E65947">
            <w:pPr>
              <w:spacing w:after="100"/>
              <w:jc w:val="center"/>
              <w:rPr>
                <w:rFonts w:eastAsia="Times New Roman"/>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(4,922)</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(407)</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(1,095)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14,900 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Net liabilities disposed of</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Aggregate consideration</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42,000 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Less transaction fees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(2,928)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Net gain on the sale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45,760 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bl>
    <w:p w:rsidR="00000000" w:rsidRDefault="00E65947">
      <w:pPr>
        <w:jc w:val="center"/>
        <w:rPr>
          <w:rFonts w:eastAsia="Times New Roman"/>
        </w:rPr>
      </w:pPr>
    </w:p>
    <w:p w:rsidR="00000000" w:rsidRDefault="00E65947">
      <w:pPr>
        <w:jc w:val="both"/>
        <w:rPr>
          <w:rFonts w:eastAsia="Times New Roman"/>
        </w:rPr>
      </w:pPr>
      <w:r>
        <w:rPr>
          <w:rFonts w:eastAsia="Times New Roman"/>
          <w:color w:val="000000"/>
          <w:sz w:val="20"/>
          <w:szCs w:val="20"/>
        </w:rPr>
        <w:t>We evaluated various qualitative and quantitative factors related to the disposition of the Hospital Products and determined that it did not meet the criteria for presentation as a discontinued operation.</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unaudited pro forma condensed combined statem</w:t>
      </w:r>
      <w:r>
        <w:rPr>
          <w:rFonts w:eastAsia="Times New Roman"/>
          <w:color w:val="000000"/>
          <w:sz w:val="20"/>
          <w:szCs w:val="20"/>
        </w:rPr>
        <w:t xml:space="preserve">ent of loss for the six months ended June 30, 2020 included below is being provided for information purposes only and are not necessarily indicative of the results of operations that would have resulted if the Transaction had actually occurred on the date </w:t>
      </w:r>
      <w:r>
        <w:rPr>
          <w:rFonts w:eastAsia="Times New Roman"/>
          <w:color w:val="000000"/>
          <w:sz w:val="20"/>
          <w:szCs w:val="20"/>
        </w:rPr>
        <w:t>indicated. The pro forma adjustments are based on available information and assumptions that the Company believes are attributable to the sale.</w:t>
      </w:r>
    </w:p>
    <w:p w:rsidR="00000000" w:rsidRDefault="00E65947">
      <w:pPr>
        <w:jc w:val="both"/>
        <w:rPr>
          <w:rFonts w:eastAsia="Times New Roman"/>
        </w:rPr>
      </w:pPr>
    </w:p>
    <w:p w:rsidR="00000000" w:rsidRDefault="00E65947">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1"/>
        <w:gridCol w:w="1000"/>
        <w:gridCol w:w="37"/>
        <w:gridCol w:w="36"/>
        <w:gridCol w:w="36"/>
        <w:gridCol w:w="36"/>
        <w:gridCol w:w="111"/>
        <w:gridCol w:w="1000"/>
        <w:gridCol w:w="37"/>
        <w:gridCol w:w="36"/>
        <w:gridCol w:w="36"/>
        <w:gridCol w:w="36"/>
        <w:gridCol w:w="37"/>
        <w:gridCol w:w="1005"/>
        <w:gridCol w:w="36"/>
        <w:gridCol w:w="36"/>
        <w:gridCol w:w="36"/>
        <w:gridCol w:w="36"/>
        <w:gridCol w:w="110"/>
        <w:gridCol w:w="1004"/>
        <w:gridCol w:w="36"/>
      </w:tblGrid>
      <w:tr w:rsidR="00000000">
        <w:tc>
          <w:tcPr>
            <w:tcW w:w="50" w:type="pct"/>
            <w:vAlign w:val="center"/>
            <w:hideMark/>
          </w:tcPr>
          <w:p w:rsidR="00000000" w:rsidRDefault="00E65947">
            <w:pPr>
              <w:jc w:val="both"/>
              <w:rPr>
                <w:rFonts w:eastAsia="Times New Roman"/>
              </w:rPr>
            </w:pPr>
          </w:p>
        </w:tc>
        <w:tc>
          <w:tcPr>
            <w:tcW w:w="197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4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4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4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5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Unaudited Pro Forma Condensed Combined Statement of Loss</w:t>
            </w:r>
          </w:p>
        </w:tc>
      </w:tr>
      <w:tr w:rsidR="00000000">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 2020</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Pro Forma</w:t>
            </w:r>
          </w:p>
        </w:tc>
      </w:tr>
      <w:tr w:rsidR="00000000">
        <w:trPr>
          <w:trHeight w:val="60"/>
        </w:trPr>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(22,175)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(11,438)</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(8,525)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color w:val="000000"/>
                <w:sz w:val="18"/>
                <w:szCs w:val="18"/>
              </w:rPr>
              <w:t>(b)</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(19,963)</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33,772 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(13,650)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20,122 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25,791 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(13,215)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color w:val="000000"/>
                <w:sz w:val="18"/>
                <w:szCs w:val="18"/>
              </w:rPr>
              <w:t>(c)</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12,576 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Adjustments to the pro forma unaudited condensed combined statements of loss</w:t>
      </w:r>
    </w:p>
    <w:p w:rsidR="00000000" w:rsidRDefault="00E65947">
      <w:pPr>
        <w:divId w:val="477115092"/>
        <w:rPr>
          <w:rFonts w:eastAsia="Times New Roman"/>
        </w:rPr>
      </w:pPr>
    </w:p>
    <w:p w:rsidR="00000000" w:rsidRDefault="00E65947">
      <w:pPr>
        <w:jc w:val="both"/>
        <w:rPr>
          <w:rFonts w:eastAsia="Times New Roman"/>
        </w:rPr>
      </w:pPr>
      <w:r>
        <w:rPr>
          <w:rFonts w:eastAsia="Times New Roman"/>
          <w:color w:val="000000"/>
          <w:sz w:val="20"/>
          <w:szCs w:val="20"/>
        </w:rPr>
        <w:t>(a)</w:t>
      </w:r>
      <w:r>
        <w:rPr>
          <w:rFonts w:eastAsia="Times New Roman"/>
          <w:color w:val="000000"/>
        </w:rPr>
        <w:t xml:space="preserve"> </w:t>
      </w:r>
      <w:r>
        <w:rPr>
          <w:rFonts w:eastAsia="Times New Roman"/>
          <w:color w:val="000000"/>
          <w:sz w:val="20"/>
          <w:szCs w:val="20"/>
        </w:rPr>
        <w:t>This adjustment reflects Product sales attributable to the Hospital Products.</w:t>
      </w:r>
    </w:p>
    <w:p w:rsidR="00000000" w:rsidRDefault="00E65947">
      <w:pPr>
        <w:divId w:val="194780749"/>
        <w:rPr>
          <w:rFonts w:eastAsia="Times New Roman"/>
        </w:rPr>
      </w:pPr>
    </w:p>
    <w:p w:rsidR="00000000" w:rsidRDefault="00E65947">
      <w:pPr>
        <w:jc w:val="both"/>
        <w:rPr>
          <w:rFonts w:eastAsia="Times New Roman"/>
        </w:rPr>
      </w:pPr>
      <w:r>
        <w:rPr>
          <w:rFonts w:eastAsia="Times New Roman"/>
          <w:color w:val="000000"/>
          <w:sz w:val="20"/>
          <w:szCs w:val="20"/>
        </w:rPr>
        <w:t>(b)</w:t>
      </w:r>
      <w:r>
        <w:rPr>
          <w:rFonts w:eastAsia="Times New Roman"/>
          <w:color w:val="000000"/>
        </w:rPr>
        <w:t xml:space="preserve"> </w:t>
      </w:r>
      <w:r>
        <w:rPr>
          <w:rFonts w:eastAsia="Times New Roman"/>
          <w:color w:val="000000"/>
          <w:sz w:val="20"/>
          <w:szCs w:val="20"/>
        </w:rPr>
        <w:t>This adjustment reflects the following estimated expenses attributable to the Hospital Products:</w:t>
      </w:r>
    </w:p>
    <w:p w:rsidR="00000000" w:rsidRDefault="00E65947">
      <w:pPr>
        <w:jc w:val="both"/>
        <w:rPr>
          <w:rFonts w:eastAsia="Times New Roman"/>
        </w:rPr>
      </w:pPr>
    </w:p>
    <w:p w:rsidR="00000000" w:rsidRDefault="00E659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Cost of products of $3,540.</w:t>
      </w:r>
    </w:p>
    <w:p w:rsidR="00000000" w:rsidRDefault="00E659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Research and development expenses of $407.</w:t>
      </w:r>
    </w:p>
    <w:p w:rsidR="00000000" w:rsidRDefault="00E659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Selling, general and administrative expenses of $776.</w:t>
      </w:r>
    </w:p>
    <w:p w:rsidR="00000000" w:rsidRDefault="00E659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Intangible asset amortization on acquired development technology for Vazculep of $406. </w:t>
      </w:r>
    </w:p>
    <w:p w:rsidR="00000000" w:rsidRDefault="00E65947">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Changes in fair value of related party contingent consideration of $</w:t>
      </w:r>
      <w:r>
        <w:rPr>
          <w:rFonts w:eastAsia="Times New Roman"/>
          <w:color w:val="000000"/>
          <w:sz w:val="20"/>
          <w:szCs w:val="20"/>
        </w:rPr>
        <w:t>3,396.</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E65947">
      <w:pPr>
        <w:jc w:val="center"/>
        <w:divId w:val="100684192"/>
        <w:rPr>
          <w:rFonts w:eastAsia="Times New Roman"/>
        </w:rPr>
      </w:pPr>
      <w:r>
        <w:rPr>
          <w:rFonts w:eastAsia="Times New Roman"/>
          <w:color w:val="000000"/>
          <w:sz w:val="20"/>
          <w:szCs w:val="20"/>
        </w:rPr>
        <w:t>- 13 -</w:t>
      </w:r>
    </w:p>
    <w:p w:rsidR="00000000" w:rsidRDefault="00E65947">
      <w:pPr>
        <w:rPr>
          <w:rFonts w:eastAsia="Times New Roman"/>
        </w:rPr>
      </w:pPr>
      <w:r>
        <w:rPr>
          <w:rFonts w:eastAsia="Times New Roman"/>
        </w:rPr>
        <w:pict>
          <v:rect id="_x0000_i1038" style="width:0;height:1.5pt" o:hralign="center" o:hrstd="t" o:hr="t" fillcolor="#a0a0a0" stroked="f"/>
        </w:pict>
      </w:r>
    </w:p>
    <w:p w:rsidR="00000000" w:rsidRDefault="00E65947">
      <w:pPr>
        <w:divId w:val="1935899084"/>
        <w:rPr>
          <w:rFonts w:eastAsia="Times New Roman"/>
        </w:rPr>
      </w:pPr>
    </w:p>
    <w:p w:rsidR="00000000" w:rsidRDefault="00E65947">
      <w:pPr>
        <w:divId w:val="468329614"/>
        <w:rPr>
          <w:rFonts w:eastAsia="Times New Roman"/>
        </w:rPr>
      </w:pPr>
    </w:p>
    <w:p w:rsidR="00000000" w:rsidRDefault="00E65947">
      <w:pPr>
        <w:jc w:val="both"/>
        <w:rPr>
          <w:rFonts w:eastAsia="Times New Roman"/>
        </w:rPr>
      </w:pPr>
      <w:r>
        <w:rPr>
          <w:rFonts w:eastAsia="Times New Roman"/>
          <w:color w:val="000000"/>
          <w:sz w:val="20"/>
          <w:szCs w:val="20"/>
        </w:rPr>
        <w:t>(c)</w:t>
      </w:r>
      <w:r>
        <w:rPr>
          <w:rFonts w:eastAsia="Times New Roman"/>
          <w:color w:val="000000"/>
        </w:rPr>
        <w:t xml:space="preserve"> </w:t>
      </w:r>
      <w:r>
        <w:rPr>
          <w:rFonts w:eastAsia="Times New Roman"/>
          <w:color w:val="000000"/>
          <w:sz w:val="20"/>
          <w:szCs w:val="20"/>
        </w:rPr>
        <w:t>This amount reflects the adjustments noted in (a) and (b) above, as well as estimated Changes in fair value of related party payable</w:t>
      </w:r>
      <w:r>
        <w:rPr>
          <w:rFonts w:eastAsia="Times New Roman"/>
          <w:color w:val="000000"/>
        </w:rPr>
        <w:t xml:space="preserve"> </w:t>
      </w:r>
      <w:r>
        <w:rPr>
          <w:rFonts w:eastAsia="Times New Roman"/>
          <w:color w:val="000000"/>
          <w:sz w:val="20"/>
          <w:szCs w:val="20"/>
        </w:rPr>
        <w:t xml:space="preserve">of </w:t>
      </w:r>
      <w:r>
        <w:rPr>
          <w:rFonts w:eastAsia="Times New Roman"/>
          <w:color w:val="000000"/>
          <w:sz w:val="20"/>
          <w:szCs w:val="20"/>
        </w:rPr>
        <w:t>$435 attributable to the Hospital Products.</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E65947">
      <w:pPr>
        <w:divId w:val="1618678878"/>
        <w:rPr>
          <w:rFonts w:eastAsia="Times New Roman"/>
        </w:rPr>
      </w:pPr>
    </w:p>
    <w:p w:rsidR="00000000" w:rsidRDefault="00E65947">
      <w:pPr>
        <w:divId w:val="1911621785"/>
        <w:rPr>
          <w:rFonts w:eastAsia="Times New Roman"/>
        </w:rPr>
      </w:pPr>
    </w:p>
    <w:p w:rsidR="00000000" w:rsidRDefault="00E65947">
      <w:pPr>
        <w:divId w:val="1377268207"/>
        <w:rPr>
          <w:rFonts w:eastAsia="Times New Roman"/>
        </w:rPr>
      </w:pPr>
      <w:r>
        <w:rPr>
          <w:rFonts w:eastAsia="Times New Roman"/>
          <w:b/>
          <w:bCs/>
          <w:color w:val="000000"/>
          <w:sz w:val="20"/>
          <w:szCs w:val="20"/>
        </w:rPr>
        <w:t>NOTE 4: Revenue Recognition</w:t>
      </w:r>
    </w:p>
    <w:p w:rsidR="00000000" w:rsidRDefault="00E65947">
      <w:pPr>
        <w:divId w:val="348141559"/>
        <w:rPr>
          <w:rFonts w:eastAsia="Times New Roman"/>
        </w:rPr>
      </w:pPr>
    </w:p>
    <w:p w:rsidR="00000000" w:rsidRDefault="00E65947">
      <w:pPr>
        <w:jc w:val="both"/>
        <w:rPr>
          <w:rFonts w:eastAsia="Times New Roman"/>
        </w:rPr>
      </w:pPr>
      <w:r>
        <w:rPr>
          <w:rFonts w:eastAsia="Times New Roman"/>
          <w:color w:val="000000"/>
          <w:sz w:val="20"/>
          <w:szCs w:val="20"/>
        </w:rPr>
        <w:t>Prior to June 30, 2020, we generated revenue primarily from the sale of pharmaceutical products to customers. On Jun</w:t>
      </w:r>
      <w:r>
        <w:rPr>
          <w:rFonts w:eastAsia="Times New Roman"/>
          <w:color w:val="000000"/>
          <w:sz w:val="20"/>
          <w:szCs w:val="20"/>
        </w:rPr>
        <w:t xml:space="preserve">e 30, 2020, we sold the Hospital Products. See </w:t>
      </w:r>
      <w:r>
        <w:rPr>
          <w:rFonts w:eastAsia="Times New Roman"/>
          <w:i/>
          <w:iCs/>
          <w:color w:val="000000"/>
          <w:sz w:val="20"/>
          <w:szCs w:val="20"/>
        </w:rPr>
        <w:t>Note 3: Disposition of the Hospital Products.</w:t>
      </w:r>
    </w:p>
    <w:p w:rsidR="00000000" w:rsidRDefault="00E65947">
      <w:pPr>
        <w:jc w:val="both"/>
        <w:rPr>
          <w:rFonts w:eastAsia="Times New Roman"/>
        </w:rPr>
      </w:pPr>
    </w:p>
    <w:p w:rsidR="00000000" w:rsidRDefault="00E65947">
      <w:pPr>
        <w:jc w:val="both"/>
        <w:rPr>
          <w:rFonts w:eastAsia="Times New Roman"/>
        </w:rPr>
      </w:pPr>
      <w:r>
        <w:rPr>
          <w:rFonts w:eastAsia="Times New Roman"/>
          <w:i/>
          <w:iCs/>
          <w:color w:val="0D0D0D"/>
          <w:sz w:val="20"/>
          <w:szCs w:val="20"/>
        </w:rPr>
        <w:t xml:space="preserve">Product Sales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Prior to June 30, 2020, we sold products primarily through wholesalers and considered these wholesalers to be our customers. Revenue from produc</w:t>
      </w:r>
      <w:r>
        <w:rPr>
          <w:rFonts w:eastAsia="Times New Roman"/>
          <w:color w:val="000000"/>
          <w:sz w:val="20"/>
          <w:szCs w:val="20"/>
        </w:rPr>
        <w:t>t sales was recognized when the customer obtained control of our product and our performance obligations were met, which occurred typically upon receipt of delivery to the customer. As is customary in the pharmaceutical industry, our gross product sales we</w:t>
      </w:r>
      <w:r>
        <w:rPr>
          <w:rFonts w:eastAsia="Times New Roman"/>
          <w:color w:val="000000"/>
          <w:sz w:val="20"/>
          <w:szCs w:val="20"/>
        </w:rPr>
        <w:t>re subject to a variety of price adjustments in arriving at reported net product sales. These adjustments included estimates for product returns, chargebacks, payment discounts, rebates, and other sales allowances and are estimated when the product is deli</w:t>
      </w:r>
      <w:r>
        <w:rPr>
          <w:rFonts w:eastAsia="Times New Roman"/>
          <w:color w:val="000000"/>
          <w:sz w:val="20"/>
          <w:szCs w:val="20"/>
        </w:rPr>
        <w:t xml:space="preserve">vered based on analysis of historical data for the product or comparable products, as well as future expectations for such products. </w:t>
      </w:r>
    </w:p>
    <w:p w:rsidR="00000000" w:rsidRDefault="00E65947">
      <w:pPr>
        <w:jc w:val="both"/>
        <w:rPr>
          <w:rFonts w:eastAsia="Times New Roman"/>
        </w:rPr>
      </w:pPr>
    </w:p>
    <w:p w:rsidR="00000000" w:rsidRDefault="00E65947">
      <w:pPr>
        <w:jc w:val="both"/>
        <w:rPr>
          <w:rFonts w:eastAsia="Times New Roman"/>
        </w:rPr>
      </w:pPr>
      <w:r>
        <w:rPr>
          <w:rFonts w:eastAsia="Times New Roman"/>
          <w:i/>
          <w:iCs/>
          <w:color w:val="0D0D0D"/>
          <w:sz w:val="20"/>
          <w:szCs w:val="20"/>
        </w:rPr>
        <w:t>Reserves to Reduce Gross Revenues to Net Revenues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Revenues from product sales were recorded at the net selling price, </w:t>
      </w:r>
      <w:r>
        <w:rPr>
          <w:rFonts w:eastAsia="Times New Roman"/>
          <w:color w:val="000000"/>
          <w:sz w:val="20"/>
          <w:szCs w:val="20"/>
        </w:rPr>
        <w:t>which included estimated reserves to reduce gross product sales to net product sales resulting from product returns, chargebacks, payment discounts, rebates, and other sales allowances that are offered within contracts between the Company and its customers</w:t>
      </w:r>
      <w:r>
        <w:rPr>
          <w:rFonts w:eastAsia="Times New Roman"/>
          <w:color w:val="000000"/>
          <w:sz w:val="20"/>
          <w:szCs w:val="20"/>
        </w:rPr>
        <w:t xml:space="preserve"> and end users. These reserves were based on the amounts earned or to be claimed on the related sales and were classified as reductions of accounts receivable if the amount is payable to the customer, except in the case of the estimated reserve for future </w:t>
      </w:r>
      <w:r>
        <w:rPr>
          <w:rFonts w:eastAsia="Times New Roman"/>
          <w:color w:val="000000"/>
          <w:sz w:val="20"/>
          <w:szCs w:val="20"/>
        </w:rPr>
        <w:t>expired product returns, which are classified as a liability. The reserves are classified as a liability if the amount is payable to a party other than a customer. Where appropriate, these estimated reserves take into consideration relevant factors such as</w:t>
      </w:r>
      <w:r>
        <w:rPr>
          <w:rFonts w:eastAsia="Times New Roman"/>
          <w:color w:val="000000"/>
          <w:sz w:val="20"/>
          <w:szCs w:val="20"/>
        </w:rPr>
        <w:t xml:space="preserve"> the Company’s historical experience, current contractual and statutory requirements, specific known market events and trends, industry data and forecasted customer buying and payment patterns. Overall, these reserves reflect the Company’s best estimates t</w:t>
      </w:r>
      <w:r>
        <w:rPr>
          <w:rFonts w:eastAsia="Times New Roman"/>
          <w:color w:val="000000"/>
          <w:sz w:val="20"/>
          <w:szCs w:val="20"/>
        </w:rPr>
        <w:t>o reduce gross selling price to net selling price to which it expects to be entitled based on the terms of its contracts. The actual selling price ultimately received may differ from the Company’s estimates. If actual results in the future vary from the Co</w:t>
      </w:r>
      <w:r>
        <w:rPr>
          <w:rFonts w:eastAsia="Times New Roman"/>
          <w:color w:val="000000"/>
          <w:sz w:val="20"/>
          <w:szCs w:val="20"/>
        </w:rPr>
        <w:t>mpany’s estimates, the Company adjusts these estimates, which would affect net product revenue and earnings in the period such variances become known.</w:t>
      </w:r>
    </w:p>
    <w:p w:rsidR="00000000" w:rsidRDefault="00E65947">
      <w:pPr>
        <w:jc w:val="both"/>
        <w:rPr>
          <w:rFonts w:eastAsia="Times New Roman"/>
        </w:rPr>
      </w:pPr>
    </w:p>
    <w:p w:rsidR="00000000" w:rsidRDefault="00E65947">
      <w:pPr>
        <w:jc w:val="both"/>
        <w:rPr>
          <w:rFonts w:eastAsia="Times New Roman"/>
        </w:rPr>
      </w:pPr>
      <w:r>
        <w:rPr>
          <w:rFonts w:eastAsia="Times New Roman"/>
          <w:i/>
          <w:iCs/>
          <w:color w:val="0D0D0D"/>
          <w:sz w:val="20"/>
          <w:szCs w:val="20"/>
        </w:rPr>
        <w:t>Product Returns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Consistent with industry practice, the Company maintained a returns policy that gener</w:t>
      </w:r>
      <w:r>
        <w:rPr>
          <w:rFonts w:eastAsia="Times New Roman"/>
          <w:color w:val="000000"/>
          <w:sz w:val="20"/>
          <w:szCs w:val="20"/>
        </w:rPr>
        <w:t>ally offered customers a right of return for product that has been purchased from the Company. The Company estimated the amount of product returns and records this estimate as a reduction of revenue in the period the related product revenue was recognized.</w:t>
      </w:r>
      <w:r>
        <w:rPr>
          <w:rFonts w:eastAsia="Times New Roman"/>
          <w:color w:val="000000"/>
          <w:sz w:val="20"/>
          <w:szCs w:val="20"/>
        </w:rPr>
        <w:t xml:space="preserve"> The Company estimated product return liabilities based on analysis of historical data for the product or comparable products, as well as future expectations for such products </w:t>
      </w:r>
      <w:r>
        <w:rPr>
          <w:rFonts w:eastAsia="Times New Roman"/>
          <w:color w:val="0D0D0D"/>
          <w:sz w:val="20"/>
          <w:szCs w:val="20"/>
        </w:rPr>
        <w:t xml:space="preserve">and other judgments and analysis. </w:t>
      </w:r>
    </w:p>
    <w:p w:rsidR="00000000" w:rsidRDefault="00E65947">
      <w:pPr>
        <w:jc w:val="both"/>
        <w:rPr>
          <w:rFonts w:eastAsia="Times New Roman"/>
        </w:rPr>
      </w:pPr>
    </w:p>
    <w:p w:rsidR="00000000" w:rsidRDefault="00E65947">
      <w:pPr>
        <w:jc w:val="both"/>
        <w:rPr>
          <w:rFonts w:eastAsia="Times New Roman"/>
        </w:rPr>
      </w:pPr>
      <w:r>
        <w:rPr>
          <w:rFonts w:eastAsia="Times New Roman"/>
          <w:i/>
          <w:iCs/>
          <w:color w:val="0D0D0D"/>
          <w:sz w:val="20"/>
          <w:szCs w:val="20"/>
        </w:rPr>
        <w:t xml:space="preserve">Chargebacks, Discounts and Rebates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Chargebacks, discounts and rebates represent the estimated obligations resulting from contractual commitments to sell products to its customers or end users at prices lower than the list prices charged to our wholesale</w:t>
      </w:r>
      <w:r>
        <w:rPr>
          <w:rFonts w:eastAsia="Times New Roman"/>
          <w:color w:val="000000"/>
          <w:sz w:val="20"/>
          <w:szCs w:val="20"/>
        </w:rPr>
        <w:t xml:space="preserve"> customers. Customers charge the Company for the difference between the gross selling price they pay for the product and the ultimate contractual price agreed to between the Company and these end users. These reserves are established in the same period tha</w:t>
      </w:r>
      <w:r>
        <w:rPr>
          <w:rFonts w:eastAsia="Times New Roman"/>
          <w:color w:val="000000"/>
          <w:sz w:val="20"/>
          <w:szCs w:val="20"/>
        </w:rPr>
        <w:t>t the related revenue is recognized, resulting in a reduction of product revenue and accounts receivable. Chargebacks, discounts and rebates are estimated at the time of sale to the customer.</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D0D0D"/>
          <w:sz w:val="20"/>
          <w:szCs w:val="20"/>
        </w:rPr>
        <w:t>Disaggregation of revenue</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Company’s source of revenue wa</w:t>
      </w:r>
      <w:r>
        <w:rPr>
          <w:rFonts w:eastAsia="Times New Roman"/>
          <w:color w:val="000000"/>
          <w:sz w:val="20"/>
          <w:szCs w:val="20"/>
        </w:rPr>
        <w:t xml:space="preserve">s from the sale of pharmaceutical products, which are equally affected by the same economic factors as it relates to the nature, amount, timing, and uncertainty of revenue and cash flows. For further detail about the Company’s revenues by product, see </w:t>
      </w:r>
      <w:r>
        <w:rPr>
          <w:rFonts w:eastAsia="Times New Roman"/>
          <w:i/>
          <w:iCs/>
          <w:color w:val="000000"/>
          <w:sz w:val="20"/>
          <w:szCs w:val="20"/>
        </w:rPr>
        <w:t>Note</w:t>
      </w:r>
      <w:r>
        <w:rPr>
          <w:rFonts w:eastAsia="Times New Roman"/>
          <w:i/>
          <w:iCs/>
          <w:color w:val="000000"/>
          <w:sz w:val="20"/>
          <w:szCs w:val="20"/>
        </w:rPr>
        <w:t xml:space="preserve"> 15: Revenue by Product</w:t>
      </w:r>
      <w:r>
        <w:rPr>
          <w:rFonts w:eastAsia="Times New Roman"/>
          <w:color w:val="000000"/>
          <w:sz w:val="20"/>
          <w:szCs w:val="20"/>
        </w:rPr>
        <w:t>.</w:t>
      </w:r>
    </w:p>
    <w:p w:rsidR="00000000" w:rsidRDefault="00E65947">
      <w:pPr>
        <w:divId w:val="141894872"/>
        <w:rPr>
          <w:rFonts w:eastAsia="Times New Roman"/>
        </w:rPr>
      </w:pPr>
    </w:p>
    <w:p w:rsidR="00000000" w:rsidRDefault="00E65947">
      <w:pPr>
        <w:jc w:val="center"/>
        <w:divId w:val="155610914"/>
        <w:rPr>
          <w:rFonts w:eastAsia="Times New Roman"/>
        </w:rPr>
      </w:pPr>
      <w:r>
        <w:rPr>
          <w:rFonts w:eastAsia="Times New Roman"/>
          <w:color w:val="000000"/>
          <w:sz w:val="20"/>
          <w:szCs w:val="20"/>
        </w:rPr>
        <w:t>- 14 -</w:t>
      </w:r>
    </w:p>
    <w:p w:rsidR="00000000" w:rsidRDefault="00E65947">
      <w:pPr>
        <w:rPr>
          <w:rFonts w:eastAsia="Times New Roman"/>
        </w:rPr>
      </w:pPr>
      <w:r>
        <w:rPr>
          <w:rFonts w:eastAsia="Times New Roman"/>
        </w:rPr>
        <w:pict>
          <v:rect id="_x0000_i1039" style="width:0;height:1.5pt" o:hralign="center" o:hrstd="t" o:hr="t" fillcolor="#a0a0a0" stroked="f"/>
        </w:pict>
      </w:r>
    </w:p>
    <w:p w:rsidR="00000000" w:rsidRDefault="00E65947">
      <w:pPr>
        <w:divId w:val="1746490895"/>
        <w:rPr>
          <w:rFonts w:eastAsia="Times New Roman"/>
        </w:rPr>
      </w:pPr>
    </w:p>
    <w:p w:rsidR="00000000" w:rsidRDefault="00E65947">
      <w:pPr>
        <w:jc w:val="both"/>
        <w:rPr>
          <w:rFonts w:eastAsia="Times New Roman"/>
        </w:rPr>
      </w:pPr>
      <w:r>
        <w:rPr>
          <w:rFonts w:eastAsia="Times New Roman"/>
          <w:b/>
          <w:bCs/>
          <w:i/>
          <w:iCs/>
          <w:color w:val="0D0D0D"/>
          <w:sz w:val="20"/>
          <w:szCs w:val="20"/>
        </w:rPr>
        <w:t>Contract Balances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Company does not recognize revenue in advance of invoicing its customers and therefore has no related contract assets.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A receivable is recognized in the perio</w:t>
      </w:r>
      <w:r>
        <w:rPr>
          <w:rFonts w:eastAsia="Times New Roman"/>
          <w:color w:val="000000"/>
          <w:sz w:val="20"/>
          <w:szCs w:val="20"/>
        </w:rPr>
        <w:t xml:space="preserve">d the Company sells its products and when the Company’s right to consideration is unconditional. </w:t>
      </w:r>
    </w:p>
    <w:p w:rsidR="00000000" w:rsidRDefault="00E65947">
      <w:pPr>
        <w:jc w:val="both"/>
        <w:rPr>
          <w:rFonts w:eastAsia="Times New Roman"/>
        </w:rPr>
      </w:pPr>
    </w:p>
    <w:p w:rsidR="00000000" w:rsidRDefault="00E65947">
      <w:pPr>
        <w:jc w:val="both"/>
        <w:rPr>
          <w:rFonts w:eastAsia="Times New Roman"/>
        </w:rPr>
      </w:pPr>
      <w:r>
        <w:rPr>
          <w:rFonts w:eastAsia="Times New Roman"/>
          <w:color w:val="0D0D0D"/>
          <w:sz w:val="20"/>
          <w:szCs w:val="20"/>
        </w:rPr>
        <w:t>There were no material deferred contract costs at June 30, 2021 or December 31, 2020.</w:t>
      </w:r>
    </w:p>
    <w:p w:rsidR="00000000" w:rsidRDefault="00E65947">
      <w:pPr>
        <w:divId w:val="571237593"/>
        <w:rPr>
          <w:rFonts w:eastAsia="Times New Roman"/>
        </w:rPr>
      </w:pPr>
    </w:p>
    <w:p w:rsidR="00000000" w:rsidRDefault="00E65947">
      <w:pPr>
        <w:jc w:val="both"/>
        <w:rPr>
          <w:rFonts w:eastAsia="Times New Roman"/>
        </w:rPr>
      </w:pPr>
      <w:r>
        <w:rPr>
          <w:rFonts w:eastAsia="Times New Roman"/>
          <w:b/>
          <w:bCs/>
          <w:i/>
          <w:iCs/>
          <w:color w:val="0D0D0D"/>
          <w:sz w:val="20"/>
          <w:szCs w:val="20"/>
        </w:rPr>
        <w:t>Transaction Price Allocated to the Remaining Performance Obligation</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For product sales, the Company generally satisfied its performance obligations within the same period the product was delivered. Product sales recognized in the second quarter of 2020 from performance obligations satisfied (or partially satisfied) in pre</w:t>
      </w:r>
      <w:r>
        <w:rPr>
          <w:rFonts w:eastAsia="Times New Roman"/>
          <w:color w:val="000000"/>
          <w:sz w:val="20"/>
          <w:szCs w:val="20"/>
        </w:rPr>
        <w:t xml:space="preserve">vious periods were immaterial.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Company has elected certain of the practical expedients from the disclosure requirement for remaining performance obligations for specific situations in which an entity need not estimate variable consideration to recog</w:t>
      </w:r>
      <w:r>
        <w:rPr>
          <w:rFonts w:eastAsia="Times New Roman"/>
          <w:color w:val="000000"/>
          <w:sz w:val="20"/>
          <w:szCs w:val="20"/>
        </w:rPr>
        <w:t>nize revenue. Accordingly, the Company applies the practical expedient in ASC 606 to its stand-alone contracts and does not disclose information about variable consideration from remaining performance obligations for which the Company recognizes revenue.</w:t>
      </w:r>
    </w:p>
    <w:p w:rsidR="00000000" w:rsidRDefault="00E65947">
      <w:pPr>
        <w:jc w:val="both"/>
        <w:rPr>
          <w:rFonts w:eastAsia="Times New Roman"/>
        </w:rPr>
      </w:pPr>
    </w:p>
    <w:p w:rsidR="00000000" w:rsidRDefault="00E65947">
      <w:pPr>
        <w:jc w:val="both"/>
        <w:divId w:val="249655107"/>
        <w:rPr>
          <w:rFonts w:eastAsia="Times New Roman"/>
        </w:rPr>
      </w:pPr>
      <w:r>
        <w:rPr>
          <w:rFonts w:eastAsia="Times New Roman"/>
          <w:b/>
          <w:bCs/>
          <w:color w:val="000000"/>
          <w:sz w:val="20"/>
          <w:szCs w:val="20"/>
        </w:rPr>
        <w:t>NOTE 5: Fair Value Measurement</w:t>
      </w:r>
    </w:p>
    <w:p w:rsidR="00000000" w:rsidRDefault="00E65947">
      <w:pPr>
        <w:jc w:val="both"/>
        <w:rPr>
          <w:rFonts w:eastAsia="Times New Roman"/>
        </w:rPr>
      </w:pPr>
      <w:r>
        <w:rPr>
          <w:rFonts w:eastAsia="Times New Roman"/>
          <w:color w:val="000000"/>
          <w:sz w:val="20"/>
          <w:szCs w:val="20"/>
        </w:rPr>
        <w:t>The Company is required to measure certain assets and liabilities at fair value, either upon initial recognition or for subsequent accounting or reporting. For example, we use fair value extensively when accounting for and r</w:t>
      </w:r>
      <w:r>
        <w:rPr>
          <w:rFonts w:eastAsia="Times New Roman"/>
          <w:color w:val="000000"/>
          <w:sz w:val="20"/>
          <w:szCs w:val="20"/>
        </w:rPr>
        <w:t>eporting certain financial instruments, when measuring certain contingent consideration liabilities and in the initial recognition of net assets acquired in a business combination. Fair value is estimated by applying the hierarchy described below, which pr</w:t>
      </w:r>
      <w:r>
        <w:rPr>
          <w:rFonts w:eastAsia="Times New Roman"/>
          <w:color w:val="000000"/>
          <w:sz w:val="20"/>
          <w:szCs w:val="20"/>
        </w:rPr>
        <w:t>ioritizes the inputs used to measure fair value into three levels and bases the categorization within the hierarchy upon the lowest level of input that is available and significant to the fair value measurement.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ASC 820, “</w:t>
      </w:r>
      <w:r>
        <w:rPr>
          <w:rFonts w:eastAsia="Times New Roman"/>
          <w:color w:val="000000"/>
          <w:sz w:val="20"/>
          <w:szCs w:val="20"/>
        </w:rPr>
        <w:t>Fair Value Measurements and Disclosures,” defines fair value as a market-based measurement that should be determined based on the assumptions that marketplace participants would use in pricing an asset or liability. When estimating fair value, depending on</w:t>
      </w:r>
      <w:r>
        <w:rPr>
          <w:rFonts w:eastAsia="Times New Roman"/>
          <w:color w:val="000000"/>
          <w:sz w:val="20"/>
          <w:szCs w:val="20"/>
        </w:rPr>
        <w:t xml:space="preserve"> the nature and complexity of the asset or liability, we may generally use one or each of the following techniques:  </w:t>
      </w:r>
    </w:p>
    <w:p w:rsidR="00000000" w:rsidRDefault="00E65947">
      <w:pPr>
        <w:jc w:val="both"/>
        <w:rPr>
          <w:rFonts w:eastAsia="Times New Roman"/>
        </w:rPr>
      </w:pPr>
    </w:p>
    <w:p w:rsidR="00000000" w:rsidRDefault="00E65947">
      <w:pPr>
        <w:ind w:hanging="360"/>
        <w:jc w:val="both"/>
        <w:divId w:val="253975239"/>
        <w:rPr>
          <w:rFonts w:eastAsia="Times New Roman"/>
        </w:rPr>
      </w:pPr>
      <w:r>
        <w:rPr>
          <w:rFonts w:eastAsia="Times New Roman"/>
          <w:color w:val="000000"/>
          <w:sz w:val="20"/>
          <w:szCs w:val="20"/>
        </w:rPr>
        <w:t xml:space="preserve">•Income approach, which is based on the present value of a future stream of net cash flows. </w:t>
      </w:r>
    </w:p>
    <w:p w:rsidR="00000000" w:rsidRDefault="00E65947">
      <w:pPr>
        <w:ind w:hanging="360"/>
        <w:jc w:val="both"/>
        <w:divId w:val="452948046"/>
        <w:rPr>
          <w:rFonts w:eastAsia="Times New Roman"/>
        </w:rPr>
      </w:pPr>
      <w:r>
        <w:rPr>
          <w:rFonts w:eastAsia="Times New Roman"/>
          <w:color w:val="000000"/>
          <w:sz w:val="20"/>
          <w:szCs w:val="20"/>
        </w:rPr>
        <w:t xml:space="preserve">•Market approach, which is based on market </w:t>
      </w:r>
      <w:r>
        <w:rPr>
          <w:rFonts w:eastAsia="Times New Roman"/>
          <w:color w:val="000000"/>
          <w:sz w:val="20"/>
          <w:szCs w:val="20"/>
        </w:rPr>
        <w:t>prices and other information from market transactions involving identical or comparable assets or liabilities.</w:t>
      </w:r>
    </w:p>
    <w:p w:rsidR="00000000" w:rsidRDefault="00E65947">
      <w:pPr>
        <w:jc w:val="both"/>
        <w:divId w:val="413816198"/>
        <w:rPr>
          <w:rFonts w:eastAsia="Times New Roman"/>
        </w:rPr>
      </w:pPr>
      <w:r>
        <w:rPr>
          <w:rFonts w:eastAsia="Times New Roman"/>
          <w:color w:val="000000"/>
          <w:sz w:val="20"/>
          <w:szCs w:val="20"/>
        </w:rPr>
        <w:t>As a basis for considering the assumptions used in these techniques, the standard establishes a three-tier fair value hierarchy which prioritizes</w:t>
      </w:r>
      <w:r>
        <w:rPr>
          <w:rFonts w:eastAsia="Times New Roman"/>
          <w:color w:val="000000"/>
          <w:sz w:val="20"/>
          <w:szCs w:val="20"/>
        </w:rPr>
        <w:t xml:space="preserve"> the inputs used in measuring fair value as follows:  </w:t>
      </w:r>
    </w:p>
    <w:p w:rsidR="00000000" w:rsidRDefault="00E65947">
      <w:pPr>
        <w:ind w:hanging="360"/>
        <w:jc w:val="both"/>
        <w:divId w:val="126820521"/>
        <w:rPr>
          <w:rFonts w:eastAsia="Times New Roman"/>
        </w:rPr>
      </w:pPr>
      <w:r>
        <w:rPr>
          <w:rFonts w:eastAsia="Times New Roman"/>
          <w:color w:val="000000"/>
          <w:sz w:val="20"/>
          <w:szCs w:val="20"/>
        </w:rPr>
        <w:t xml:space="preserve">•Level 1 - Quoted prices for identical assets or liabilities in active markets. </w:t>
      </w:r>
    </w:p>
    <w:p w:rsidR="00000000" w:rsidRDefault="00E65947">
      <w:pPr>
        <w:ind w:hanging="360"/>
        <w:jc w:val="both"/>
        <w:divId w:val="1942686617"/>
        <w:rPr>
          <w:rFonts w:eastAsia="Times New Roman"/>
        </w:rPr>
      </w:pPr>
      <w:r>
        <w:rPr>
          <w:rFonts w:eastAsia="Times New Roman"/>
          <w:color w:val="000000"/>
          <w:sz w:val="20"/>
          <w:szCs w:val="20"/>
        </w:rPr>
        <w:t xml:space="preserve">•Level 2 - Quoted prices for similar assets or liabilities in active markets, or quoted prices for identical or similar </w:t>
      </w:r>
      <w:r>
        <w:rPr>
          <w:rFonts w:eastAsia="Times New Roman"/>
          <w:color w:val="000000"/>
          <w:sz w:val="20"/>
          <w:szCs w:val="20"/>
        </w:rPr>
        <w:t xml:space="preserve">assets or liabilities in markets that are not active, or inputs other than quoted prices that are directly or indirectly observable, or inputs that are derived principally from, or corroborated by, observable market data by correlation or other means. </w:t>
      </w:r>
    </w:p>
    <w:p w:rsidR="00000000" w:rsidRDefault="00E65947">
      <w:pPr>
        <w:ind w:hanging="360"/>
        <w:jc w:val="both"/>
        <w:divId w:val="2065330405"/>
        <w:rPr>
          <w:rFonts w:eastAsia="Times New Roman"/>
        </w:rPr>
      </w:pPr>
      <w:r>
        <w:rPr>
          <w:rFonts w:eastAsia="Times New Roman"/>
          <w:color w:val="000000"/>
          <w:sz w:val="20"/>
          <w:szCs w:val="20"/>
        </w:rPr>
        <w:t>•Le</w:t>
      </w:r>
      <w:r>
        <w:rPr>
          <w:rFonts w:eastAsia="Times New Roman"/>
          <w:color w:val="000000"/>
          <w:sz w:val="20"/>
          <w:szCs w:val="20"/>
        </w:rPr>
        <w:t xml:space="preserve">vel 3 - Unobservable inputs that reflect estimates and assumptions. </w:t>
      </w:r>
    </w:p>
    <w:p w:rsidR="00000000" w:rsidRDefault="00E65947">
      <w:pPr>
        <w:jc w:val="center"/>
        <w:divId w:val="900822210"/>
        <w:rPr>
          <w:rFonts w:eastAsia="Times New Roman"/>
        </w:rPr>
      </w:pPr>
      <w:r>
        <w:rPr>
          <w:rFonts w:eastAsia="Times New Roman"/>
          <w:color w:val="000000"/>
          <w:sz w:val="20"/>
          <w:szCs w:val="20"/>
        </w:rPr>
        <w:t>- 15 -</w:t>
      </w:r>
    </w:p>
    <w:p w:rsidR="00000000" w:rsidRDefault="00E65947">
      <w:pPr>
        <w:rPr>
          <w:rFonts w:eastAsia="Times New Roman"/>
        </w:rPr>
      </w:pPr>
      <w:r>
        <w:rPr>
          <w:rFonts w:eastAsia="Times New Roman"/>
        </w:rPr>
        <w:pict>
          <v:rect id="_x0000_i1040" style="width:0;height:1.5pt" o:hralign="center" o:hrstd="t" o:hr="t" fillcolor="#a0a0a0" stroked="f"/>
        </w:pict>
      </w:r>
    </w:p>
    <w:p w:rsidR="00000000" w:rsidRDefault="00E65947">
      <w:pPr>
        <w:divId w:val="1078937712"/>
        <w:rPr>
          <w:rFonts w:eastAsia="Times New Roman"/>
        </w:rPr>
      </w:pPr>
    </w:p>
    <w:p w:rsidR="00000000" w:rsidRDefault="00E65947">
      <w:pPr>
        <w:jc w:val="both"/>
        <w:divId w:val="609240059"/>
        <w:rPr>
          <w:rFonts w:eastAsia="Times New Roman"/>
        </w:rPr>
      </w:pPr>
      <w:r>
        <w:rPr>
          <w:rFonts w:eastAsia="Times New Roman"/>
          <w:color w:val="000000"/>
          <w:sz w:val="20"/>
          <w:szCs w:val="20"/>
        </w:rPr>
        <w:t>The following table summarizes the financial instruments measured at fair value on a recurring basis classified in the fair value hierarchy (L</w:t>
      </w:r>
      <w:r>
        <w:rPr>
          <w:rFonts w:eastAsia="Times New Roman"/>
          <w:color w:val="000000"/>
          <w:sz w:val="20"/>
          <w:szCs w:val="20"/>
        </w:rPr>
        <w:t>evel 1, 2 or 3) based on the inputs used for valuation in the accompanying 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1"/>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trPr>
          <w:divId w:val="1760448188"/>
        </w:trPr>
        <w:tc>
          <w:tcPr>
            <w:tcW w:w="50" w:type="pct"/>
            <w:vAlign w:val="center"/>
            <w:hideMark/>
          </w:tcPr>
          <w:p w:rsidR="00000000" w:rsidRDefault="00E65947">
            <w:pPr>
              <w:jc w:val="both"/>
              <w:rPr>
                <w:rFonts w:eastAsia="Times New Roman"/>
              </w:rPr>
            </w:pPr>
          </w:p>
        </w:tc>
        <w:tc>
          <w:tcPr>
            <w:tcW w:w="178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As of 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As of December 31, 2020</w:t>
            </w:r>
          </w:p>
        </w:tc>
      </w:tr>
      <w:tr w:rsidR="00000000">
        <w:trPr>
          <w:divId w:val="1760448188"/>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Level 3</w:t>
            </w:r>
          </w:p>
        </w:tc>
      </w:tr>
      <w:tr w:rsidR="00000000">
        <w:trPr>
          <w:divId w:val="176044818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391151194"/>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6</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91,732 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104,672 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76044818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23,056 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22,155 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760448188"/>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17,853 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18,999 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760448188"/>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3,060 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3,854 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760448188"/>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43,969 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104,672 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45,008 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760448188"/>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760448188"/>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bl>
    <w:p w:rsidR="00000000" w:rsidRDefault="00E65947">
      <w:pPr>
        <w:jc w:val="both"/>
        <w:divId w:val="320502494"/>
        <w:rPr>
          <w:rFonts w:eastAsia="Times New Roman"/>
        </w:rPr>
      </w:pPr>
      <w:r>
        <w:rPr>
          <w:rFonts w:eastAsia="Times New Roman"/>
          <w:color w:val="000000"/>
          <w:sz w:val="20"/>
          <w:szCs w:val="20"/>
        </w:rPr>
        <w:t>A review of fair value hierarchy classifications is conducted on a quarterly basis.  Changes in the observability of valuation inputs may result in a reclassification for certain financial assets or liabilities. During t</w:t>
      </w:r>
      <w:r>
        <w:rPr>
          <w:rFonts w:eastAsia="Times New Roman"/>
          <w:color w:val="000000"/>
          <w:sz w:val="20"/>
          <w:szCs w:val="20"/>
        </w:rPr>
        <w:t>he periods ended June 30, 2021 and December 31, 2020, respectively, there were no transfers in and out of Level 1, 2, or 3. During the three and six months ended June 30, 2021 and 2020, respectively, we did not recognize any other-than-temporary impairment</w:t>
      </w:r>
      <w:r>
        <w:rPr>
          <w:rFonts w:eastAsia="Times New Roman"/>
          <w:color w:val="000000"/>
          <w:sz w:val="20"/>
          <w:szCs w:val="20"/>
        </w:rPr>
        <w:t xml:space="preserve"> loss. </w:t>
      </w:r>
    </w:p>
    <w:p w:rsidR="00000000" w:rsidRDefault="00E65947">
      <w:pPr>
        <w:divId w:val="1172985024"/>
        <w:rPr>
          <w:rFonts w:eastAsia="Times New Roman"/>
        </w:rPr>
      </w:pPr>
      <w:r>
        <w:rPr>
          <w:rFonts w:eastAsia="Times New Roman"/>
          <w:color w:val="000000"/>
          <w:sz w:val="20"/>
          <w:szCs w:val="20"/>
        </w:rPr>
        <w:t xml:space="preserve">Some of the Company’s financial instruments, such as cash and cash equivalents, accounts receivable and accounts payable, are reflected in the balance sheet at carrying value, which approximates fair value due to their short-term nature. </w:t>
      </w:r>
    </w:p>
    <w:p w:rsidR="00000000" w:rsidRDefault="00E65947">
      <w:pPr>
        <w:divId w:val="1544058667"/>
        <w:rPr>
          <w:rFonts w:eastAsia="Times New Roman"/>
        </w:rPr>
      </w:pPr>
    </w:p>
    <w:p w:rsidR="00000000" w:rsidRDefault="00E65947">
      <w:pPr>
        <w:divId w:val="1262563040"/>
        <w:rPr>
          <w:rFonts w:eastAsia="Times New Roman"/>
        </w:rPr>
      </w:pPr>
      <w:r>
        <w:rPr>
          <w:rFonts w:eastAsia="Times New Roman"/>
          <w:b/>
          <w:bCs/>
          <w:color w:val="000000"/>
          <w:sz w:val="20"/>
          <w:szCs w:val="20"/>
        </w:rPr>
        <w:t>Debt</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We estimate the fair value of our $143,750 aggregate principal amount of the 2023 Notes based on interest rates that would be currently available to the Company for issuance of similar types of debt instruments with similar terms and remaining maturities </w:t>
      </w:r>
      <w:r>
        <w:rPr>
          <w:rFonts w:eastAsia="Times New Roman"/>
          <w:color w:val="000000"/>
          <w:sz w:val="20"/>
          <w:szCs w:val="20"/>
        </w:rPr>
        <w:t>or recent trading prices obtained from brokers (a Level 2 input). The estimated fair value of the 2023 Notes at June 30, 2021 is $147,523.</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Note 9: Long-Term Debt</w:t>
      </w:r>
      <w:r>
        <w:rPr>
          <w:rFonts w:eastAsia="Times New Roman"/>
          <w:color w:val="000000"/>
          <w:sz w:val="20"/>
          <w:szCs w:val="20"/>
        </w:rPr>
        <w:t xml:space="preserve"> </w:t>
      </w:r>
      <w:r>
        <w:rPr>
          <w:rFonts w:eastAsia="Times New Roman"/>
          <w:color w:val="000000"/>
          <w:sz w:val="20"/>
          <w:szCs w:val="20"/>
        </w:rPr>
        <w:t>for additional information regarding our debt obligations.</w:t>
      </w:r>
    </w:p>
    <w:p w:rsidR="00000000" w:rsidRDefault="00E65947">
      <w:pPr>
        <w:jc w:val="both"/>
        <w:rPr>
          <w:rFonts w:eastAsia="Times New Roman"/>
        </w:rPr>
      </w:pPr>
    </w:p>
    <w:p w:rsidR="00000000" w:rsidRDefault="00E65947">
      <w:pPr>
        <w:jc w:val="both"/>
        <w:divId w:val="1623262917"/>
        <w:rPr>
          <w:rFonts w:eastAsia="Times New Roman"/>
        </w:rPr>
      </w:pPr>
      <w:r>
        <w:rPr>
          <w:rFonts w:eastAsia="Times New Roman"/>
          <w:b/>
          <w:bCs/>
          <w:color w:val="000000"/>
          <w:sz w:val="20"/>
          <w:szCs w:val="20"/>
        </w:rPr>
        <w:t>NOTE 6:</w:t>
      </w:r>
      <w:r>
        <w:rPr>
          <w:rFonts w:eastAsia="Times New Roman"/>
          <w:color w:val="000000"/>
          <w:sz w:val="20"/>
          <w:szCs w:val="20"/>
        </w:rPr>
        <w:t xml:space="preserve"> </w:t>
      </w:r>
      <w:r>
        <w:rPr>
          <w:rFonts w:eastAsia="Times New Roman"/>
          <w:b/>
          <w:bCs/>
          <w:color w:val="000000"/>
          <w:sz w:val="20"/>
          <w:szCs w:val="20"/>
        </w:rPr>
        <w:t>Marketable Securities </w:t>
      </w:r>
    </w:p>
    <w:p w:rsidR="00000000" w:rsidRDefault="00E65947">
      <w:pPr>
        <w:jc w:val="both"/>
        <w:divId w:val="1024136504"/>
        <w:rPr>
          <w:rFonts w:eastAsia="Times New Roman"/>
        </w:rPr>
      </w:pPr>
      <w:r>
        <w:rPr>
          <w:rFonts w:eastAsia="Times New Roman"/>
          <w:color w:val="000000"/>
          <w:sz w:val="20"/>
          <w:szCs w:val="20"/>
        </w:rPr>
        <w:t>The Company has investments in available-for-sale debt securities which are recorded at fair market value. The change in the fair value of equity investments is rec</w:t>
      </w:r>
      <w:r>
        <w:rPr>
          <w:rFonts w:eastAsia="Times New Roman"/>
          <w:color w:val="000000"/>
          <w:sz w:val="20"/>
          <w:szCs w:val="20"/>
        </w:rPr>
        <w:t>ognized in our unaudited condensed consolidated statements of (loss) income and the change in the fair value of available-for-sale debt investments is recorded as other comprehensive loss in shareholders’ equity, net of income tax effects. As of June 30, 2</w:t>
      </w:r>
      <w:r>
        <w:rPr>
          <w:rFonts w:eastAsia="Times New Roman"/>
          <w:color w:val="000000"/>
          <w:sz w:val="20"/>
          <w:szCs w:val="20"/>
        </w:rPr>
        <w:t xml:space="preserve">021, we considered any decreases in fair value on our marketable securities to be driven by factors other than credit risk, including market risk. </w:t>
      </w:r>
    </w:p>
    <w:p w:rsidR="00000000" w:rsidRDefault="00E65947">
      <w:pPr>
        <w:jc w:val="both"/>
        <w:rPr>
          <w:rFonts w:eastAsia="Times New Roman"/>
        </w:rPr>
      </w:pPr>
      <w:r>
        <w:rPr>
          <w:rFonts w:eastAsia="Times New Roman"/>
          <w:color w:val="000000"/>
          <w:sz w:val="20"/>
          <w:szCs w:val="20"/>
        </w:rPr>
        <w:t>The following tables show the Company’s available-for-sale securities’ adjusted cost, gross unrealized gains</w:t>
      </w:r>
      <w:r>
        <w:rPr>
          <w:rFonts w:eastAsia="Times New Roman"/>
          <w:color w:val="000000"/>
          <w:sz w:val="20"/>
          <w:szCs w:val="20"/>
        </w:rPr>
        <w:t>, gross unrealized losses and fair value by significant investment category as of June 30, 2021 and December 31, 2020, respectively:</w:t>
      </w:r>
    </w:p>
    <w:p w:rsidR="00000000" w:rsidRDefault="00E65947">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c>
          <w:tcPr>
            <w:tcW w:w="50" w:type="pct"/>
            <w:vAlign w:val="center"/>
            <w:hideMark/>
          </w:tcPr>
          <w:p w:rsidR="00000000" w:rsidRDefault="00E65947">
            <w:pPr>
              <w:jc w:val="both"/>
              <w:rPr>
                <w:rFonts w:eastAsia="Times New Roman"/>
              </w:rPr>
            </w:pPr>
          </w:p>
        </w:tc>
        <w:tc>
          <w:tcPr>
            <w:tcW w:w="233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90,907 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1,171 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(346)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91,732 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22,853 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23,056 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17,873 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17,853 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3,055 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3,060 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134,688 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w:t>
            </w:r>
            <w:r>
              <w:rPr>
                <w:rFonts w:eastAsia="Times New Roman"/>
                <w:color w:val="000000"/>
                <w:sz w:val="18"/>
                <w:szCs w:val="18"/>
              </w:rPr>
              <w:t>473)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135,701 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center"/>
        <w:divId w:val="283275237"/>
        <w:rPr>
          <w:rFonts w:eastAsia="Times New Roman"/>
        </w:rPr>
      </w:pPr>
      <w:r>
        <w:rPr>
          <w:rFonts w:eastAsia="Times New Roman"/>
          <w:color w:val="000000"/>
          <w:sz w:val="20"/>
          <w:szCs w:val="20"/>
        </w:rPr>
        <w:t>- 16 -</w:t>
      </w:r>
    </w:p>
    <w:p w:rsidR="00000000" w:rsidRDefault="00E65947">
      <w:pPr>
        <w:rPr>
          <w:rFonts w:eastAsia="Times New Roman"/>
        </w:rPr>
      </w:pPr>
      <w:r>
        <w:rPr>
          <w:rFonts w:eastAsia="Times New Roman"/>
        </w:rPr>
        <w:pict>
          <v:rect id="_x0000_i1041" style="width:0;height:1.5pt" o:hralign="center" o:hrstd="t" o:hr="t" fillcolor="#a0a0a0" stroked="f"/>
        </w:pict>
      </w:r>
    </w:p>
    <w:p w:rsidR="00000000" w:rsidRDefault="00E65947">
      <w:pPr>
        <w:divId w:val="11213966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rPr>
          <w:divId w:val="528641659"/>
        </w:trPr>
        <w:tc>
          <w:tcPr>
            <w:tcW w:w="50" w:type="pct"/>
            <w:vAlign w:val="center"/>
            <w:hideMark/>
          </w:tcPr>
          <w:p w:rsidR="00000000" w:rsidRDefault="00E65947">
            <w:pPr>
              <w:rPr>
                <w:rFonts w:eastAsia="Times New Roman"/>
              </w:rPr>
            </w:pPr>
          </w:p>
        </w:tc>
        <w:tc>
          <w:tcPr>
            <w:tcW w:w="233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528641659"/>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divId w:val="52864165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Fair Value</w:t>
            </w:r>
          </w:p>
        </w:tc>
      </w:tr>
      <w:tr w:rsidR="00000000">
        <w:trPr>
          <w:divId w:val="52864165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528641659"/>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52864165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103,404 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1,288 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104,672 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52864165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21,811 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350 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22,155 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52864165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18,849 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18,999 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52864165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3,839 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528641659"/>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147,903 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149,680 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both"/>
        <w:divId w:val="489254354"/>
        <w:rPr>
          <w:rFonts w:eastAsia="Times New Roman"/>
        </w:rPr>
      </w:pPr>
      <w:r>
        <w:rPr>
          <w:rFonts w:eastAsia="Times New Roman"/>
          <w:color w:val="000000"/>
          <w:sz w:val="20"/>
          <w:szCs w:val="20"/>
        </w:rPr>
        <w:t>We determine realized gains or losses on the sale of marketable securities on a specific identification method. We reflect these gains and losses as a component of investment and other income (expense), net in the accompanying unaudited condensed consolida</w:t>
      </w:r>
      <w:r>
        <w:rPr>
          <w:rFonts w:eastAsia="Times New Roman"/>
          <w:color w:val="000000"/>
          <w:sz w:val="20"/>
          <w:szCs w:val="20"/>
        </w:rPr>
        <w:t>ted statements of (loss) income.</w:t>
      </w:r>
    </w:p>
    <w:p w:rsidR="00000000" w:rsidRDefault="00E65947">
      <w:pPr>
        <w:jc w:val="both"/>
        <w:rPr>
          <w:rFonts w:eastAsia="Times New Roman"/>
        </w:rPr>
      </w:pPr>
      <w:r>
        <w:rPr>
          <w:rFonts w:eastAsia="Times New Roman"/>
          <w:color w:val="000000"/>
          <w:sz w:val="20"/>
          <w:szCs w:val="20"/>
        </w:rPr>
        <w:t>We recognized gross realized gains of $41 and $14 for the three months ended June </w:t>
      </w:r>
      <w:r>
        <w:rPr>
          <w:rFonts w:eastAsia="Times New Roman"/>
          <w:color w:val="000000"/>
          <w:sz w:val="20"/>
          <w:szCs w:val="20"/>
        </w:rPr>
        <w:t>30, 2021 and 2020, respectively. These realized gains were offset by realized losses of $39 and $6 for the three months ended June 30, 2021 and 2020, respectively. We recognized gross realized gains of $52 and $290 for the six months ended June 30, 2021 an</w:t>
      </w:r>
      <w:r>
        <w:rPr>
          <w:rFonts w:eastAsia="Times New Roman"/>
          <w:color w:val="000000"/>
          <w:sz w:val="20"/>
          <w:szCs w:val="20"/>
        </w:rPr>
        <w:t xml:space="preserve">d 2020, respectively. These realized gains were offset by realized losses of $107 and $878 for the six months ended June 30, 2021 and 2020, respectively.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following table summarizes the estimated fair value of our investments in marketable debt secur</w:t>
      </w:r>
      <w:r>
        <w:rPr>
          <w:rFonts w:eastAsia="Times New Roman"/>
          <w:color w:val="000000"/>
          <w:sz w:val="20"/>
          <w:szCs w:val="20"/>
        </w:rPr>
        <w:t>ities, accounted for as available-for-sale debt securities and classified by the contractual maturity date of the securities as of June 30, 2021:</w:t>
      </w: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9"/>
        <w:gridCol w:w="36"/>
        <w:gridCol w:w="36"/>
        <w:gridCol w:w="36"/>
        <w:gridCol w:w="36"/>
        <w:gridCol w:w="110"/>
        <w:gridCol w:w="840"/>
        <w:gridCol w:w="36"/>
        <w:gridCol w:w="36"/>
        <w:gridCol w:w="36"/>
        <w:gridCol w:w="36"/>
        <w:gridCol w:w="111"/>
        <w:gridCol w:w="840"/>
        <w:gridCol w:w="36"/>
        <w:gridCol w:w="36"/>
        <w:gridCol w:w="36"/>
        <w:gridCol w:w="36"/>
        <w:gridCol w:w="110"/>
        <w:gridCol w:w="842"/>
        <w:gridCol w:w="36"/>
      </w:tblGrid>
      <w:tr w:rsidR="00000000">
        <w:tc>
          <w:tcPr>
            <w:tcW w:w="50" w:type="pct"/>
            <w:vAlign w:val="center"/>
            <w:hideMark/>
          </w:tcPr>
          <w:p w:rsidR="00000000" w:rsidRDefault="00E65947">
            <w:pPr>
              <w:jc w:val="both"/>
              <w:rPr>
                <w:rFonts w:eastAsia="Times New Roman"/>
              </w:rPr>
            </w:pPr>
          </w:p>
        </w:tc>
        <w:tc>
          <w:tcPr>
            <w:tcW w:w="167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Maturities</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Total</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7,563 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15,406 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23,056 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4,399 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10,889 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881 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1,684 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17,853 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1,352 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705 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3,060 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27,647 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43,969 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We have classified our investment in available-for-sale marketable debt securities as current assets in the unaudited condensed consolidated balance sheets as the securities need to be available for use, if required, t</w:t>
      </w:r>
      <w:r>
        <w:rPr>
          <w:rFonts w:eastAsia="Times New Roman"/>
          <w:color w:val="000000"/>
          <w:sz w:val="20"/>
          <w:szCs w:val="20"/>
        </w:rPr>
        <w:t xml:space="preserve">o fund current operations. There are no restrictions on the sale of any securities in our investment portfolio.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Total gross unrealized losses of our available-for-sale debt securities at June 30, 2021 were immaterial. The unrealized losses are driven by</w:t>
      </w:r>
      <w:r>
        <w:rPr>
          <w:rFonts w:eastAsia="Times New Roman"/>
          <w:color w:val="000000"/>
          <w:sz w:val="20"/>
          <w:szCs w:val="20"/>
        </w:rPr>
        <w:t xml:space="preserve"> factors other than credit risk and have been in an unrealized loss position for less than one year. We do not intend to sell the investments and it is not more likely than not that we will be required to sell the investments before recovery of their amort</w:t>
      </w:r>
      <w:r>
        <w:rPr>
          <w:rFonts w:eastAsia="Times New Roman"/>
          <w:color w:val="000000"/>
          <w:sz w:val="20"/>
          <w:szCs w:val="20"/>
        </w:rPr>
        <w:t>ized cost bases.</w:t>
      </w:r>
    </w:p>
    <w:p w:rsidR="00000000" w:rsidRDefault="00E65947">
      <w:pPr>
        <w:jc w:val="both"/>
        <w:rPr>
          <w:rFonts w:eastAsia="Times New Roman"/>
        </w:rPr>
      </w:pPr>
    </w:p>
    <w:p w:rsidR="00000000" w:rsidRDefault="00E65947">
      <w:pPr>
        <w:divId w:val="122844858"/>
        <w:rPr>
          <w:rFonts w:eastAsia="Times New Roman"/>
        </w:rPr>
      </w:pPr>
      <w:r>
        <w:rPr>
          <w:rFonts w:eastAsia="Times New Roman"/>
          <w:b/>
          <w:bCs/>
          <w:color w:val="000000"/>
          <w:sz w:val="20"/>
          <w:szCs w:val="20"/>
        </w:rPr>
        <w:t>NOTE 7:</w:t>
      </w:r>
      <w:r>
        <w:rPr>
          <w:rFonts w:eastAsia="Times New Roman"/>
          <w:color w:val="000000"/>
          <w:sz w:val="20"/>
          <w:szCs w:val="20"/>
        </w:rPr>
        <w:t xml:space="preserve"> </w:t>
      </w:r>
      <w:r>
        <w:rPr>
          <w:rFonts w:eastAsia="Times New Roman"/>
          <w:b/>
          <w:bCs/>
          <w:color w:val="000000"/>
          <w:sz w:val="20"/>
          <w:szCs w:val="20"/>
        </w:rPr>
        <w:t>Goodwill and Intangible Assets</w:t>
      </w:r>
    </w:p>
    <w:p w:rsidR="00000000" w:rsidRDefault="00E65947">
      <w:pPr>
        <w:jc w:val="both"/>
        <w:rPr>
          <w:rFonts w:eastAsia="Times New Roman"/>
        </w:rPr>
      </w:pPr>
      <w:r>
        <w:rPr>
          <w:rFonts w:eastAsia="Times New Roman"/>
          <w:color w:val="000000"/>
          <w:sz w:val="20"/>
          <w:szCs w:val="20"/>
        </w:rPr>
        <w:t>The Company’s unamortizable goodwill is $16,836 at June 30, 2021 and December 31, 2020.</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Company recorded amortization expense related to an amortizable intangible asset that was assumed by the</w:t>
      </w:r>
      <w:r>
        <w:rPr>
          <w:rFonts w:eastAsia="Times New Roman"/>
          <w:color w:val="000000"/>
          <w:sz w:val="20"/>
          <w:szCs w:val="20"/>
        </w:rPr>
        <w:t xml:space="preserve"> Exela Buyer as part of the disposition of the Hospital Products on June 30, 2020 of $203 and $406 for the three and six months ended June 30, 2020. Refer to </w:t>
      </w:r>
      <w:r>
        <w:rPr>
          <w:rFonts w:eastAsia="Times New Roman"/>
          <w:i/>
          <w:iCs/>
          <w:color w:val="000000"/>
          <w:sz w:val="20"/>
          <w:szCs w:val="20"/>
        </w:rPr>
        <w:t>Note 3: Disposition of the Hospital Products</w:t>
      </w:r>
      <w:r>
        <w:rPr>
          <w:rFonts w:eastAsia="Times New Roman"/>
          <w:color w:val="000000"/>
          <w:sz w:val="20"/>
          <w:szCs w:val="20"/>
        </w:rPr>
        <w:t>. There was no amortization expense recorded during th</w:t>
      </w:r>
      <w:r>
        <w:rPr>
          <w:rFonts w:eastAsia="Times New Roman"/>
          <w:color w:val="000000"/>
          <w:sz w:val="20"/>
          <w:szCs w:val="20"/>
        </w:rPr>
        <w:t>e three and six months ended June 30, 2021.</w:t>
      </w:r>
    </w:p>
    <w:p w:rsidR="00000000" w:rsidRDefault="00E65947">
      <w:pPr>
        <w:jc w:val="both"/>
        <w:rPr>
          <w:rFonts w:eastAsia="Times New Roman"/>
        </w:rPr>
      </w:pPr>
    </w:p>
    <w:p w:rsidR="00000000" w:rsidRDefault="00E65947">
      <w:pPr>
        <w:divId w:val="1750536728"/>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Contingent Consideration Payable </w:t>
      </w:r>
    </w:p>
    <w:p w:rsidR="00000000" w:rsidRDefault="00E65947">
      <w:pPr>
        <w:jc w:val="both"/>
        <w:rPr>
          <w:rFonts w:eastAsia="Times New Roman"/>
        </w:rPr>
      </w:pPr>
      <w:r>
        <w:rPr>
          <w:rFonts w:eastAsia="Times New Roman"/>
          <w:color w:val="000000"/>
          <w:sz w:val="20"/>
          <w:szCs w:val="20"/>
        </w:rPr>
        <w:t>Prior to the sale of the Hospital Products on June 30, 2020, we computed the fair value of the contingent consideration using several significant assumptions and when t</w:t>
      </w:r>
      <w:r>
        <w:rPr>
          <w:rFonts w:eastAsia="Times New Roman"/>
          <w:color w:val="000000"/>
          <w:sz w:val="20"/>
          <w:szCs w:val="20"/>
        </w:rPr>
        <w:t>hose assumptions changed, due to underlying market conditions, the fair value of these liabilities changed as well. Each of the underlying assumptions used to determine the fair values of these contingent liabilities could, and often did, change based on a</w:t>
      </w:r>
      <w:r>
        <w:rPr>
          <w:rFonts w:eastAsia="Times New Roman"/>
          <w:color w:val="000000"/>
          <w:sz w:val="20"/>
          <w:szCs w:val="20"/>
        </w:rPr>
        <w:t>djustments in current market conditions, competition and other factors. Prior to the sale of the Hospital Products, these changes had a material impact on our unaudited condensed consolidated statements of (loss) income and balance sheets. As part of the s</w:t>
      </w:r>
      <w:r>
        <w:rPr>
          <w:rFonts w:eastAsia="Times New Roman"/>
          <w:color w:val="000000"/>
          <w:sz w:val="20"/>
          <w:szCs w:val="20"/>
        </w:rPr>
        <w:t>ale of the Hospital Products on June 30, 2020, the Exela Buyer assumed and will pay, perform, satisfy and discharge the liabilities and obligations of Avadel Legacy and the Company under the Deerfield Royalty Agreement. As of June 30, 2021 and December 31,</w:t>
      </w:r>
      <w:r>
        <w:rPr>
          <w:rFonts w:eastAsia="Times New Roman"/>
          <w:color w:val="000000"/>
          <w:sz w:val="20"/>
          <w:szCs w:val="20"/>
        </w:rPr>
        <w:t xml:space="preserve"> 2020, the balance of the contingent consideration payable is $0. </w:t>
      </w:r>
    </w:p>
    <w:p w:rsidR="00000000" w:rsidRDefault="00E65947">
      <w:pPr>
        <w:jc w:val="center"/>
        <w:divId w:val="488638546"/>
        <w:rPr>
          <w:rFonts w:eastAsia="Times New Roman"/>
        </w:rPr>
      </w:pPr>
      <w:r>
        <w:rPr>
          <w:rFonts w:eastAsia="Times New Roman"/>
          <w:color w:val="000000"/>
          <w:sz w:val="20"/>
          <w:szCs w:val="20"/>
        </w:rPr>
        <w:t>- 17 -</w:t>
      </w:r>
    </w:p>
    <w:p w:rsidR="00000000" w:rsidRDefault="00E65947">
      <w:pPr>
        <w:rPr>
          <w:rFonts w:eastAsia="Times New Roman"/>
        </w:rPr>
      </w:pPr>
      <w:r>
        <w:rPr>
          <w:rFonts w:eastAsia="Times New Roman"/>
        </w:rPr>
        <w:pict>
          <v:rect id="_x0000_i1042" style="width:0;height:1.5pt" o:hralign="center" o:hrstd="t" o:hr="t" fillcolor="#a0a0a0" stroked="f"/>
        </w:pict>
      </w:r>
    </w:p>
    <w:p w:rsidR="00000000" w:rsidRDefault="00E65947">
      <w:pPr>
        <w:divId w:val="1392461817"/>
        <w:rPr>
          <w:rFonts w:eastAsia="Times New Roman"/>
        </w:rPr>
      </w:pP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following table summarizes changes to the contingent consideration payable, a recurring Level 3 measurement, for the six-month period ende</w:t>
      </w:r>
      <w:r>
        <w:rPr>
          <w:rFonts w:eastAsia="Times New Roman"/>
          <w:color w:val="000000"/>
          <w:sz w:val="20"/>
          <w:szCs w:val="20"/>
        </w:rPr>
        <w:t>d June 30, 2020:</w:t>
      </w:r>
    </w:p>
    <w:p w:rsidR="00000000" w:rsidRDefault="00E65947">
      <w:pPr>
        <w:jc w:val="both"/>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8"/>
        <w:gridCol w:w="6480"/>
        <w:gridCol w:w="36"/>
        <w:gridCol w:w="36"/>
        <w:gridCol w:w="36"/>
        <w:gridCol w:w="36"/>
        <w:gridCol w:w="110"/>
        <w:gridCol w:w="1463"/>
        <w:gridCol w:w="36"/>
      </w:tblGrid>
      <w:tr w:rsidR="00000000">
        <w:tc>
          <w:tcPr>
            <w:tcW w:w="50" w:type="pct"/>
            <w:vAlign w:val="center"/>
            <w:hideMark/>
          </w:tcPr>
          <w:p w:rsidR="00000000" w:rsidRDefault="00E65947">
            <w:pPr>
              <w:jc w:val="both"/>
              <w:rPr>
                <w:rFonts w:eastAsia="Times New Roman"/>
              </w:rPr>
            </w:pPr>
          </w:p>
        </w:tc>
        <w:tc>
          <w:tcPr>
            <w:tcW w:w="393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92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Contingent Consideration Payable Rollforward:</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Balance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Balance, December 31, 2019</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17,327 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Payments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(4,344)</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31539753"/>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3,831 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(14,900)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Balance, June 30, 2020</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ind w:hanging="180"/>
        <w:jc w:val="both"/>
        <w:rPr>
          <w:rFonts w:eastAsia="Times New Roman"/>
        </w:rPr>
      </w:pPr>
    </w:p>
    <w:p w:rsidR="00000000" w:rsidRDefault="00E65947">
      <w:pPr>
        <w:ind w:hanging="18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Fair value adjustments are reported as changes in fair value of contingent consideration and other expense - changes in fair value of contingent consideration payable in the unaudited condensed consolidated statements of (loss) income.</w:t>
      </w:r>
    </w:p>
    <w:p w:rsidR="00000000" w:rsidRDefault="00E65947">
      <w:pPr>
        <w:ind w:hanging="180"/>
        <w:jc w:val="both"/>
        <w:rPr>
          <w:rFonts w:eastAsia="Times New Roman"/>
        </w:rPr>
      </w:pPr>
    </w:p>
    <w:p w:rsidR="00000000" w:rsidRDefault="00E65947">
      <w:pPr>
        <w:divId w:val="1358576245"/>
        <w:rPr>
          <w:rFonts w:eastAsia="Times New Roman"/>
        </w:rPr>
      </w:pPr>
      <w:r>
        <w:rPr>
          <w:rFonts w:eastAsia="Times New Roman"/>
          <w:b/>
          <w:bCs/>
          <w:color w:val="000000"/>
          <w:sz w:val="20"/>
          <w:szCs w:val="20"/>
        </w:rPr>
        <w:t xml:space="preserve">NOTE 9: Long-Term </w:t>
      </w:r>
      <w:r>
        <w:rPr>
          <w:rFonts w:eastAsia="Times New Roman"/>
          <w:b/>
          <w:bCs/>
          <w:color w:val="000000"/>
          <w:sz w:val="20"/>
          <w:szCs w:val="20"/>
        </w:rPr>
        <w:t>Debt</w:t>
      </w:r>
    </w:p>
    <w:p w:rsidR="00000000" w:rsidRDefault="00E65947">
      <w:pPr>
        <w:divId w:val="1164390525"/>
        <w:rPr>
          <w:rFonts w:eastAsia="Times New Roman"/>
        </w:rPr>
      </w:pPr>
      <w:r>
        <w:rPr>
          <w:rFonts w:eastAsia="Times New Roman"/>
          <w:color w:val="000000"/>
          <w:sz w:val="20"/>
          <w:szCs w:val="20"/>
        </w:rPr>
        <w:t>Long-term debt is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1"/>
        <w:gridCol w:w="4787"/>
        <w:gridCol w:w="36"/>
        <w:gridCol w:w="36"/>
        <w:gridCol w:w="36"/>
        <w:gridCol w:w="36"/>
        <w:gridCol w:w="110"/>
        <w:gridCol w:w="1448"/>
        <w:gridCol w:w="36"/>
        <w:gridCol w:w="36"/>
        <w:gridCol w:w="36"/>
        <w:gridCol w:w="36"/>
        <w:gridCol w:w="111"/>
        <w:gridCol w:w="1448"/>
        <w:gridCol w:w="36"/>
      </w:tblGrid>
      <w:tr w:rsidR="00000000">
        <w:trPr>
          <w:divId w:val="1207335267"/>
          <w:jc w:val="center"/>
        </w:trPr>
        <w:tc>
          <w:tcPr>
            <w:tcW w:w="50" w:type="pct"/>
            <w:vAlign w:val="center"/>
            <w:hideMark/>
          </w:tcPr>
          <w:p w:rsidR="00000000" w:rsidRDefault="00E65947">
            <w:pPr>
              <w:rPr>
                <w:rFonts w:eastAsia="Times New Roman"/>
              </w:rPr>
            </w:pPr>
          </w:p>
        </w:tc>
        <w:tc>
          <w:tcPr>
            <w:tcW w:w="291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92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92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207335267"/>
          <w:jc w:val="center"/>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divId w:val="1207335267"/>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1297444009"/>
              <w:rPr>
                <w:rFonts w:eastAsia="Times New Roman"/>
              </w:rPr>
            </w:pPr>
            <w:r>
              <w:rPr>
                <w:rFonts w:eastAsia="Times New Roman"/>
                <w:color w:val="000000"/>
                <w:sz w:val="18"/>
                <w:szCs w:val="18"/>
              </w:rPr>
              <w:t>Principal amount of 4.50% exchangeable senior notes due 2023</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207335267"/>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(1,976)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(15,540)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207335267"/>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carrying amount of liability component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141,774 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207335267"/>
          <w:jc w:val="center"/>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207335267"/>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207335267"/>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Less: current maturities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207335267"/>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r>
              <w:rPr>
                <w:rFonts w:eastAsia="Times New Roman"/>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141,774 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207335267"/>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207335267"/>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Equity component: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207335267"/>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Equity component of exchangeable notes,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center"/>
        <w:rPr>
          <w:rFonts w:eastAsia="Times New Roman"/>
        </w:rPr>
      </w:pPr>
    </w:p>
    <w:p w:rsidR="00000000" w:rsidRDefault="00E65947">
      <w:pPr>
        <w:jc w:val="both"/>
        <w:rPr>
          <w:rFonts w:eastAsia="Times New Roman"/>
        </w:rPr>
      </w:pPr>
      <w:r>
        <w:rPr>
          <w:rFonts w:eastAsia="Times New Roman"/>
          <w:color w:val="000000"/>
          <w:sz w:val="20"/>
          <w:szCs w:val="20"/>
        </w:rPr>
        <w:t>For the three months ended June 30, 2021 and 2020, the total interest expense was $1,930 and $3,237, respectively, with coupon interest expense of $1,617 for each period and the amortization of debt issuance costs and debt discount of $313 and $1,620, resp</w:t>
      </w:r>
      <w:r>
        <w:rPr>
          <w:rFonts w:eastAsia="Times New Roman"/>
          <w:color w:val="000000"/>
          <w:sz w:val="20"/>
          <w:szCs w:val="20"/>
        </w:rPr>
        <w:t xml:space="preserve">ectively.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For the six months ended June 30, 2021 and 2020, the total interest expense was $3,859 and $6,427, respectively, with coupon interest expense of $3,234 </w:t>
      </w:r>
      <w:r>
        <w:rPr>
          <w:rFonts w:eastAsia="Times New Roman"/>
          <w:color w:val="000000"/>
          <w:sz w:val="20"/>
          <w:szCs w:val="20"/>
        </w:rPr>
        <w:t xml:space="preserve">for each period and the amortization of debt issuance costs and debt discount of $625 and $3,193, respectively.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As described in </w:t>
      </w:r>
      <w:r>
        <w:rPr>
          <w:rFonts w:eastAsia="Times New Roman"/>
          <w:i/>
          <w:iCs/>
          <w:color w:val="000000"/>
          <w:sz w:val="20"/>
          <w:szCs w:val="20"/>
        </w:rPr>
        <w:t>Note 2: Newly Issued Accounting Standards</w:t>
      </w:r>
      <w:r>
        <w:rPr>
          <w:rFonts w:eastAsia="Times New Roman"/>
          <w:color w:val="000000"/>
          <w:sz w:val="20"/>
          <w:szCs w:val="20"/>
        </w:rPr>
        <w:t>, the Company elected to early adopt ASU 2020-06 as of January 1, 2021 using a modif</w:t>
      </w:r>
      <w:r>
        <w:rPr>
          <w:rFonts w:eastAsia="Times New Roman"/>
          <w:color w:val="000000"/>
          <w:sz w:val="20"/>
          <w:szCs w:val="20"/>
        </w:rPr>
        <w:t xml:space="preserve">ied retrospective method. The adoption resulted in a $12,939 increase in long-term debt and a $26,699 decrease in the equity component of the 2023 Notes. </w:t>
      </w:r>
    </w:p>
    <w:p w:rsidR="00000000" w:rsidRDefault="00E65947">
      <w:pPr>
        <w:jc w:val="both"/>
        <w:rPr>
          <w:rFonts w:eastAsia="Times New Roman"/>
        </w:rPr>
      </w:pPr>
    </w:p>
    <w:p w:rsidR="00000000" w:rsidRDefault="00E65947">
      <w:pPr>
        <w:jc w:val="both"/>
        <w:rPr>
          <w:rFonts w:eastAsia="Times New Roman"/>
        </w:rPr>
      </w:pPr>
      <w:r>
        <w:rPr>
          <w:rFonts w:eastAsia="Times New Roman"/>
          <w:i/>
          <w:iCs/>
          <w:color w:val="000000"/>
          <w:sz w:val="20"/>
          <w:szCs w:val="20"/>
        </w:rPr>
        <w:t>2023 Notes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February 16, 2018, Avadel Finance Cayman Limited, a Cayman Islands exempted company</w:t>
      </w:r>
      <w:r>
        <w:rPr>
          <w:rFonts w:eastAsia="Times New Roman"/>
          <w:color w:val="000000"/>
          <w:sz w:val="20"/>
          <w:szCs w:val="20"/>
        </w:rPr>
        <w:t xml:space="preserve"> (the “Issuer”) and an indirect wholly-owned subsidiary of the Company, issued $125,000 aggregate principal amount of 4.50% exchangeable senior notes due 2023 (the “2023 Notes”) in a private placement (the “Offering”) to qualified institutional buyers purs</w:t>
      </w:r>
      <w:r>
        <w:rPr>
          <w:rFonts w:eastAsia="Times New Roman"/>
          <w:color w:val="000000"/>
          <w:sz w:val="20"/>
          <w:szCs w:val="20"/>
        </w:rPr>
        <w:t>uant to Rule 144A under the Securities Act. In connection with the Offering, the Issuer granted the initial purchasers of the 2023 Notes a 30-day option to purchase up to an additional $18,750 aggregate principal amount of the 2023 Notes, which was fully e</w:t>
      </w:r>
      <w:r>
        <w:rPr>
          <w:rFonts w:eastAsia="Times New Roman"/>
          <w:color w:val="000000"/>
          <w:sz w:val="20"/>
          <w:szCs w:val="20"/>
        </w:rPr>
        <w:t>xercised on February 16, 2018. Net proceeds received by the Company, after issuance costs and discounts of $6,190, were approximately $137,560. The 2023 Notes are the Company’s senior unsecured obligations and rank equally in right of payment with all of t</w:t>
      </w:r>
      <w:r>
        <w:rPr>
          <w:rFonts w:eastAsia="Times New Roman"/>
          <w:color w:val="000000"/>
          <w:sz w:val="20"/>
          <w:szCs w:val="20"/>
        </w:rPr>
        <w:t>he Company’s existing and future senior unsecured indebtedness and effectively junior to any of the Company’s existing and future secured indebtedness, to the extent of the value of the assets securing such indebtedness.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2023 Notes will be exchangeab</w:t>
      </w:r>
      <w:r>
        <w:rPr>
          <w:rFonts w:eastAsia="Times New Roman"/>
          <w:color w:val="000000"/>
          <w:sz w:val="20"/>
          <w:szCs w:val="20"/>
        </w:rPr>
        <w:t>le at the option of the holders at an initial exchange rate of 92.6956 ADSs per $1 principal amount of 2023 Notes, which is equivalent to an initial exchange price of approximately $10.79 per ADS. Such initial exchange price represents a premium of approxi</w:t>
      </w:r>
      <w:r>
        <w:rPr>
          <w:rFonts w:eastAsia="Times New Roman"/>
          <w:color w:val="000000"/>
          <w:sz w:val="20"/>
          <w:szCs w:val="20"/>
        </w:rPr>
        <w:t>mately 20% to the $8.99 per ADS closing price on The Nasdaq Global Market on February 13, 2018. Upon the exchange of any 2023 Notes, the Issuer will pay or cause to be delivered, as the case may be, cash, ADSs or a combination of cash and ADSs, at the Issu</w:t>
      </w:r>
      <w:r>
        <w:rPr>
          <w:rFonts w:eastAsia="Times New Roman"/>
          <w:color w:val="000000"/>
          <w:sz w:val="20"/>
          <w:szCs w:val="20"/>
        </w:rPr>
        <w:t xml:space="preserve">er’s election. Holders of the 2023 Notes may convert their 2023 Notes, at their option, only under the following circumstances prior to the close of business on the business day immediately </w:t>
      </w:r>
    </w:p>
    <w:p w:rsidR="00000000" w:rsidRDefault="00E65947">
      <w:pPr>
        <w:jc w:val="center"/>
        <w:divId w:val="142238171"/>
        <w:rPr>
          <w:rFonts w:eastAsia="Times New Roman"/>
        </w:rPr>
      </w:pPr>
      <w:r>
        <w:rPr>
          <w:rFonts w:eastAsia="Times New Roman"/>
          <w:color w:val="000000"/>
          <w:sz w:val="20"/>
          <w:szCs w:val="20"/>
        </w:rPr>
        <w:t>- 18 -</w:t>
      </w:r>
    </w:p>
    <w:p w:rsidR="00000000" w:rsidRDefault="00E65947">
      <w:pPr>
        <w:rPr>
          <w:rFonts w:eastAsia="Times New Roman"/>
        </w:rPr>
      </w:pPr>
      <w:r>
        <w:rPr>
          <w:rFonts w:eastAsia="Times New Roman"/>
        </w:rPr>
        <w:pict>
          <v:rect id="_x0000_i1043" style="width:0;height:1.5pt" o:hralign="center" o:hrstd="t" o:hr="t" fillcolor="#a0a0a0" stroked="f"/>
        </w:pict>
      </w:r>
    </w:p>
    <w:p w:rsidR="00000000" w:rsidRDefault="00E65947">
      <w:pPr>
        <w:divId w:val="1179855652"/>
        <w:rPr>
          <w:rFonts w:eastAsia="Times New Roman"/>
        </w:rPr>
      </w:pPr>
    </w:p>
    <w:p w:rsidR="00000000" w:rsidRDefault="00E65947">
      <w:pPr>
        <w:jc w:val="both"/>
        <w:rPr>
          <w:rFonts w:eastAsia="Times New Roman"/>
        </w:rPr>
      </w:pPr>
      <w:r>
        <w:rPr>
          <w:rFonts w:eastAsia="Times New Roman"/>
          <w:color w:val="000000"/>
          <w:sz w:val="20"/>
          <w:szCs w:val="20"/>
        </w:rPr>
        <w:t xml:space="preserve">preceding August 1, </w:t>
      </w:r>
      <w:r>
        <w:rPr>
          <w:rFonts w:eastAsia="Times New Roman"/>
          <w:color w:val="000000"/>
          <w:sz w:val="20"/>
          <w:szCs w:val="20"/>
        </w:rPr>
        <w:t>2022, under the circumstances and during the periods set forth below and regardless of the conditions described below, on or after August 1, 2022 and prior to the close of business on the business day immediately preceding the maturity date:</w:t>
      </w:r>
    </w:p>
    <w:p w:rsidR="00000000" w:rsidRDefault="00E65947">
      <w:pPr>
        <w:divId w:val="1493250773"/>
        <w:rPr>
          <w:rFonts w:eastAsia="Times New Roman"/>
        </w:rPr>
      </w:pPr>
    </w:p>
    <w:p w:rsidR="00000000" w:rsidRDefault="00E65947">
      <w:pPr>
        <w:ind w:hanging="360"/>
        <w:jc w:val="both"/>
        <w:rPr>
          <w:rFonts w:eastAsia="Times New Roman"/>
        </w:rPr>
      </w:pPr>
      <w:r>
        <w:rPr>
          <w:rFonts w:eastAsia="Times New Roman"/>
          <w:color w:val="000000"/>
          <w:sz w:val="20"/>
          <w:szCs w:val="20"/>
        </w:rPr>
        <w:t>•Prior to th</w:t>
      </w:r>
      <w:r>
        <w:rPr>
          <w:rFonts w:eastAsia="Times New Roman"/>
          <w:color w:val="000000"/>
          <w:sz w:val="20"/>
          <w:szCs w:val="20"/>
        </w:rPr>
        <w:t>e close of business on the business day immediately preceding August 1, 2022, a holder of the 2023 Notes may surrender all or any portion of its 2023 Notes for exchange at 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w:t>
      </w:r>
      <w:r>
        <w:rPr>
          <w:rFonts w:eastAsia="Times New Roman"/>
          <w:color w:val="000000"/>
          <w:sz w:val="20"/>
          <w:szCs w:val="20"/>
        </w:rPr>
        <w:t>trading day period (the “Measurement Period”) in which the trading price per $1 principal amount of 2023 Notes, as determined following a request by a holder of the 2023 Notes, for each trading day of the measurement period was less than 98% of the product</w:t>
      </w:r>
      <w:r>
        <w:rPr>
          <w:rFonts w:eastAsia="Times New Roman"/>
          <w:color w:val="000000"/>
          <w:sz w:val="20"/>
          <w:szCs w:val="20"/>
        </w:rPr>
        <w:t xml:space="preserve"> of the last reported sale price of the ADSs and the exchange rate on each such trading day.</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color w:val="000000"/>
          <w:sz w:val="20"/>
          <w:szCs w:val="20"/>
        </w:rPr>
        <w:t>•If a transaction or event that constitutes a fundamental change or a make-whole fundamental change occurs prior to the close of business on the business day imm</w:t>
      </w:r>
      <w:r>
        <w:rPr>
          <w:rFonts w:eastAsia="Times New Roman"/>
          <w:color w:val="000000"/>
          <w:sz w:val="20"/>
          <w:szCs w:val="20"/>
        </w:rPr>
        <w:t xml:space="preserve">ediately preceding August 1, 2022, regardless of whether a holder of the 2023 Notes has the right to require the Company to repurchase the 2023 Notes, or if Avadel is a party to a merger event that occurs prior to the close of business on the business day </w:t>
      </w:r>
      <w:r>
        <w:rPr>
          <w:rFonts w:eastAsia="Times New Roman"/>
          <w:color w:val="000000"/>
          <w:sz w:val="20"/>
          <w:szCs w:val="20"/>
        </w:rPr>
        <w:t>immediately preceding August 1, 2022, all or any portion of a the holder’s 2023 Notes may be surrendered for exchange at any time from or after the date that is 95 scheduled trading days prior to the anticipated effective date of the transaction (or, if la</w:t>
      </w:r>
      <w:r>
        <w:rPr>
          <w:rFonts w:eastAsia="Times New Roman"/>
          <w:color w:val="000000"/>
          <w:sz w:val="20"/>
          <w:szCs w:val="20"/>
        </w:rPr>
        <w:t>ter, the earlier of (x) the business day after the Company gives notice of such transaction and (y) the actual effective date of such transaction) until 35 trading days after the actual effective date of such transaction or, if such transaction also consti</w:t>
      </w:r>
      <w:r>
        <w:rPr>
          <w:rFonts w:eastAsia="Times New Roman"/>
          <w:color w:val="000000"/>
          <w:sz w:val="20"/>
          <w:szCs w:val="20"/>
        </w:rPr>
        <w:t xml:space="preserve">tutes a fundamental change, until the related fundamental change repurchase date. </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color w:val="000000"/>
          <w:sz w:val="20"/>
          <w:szCs w:val="20"/>
        </w:rPr>
        <w:t>•Prior to the close of business on the business day immediately preceding August 1, 2022, a holder of the 2023 Notes may surrender all or any portion of its 2023 Notes for</w:t>
      </w:r>
      <w:r>
        <w:rPr>
          <w:rFonts w:eastAsia="Times New Roman"/>
          <w:color w:val="000000"/>
          <w:sz w:val="20"/>
          <w:szCs w:val="20"/>
        </w:rPr>
        <w:t xml:space="preserve"> exchange at any time during any calendar quarter commencing after the calendar quarter ending on June 30, 2018 (and only during such calendar quarter), if the last reported sale price of the ADSs for at least 20 trading days (whether or not consecutive) d</w:t>
      </w:r>
      <w:r>
        <w:rPr>
          <w:rFonts w:eastAsia="Times New Roman"/>
          <w:color w:val="000000"/>
          <w:sz w:val="20"/>
          <w:szCs w:val="20"/>
        </w:rPr>
        <w:t xml:space="preserve">uring the period of 30 consecutive trading days ending on, and including, the last trading day of the immediately preceding calendar quarter is greater than or equal to 130% of the exchange price on each applicable trading day. </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color w:val="000000"/>
          <w:sz w:val="20"/>
          <w:szCs w:val="20"/>
        </w:rPr>
        <w:t>•</w:t>
      </w:r>
      <w:r>
        <w:rPr>
          <w:rFonts w:eastAsia="Times New Roman"/>
          <w:color w:val="000000"/>
          <w:sz w:val="20"/>
          <w:szCs w:val="20"/>
        </w:rPr>
        <w:t>If the Company calls the 2023 Notes for redemption pursuant to Article 16 to the Indenture prior to the close of business on the business day immediately preceding August 1, 2022, then a holder of the 2023 Notes may surrender all or any portion of its 2023</w:t>
      </w:r>
      <w:r>
        <w:rPr>
          <w:rFonts w:eastAsia="Times New Roman"/>
          <w:color w:val="000000"/>
          <w:sz w:val="20"/>
          <w:szCs w:val="20"/>
        </w:rPr>
        <w:t xml:space="preserve"> Notes for exchange at any time prior to the close of business on the second business day prior to the redemption date, even if the 2023 Notes are not otherwise exchangeable at such time. After that time, the right to exchange shall expire, unless the Comp</w:t>
      </w:r>
      <w:r>
        <w:rPr>
          <w:rFonts w:eastAsia="Times New Roman"/>
          <w:color w:val="000000"/>
          <w:sz w:val="20"/>
          <w:szCs w:val="20"/>
        </w:rPr>
        <w:t>any defaults in the payment of the redemption price, in which case a holder of the 2023 Notes may exchange its 2023 Notes until the redemption price has been paid or duly provided for.</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We considered the guidance in ASC 815-15, </w:t>
      </w:r>
      <w:r>
        <w:rPr>
          <w:rFonts w:eastAsia="Times New Roman"/>
          <w:i/>
          <w:iCs/>
          <w:color w:val="000000"/>
          <w:sz w:val="20"/>
          <w:szCs w:val="20"/>
        </w:rPr>
        <w:t>Embedded Derivatives</w:t>
      </w:r>
      <w:r>
        <w:rPr>
          <w:rFonts w:eastAsia="Times New Roman"/>
          <w:color w:val="000000"/>
          <w:sz w:val="20"/>
          <w:szCs w:val="20"/>
        </w:rPr>
        <w:t>, to de</w:t>
      </w:r>
      <w:r>
        <w:rPr>
          <w:rFonts w:eastAsia="Times New Roman"/>
          <w:color w:val="000000"/>
          <w:sz w:val="20"/>
          <w:szCs w:val="20"/>
        </w:rPr>
        <w:t>termine if this instrument contains an embedded feature that should be separately accounted for as a derivative. ASC 815 provides for an exception to this rule when convertible notes, as host instruments, are deemed to be conventional, as defined by ASC 81</w:t>
      </w:r>
      <w:r>
        <w:rPr>
          <w:rFonts w:eastAsia="Times New Roman"/>
          <w:color w:val="000000"/>
          <w:sz w:val="20"/>
          <w:szCs w:val="20"/>
        </w:rPr>
        <w:t xml:space="preserve">5-40. We determined that this exception applies due, in part, to our ability to settle the 2023 Notes in cash, ADSs or a combination of cash and ADSs, at our option. We have therefore applied the guidance provided by ASC 470-20, </w:t>
      </w:r>
      <w:r>
        <w:rPr>
          <w:rFonts w:eastAsia="Times New Roman"/>
          <w:i/>
          <w:iCs/>
          <w:color w:val="000000"/>
          <w:sz w:val="20"/>
          <w:szCs w:val="20"/>
        </w:rPr>
        <w:t>Debt with Conversion and Ot</w:t>
      </w:r>
      <w:r>
        <w:rPr>
          <w:rFonts w:eastAsia="Times New Roman"/>
          <w:i/>
          <w:iCs/>
          <w:color w:val="000000"/>
          <w:sz w:val="20"/>
          <w:szCs w:val="20"/>
        </w:rPr>
        <w:t>her Options</w:t>
      </w:r>
      <w:r>
        <w:rPr>
          <w:rFonts w:eastAsia="Times New Roman"/>
          <w:color w:val="000000"/>
          <w:sz w:val="20"/>
          <w:szCs w:val="20"/>
        </w:rPr>
        <w:t xml:space="preserve">, as amended by ASU 2020-06. </w:t>
      </w:r>
    </w:p>
    <w:p w:rsidR="00000000" w:rsidRDefault="00E65947">
      <w:pPr>
        <w:jc w:val="both"/>
        <w:rPr>
          <w:rFonts w:eastAsia="Times New Roman"/>
        </w:rPr>
      </w:pPr>
    </w:p>
    <w:p w:rsidR="00000000" w:rsidRDefault="00E65947">
      <w:pPr>
        <w:divId w:val="901216468"/>
        <w:rPr>
          <w:rFonts w:eastAsia="Times New Roman"/>
        </w:rPr>
      </w:pPr>
      <w:r>
        <w:rPr>
          <w:rFonts w:eastAsia="Times New Roman"/>
          <w:b/>
          <w:bCs/>
          <w:color w:val="000000"/>
          <w:sz w:val="20"/>
          <w:szCs w:val="20"/>
        </w:rPr>
        <w:t>NOTE 10:</w:t>
      </w:r>
      <w:r>
        <w:rPr>
          <w:rFonts w:eastAsia="Times New Roman"/>
          <w:color w:val="000000"/>
          <w:sz w:val="20"/>
          <w:szCs w:val="20"/>
        </w:rPr>
        <w:t xml:space="preserve"> </w:t>
      </w:r>
      <w:r>
        <w:rPr>
          <w:rFonts w:eastAsia="Times New Roman"/>
          <w:b/>
          <w:bCs/>
          <w:color w:val="000000"/>
          <w:sz w:val="20"/>
          <w:szCs w:val="20"/>
        </w:rPr>
        <w:t xml:space="preserve">Income Taxes </w:t>
      </w:r>
    </w:p>
    <w:p w:rsidR="00000000" w:rsidRDefault="00E65947">
      <w:pPr>
        <w:divId w:val="55663425"/>
        <w:rPr>
          <w:rFonts w:eastAsia="Times New Roman"/>
        </w:rPr>
      </w:pPr>
    </w:p>
    <w:p w:rsidR="00000000" w:rsidRDefault="00E65947">
      <w:pPr>
        <w:jc w:val="both"/>
        <w:rPr>
          <w:rFonts w:eastAsia="Times New Roman"/>
        </w:rPr>
      </w:pPr>
      <w:r>
        <w:rPr>
          <w:rFonts w:eastAsia="Times New Roman"/>
          <w:color w:val="000000"/>
          <w:sz w:val="20"/>
          <w:szCs w:val="20"/>
        </w:rPr>
        <w:t xml:space="preserve">The income tax benefit was $3,765 for the three months ended June 30, 2021 resulting in an effective tax rate of 16.1%. The income tax expense was $5,292 </w:t>
      </w:r>
      <w:r>
        <w:rPr>
          <w:rFonts w:eastAsia="Times New Roman"/>
          <w:color w:val="000000"/>
          <w:sz w:val="20"/>
          <w:szCs w:val="20"/>
        </w:rPr>
        <w:t xml:space="preserve">for the three months ended June 30, 2020 resulting in an effective tax rate of 14.6%.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income tax benefit was $6,372 for the six months ended June 30, 2021 resulting in an effective tax rate of 16.2%. The income tax benefit was $4,218 for the six mon</w:t>
      </w:r>
      <w:r>
        <w:rPr>
          <w:rFonts w:eastAsia="Times New Roman"/>
          <w:color w:val="000000"/>
          <w:sz w:val="20"/>
          <w:szCs w:val="20"/>
        </w:rPr>
        <w:t>ths ended June 30, 2020 resulting in an effective tax rate of (16.4)%. The net increase in the effective income tax rate for the six months ended June 30, 2021 as compared to the prior period in 2020 is primarily due to the discrete tax benefits recognized</w:t>
      </w:r>
      <w:r>
        <w:rPr>
          <w:rFonts w:eastAsia="Times New Roman"/>
          <w:color w:val="000000"/>
          <w:sz w:val="20"/>
          <w:szCs w:val="20"/>
        </w:rPr>
        <w:t xml:space="preserve"> during the six months ended June 30, 2020 under the Coronavirus Aid, Relief and Economic Security Act, also known as the CARES Act, which did not occur during the six months ended June 30, 2021. </w:t>
      </w:r>
    </w:p>
    <w:p w:rsidR="00000000" w:rsidRDefault="00E65947">
      <w:pPr>
        <w:divId w:val="1971740769"/>
        <w:rPr>
          <w:rFonts w:eastAsia="Times New Roman"/>
        </w:rPr>
      </w:pPr>
    </w:p>
    <w:p w:rsidR="00000000" w:rsidRDefault="00E65947">
      <w:pPr>
        <w:divId w:val="298847751"/>
        <w:rPr>
          <w:rFonts w:eastAsia="Times New Roman"/>
        </w:rPr>
      </w:pPr>
      <w:r>
        <w:rPr>
          <w:rFonts w:eastAsia="Times New Roman"/>
          <w:color w:val="000000"/>
          <w:sz w:val="20"/>
          <w:szCs w:val="20"/>
        </w:rPr>
        <w:t>During the six months ended June 30, 2021 and 2020, the C</w:t>
      </w:r>
      <w:r>
        <w:rPr>
          <w:rFonts w:eastAsia="Times New Roman"/>
          <w:color w:val="000000"/>
          <w:sz w:val="20"/>
          <w:szCs w:val="20"/>
        </w:rPr>
        <w:t>ompany received $3,078 and $2,036, respectively, of cash primarily related to refundable French Research &amp; Development Tax Credits generated in prior years.</w:t>
      </w:r>
    </w:p>
    <w:p w:rsidR="00000000" w:rsidRDefault="00E65947">
      <w:pPr>
        <w:jc w:val="center"/>
        <w:divId w:val="730075196"/>
        <w:rPr>
          <w:rFonts w:eastAsia="Times New Roman"/>
        </w:rPr>
      </w:pPr>
      <w:r>
        <w:rPr>
          <w:rFonts w:eastAsia="Times New Roman"/>
          <w:color w:val="000000"/>
          <w:sz w:val="20"/>
          <w:szCs w:val="20"/>
        </w:rPr>
        <w:t>- 19 -</w:t>
      </w:r>
    </w:p>
    <w:p w:rsidR="00000000" w:rsidRDefault="00E65947">
      <w:pPr>
        <w:rPr>
          <w:rFonts w:eastAsia="Times New Roman"/>
        </w:rPr>
      </w:pPr>
      <w:r>
        <w:rPr>
          <w:rFonts w:eastAsia="Times New Roman"/>
        </w:rPr>
        <w:pict>
          <v:rect id="_x0000_i1044" style="width:0;height:1.5pt" o:hralign="center" o:hrstd="t" o:hr="t" fillcolor="#a0a0a0" stroked="f"/>
        </w:pict>
      </w:r>
    </w:p>
    <w:p w:rsidR="00000000" w:rsidRDefault="00E65947">
      <w:pPr>
        <w:divId w:val="1632709812"/>
        <w:rPr>
          <w:rFonts w:eastAsia="Times New Roman"/>
        </w:rPr>
      </w:pPr>
    </w:p>
    <w:p w:rsidR="00000000" w:rsidRDefault="00E65947">
      <w:pPr>
        <w:divId w:val="14352785"/>
        <w:rPr>
          <w:rFonts w:eastAsia="Times New Roman"/>
        </w:rPr>
      </w:pPr>
      <w:r>
        <w:rPr>
          <w:rFonts w:eastAsia="Times New Roman"/>
          <w:b/>
          <w:bCs/>
          <w:color w:val="000000"/>
          <w:sz w:val="20"/>
          <w:szCs w:val="20"/>
        </w:rPr>
        <w:t>NOTE 11:</w:t>
      </w:r>
      <w:r>
        <w:rPr>
          <w:rFonts w:eastAsia="Times New Roman"/>
          <w:color w:val="000000"/>
          <w:sz w:val="20"/>
          <w:szCs w:val="20"/>
        </w:rPr>
        <w:t xml:space="preserve"> </w:t>
      </w:r>
      <w:r>
        <w:rPr>
          <w:rFonts w:eastAsia="Times New Roman"/>
          <w:b/>
          <w:bCs/>
          <w:color w:val="000000"/>
          <w:sz w:val="20"/>
          <w:szCs w:val="20"/>
        </w:rPr>
        <w:t>Other Assets and Liabilities </w:t>
      </w:r>
    </w:p>
    <w:p w:rsidR="00000000" w:rsidRDefault="00E65947">
      <w:pPr>
        <w:divId w:val="600576509"/>
        <w:rPr>
          <w:rFonts w:eastAsia="Times New Roman"/>
        </w:rPr>
      </w:pPr>
      <w:r>
        <w:rPr>
          <w:rFonts w:eastAsia="Times New Roman"/>
          <w:color w:val="000000"/>
          <w:sz w:val="20"/>
          <w:szCs w:val="20"/>
        </w:rPr>
        <w:t>Various other a</w:t>
      </w:r>
      <w:r>
        <w:rPr>
          <w:rFonts w:eastAsia="Times New Roman"/>
          <w:color w:val="000000"/>
          <w:sz w:val="20"/>
          <w:szCs w:val="20"/>
        </w:rPr>
        <w:t>ssets and liabilities are summarized as follows: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trPr>
          <w:divId w:val="1469008248"/>
        </w:trPr>
        <w:tc>
          <w:tcPr>
            <w:tcW w:w="50" w:type="pct"/>
            <w:vAlign w:val="center"/>
            <w:hideMark/>
          </w:tcPr>
          <w:p w:rsidR="00000000" w:rsidRDefault="00E65947">
            <w:pPr>
              <w:rPr>
                <w:rFonts w:eastAsia="Times New Roman"/>
              </w:rPr>
            </w:pPr>
          </w:p>
        </w:tc>
        <w:tc>
          <w:tcPr>
            <w:tcW w:w="307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469008248"/>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Prepaid Expenses and Other Current Assets: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divId w:val="146900824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46900824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Value-added tax recoverable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341 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469008248"/>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3,983 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1,018 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46900824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Short-term deposit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1,418 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469008248"/>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Guarantee from Armistice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274 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46900824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Income tax receivable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18,835 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18,615 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469008248"/>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419982034"/>
              <w:rPr>
                <w:rFonts w:eastAsia="Times New Roman"/>
              </w:rPr>
            </w:pPr>
            <w:r>
              <w:rPr>
                <w:rFonts w:eastAsia="Times New Roman"/>
                <w:color w:val="000000"/>
                <w:sz w:val="18"/>
                <w:szCs w:val="18"/>
              </w:rPr>
              <w:t xml:space="preserve">Receivable from Exela (see </w:t>
            </w:r>
            <w:r>
              <w:rPr>
                <w:rFonts w:eastAsia="Times New Roman"/>
                <w:i/>
                <w:iCs/>
                <w:color w:val="000000"/>
                <w:sz w:val="18"/>
                <w:szCs w:val="18"/>
              </w:rPr>
              <w:t>Note 3</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16,500 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46900824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457 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469008248"/>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839779012"/>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25,308 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5091"/>
        <w:gridCol w:w="144"/>
        <w:gridCol w:w="144"/>
        <w:gridCol w:w="144"/>
        <w:gridCol w:w="144"/>
        <w:gridCol w:w="144"/>
        <w:gridCol w:w="1401"/>
        <w:gridCol w:w="144"/>
        <w:gridCol w:w="144"/>
        <w:gridCol w:w="144"/>
        <w:gridCol w:w="144"/>
        <w:gridCol w:w="144"/>
        <w:gridCol w:w="1401"/>
        <w:gridCol w:w="144"/>
      </w:tblGrid>
      <w:tr w:rsidR="00000000">
        <w:tc>
          <w:tcPr>
            <w:tcW w:w="50" w:type="pct"/>
            <w:vAlign w:val="center"/>
            <w:hideMark/>
          </w:tcPr>
          <w:p w:rsidR="00000000" w:rsidRDefault="00E65947">
            <w:pPr>
              <w:rPr>
                <w:rFonts w:eastAsia="Times New Roman"/>
              </w:rPr>
            </w:pPr>
          </w:p>
        </w:tc>
        <w:tc>
          <w:tcPr>
            <w:tcW w:w="307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24,484 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18,256 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Guarantee from Armistice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1,050 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5,749 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5,201 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357 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671760815"/>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24,939 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divId w:val="816727818"/>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trPr>
          <w:divId w:val="816727818"/>
        </w:trPr>
        <w:tc>
          <w:tcPr>
            <w:tcW w:w="50" w:type="pct"/>
            <w:vAlign w:val="center"/>
            <w:hideMark/>
          </w:tcPr>
          <w:p w:rsidR="00000000" w:rsidRDefault="00E65947">
            <w:pPr>
              <w:rPr>
                <w:rFonts w:eastAsia="Times New Roman"/>
              </w:rPr>
            </w:pPr>
          </w:p>
        </w:tc>
        <w:tc>
          <w:tcPr>
            <w:tcW w:w="307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816727818"/>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 xml:space="preserve">Accrued Expenses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divId w:val="81672781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81672781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Accrued compensation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1,504 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1,697 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16727818"/>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194081276"/>
              <w:rPr>
                <w:rFonts w:eastAsia="Times New Roman"/>
              </w:rPr>
            </w:pPr>
            <w:r>
              <w:rPr>
                <w:rFonts w:eastAsia="Times New Roman"/>
                <w:color w:val="000000"/>
                <w:sz w:val="18"/>
                <w:szCs w:val="18"/>
              </w:rPr>
              <w:t xml:space="preserve">Accrued restructuring (see </w:t>
            </w:r>
            <w:r>
              <w:rPr>
                <w:rFonts w:eastAsia="Times New Roman"/>
                <w:i/>
                <w:iCs/>
                <w:color w:val="000000"/>
                <w:sz w:val="18"/>
                <w:szCs w:val="18"/>
              </w:rPr>
              <w:t>Note 12</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1672781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Customer allowances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821 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1,030 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16727818"/>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Accrued outsource contract costs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837 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473 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16727818"/>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816727818"/>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4,185 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2,781 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16727818"/>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194390866"/>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7,524 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5091"/>
        <w:gridCol w:w="144"/>
        <w:gridCol w:w="144"/>
        <w:gridCol w:w="144"/>
        <w:gridCol w:w="144"/>
        <w:gridCol w:w="144"/>
        <w:gridCol w:w="1401"/>
        <w:gridCol w:w="144"/>
        <w:gridCol w:w="144"/>
        <w:gridCol w:w="144"/>
        <w:gridCol w:w="144"/>
        <w:gridCol w:w="144"/>
        <w:gridCol w:w="1401"/>
        <w:gridCol w:w="144"/>
      </w:tblGrid>
      <w:tr w:rsidR="00000000">
        <w:tc>
          <w:tcPr>
            <w:tcW w:w="50" w:type="pct"/>
            <w:vAlign w:val="center"/>
            <w:hideMark/>
          </w:tcPr>
          <w:p w:rsidR="00000000" w:rsidRDefault="00E65947">
            <w:pPr>
              <w:rPr>
                <w:rFonts w:eastAsia="Times New Roman"/>
              </w:rPr>
            </w:pPr>
          </w:p>
        </w:tc>
        <w:tc>
          <w:tcPr>
            <w:tcW w:w="307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Due to Exela</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2,026 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275 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1774397795"/>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divId w:val="1386293856"/>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1"/>
        <w:gridCol w:w="1327"/>
        <w:gridCol w:w="36"/>
      </w:tblGrid>
      <w:tr w:rsidR="00000000">
        <w:trPr>
          <w:divId w:val="487746674"/>
        </w:trPr>
        <w:tc>
          <w:tcPr>
            <w:tcW w:w="50" w:type="pct"/>
            <w:vAlign w:val="center"/>
            <w:hideMark/>
          </w:tcPr>
          <w:p w:rsidR="00000000" w:rsidRDefault="00E65947">
            <w:pPr>
              <w:rPr>
                <w:rFonts w:eastAsia="Times New Roman"/>
              </w:rPr>
            </w:pPr>
          </w:p>
        </w:tc>
        <w:tc>
          <w:tcPr>
            <w:tcW w:w="307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84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487746674"/>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June 30, 2021</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December 31, 2020</w:t>
            </w:r>
          </w:p>
        </w:tc>
      </w:tr>
      <w:tr w:rsidR="00000000">
        <w:trPr>
          <w:divId w:val="48774667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487746674"/>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487746674"/>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487746674"/>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Guarantee to Deerfield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1,053 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487746674"/>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487746674"/>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1183282726"/>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divId w:val="1853110623"/>
        <w:rPr>
          <w:rFonts w:eastAsia="Times New Roman"/>
        </w:rPr>
      </w:pPr>
    </w:p>
    <w:p w:rsidR="00000000" w:rsidRDefault="00E65947">
      <w:pPr>
        <w:jc w:val="both"/>
        <w:divId w:val="81267064"/>
        <w:rPr>
          <w:rFonts w:eastAsia="Times New Roman"/>
        </w:rPr>
      </w:pPr>
      <w:r>
        <w:rPr>
          <w:rFonts w:eastAsia="Times New Roman"/>
          <w:b/>
          <w:bCs/>
          <w:color w:val="000000"/>
          <w:sz w:val="20"/>
          <w:szCs w:val="20"/>
        </w:rPr>
        <w:t>N</w:t>
      </w:r>
      <w:r>
        <w:rPr>
          <w:rFonts w:eastAsia="Times New Roman"/>
          <w:b/>
          <w:bCs/>
          <w:color w:val="000000"/>
          <w:sz w:val="20"/>
          <w:szCs w:val="20"/>
        </w:rPr>
        <w:t>OTE 12: Restructuring Costs</w:t>
      </w:r>
    </w:p>
    <w:p w:rsidR="00000000" w:rsidRDefault="00E65947">
      <w:pPr>
        <w:jc w:val="both"/>
        <w:divId w:val="1165632483"/>
        <w:rPr>
          <w:rFonts w:eastAsia="Times New Roman"/>
        </w:rPr>
      </w:pPr>
      <w:r>
        <w:rPr>
          <w:rFonts w:eastAsia="Times New Roman"/>
          <w:i/>
          <w:iCs/>
          <w:color w:val="000000"/>
          <w:sz w:val="20"/>
          <w:szCs w:val="20"/>
        </w:rPr>
        <w:t>2019 French Restructuring</w:t>
      </w:r>
    </w:p>
    <w:p w:rsidR="00000000" w:rsidRDefault="00E65947">
      <w:pPr>
        <w:jc w:val="both"/>
        <w:divId w:val="1289625292"/>
        <w:rPr>
          <w:rFonts w:eastAsia="Times New Roman"/>
        </w:rPr>
      </w:pPr>
      <w:r>
        <w:rPr>
          <w:rFonts w:eastAsia="Times New Roman"/>
          <w:color w:val="000000"/>
          <w:sz w:val="20"/>
          <w:szCs w:val="20"/>
        </w:rPr>
        <w:t>During the second quarter of 2019, the Company initiated a plan to substantially reduce all of its workforce at its Vénissieux, France site (“2019 French Restructuring”). This reduction was part of an e</w:t>
      </w:r>
      <w:r>
        <w:rPr>
          <w:rFonts w:eastAsia="Times New Roman"/>
          <w:color w:val="000000"/>
          <w:sz w:val="20"/>
          <w:szCs w:val="20"/>
        </w:rPr>
        <w:t>ffort to align the Company’s cost structure with our ongoing and future planned projects. The reduction in workforce was completed during 2020. Restructuring (income) charges associated with this plan recognized during the three and six months ended June 3</w:t>
      </w:r>
      <w:r>
        <w:rPr>
          <w:rFonts w:eastAsia="Times New Roman"/>
          <w:color w:val="000000"/>
          <w:sz w:val="20"/>
          <w:szCs w:val="20"/>
        </w:rPr>
        <w:t xml:space="preserve">0, 2021 and 2020 were immaterial. </w:t>
      </w:r>
    </w:p>
    <w:p w:rsidR="00000000" w:rsidRDefault="00E65947">
      <w:pPr>
        <w:jc w:val="center"/>
        <w:divId w:val="1981228056"/>
        <w:rPr>
          <w:rFonts w:eastAsia="Times New Roman"/>
        </w:rPr>
      </w:pPr>
      <w:r>
        <w:rPr>
          <w:rFonts w:eastAsia="Times New Roman"/>
          <w:color w:val="000000"/>
          <w:sz w:val="20"/>
          <w:szCs w:val="20"/>
        </w:rPr>
        <w:t>- 20 -</w:t>
      </w:r>
    </w:p>
    <w:p w:rsidR="00000000" w:rsidRDefault="00E65947">
      <w:pPr>
        <w:rPr>
          <w:rFonts w:eastAsia="Times New Roman"/>
        </w:rPr>
      </w:pPr>
      <w:r>
        <w:rPr>
          <w:rFonts w:eastAsia="Times New Roman"/>
        </w:rPr>
        <w:pict>
          <v:rect id="_x0000_i1045" style="width:0;height:1.5pt" o:hralign="center" o:hrstd="t" o:hr="t" fillcolor="#a0a0a0" stroked="f"/>
        </w:pict>
      </w:r>
    </w:p>
    <w:p w:rsidR="00000000" w:rsidRDefault="00E65947">
      <w:pPr>
        <w:divId w:val="644161561"/>
        <w:rPr>
          <w:rFonts w:eastAsia="Times New Roman"/>
        </w:rPr>
      </w:pPr>
    </w:p>
    <w:p w:rsidR="00000000" w:rsidRDefault="00E65947">
      <w:pPr>
        <w:jc w:val="both"/>
        <w:divId w:val="1298337352"/>
        <w:rPr>
          <w:rFonts w:eastAsia="Times New Roman"/>
        </w:rPr>
      </w:pPr>
      <w:r>
        <w:rPr>
          <w:rFonts w:eastAsia="Times New Roman"/>
          <w:color w:val="000000"/>
          <w:sz w:val="20"/>
          <w:szCs w:val="20"/>
        </w:rPr>
        <w:t>The following table sets forth activities for the Company’s cost reduction plan obligations for the six months ended June 30,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979"/>
        <w:gridCol w:w="36"/>
        <w:gridCol w:w="36"/>
        <w:gridCol w:w="36"/>
        <w:gridCol w:w="36"/>
        <w:gridCol w:w="110"/>
        <w:gridCol w:w="917"/>
        <w:gridCol w:w="36"/>
        <w:gridCol w:w="36"/>
        <w:gridCol w:w="36"/>
      </w:tblGrid>
      <w:tr w:rsidR="00000000">
        <w:trPr>
          <w:divId w:val="1532377178"/>
          <w:jc w:val="center"/>
        </w:trPr>
        <w:tc>
          <w:tcPr>
            <w:tcW w:w="50" w:type="pct"/>
            <w:vAlign w:val="center"/>
            <w:hideMark/>
          </w:tcPr>
          <w:p w:rsidR="00000000" w:rsidRDefault="00E65947">
            <w:pPr>
              <w:jc w:val="both"/>
              <w:rPr>
                <w:rFonts w:eastAsia="Times New Roman"/>
              </w:rPr>
            </w:pPr>
          </w:p>
        </w:tc>
        <w:tc>
          <w:tcPr>
            <w:tcW w:w="425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9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532377178"/>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2019 French Restructuring Obligation:</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E65947">
            <w:pPr>
              <w:spacing w:after="100"/>
              <w:jc w:val="center"/>
              <w:rPr>
                <w:rFonts w:eastAsia="Times New Roman"/>
              </w:rPr>
            </w:pPr>
          </w:p>
        </w:tc>
        <w:tc>
          <w:tcPr>
            <w:tcW w:w="0" w:type="auto"/>
            <w:vAlign w:val="center"/>
            <w:hideMark/>
          </w:tcPr>
          <w:p w:rsidR="00000000" w:rsidRDefault="00E65947">
            <w:pPr>
              <w:spacing w:after="100"/>
              <w:rPr>
                <w:rFonts w:eastAsia="Times New Roman"/>
                <w:sz w:val="20"/>
                <w:szCs w:val="20"/>
              </w:rPr>
            </w:pPr>
          </w:p>
        </w:tc>
      </w:tr>
      <w:tr w:rsidR="00000000">
        <w:trPr>
          <w:divId w:val="1532377178"/>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532377178"/>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248 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532377178"/>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Income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(122)</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532377178"/>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532377178"/>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Foreign currency impact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532377178"/>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Balance of restructuring accrual at June 30,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bl>
    <w:p w:rsidR="00000000" w:rsidRDefault="00E65947">
      <w:pPr>
        <w:jc w:val="both"/>
        <w:rPr>
          <w:rFonts w:eastAsia="Times New Roman"/>
        </w:rPr>
      </w:pPr>
      <w:r>
        <w:rPr>
          <w:rFonts w:eastAsia="Times New Roman"/>
          <w:color w:val="000000"/>
          <w:sz w:val="20"/>
          <w:szCs w:val="20"/>
        </w:rPr>
        <w:t>The 2019 French Restructuring liabilities of $107 are included in the unaudited con</w:t>
      </w:r>
      <w:r>
        <w:rPr>
          <w:rFonts w:eastAsia="Times New Roman"/>
          <w:color w:val="000000"/>
          <w:sz w:val="20"/>
          <w:szCs w:val="20"/>
        </w:rPr>
        <w:t>densed consolidated balance sheet in accrued expenses at June 30, 2021.</w:t>
      </w:r>
    </w:p>
    <w:p w:rsidR="00000000" w:rsidRDefault="00E65947">
      <w:pPr>
        <w:jc w:val="both"/>
        <w:rPr>
          <w:rFonts w:eastAsia="Times New Roman"/>
        </w:rPr>
      </w:pPr>
    </w:p>
    <w:p w:rsidR="00000000" w:rsidRDefault="00E65947">
      <w:pPr>
        <w:jc w:val="both"/>
        <w:rPr>
          <w:rFonts w:eastAsia="Times New Roman"/>
        </w:rPr>
      </w:pPr>
      <w:r>
        <w:rPr>
          <w:rFonts w:eastAsia="Times New Roman"/>
          <w:i/>
          <w:iCs/>
          <w:color w:val="000000"/>
          <w:sz w:val="20"/>
          <w:szCs w:val="20"/>
        </w:rPr>
        <w:t>2019 Corporate Restructuring</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During the first quarter of 2019, the Company announced a plan to reduce its Corporate workforce by more than 50% (“2019 Corporate Restructuring”). The</w:t>
      </w:r>
      <w:r>
        <w:rPr>
          <w:rFonts w:eastAsia="Times New Roman"/>
          <w:color w:val="000000"/>
          <w:sz w:val="20"/>
          <w:szCs w:val="20"/>
        </w:rPr>
        <w:t xml:space="preserve"> reduction in workforce is primarily a result of the exit of Noctiva during the first quarter of 2019, as well as an effort to better align the Company’s remaining cost structure at our U.S. and Ireland locations with our ongoing and future planned project</w:t>
      </w:r>
      <w:r>
        <w:rPr>
          <w:rFonts w:eastAsia="Times New Roman"/>
          <w:color w:val="000000"/>
          <w:sz w:val="20"/>
          <w:szCs w:val="20"/>
        </w:rPr>
        <w:t>s. The reduction in workforce was completed during 2020. The restructuring charges associated with this plan recognized during the six months ended June 30, 2021 and 2020 were immaterial.</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following table sets forth activities for the Company’s cost r</w:t>
      </w:r>
      <w:r>
        <w:rPr>
          <w:rFonts w:eastAsia="Times New Roman"/>
          <w:color w:val="000000"/>
          <w:sz w:val="20"/>
          <w:szCs w:val="20"/>
        </w:rPr>
        <w:t>eduction plan obligations for the six months ended June 30,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7120"/>
        <w:gridCol w:w="36"/>
        <w:gridCol w:w="36"/>
        <w:gridCol w:w="36"/>
        <w:gridCol w:w="36"/>
        <w:gridCol w:w="110"/>
        <w:gridCol w:w="706"/>
        <w:gridCol w:w="36"/>
        <w:gridCol w:w="36"/>
        <w:gridCol w:w="36"/>
        <w:gridCol w:w="36"/>
        <w:gridCol w:w="36"/>
      </w:tblGrid>
      <w:tr w:rsidR="00000000">
        <w:trPr>
          <w:divId w:val="1196626171"/>
          <w:jc w:val="center"/>
        </w:trPr>
        <w:tc>
          <w:tcPr>
            <w:tcW w:w="50" w:type="pct"/>
            <w:vAlign w:val="center"/>
            <w:hideMark/>
          </w:tcPr>
          <w:p w:rsidR="00000000" w:rsidRDefault="00E65947">
            <w:pPr>
              <w:jc w:val="both"/>
              <w:rPr>
                <w:rFonts w:eastAsia="Times New Roman"/>
              </w:rPr>
            </w:pPr>
          </w:p>
        </w:tc>
        <w:tc>
          <w:tcPr>
            <w:tcW w:w="438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71"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196626171"/>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2019 Corporate Restructuring Obligation:</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vAlign w:val="center"/>
            <w:hideMark/>
          </w:tcPr>
          <w:p w:rsidR="00000000" w:rsidRDefault="00E65947">
            <w:pPr>
              <w:spacing w:after="100"/>
              <w:jc w:val="center"/>
              <w:rPr>
                <w:rFonts w:eastAsia="Times New Roman"/>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196626171"/>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196626171"/>
          <w:jc w:val="center"/>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272 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196626171"/>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196626171"/>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(202)</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196626171"/>
          <w:jc w:val="center"/>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r w:rsidR="00000000">
        <w:trPr>
          <w:divId w:val="1196626171"/>
          <w:jc w:val="center"/>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Balance of restructuring accrual at June 30,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vAlign w:val="center"/>
            <w:hideMark/>
          </w:tcPr>
          <w:p w:rsidR="00000000" w:rsidRDefault="00E65947">
            <w:pPr>
              <w:spacing w:after="100"/>
              <w:jc w:val="right"/>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c>
          <w:tcPr>
            <w:tcW w:w="0" w:type="auto"/>
            <w:vAlign w:val="center"/>
            <w:hideMark/>
          </w:tcPr>
          <w:p w:rsidR="00000000" w:rsidRDefault="00E65947">
            <w:pPr>
              <w:spacing w:after="100"/>
              <w:rPr>
                <w:rFonts w:eastAsia="Times New Roman"/>
                <w:sz w:val="20"/>
                <w:szCs w:val="20"/>
              </w:rPr>
            </w:pPr>
          </w:p>
        </w:tc>
      </w:tr>
    </w:tbl>
    <w:p w:rsidR="00000000" w:rsidRDefault="00E65947">
      <w:pPr>
        <w:jc w:val="both"/>
        <w:rPr>
          <w:rFonts w:eastAsia="Times New Roman"/>
        </w:rPr>
      </w:pPr>
      <w:r>
        <w:rPr>
          <w:rFonts w:eastAsia="Times New Roman"/>
          <w:color w:val="000000"/>
          <w:sz w:val="20"/>
          <w:szCs w:val="20"/>
        </w:rPr>
        <w:t xml:space="preserve">The 2019 Corporate Restructuring liabilities of $70 </w:t>
      </w:r>
      <w:r>
        <w:rPr>
          <w:rFonts w:eastAsia="Times New Roman"/>
          <w:color w:val="000000"/>
          <w:sz w:val="20"/>
          <w:szCs w:val="20"/>
        </w:rPr>
        <w:t xml:space="preserve">are included in the unaudited condensed consolidated balance sheet in accrued expenses at June 30, 2021. </w:t>
      </w:r>
    </w:p>
    <w:p w:rsidR="00000000" w:rsidRDefault="00E65947">
      <w:pPr>
        <w:jc w:val="both"/>
        <w:rPr>
          <w:rFonts w:eastAsia="Times New Roman"/>
        </w:rPr>
      </w:pPr>
    </w:p>
    <w:p w:rsidR="00000000" w:rsidRDefault="00E65947">
      <w:pPr>
        <w:divId w:val="1881547096"/>
        <w:rPr>
          <w:rFonts w:eastAsia="Times New Roman"/>
        </w:rPr>
      </w:pPr>
      <w:r>
        <w:rPr>
          <w:rFonts w:eastAsia="Times New Roman"/>
          <w:b/>
          <w:bCs/>
          <w:color w:val="000000"/>
          <w:sz w:val="20"/>
          <w:szCs w:val="20"/>
        </w:rPr>
        <w:t>NOTE 13:</w:t>
      </w:r>
      <w:r>
        <w:rPr>
          <w:rFonts w:eastAsia="Times New Roman"/>
          <w:color w:val="000000"/>
          <w:sz w:val="20"/>
          <w:szCs w:val="20"/>
        </w:rPr>
        <w:t xml:space="preserve"> </w:t>
      </w:r>
      <w:r>
        <w:rPr>
          <w:rFonts w:eastAsia="Times New Roman"/>
          <w:b/>
          <w:bCs/>
          <w:color w:val="000000"/>
          <w:sz w:val="20"/>
          <w:szCs w:val="20"/>
        </w:rPr>
        <w:t>Net (Loss) Income Per Share</w:t>
      </w: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Basic net (loss) income per share is calculated by dividing net (loss) income by the weighted average number o</w:t>
      </w:r>
      <w:r>
        <w:rPr>
          <w:rFonts w:eastAsia="Times New Roman"/>
          <w:color w:val="000000"/>
          <w:sz w:val="20"/>
          <w:szCs w:val="20"/>
        </w:rPr>
        <w:t xml:space="preserve">f shares outstanding during each period. Diluted net (loss) income per share is calculated by dividing net (loss) income - diluted by the diluted number of shares outstanding during each period. Except where the result would be anti-dilutive to net (loss) </w:t>
      </w:r>
      <w:r>
        <w:rPr>
          <w:rFonts w:eastAsia="Times New Roman"/>
          <w:color w:val="000000"/>
          <w:sz w:val="20"/>
          <w:szCs w:val="20"/>
        </w:rPr>
        <w:t>income, diluted net (loss) income per share would be calculated assuming the impact of the conversion of the 2023 Notes, the conversion of our preferred shares, the exercise of outstanding equity compensation awards, and ordinary shares expected to be issu</w:t>
      </w:r>
      <w:r>
        <w:rPr>
          <w:rFonts w:eastAsia="Times New Roman"/>
          <w:color w:val="000000"/>
          <w:sz w:val="20"/>
          <w:szCs w:val="20"/>
        </w:rPr>
        <w:t xml:space="preserve">ed under our employee stock purchase plan (“ESPP”).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We have a choice to settle the conversion obligation under the 2023 Notes in cash, shares or any combination of the two. We utilize the if-converted method to reflect the impact of the conversion of th</w:t>
      </w:r>
      <w:r>
        <w:rPr>
          <w:rFonts w:eastAsia="Times New Roman"/>
          <w:color w:val="000000"/>
          <w:sz w:val="20"/>
          <w:szCs w:val="20"/>
        </w:rPr>
        <w:t>e 2023 Notes, unless the result is anti-dilutive. This method assumes the conversion of the 2023 Notes into shares of our ordinary shares and reflects the elimination of the interest expense related to the 2023 Notes.</w:t>
      </w:r>
    </w:p>
    <w:p w:rsidR="00000000" w:rsidRDefault="00E65947">
      <w:pPr>
        <w:divId w:val="779228694"/>
        <w:rPr>
          <w:rFonts w:eastAsia="Times New Roman"/>
        </w:rPr>
      </w:pPr>
    </w:p>
    <w:p w:rsidR="00000000" w:rsidRDefault="00E65947">
      <w:pPr>
        <w:jc w:val="both"/>
        <w:rPr>
          <w:rFonts w:eastAsia="Times New Roman"/>
        </w:rPr>
      </w:pPr>
      <w:r>
        <w:rPr>
          <w:rFonts w:eastAsia="Times New Roman"/>
          <w:color w:val="000000"/>
          <w:sz w:val="20"/>
          <w:szCs w:val="20"/>
        </w:rPr>
        <w:t>The dilutive effect of the stock opt</w:t>
      </w:r>
      <w:r>
        <w:rPr>
          <w:rFonts w:eastAsia="Times New Roman"/>
          <w:color w:val="000000"/>
          <w:sz w:val="20"/>
          <w:szCs w:val="20"/>
        </w:rPr>
        <w:t>ions, restricted stock units, preferred shares and ordinary shares expected to be issued under our ESPP has been calculated using the treasury stock method. The dilutive effect of the performance share units (“PSUs”) will be calculated using the treasury s</w:t>
      </w:r>
      <w:r>
        <w:rPr>
          <w:rFonts w:eastAsia="Times New Roman"/>
          <w:color w:val="000000"/>
          <w:sz w:val="20"/>
          <w:szCs w:val="20"/>
        </w:rPr>
        <w:t xml:space="preserve">tock method, if and when the contingent vesting condition is achieved. </w:t>
      </w:r>
    </w:p>
    <w:p w:rsidR="00000000" w:rsidRDefault="00E65947">
      <w:pPr>
        <w:jc w:val="both"/>
        <w:rPr>
          <w:rFonts w:eastAsia="Times New Roman"/>
        </w:rPr>
      </w:pPr>
    </w:p>
    <w:p w:rsidR="00000000" w:rsidRDefault="00E65947">
      <w:pPr>
        <w:jc w:val="center"/>
        <w:divId w:val="1734886159"/>
        <w:rPr>
          <w:rFonts w:eastAsia="Times New Roman"/>
        </w:rPr>
      </w:pPr>
      <w:r>
        <w:rPr>
          <w:rFonts w:eastAsia="Times New Roman"/>
          <w:color w:val="000000"/>
          <w:sz w:val="20"/>
          <w:szCs w:val="20"/>
        </w:rPr>
        <w:t>- 21 -</w:t>
      </w:r>
    </w:p>
    <w:p w:rsidR="00000000" w:rsidRDefault="00E65947">
      <w:pPr>
        <w:rPr>
          <w:rFonts w:eastAsia="Times New Roman"/>
        </w:rPr>
      </w:pPr>
      <w:r>
        <w:rPr>
          <w:rFonts w:eastAsia="Times New Roman"/>
        </w:rPr>
        <w:pict>
          <v:rect id="_x0000_i1046" style="width:0;height:1.5pt" o:hralign="center" o:hrstd="t" o:hr="t" fillcolor="#a0a0a0" stroked="f"/>
        </w:pict>
      </w:r>
    </w:p>
    <w:p w:rsidR="00000000" w:rsidRDefault="00E65947">
      <w:pPr>
        <w:divId w:val="1207523394"/>
        <w:rPr>
          <w:rFonts w:eastAsia="Times New Roman"/>
        </w:rPr>
      </w:pPr>
    </w:p>
    <w:p w:rsidR="00000000" w:rsidRDefault="00E65947">
      <w:pPr>
        <w:jc w:val="both"/>
        <w:rPr>
          <w:rFonts w:eastAsia="Times New Roman"/>
        </w:rPr>
      </w:pPr>
      <w:r>
        <w:rPr>
          <w:rFonts w:eastAsia="Times New Roman"/>
          <w:color w:val="000000"/>
          <w:sz w:val="20"/>
          <w:szCs w:val="20"/>
        </w:rPr>
        <w:t>A reconciliation of basic and diluted net (loss) income per share, together with the related shares outstanding in thousands is as follows: </w:t>
      </w:r>
    </w:p>
    <w:tbl>
      <w:tblPr>
        <w:tblW w:w="5000" w:type="pct"/>
        <w:tblCellMar>
          <w:top w:w="15" w:type="dxa"/>
          <w:left w:w="15" w:type="dxa"/>
          <w:bottom w:w="15" w:type="dxa"/>
          <w:right w:w="15" w:type="dxa"/>
        </w:tblCellMar>
        <w:tblLook w:val="04A0" w:firstRow="1" w:lastRow="0" w:firstColumn="1" w:lastColumn="0" w:noHBand="0" w:noVBand="1"/>
      </w:tblPr>
      <w:tblGrid>
        <w:gridCol w:w="40"/>
        <w:gridCol w:w="3785"/>
        <w:gridCol w:w="39"/>
        <w:gridCol w:w="36"/>
        <w:gridCol w:w="36"/>
        <w:gridCol w:w="36"/>
        <w:gridCol w:w="110"/>
        <w:gridCol w:w="860"/>
        <w:gridCol w:w="36"/>
        <w:gridCol w:w="36"/>
        <w:gridCol w:w="36"/>
        <w:gridCol w:w="36"/>
        <w:gridCol w:w="110"/>
        <w:gridCol w:w="860"/>
        <w:gridCol w:w="36"/>
        <w:gridCol w:w="36"/>
        <w:gridCol w:w="36"/>
        <w:gridCol w:w="36"/>
        <w:gridCol w:w="110"/>
        <w:gridCol w:w="860"/>
        <w:gridCol w:w="36"/>
        <w:gridCol w:w="36"/>
        <w:gridCol w:w="36"/>
        <w:gridCol w:w="36"/>
        <w:gridCol w:w="110"/>
        <w:gridCol w:w="846"/>
        <w:gridCol w:w="36"/>
      </w:tblGrid>
      <w:tr w:rsidR="00000000">
        <w:trPr>
          <w:divId w:val="667830841"/>
        </w:trPr>
        <w:tc>
          <w:tcPr>
            <w:tcW w:w="50" w:type="pct"/>
            <w:vAlign w:val="center"/>
            <w:hideMark/>
          </w:tcPr>
          <w:p w:rsidR="00000000" w:rsidRDefault="00E65947">
            <w:pPr>
              <w:jc w:val="both"/>
              <w:rPr>
                <w:rFonts w:eastAsia="Times New Roman"/>
              </w:rPr>
            </w:pPr>
          </w:p>
        </w:tc>
        <w:tc>
          <w:tcPr>
            <w:tcW w:w="23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5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5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1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5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8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667830841"/>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r>
      <w:tr w:rsidR="00000000">
        <w:trPr>
          <w:divId w:val="667830841"/>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Net (Loss) Income Per Share:</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r>
      <w:tr w:rsidR="00000000">
        <w:trPr>
          <w:divId w:val="66783084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667830841"/>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(19,581)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30,874 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(33,026)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30,009 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667830841"/>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Add: interest from 2023 Notes, net of tax</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3,237 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6,427 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667830841"/>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 - diluted</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(19,581)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34,111 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(33,026)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36,436 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667830841"/>
          <w:trHeight w:val="280"/>
        </w:trPr>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667830841"/>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667830841"/>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58,488 </w:t>
            </w:r>
          </w:p>
        </w:tc>
        <w:tc>
          <w:tcPr>
            <w:tcW w:w="0" w:type="auto"/>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54,272 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58,465 </w:t>
            </w:r>
          </w:p>
        </w:tc>
        <w:tc>
          <w:tcPr>
            <w:tcW w:w="0" w:type="auto"/>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47,665 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667830841"/>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Effect of dilutive securities—</w:t>
            </w:r>
            <w:r>
              <w:rPr>
                <w:rFonts w:eastAsia="Times New Roman"/>
                <w:color w:val="000000"/>
                <w:sz w:val="18"/>
                <w:szCs w:val="18"/>
              </w:rPr>
              <w:t>employee and director equity awards outstanding, preferred shares and 2023 Notes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15,670 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15,418 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667830841"/>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667830841"/>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69,942 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58,465 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667830841"/>
          <w:trHeight w:val="300"/>
        </w:trPr>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667830841"/>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 per share - basic</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(0.33)</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0.63 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667830841"/>
        </w:trPr>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divId w:val="781149482"/>
              <w:rPr>
                <w:rFonts w:eastAsia="Times New Roman"/>
              </w:rPr>
            </w:pPr>
            <w:r>
              <w:rPr>
                <w:rFonts w:eastAsia="Times New Roman"/>
                <w:color w:val="000000"/>
                <w:sz w:val="18"/>
                <w:szCs w:val="18"/>
              </w:rPr>
              <w:t xml:space="preserve">Net (loss) income per share - diluted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(0.33)</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0.49 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both"/>
        <w:rPr>
          <w:rFonts w:eastAsia="Times New Roman"/>
        </w:rPr>
      </w:pPr>
      <w:r>
        <w:rPr>
          <w:rFonts w:eastAsia="Times New Roman"/>
          <w:color w:val="000000"/>
          <w:sz w:val="20"/>
          <w:szCs w:val="20"/>
        </w:rPr>
        <w:t>Potential ordinary shares of 15,586 and 2,472 were excluded from the calculation of weighted average shares for the three</w:t>
      </w:r>
      <w:r>
        <w:rPr>
          <w:rFonts w:eastAsia="Times New Roman"/>
          <w:color w:val="000000"/>
          <w:sz w:val="20"/>
          <w:szCs w:val="20"/>
        </w:rPr>
        <w:t xml:space="preserve"> months ended June 30, 2021 and 2020, respectively, and potential ordinary shares of 15,426 and 2,537 were excluded from the calculation of weighted average shares for the six months ended June 30, 2021 and 2020, respectively, because either their effect w</w:t>
      </w:r>
      <w:r>
        <w:rPr>
          <w:rFonts w:eastAsia="Times New Roman"/>
          <w:color w:val="000000"/>
          <w:sz w:val="20"/>
          <w:szCs w:val="20"/>
        </w:rPr>
        <w:t>as considered to be anti-dilutive or they were related to shares from PSUs for which the contingent vesting condition had not been achieved. For the three and six months ended June 30, 2021, the effects of dilutive securities were entirely excluded from th</w:t>
      </w:r>
      <w:r>
        <w:rPr>
          <w:rFonts w:eastAsia="Times New Roman"/>
          <w:color w:val="000000"/>
          <w:sz w:val="20"/>
          <w:szCs w:val="20"/>
        </w:rPr>
        <w:t>e calculation of net loss per share as a net loss was reported in these periods. </w:t>
      </w:r>
    </w:p>
    <w:p w:rsidR="00000000" w:rsidRDefault="00E65947">
      <w:pPr>
        <w:jc w:val="both"/>
        <w:rPr>
          <w:rFonts w:eastAsia="Times New Roman"/>
        </w:rPr>
      </w:pPr>
    </w:p>
    <w:p w:rsidR="00000000" w:rsidRDefault="00E65947">
      <w:pPr>
        <w:divId w:val="2022969369"/>
        <w:rPr>
          <w:rFonts w:eastAsia="Times New Roman"/>
        </w:rPr>
      </w:pPr>
      <w:r>
        <w:rPr>
          <w:rFonts w:eastAsia="Times New Roman"/>
          <w:b/>
          <w:bCs/>
          <w:color w:val="000000"/>
          <w:sz w:val="20"/>
          <w:szCs w:val="20"/>
        </w:rPr>
        <w:t>NOTE 14:</w:t>
      </w:r>
      <w:r>
        <w:rPr>
          <w:rFonts w:eastAsia="Times New Roman"/>
          <w:color w:val="000000"/>
          <w:sz w:val="20"/>
          <w:szCs w:val="20"/>
        </w:rPr>
        <w:t xml:space="preserve"> </w:t>
      </w:r>
      <w:r>
        <w:rPr>
          <w:rFonts w:eastAsia="Times New Roman"/>
          <w:b/>
          <w:bCs/>
          <w:color w:val="000000"/>
          <w:sz w:val="20"/>
          <w:szCs w:val="20"/>
        </w:rPr>
        <w:t>Comprehensive Loss </w:t>
      </w:r>
    </w:p>
    <w:p w:rsidR="00000000" w:rsidRDefault="00E65947">
      <w:pPr>
        <w:jc w:val="both"/>
        <w:divId w:val="274682059"/>
        <w:rPr>
          <w:rFonts w:eastAsia="Times New Roman"/>
        </w:rPr>
      </w:pPr>
      <w:r>
        <w:rPr>
          <w:rFonts w:eastAsia="Times New Roman"/>
          <w:color w:val="000000"/>
          <w:sz w:val="20"/>
          <w:szCs w:val="20"/>
        </w:rPr>
        <w:t>The following table shows the components of accumulated other comprehensive loss for the three and six months ended June 30, 2021 and 2020, res</w:t>
      </w:r>
      <w:r>
        <w:rPr>
          <w:rFonts w:eastAsia="Times New Roman"/>
          <w:color w:val="000000"/>
          <w:sz w:val="20"/>
          <w:szCs w:val="20"/>
        </w:rPr>
        <w:t>pectively, net of tax effects: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45"/>
        <w:gridCol w:w="37"/>
        <w:gridCol w:w="36"/>
        <w:gridCol w:w="36"/>
        <w:gridCol w:w="36"/>
        <w:gridCol w:w="110"/>
        <w:gridCol w:w="853"/>
        <w:gridCol w:w="36"/>
        <w:gridCol w:w="36"/>
        <w:gridCol w:w="36"/>
        <w:gridCol w:w="36"/>
        <w:gridCol w:w="110"/>
        <w:gridCol w:w="855"/>
        <w:gridCol w:w="36"/>
        <w:gridCol w:w="36"/>
        <w:gridCol w:w="36"/>
        <w:gridCol w:w="36"/>
        <w:gridCol w:w="110"/>
        <w:gridCol w:w="855"/>
        <w:gridCol w:w="36"/>
        <w:gridCol w:w="36"/>
        <w:gridCol w:w="36"/>
        <w:gridCol w:w="36"/>
        <w:gridCol w:w="110"/>
        <w:gridCol w:w="807"/>
        <w:gridCol w:w="36"/>
      </w:tblGrid>
      <w:tr w:rsidR="00000000">
        <w:trPr>
          <w:divId w:val="802700459"/>
        </w:trPr>
        <w:tc>
          <w:tcPr>
            <w:tcW w:w="50" w:type="pct"/>
            <w:vAlign w:val="center"/>
            <w:hideMark/>
          </w:tcPr>
          <w:p w:rsidR="00000000" w:rsidRDefault="00E65947">
            <w:pPr>
              <w:jc w:val="both"/>
              <w:rPr>
                <w:rFonts w:eastAsia="Times New Roman"/>
              </w:rPr>
            </w:pPr>
          </w:p>
        </w:tc>
        <w:tc>
          <w:tcPr>
            <w:tcW w:w="234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3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802700459"/>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r>
      <w:tr w:rsidR="00000000">
        <w:trPr>
          <w:divId w:val="80270045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r>
      <w:tr w:rsidR="00000000">
        <w:trPr>
          <w:divId w:val="80270045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80270045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802700459"/>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(23,345)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(23,915)</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(22,627)</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(23,738)</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02700459"/>
        </w:trPr>
        <w:tc>
          <w:tcPr>
            <w:tcW w:w="0" w:type="auto"/>
            <w:gridSpan w:val="3"/>
            <w:shd w:val="clear" w:color="auto" w:fill="CCEEFF"/>
            <w:tcMar>
              <w:top w:w="30" w:type="dxa"/>
              <w:left w:w="51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(602)</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02700459"/>
        </w:trPr>
        <w:tc>
          <w:tcPr>
            <w:tcW w:w="0" w:type="auto"/>
            <w:gridSpan w:val="3"/>
            <w:shd w:val="clear" w:color="auto" w:fill="FFFF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Balance at June 30,</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(23,229)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(23,733)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(23,229)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(23,733)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02700459"/>
          <w:trHeight w:val="280"/>
        </w:trPr>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80270045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Unrealized gain on marketable debt securities, net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802700459"/>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1,039 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288 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1,576 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932 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02700459"/>
        </w:trPr>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divId w:val="348336819"/>
              <w:rPr>
                <w:rFonts w:eastAsia="Times New Roman"/>
              </w:rPr>
            </w:pPr>
            <w:r>
              <w:rPr>
                <w:rFonts w:eastAsia="Times New Roman"/>
                <w:color w:val="000000"/>
                <w:sz w:val="18"/>
                <w:szCs w:val="18"/>
              </w:rPr>
              <w:t>Net other comprehensive (loss) income, net of $(78), $(81) $(133) and $(130) tax, respectively</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927 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(697)</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283 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02700459"/>
        </w:trPr>
        <w:tc>
          <w:tcPr>
            <w:tcW w:w="0" w:type="auto"/>
            <w:gridSpan w:val="3"/>
            <w:shd w:val="clear" w:color="auto" w:fill="CCEEFF"/>
            <w:tcMar>
              <w:top w:w="30" w:type="dxa"/>
              <w:left w:w="38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Balance at June 30,</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802700459"/>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Accumulated other comprehensive loss at June 30,</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(22,518)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(22,518)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bl>
    <w:p w:rsidR="00000000" w:rsidRDefault="00E65947">
      <w:pPr>
        <w:jc w:val="both"/>
        <w:rPr>
          <w:rFonts w:eastAsia="Times New Roman"/>
        </w:rPr>
      </w:pPr>
      <w:r>
        <w:rPr>
          <w:rFonts w:eastAsia="Times New Roman"/>
          <w:color w:val="000000"/>
          <w:sz w:val="20"/>
          <w:szCs w:val="20"/>
        </w:rPr>
        <w:t>The effect on the Company’s unaudited condensed consolidated financial statements of amounts reclassified out of accumulated other comprehensive loss was immaterial for all periods presented.</w:t>
      </w:r>
    </w:p>
    <w:p w:rsidR="00000000" w:rsidRDefault="00E65947">
      <w:pPr>
        <w:jc w:val="both"/>
        <w:rPr>
          <w:rFonts w:eastAsia="Times New Roman"/>
        </w:rPr>
      </w:pPr>
    </w:p>
    <w:p w:rsidR="00000000" w:rsidRDefault="00E65947">
      <w:pPr>
        <w:divId w:val="2111507415"/>
        <w:rPr>
          <w:rFonts w:eastAsia="Times New Roman"/>
        </w:rPr>
      </w:pPr>
      <w:r>
        <w:rPr>
          <w:rFonts w:eastAsia="Times New Roman"/>
          <w:b/>
          <w:bCs/>
          <w:color w:val="000000"/>
          <w:sz w:val="20"/>
          <w:szCs w:val="20"/>
        </w:rPr>
        <w:t>NOTE 15:</w:t>
      </w:r>
      <w:r>
        <w:rPr>
          <w:rFonts w:eastAsia="Times New Roman"/>
          <w:color w:val="000000"/>
          <w:sz w:val="20"/>
          <w:szCs w:val="20"/>
        </w:rPr>
        <w:t xml:space="preserve"> </w:t>
      </w:r>
      <w:r>
        <w:rPr>
          <w:rFonts w:eastAsia="Times New Roman"/>
          <w:b/>
          <w:bCs/>
          <w:color w:val="000000"/>
          <w:sz w:val="20"/>
          <w:szCs w:val="20"/>
        </w:rPr>
        <w:t>Revenue by Product </w:t>
      </w:r>
    </w:p>
    <w:p w:rsidR="00000000" w:rsidRDefault="00E65947">
      <w:pPr>
        <w:jc w:val="both"/>
        <w:divId w:val="925841284"/>
        <w:rPr>
          <w:rFonts w:eastAsia="Times New Roman"/>
        </w:rPr>
      </w:pPr>
      <w:r>
        <w:rPr>
          <w:rFonts w:eastAsia="Times New Roman"/>
          <w:color w:val="000000"/>
          <w:sz w:val="20"/>
          <w:szCs w:val="20"/>
        </w:rPr>
        <w:t xml:space="preserve">The Company has determined that it operates in one </w:t>
      </w:r>
      <w:r>
        <w:rPr>
          <w:rFonts w:eastAsia="Times New Roman"/>
          <w:color w:val="000000"/>
          <w:sz w:val="20"/>
          <w:szCs w:val="20"/>
        </w:rPr>
        <w:t>segment, the development and commercialization of pharmaceutical products, including controlled-release therapeutic products based on our proprietary polymer based technology. The Company’s Chief Operating Decision Maker is the Chief Executive Officer (the</w:t>
      </w:r>
      <w:r>
        <w:rPr>
          <w:rFonts w:eastAsia="Times New Roman"/>
          <w:color w:val="000000"/>
          <w:sz w:val="20"/>
          <w:szCs w:val="20"/>
        </w:rPr>
        <w:t xml:space="preserve"> “CEO”). The CEO reviews profit and loss information on a consolidated basis to assess performance and make overall operating decisions as well as resource allocations. All products were included in one segment because the Company’s products have similar e</w:t>
      </w:r>
      <w:r>
        <w:rPr>
          <w:rFonts w:eastAsia="Times New Roman"/>
          <w:color w:val="000000"/>
          <w:sz w:val="20"/>
          <w:szCs w:val="20"/>
        </w:rPr>
        <w:t>conomic and other characteristics, including the nature of the products and production processes, type of customers, distribution methods and regulatory environment. </w:t>
      </w:r>
    </w:p>
    <w:p w:rsidR="00000000" w:rsidRDefault="00E65947">
      <w:pPr>
        <w:jc w:val="center"/>
        <w:divId w:val="1482579061"/>
        <w:rPr>
          <w:rFonts w:eastAsia="Times New Roman"/>
        </w:rPr>
      </w:pPr>
      <w:r>
        <w:rPr>
          <w:rFonts w:eastAsia="Times New Roman"/>
          <w:color w:val="000000"/>
          <w:sz w:val="20"/>
          <w:szCs w:val="20"/>
        </w:rPr>
        <w:t>- 22 -</w:t>
      </w:r>
    </w:p>
    <w:p w:rsidR="00000000" w:rsidRDefault="00E65947">
      <w:pPr>
        <w:rPr>
          <w:rFonts w:eastAsia="Times New Roman"/>
        </w:rPr>
      </w:pPr>
      <w:r>
        <w:rPr>
          <w:rFonts w:eastAsia="Times New Roman"/>
        </w:rPr>
        <w:pict>
          <v:rect id="_x0000_i1047" style="width:0;height:1.5pt" o:hralign="center" o:hrstd="t" o:hr="t" fillcolor="#a0a0a0" stroked="f"/>
        </w:pict>
      </w:r>
    </w:p>
    <w:p w:rsidR="00000000" w:rsidRDefault="00E65947">
      <w:pPr>
        <w:divId w:val="484861599"/>
        <w:rPr>
          <w:rFonts w:eastAsia="Times New Roman"/>
        </w:rPr>
      </w:pPr>
    </w:p>
    <w:p w:rsidR="00000000" w:rsidRDefault="00E65947">
      <w:pPr>
        <w:jc w:val="both"/>
        <w:divId w:val="1963220954"/>
        <w:rPr>
          <w:rFonts w:eastAsia="Times New Roman"/>
        </w:rPr>
      </w:pPr>
      <w:r>
        <w:rPr>
          <w:rFonts w:eastAsia="Times New Roman"/>
          <w:color w:val="000000"/>
          <w:sz w:val="20"/>
          <w:szCs w:val="20"/>
        </w:rPr>
        <w:t>On June 30, 2020, we sold the Hospital Produ</w:t>
      </w:r>
      <w:r>
        <w:rPr>
          <w:rFonts w:eastAsia="Times New Roman"/>
          <w:color w:val="000000"/>
          <w:sz w:val="20"/>
          <w:szCs w:val="20"/>
        </w:rPr>
        <w:t xml:space="preserve">cts. See </w:t>
      </w:r>
      <w:r>
        <w:rPr>
          <w:rFonts w:eastAsia="Times New Roman"/>
          <w:i/>
          <w:iCs/>
          <w:color w:val="000000"/>
          <w:sz w:val="20"/>
          <w:szCs w:val="20"/>
        </w:rPr>
        <w:t>Note 3: Disposition of the Hospital Products</w:t>
      </w:r>
      <w:r>
        <w:rPr>
          <w:rFonts w:eastAsia="Times New Roman"/>
          <w:color w:val="000000"/>
          <w:sz w:val="20"/>
          <w:szCs w:val="20"/>
        </w:rPr>
        <w:t>. The following table presents a summary of total product sales by these products: </w:t>
      </w:r>
    </w:p>
    <w:tbl>
      <w:tblPr>
        <w:tblW w:w="5000" w:type="pct"/>
        <w:tblCellMar>
          <w:top w:w="15" w:type="dxa"/>
          <w:left w:w="15" w:type="dxa"/>
          <w:bottom w:w="15" w:type="dxa"/>
          <w:right w:w="15" w:type="dxa"/>
        </w:tblCellMar>
        <w:tblLook w:val="04A0" w:firstRow="1" w:lastRow="0" w:firstColumn="1" w:lastColumn="0" w:noHBand="0" w:noVBand="1"/>
      </w:tblPr>
      <w:tblGrid>
        <w:gridCol w:w="41"/>
        <w:gridCol w:w="3996"/>
        <w:gridCol w:w="37"/>
        <w:gridCol w:w="36"/>
        <w:gridCol w:w="36"/>
        <w:gridCol w:w="36"/>
        <w:gridCol w:w="110"/>
        <w:gridCol w:w="1862"/>
        <w:gridCol w:w="36"/>
        <w:gridCol w:w="36"/>
        <w:gridCol w:w="36"/>
        <w:gridCol w:w="36"/>
        <w:gridCol w:w="110"/>
        <w:gridCol w:w="1862"/>
        <w:gridCol w:w="36"/>
      </w:tblGrid>
      <w:tr w:rsidR="00000000">
        <w:trPr>
          <w:divId w:val="180319889"/>
        </w:trPr>
        <w:tc>
          <w:tcPr>
            <w:tcW w:w="50" w:type="pct"/>
            <w:vAlign w:val="center"/>
            <w:hideMark/>
          </w:tcPr>
          <w:p w:rsidR="00000000" w:rsidRDefault="00E65947">
            <w:pPr>
              <w:jc w:val="both"/>
              <w:rPr>
                <w:rFonts w:eastAsia="Times New Roman"/>
              </w:rPr>
            </w:pPr>
          </w:p>
        </w:tc>
        <w:tc>
          <w:tcPr>
            <w:tcW w:w="243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116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116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80319889"/>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r>
      <w:tr w:rsidR="00000000">
        <w:trPr>
          <w:divId w:val="18031988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Product Sales by Product:</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r>
      <w:tr w:rsidR="00000000">
        <w:trPr>
          <w:divId w:val="18031988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8031988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800 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2,201 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8031988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4,915 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10,429 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8031988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4,196 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9,545 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80319889"/>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8031988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180 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80319889"/>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product sales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r>
      <w:tr w:rsidR="00000000">
        <w:trPr>
          <w:divId w:val="180319889"/>
        </w:trPr>
        <w:tc>
          <w:tcPr>
            <w:tcW w:w="0" w:type="auto"/>
            <w:gridSpan w:val="3"/>
            <w:vAlign w:val="center"/>
            <w:hideMark/>
          </w:tcPr>
          <w:p w:rsidR="00000000" w:rsidRDefault="00E65947">
            <w:pPr>
              <w:spacing w:after="100"/>
              <w:jc w:val="right"/>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r w:rsidR="00000000">
        <w:trPr>
          <w:divId w:val="180319889"/>
        </w:trPr>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c>
          <w:tcPr>
            <w:tcW w:w="0" w:type="auto"/>
            <w:gridSpan w:val="3"/>
            <w:vAlign w:val="center"/>
            <w:hideMark/>
          </w:tcPr>
          <w:p w:rsidR="00000000" w:rsidRDefault="00E65947">
            <w:pPr>
              <w:spacing w:after="100"/>
              <w:rPr>
                <w:rFonts w:eastAsia="Times New Roman"/>
                <w:sz w:val="20"/>
                <w:szCs w:val="20"/>
              </w:rPr>
            </w:pP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On June 30, 2020, we sold the Hospital Products. See </w:t>
      </w:r>
      <w:r>
        <w:rPr>
          <w:rFonts w:eastAsia="Times New Roman"/>
          <w:i/>
          <w:iCs/>
          <w:color w:val="000000"/>
          <w:sz w:val="20"/>
          <w:szCs w:val="20"/>
        </w:rPr>
        <w:t>Note 3: Disposition of the Hospital Products</w:t>
      </w:r>
      <w:r>
        <w:rPr>
          <w:rFonts w:eastAsia="Times New Roman"/>
          <w:color w:val="000000"/>
          <w:sz w:val="20"/>
          <w:szCs w:val="20"/>
        </w:rPr>
        <w:t xml:space="preserve">. </w:t>
      </w:r>
    </w:p>
    <w:p w:rsidR="00000000" w:rsidRDefault="00E65947">
      <w:pPr>
        <w:jc w:val="both"/>
        <w:rPr>
          <w:rFonts w:eastAsia="Times New Roman"/>
        </w:rPr>
      </w:pPr>
    </w:p>
    <w:p w:rsidR="00000000" w:rsidRDefault="00E65947">
      <w:pPr>
        <w:divId w:val="1351368246"/>
        <w:rPr>
          <w:rFonts w:eastAsia="Times New Roman"/>
        </w:rPr>
      </w:pPr>
      <w:r>
        <w:rPr>
          <w:rFonts w:eastAsia="Times New Roman"/>
          <w:b/>
          <w:bCs/>
          <w:color w:val="000000"/>
          <w:sz w:val="20"/>
          <w:szCs w:val="20"/>
        </w:rPr>
        <w:t>NOTE 16:</w:t>
      </w:r>
      <w:r>
        <w:rPr>
          <w:rFonts w:eastAsia="Times New Roman"/>
          <w:color w:val="000000"/>
          <w:sz w:val="20"/>
          <w:szCs w:val="20"/>
        </w:rPr>
        <w:t xml:space="preserve"> </w:t>
      </w:r>
      <w:r>
        <w:rPr>
          <w:rFonts w:eastAsia="Times New Roman"/>
          <w:b/>
          <w:bCs/>
          <w:color w:val="000000"/>
          <w:sz w:val="20"/>
          <w:szCs w:val="20"/>
        </w:rPr>
        <w:t>Commitments and Contingencies</w:t>
      </w:r>
      <w:r>
        <w:rPr>
          <w:rFonts w:eastAsia="Times New Roman"/>
          <w:color w:val="000000"/>
          <w:sz w:val="20"/>
          <w:szCs w:val="20"/>
        </w:rPr>
        <w:t> </w:t>
      </w:r>
    </w:p>
    <w:p w:rsidR="00000000" w:rsidRDefault="00E65947">
      <w:pPr>
        <w:divId w:val="1112701967"/>
        <w:rPr>
          <w:rFonts w:eastAsia="Times New Roman"/>
        </w:rPr>
      </w:pPr>
      <w:r>
        <w:rPr>
          <w:rFonts w:eastAsia="Times New Roman"/>
          <w:b/>
          <w:bCs/>
          <w:i/>
          <w:iCs/>
          <w:color w:val="000000"/>
          <w:sz w:val="20"/>
          <w:szCs w:val="20"/>
        </w:rPr>
        <w:t>Litigation  </w:t>
      </w:r>
    </w:p>
    <w:p w:rsidR="00000000" w:rsidRDefault="00E65947">
      <w:pPr>
        <w:jc w:val="both"/>
        <w:rPr>
          <w:rFonts w:eastAsia="Times New Roman"/>
        </w:rPr>
      </w:pPr>
      <w:r>
        <w:rPr>
          <w:rFonts w:eastAsia="Times New Roman"/>
          <w:color w:val="000000"/>
          <w:sz w:val="20"/>
          <w:szCs w:val="20"/>
        </w:rPr>
        <w:t>The Company is subject to potential liabilities generally incidental to our business arising out of present and future lawsuits and claims related to product liability, personal injury, contract, commercial, intellectual property, tax, employment, complian</w:t>
      </w:r>
      <w:r>
        <w:rPr>
          <w:rFonts w:eastAsia="Times New Roman"/>
          <w:color w:val="000000"/>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June</w:t>
      </w:r>
      <w:r>
        <w:rPr>
          <w:rFonts w:eastAsia="Times New Roman"/>
          <w:color w:val="000000"/>
          <w:sz w:val="20"/>
          <w:szCs w:val="20"/>
        </w:rPr>
        <w:t xml:space="preserve"> 30, 2021 and December 31, 2020, there were no contingent liabilities with respect to any litigation, arbitration or administrative or other proceeding that are reasonably likely to have a material adverse effect on the Company’s unaudited condensed consol</w:t>
      </w:r>
      <w:r>
        <w:rPr>
          <w:rFonts w:eastAsia="Times New Roman"/>
          <w:color w:val="000000"/>
          <w:sz w:val="20"/>
          <w:szCs w:val="20"/>
        </w:rPr>
        <w:t>idated financial position, results of operations, cash flows or liquidity.</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May 12, 2021, Jazz Pharmaceuticals, Inc. (“Jazz”) filed a formal complaint (the “Complaint”) initiating a lawsuit in the United States District Court for the District of Delawa</w:t>
      </w:r>
      <w:r>
        <w:rPr>
          <w:rFonts w:eastAsia="Times New Roman"/>
          <w:color w:val="000000"/>
          <w:sz w:val="20"/>
          <w:szCs w:val="20"/>
        </w:rPr>
        <w:t>re (the “Court”) against Avadel Pharmaceuticals plc, Avadel US Holdings, Inc., Avadel Management Corporation, Avadel Legacy Pharmaceuticals, LLC, Avadel Specialty Pharmaceuticals, LLC, and Avadel CNS Pharmaceuticals, LLC (collectively, the “Avadel Parties”</w:t>
      </w:r>
      <w:r>
        <w:rPr>
          <w:rFonts w:eastAsia="Times New Roman"/>
          <w:color w:val="000000"/>
          <w:sz w:val="20"/>
          <w:szCs w:val="20"/>
        </w:rPr>
        <w:t>). In the Complaint, Jazz alleges the sodium oxybate product (“Proposed Product”) described in the New Drug Application (“NDA”) owned by Avadel CNS Pharmaceuticals, LLC will infringe at least one claim of US Patent No. 8731963, 10758488, 10813885, 10959956</w:t>
      </w:r>
      <w:r>
        <w:rPr>
          <w:rFonts w:eastAsia="Times New Roman"/>
          <w:color w:val="000000"/>
          <w:sz w:val="20"/>
          <w:szCs w:val="20"/>
        </w:rPr>
        <w:t xml:space="preserve"> and/or 10966931 (collectively, the “patents-in-suit”). The Complaint further includes typical relief requests such as preliminary and permanent injunctive relief, monetary damages and attorneys’ fees, costs and expenses.</w:t>
      </w:r>
    </w:p>
    <w:p w:rsidR="00000000" w:rsidRDefault="00E65947">
      <w:pPr>
        <w:divId w:val="1712488330"/>
        <w:rPr>
          <w:rFonts w:eastAsia="Times New Roman"/>
        </w:rPr>
      </w:pPr>
    </w:p>
    <w:p w:rsidR="00000000" w:rsidRDefault="00E65947">
      <w:pPr>
        <w:jc w:val="both"/>
        <w:rPr>
          <w:rFonts w:eastAsia="Times New Roman"/>
        </w:rPr>
      </w:pPr>
      <w:r>
        <w:rPr>
          <w:rFonts w:eastAsia="Times New Roman"/>
          <w:color w:val="000000"/>
          <w:sz w:val="20"/>
          <w:szCs w:val="20"/>
        </w:rPr>
        <w:t>On June 3, 2021, the Avadel Part</w:t>
      </w:r>
      <w:r>
        <w:rPr>
          <w:rFonts w:eastAsia="Times New Roman"/>
          <w:color w:val="000000"/>
          <w:sz w:val="20"/>
          <w:szCs w:val="20"/>
        </w:rPr>
        <w:t>ies timely filed their Answer and Counterclaims (the “Avadel Answer”) with the Court in response to the Complaint. The Avadel Answer generally denies the allegations set forth in the Complaint, includes numerous affirmative defenses (including, but not lim</w:t>
      </w:r>
      <w:r>
        <w:rPr>
          <w:rFonts w:eastAsia="Times New Roman"/>
          <w:color w:val="000000"/>
          <w:sz w:val="20"/>
          <w:szCs w:val="20"/>
        </w:rPr>
        <w:t xml:space="preserve">ited to, non-infringement and invalidity of the patents-in-suit), and asserts a number of counterclaims seeking i) a declaratory judgment of non-infringement of each patent-in-suit, ii) a declaratory judgment of invalidity of each patent-in-suit, and iii) </w:t>
      </w:r>
      <w:r>
        <w:rPr>
          <w:rFonts w:eastAsia="Times New Roman"/>
          <w:color w:val="000000"/>
          <w:sz w:val="20"/>
          <w:szCs w:val="20"/>
        </w:rPr>
        <w:t xml:space="preserve">a declaratory judgement requiring delisting of US Patent No. 8731963 from FDA’s Orange Book. </w:t>
      </w:r>
    </w:p>
    <w:p w:rsidR="00000000" w:rsidRDefault="00E65947">
      <w:pPr>
        <w:divId w:val="1962955017"/>
        <w:rPr>
          <w:rFonts w:eastAsia="Times New Roman"/>
        </w:rPr>
      </w:pPr>
    </w:p>
    <w:p w:rsidR="00000000" w:rsidRDefault="00E65947">
      <w:pPr>
        <w:jc w:val="both"/>
        <w:rPr>
          <w:rFonts w:eastAsia="Times New Roman"/>
        </w:rPr>
      </w:pPr>
      <w:r>
        <w:rPr>
          <w:rFonts w:eastAsia="Times New Roman"/>
          <w:color w:val="000000"/>
          <w:sz w:val="20"/>
          <w:szCs w:val="20"/>
        </w:rPr>
        <w:t>On June 18, 2021, Jazz filed its Answer (“Jazz Answer”) with the Court in response to the Avadel Answer. The Jazz Answer generally denies the allegations set fo</w:t>
      </w:r>
      <w:r>
        <w:rPr>
          <w:rFonts w:eastAsia="Times New Roman"/>
          <w:color w:val="000000"/>
          <w:sz w:val="20"/>
          <w:szCs w:val="20"/>
        </w:rPr>
        <w:t>rth in the Avadel Answer and sets forth a single affirmative defense asserting that Avadel has failed to state a claim for which relief can be granted.</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June 21, 2021, the Court issued an oral order requiring the parties to i) confer regarding proposed</w:t>
      </w:r>
      <w:r>
        <w:rPr>
          <w:rFonts w:eastAsia="Times New Roman"/>
          <w:color w:val="000000"/>
          <w:sz w:val="20"/>
          <w:szCs w:val="20"/>
        </w:rPr>
        <w:t xml:space="preserve"> dates to be included in the Court’s scheduling order for the case, and ii) submit a proposed order, including a proposal for the length and timing of trial, to the Court by no later than July 21, 2021.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July 30, 2021, the Court issued a scheduling or</w:t>
      </w:r>
      <w:r>
        <w:rPr>
          <w:rFonts w:eastAsia="Times New Roman"/>
          <w:color w:val="000000"/>
          <w:sz w:val="20"/>
          <w:szCs w:val="20"/>
        </w:rPr>
        <w:t>der establishing timing for litigation events including i) a preliminary injunction hearing date of November 23, 2021 (only relevant in the event that Jazz files a motion for a preliminary injunction by October 22, 2021), ii) a claim construction hearing d</w:t>
      </w:r>
      <w:r>
        <w:rPr>
          <w:rFonts w:eastAsia="Times New Roman"/>
          <w:color w:val="000000"/>
          <w:sz w:val="20"/>
          <w:szCs w:val="20"/>
        </w:rPr>
        <w:t xml:space="preserve">ate of August 2, 2022, and iii) a trial date of October 30, 2023. </w:t>
      </w:r>
    </w:p>
    <w:p w:rsidR="00000000" w:rsidRDefault="00E65947">
      <w:pPr>
        <w:divId w:val="1493183725"/>
        <w:rPr>
          <w:rFonts w:eastAsia="Times New Roman"/>
        </w:rPr>
      </w:pPr>
    </w:p>
    <w:p w:rsidR="00000000" w:rsidRDefault="00E65947">
      <w:pPr>
        <w:jc w:val="both"/>
        <w:rPr>
          <w:rFonts w:eastAsia="Times New Roman"/>
        </w:rPr>
      </w:pPr>
      <w:r>
        <w:rPr>
          <w:rFonts w:eastAsia="Times New Roman"/>
          <w:color w:val="000000"/>
          <w:sz w:val="20"/>
          <w:szCs w:val="20"/>
        </w:rPr>
        <w:t>On August 4, 2021, Jazz filed another formal complaint (the “Second Complaint”) initiating a lawsuit in the Court against the Avadel Parties. In the Second Complaint, Jazz alleges the Pro</w:t>
      </w:r>
      <w:r>
        <w:rPr>
          <w:rFonts w:eastAsia="Times New Roman"/>
          <w:color w:val="000000"/>
          <w:sz w:val="20"/>
          <w:szCs w:val="20"/>
        </w:rPr>
        <w:t xml:space="preserve">posed Product described in the NDA owned by Avadel CNS Pharmaceuticals, LLC will infringe at least one claim of US Patent No. 11077079. The Second Complaint further includes </w:t>
      </w:r>
    </w:p>
    <w:p w:rsidR="00000000" w:rsidRDefault="00E65947">
      <w:pPr>
        <w:jc w:val="center"/>
        <w:divId w:val="290787131"/>
        <w:rPr>
          <w:rFonts w:eastAsia="Times New Roman"/>
        </w:rPr>
      </w:pPr>
      <w:r>
        <w:rPr>
          <w:rFonts w:eastAsia="Times New Roman"/>
          <w:color w:val="000000"/>
          <w:sz w:val="20"/>
          <w:szCs w:val="20"/>
        </w:rPr>
        <w:t>- 23 -</w:t>
      </w:r>
    </w:p>
    <w:p w:rsidR="00000000" w:rsidRDefault="00E65947">
      <w:pPr>
        <w:rPr>
          <w:rFonts w:eastAsia="Times New Roman"/>
        </w:rPr>
      </w:pPr>
      <w:r>
        <w:rPr>
          <w:rFonts w:eastAsia="Times New Roman"/>
        </w:rPr>
        <w:pict>
          <v:rect id="_x0000_i1048" style="width:0;height:1.5pt" o:hralign="center" o:hrstd="t" o:hr="t" fillcolor="#a0a0a0" stroked="f"/>
        </w:pict>
      </w:r>
    </w:p>
    <w:p w:rsidR="00000000" w:rsidRDefault="00E65947">
      <w:pPr>
        <w:divId w:val="1779107782"/>
        <w:rPr>
          <w:rFonts w:eastAsia="Times New Roman"/>
        </w:rPr>
      </w:pPr>
    </w:p>
    <w:p w:rsidR="00000000" w:rsidRDefault="00E65947">
      <w:pPr>
        <w:jc w:val="both"/>
        <w:rPr>
          <w:rFonts w:eastAsia="Times New Roman"/>
        </w:rPr>
      </w:pPr>
      <w:r>
        <w:rPr>
          <w:rFonts w:eastAsia="Times New Roman"/>
          <w:color w:val="000000"/>
          <w:sz w:val="20"/>
          <w:szCs w:val="20"/>
        </w:rPr>
        <w:t>typical relief requests such as preliminary and permanent injunctive relief, monetary damages and attorneys’ fees, costs and expenses.   </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 xml:space="preserve">Material Commitments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Other than commitments disclosed in </w:t>
      </w:r>
      <w:r>
        <w:rPr>
          <w:rFonts w:eastAsia="Times New Roman"/>
          <w:i/>
          <w:iCs/>
          <w:color w:val="000000"/>
          <w:sz w:val="20"/>
          <w:szCs w:val="20"/>
        </w:rPr>
        <w:t>Note 17: Contingent Liabilities and Commitments</w:t>
      </w:r>
      <w:r>
        <w:rPr>
          <w:rFonts w:eastAsia="Times New Roman"/>
          <w:color w:val="000000"/>
          <w:sz w:val="20"/>
          <w:szCs w:val="20"/>
        </w:rPr>
        <w:t xml:space="preserve"> to the C</w:t>
      </w:r>
      <w:r>
        <w:rPr>
          <w:rFonts w:eastAsia="Times New Roman"/>
          <w:color w:val="000000"/>
          <w:sz w:val="20"/>
          <w:szCs w:val="20"/>
        </w:rPr>
        <w:t xml:space="preserve">ompany's consolidated financial statements included in the 2020 Annual Report on Form 10-K, there were no other material commitments outside of the normal course of business. </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Guarantees</w:t>
      </w:r>
    </w:p>
    <w:p w:rsidR="00000000" w:rsidRDefault="00E65947">
      <w:pPr>
        <w:jc w:val="both"/>
        <w:rPr>
          <w:rFonts w:eastAsia="Times New Roman"/>
        </w:rPr>
      </w:pPr>
    </w:p>
    <w:p w:rsidR="00000000" w:rsidRDefault="00E65947">
      <w:pPr>
        <w:divId w:val="894702717"/>
        <w:rPr>
          <w:rFonts w:eastAsia="Times New Roman"/>
        </w:rPr>
      </w:pPr>
      <w:r>
        <w:rPr>
          <w:rFonts w:eastAsia="Times New Roman"/>
          <w:i/>
          <w:iCs/>
          <w:color w:val="000000"/>
          <w:sz w:val="20"/>
          <w:szCs w:val="20"/>
        </w:rPr>
        <w:t>Deerfield Guarantee</w:t>
      </w:r>
    </w:p>
    <w:p w:rsidR="00000000" w:rsidRDefault="00E65947">
      <w:pPr>
        <w:divId w:val="359361807"/>
        <w:rPr>
          <w:rFonts w:eastAsia="Times New Roman"/>
        </w:rPr>
      </w:pPr>
    </w:p>
    <w:p w:rsidR="00000000" w:rsidRDefault="00E65947">
      <w:pPr>
        <w:jc w:val="both"/>
        <w:rPr>
          <w:rFonts w:eastAsia="Times New Roman"/>
        </w:rPr>
      </w:pPr>
      <w:r>
        <w:rPr>
          <w:rFonts w:eastAsia="Times New Roman"/>
          <w:color w:val="000000"/>
          <w:sz w:val="20"/>
          <w:szCs w:val="20"/>
        </w:rPr>
        <w:t>The fair values of our guarantee to Deerfie</w:t>
      </w:r>
      <w:r>
        <w:rPr>
          <w:rFonts w:eastAsia="Times New Roman"/>
          <w:color w:val="000000"/>
          <w:sz w:val="20"/>
          <w:szCs w:val="20"/>
        </w:rPr>
        <w:t>ld and the guarantee received by us from Armistice largely offset and when combined are not material.</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 connection with our February 2018 divestiture of our pediatric assets, we guaranteed to Deerfield the quarterly royalty payment of 15% on net sales o</w:t>
      </w:r>
      <w:r>
        <w:rPr>
          <w:rFonts w:eastAsia="Times New Roman"/>
          <w:color w:val="000000"/>
          <w:sz w:val="20"/>
          <w:szCs w:val="20"/>
        </w:rPr>
        <w:t>f the FSC products through February 6, 2026 (“FSC Product Royalties”), in an aggregate amount of up to approximately $10,300. Given our explicit guarantee to Deerfield, the Company recorded the guarantee in accordance with ASC 460. The balance of this guar</w:t>
      </w:r>
      <w:r>
        <w:rPr>
          <w:rFonts w:eastAsia="Times New Roman"/>
          <w:color w:val="000000"/>
          <w:sz w:val="20"/>
          <w:szCs w:val="20"/>
        </w:rPr>
        <w:t>antee liability was $1,188 at June 30, 2021. This liability is being amortized proportionately based on undiscounted cash outflows through the remainder of the contract with Deerfield.</w:t>
      </w:r>
    </w:p>
    <w:p w:rsidR="00000000" w:rsidRDefault="00E65947">
      <w:pPr>
        <w:divId w:val="74714597"/>
        <w:rPr>
          <w:rFonts w:eastAsia="Times New Roman"/>
        </w:rPr>
      </w:pPr>
    </w:p>
    <w:p w:rsidR="00000000" w:rsidRDefault="00E65947">
      <w:pPr>
        <w:jc w:val="both"/>
        <w:rPr>
          <w:rFonts w:eastAsia="Times New Roman"/>
        </w:rPr>
      </w:pPr>
      <w:r>
        <w:rPr>
          <w:rFonts w:eastAsia="Times New Roman"/>
          <w:i/>
          <w:iCs/>
          <w:color w:val="000000"/>
          <w:sz w:val="20"/>
          <w:szCs w:val="20"/>
        </w:rPr>
        <w:t>Armistice Guarantee</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 connection with our February 2018 divestitur</w:t>
      </w:r>
      <w:r>
        <w:rPr>
          <w:rFonts w:eastAsia="Times New Roman"/>
          <w:color w:val="000000"/>
          <w:sz w:val="20"/>
          <w:szCs w:val="20"/>
        </w:rPr>
        <w:t>e of the pediatric assets, Armistice Capital Master Fund, Ltd., the majority shareholder of Cerecor, guaranteed to us the FSC Product Royalties. The Company recorded the guarantee in accordance with ASC 460. The balance of this guarantee asset was $1,184 a</w:t>
      </w:r>
      <w:r>
        <w:rPr>
          <w:rFonts w:eastAsia="Times New Roman"/>
          <w:color w:val="000000"/>
          <w:sz w:val="20"/>
          <w:szCs w:val="20"/>
        </w:rPr>
        <w:t>t June 30, 2021. This asset is being amortized proportionately based on undiscounted cash outflows through the remainder of the contract with Deerfield.</w:t>
      </w:r>
    </w:p>
    <w:p w:rsidR="00000000" w:rsidRDefault="00E65947">
      <w:pPr>
        <w:jc w:val="both"/>
        <w:rPr>
          <w:rFonts w:eastAsia="Times New Roman"/>
        </w:rPr>
      </w:pPr>
    </w:p>
    <w:p w:rsidR="00000000" w:rsidRDefault="00E65947">
      <w:pPr>
        <w:divId w:val="385031160"/>
        <w:rPr>
          <w:rFonts w:eastAsia="Times New Roman"/>
        </w:rPr>
      </w:pPr>
      <w:r>
        <w:rPr>
          <w:rFonts w:eastAsia="Times New Roman"/>
          <w:b/>
          <w:bCs/>
          <w:i/>
          <w:iCs/>
          <w:color w:val="000000"/>
          <w:sz w:val="20"/>
          <w:szCs w:val="20"/>
        </w:rPr>
        <w:t>Off-Balance Sheet Arrangements</w:t>
      </w:r>
    </w:p>
    <w:p w:rsidR="00000000" w:rsidRDefault="00E65947">
      <w:pPr>
        <w:divId w:val="45881120"/>
        <w:rPr>
          <w:rFonts w:eastAsia="Times New Roman"/>
        </w:rPr>
      </w:pPr>
    </w:p>
    <w:p w:rsidR="00000000" w:rsidRDefault="00E65947">
      <w:pPr>
        <w:divId w:val="953292045"/>
        <w:rPr>
          <w:rFonts w:eastAsia="Times New Roman"/>
        </w:rPr>
      </w:pPr>
      <w:r>
        <w:rPr>
          <w:rFonts w:eastAsia="Times New Roman"/>
          <w:color w:val="000000"/>
          <w:sz w:val="20"/>
          <w:szCs w:val="20"/>
        </w:rPr>
        <w:t>As of June 30, 2021, we did not have any off-balance sheet arrangeme</w:t>
      </w:r>
      <w:r>
        <w:rPr>
          <w:rFonts w:eastAsia="Times New Roman"/>
          <w:color w:val="000000"/>
          <w:sz w:val="20"/>
          <w:szCs w:val="20"/>
        </w:rPr>
        <w:t>nts, as defined in Item 303(a)(4)(ii) of Regulation S-K.</w:t>
      </w:r>
    </w:p>
    <w:p w:rsidR="00000000" w:rsidRDefault="00E65947">
      <w:pPr>
        <w:jc w:val="both"/>
        <w:rPr>
          <w:rFonts w:eastAsia="Times New Roman"/>
        </w:rPr>
      </w:pPr>
    </w:p>
    <w:p w:rsidR="00000000" w:rsidRDefault="00E65947">
      <w:pPr>
        <w:jc w:val="center"/>
        <w:divId w:val="644775756"/>
        <w:rPr>
          <w:rFonts w:eastAsia="Times New Roman"/>
        </w:rPr>
      </w:pPr>
      <w:r>
        <w:rPr>
          <w:rFonts w:eastAsia="Times New Roman"/>
          <w:color w:val="000000"/>
          <w:sz w:val="20"/>
          <w:szCs w:val="20"/>
        </w:rPr>
        <w:t>- 24 -</w:t>
      </w:r>
    </w:p>
    <w:p w:rsidR="00000000" w:rsidRDefault="00E65947">
      <w:pPr>
        <w:rPr>
          <w:rFonts w:eastAsia="Times New Roman"/>
        </w:rPr>
      </w:pPr>
      <w:r>
        <w:rPr>
          <w:rFonts w:eastAsia="Times New Roman"/>
        </w:rPr>
        <w:pict>
          <v:rect id="_x0000_i1049" style="width:0;height:1.5pt" o:hralign="center" o:hrstd="t" o:hr="t" fillcolor="#a0a0a0" stroked="f"/>
        </w:pict>
      </w:r>
    </w:p>
    <w:p w:rsidR="00000000" w:rsidRDefault="00E65947">
      <w:pPr>
        <w:divId w:val="1065682843"/>
        <w:rPr>
          <w:rFonts w:eastAsia="Times New Roman"/>
        </w:rPr>
      </w:pPr>
    </w:p>
    <w:p w:rsidR="00000000" w:rsidRDefault="00E65947">
      <w:pPr>
        <w:divId w:val="510607742"/>
        <w:rPr>
          <w:rFonts w:eastAsia="Times New Roman"/>
        </w:rPr>
      </w:pPr>
      <w:r>
        <w:rPr>
          <w:rFonts w:eastAsia="Times New Roman"/>
          <w:b/>
          <w:bCs/>
          <w:color w:val="000000"/>
          <w:sz w:val="20"/>
          <w:szCs w:val="20"/>
        </w:rPr>
        <w:t>ITEM 2.        MANAGEMENT’S DISCUSSION AND ANALYSIS OF FINANCIAL CONDITION AND RESULTS OF OPERATIONS </w:t>
      </w:r>
    </w:p>
    <w:p w:rsidR="00000000" w:rsidRDefault="00E65947">
      <w:pPr>
        <w:jc w:val="center"/>
        <w:rPr>
          <w:rFonts w:eastAsia="Times New Roman"/>
        </w:rPr>
      </w:pPr>
      <w:r>
        <w:rPr>
          <w:rFonts w:eastAsia="Times New Roman"/>
          <w:b/>
          <w:bCs/>
          <w:color w:val="000000"/>
          <w:sz w:val="20"/>
          <w:szCs w:val="20"/>
        </w:rPr>
        <w:t>Management’s Discussion and Analysis</w:t>
      </w:r>
      <w:r>
        <w:rPr>
          <w:rFonts w:eastAsia="Times New Roman"/>
          <w:i/>
          <w:iCs/>
          <w:color w:val="000000"/>
          <w:sz w:val="20"/>
          <w:szCs w:val="20"/>
        </w:rPr>
        <w:t> </w:t>
      </w:r>
    </w:p>
    <w:p w:rsidR="00000000" w:rsidRDefault="00E65947">
      <w:pPr>
        <w:jc w:val="center"/>
        <w:rPr>
          <w:rFonts w:eastAsia="Times New Roman"/>
        </w:rPr>
      </w:pPr>
      <w:r>
        <w:rPr>
          <w:rFonts w:eastAsia="Times New Roman"/>
          <w:i/>
          <w:iCs/>
          <w:color w:val="000000"/>
          <w:sz w:val="20"/>
          <w:szCs w:val="20"/>
        </w:rPr>
        <w:t>(In thousands, except per share data)</w:t>
      </w:r>
    </w:p>
    <w:p w:rsidR="00000000" w:rsidRDefault="00E65947">
      <w:pPr>
        <w:jc w:val="center"/>
        <w:rPr>
          <w:rFonts w:eastAsia="Times New Roman"/>
        </w:rPr>
      </w:pPr>
      <w:r>
        <w:rPr>
          <w:rFonts w:eastAsia="Times New Roman"/>
          <w:i/>
          <w:iCs/>
          <w:color w:val="000000"/>
          <w:sz w:val="20"/>
          <w:szCs w:val="20"/>
        </w:rPr>
        <w:t>(Unaudited)</w:t>
      </w:r>
    </w:p>
    <w:p w:rsidR="00000000" w:rsidRDefault="00E65947">
      <w:pPr>
        <w:ind w:firstLine="720"/>
        <w:jc w:val="center"/>
        <w:rPr>
          <w:rFonts w:eastAsia="Times New Roman"/>
        </w:rPr>
      </w:pPr>
      <w:r>
        <w:rPr>
          <w:rFonts w:eastAsia="Times New Roman"/>
          <w:color w:val="000000"/>
          <w:sz w:val="20"/>
          <w:szCs w:val="20"/>
        </w:rPr>
        <w:t> </w:t>
      </w:r>
    </w:p>
    <w:p w:rsidR="00000000" w:rsidRDefault="00E65947">
      <w:pPr>
        <w:jc w:val="both"/>
        <w:divId w:val="593326632"/>
        <w:rPr>
          <w:rFonts w:eastAsia="Times New Roman"/>
        </w:rPr>
      </w:pPr>
      <w:r>
        <w:rPr>
          <w:rFonts w:eastAsia="Times New Roman"/>
          <w:b/>
          <w:bCs/>
          <w:i/>
          <w:iCs/>
          <w:color w:val="000000"/>
          <w:sz w:val="20"/>
          <w:szCs w:val="20"/>
        </w:rPr>
        <w:t>You should read the discussion and analysis of our financial condition and results of operations set forth in this Item 2 together with our unaudited condensed consolidated financial statements and the related notes appearing elsewhere in this Quarterly Re</w:t>
      </w:r>
      <w:r>
        <w:rPr>
          <w:rFonts w:eastAsia="Times New Roman"/>
          <w:b/>
          <w:bCs/>
          <w:i/>
          <w:iCs/>
          <w:color w:val="000000"/>
          <w:sz w:val="20"/>
          <w:szCs w:val="20"/>
        </w:rPr>
        <w:t>port on Form 10-Q. Some of the information contained in this discussion and analysis or set forth elsewhere in this Quarterly Report on Form 10-Q, including information with respect to our plans and strategy for our business and related financing, includes</w:t>
      </w:r>
      <w:r>
        <w:rPr>
          <w:rFonts w:eastAsia="Times New Roman"/>
          <w:b/>
          <w:bCs/>
          <w:i/>
          <w:iCs/>
          <w:color w:val="000000"/>
          <w:sz w:val="20"/>
          <w:szCs w:val="20"/>
        </w:rPr>
        <w:t xml:space="preserve"> forward-looking statements that involve risks and uncertainties, and reference is made to the “Cautionary Note Regarding Forward-Looking Statements” set forth immediately following the Table of Contents of this Quarterly Report on Form 10-Q for further in</w:t>
      </w:r>
      <w:r>
        <w:rPr>
          <w:rFonts w:eastAsia="Times New Roman"/>
          <w:b/>
          <w:bCs/>
          <w:i/>
          <w:iCs/>
          <w:color w:val="000000"/>
          <w:sz w:val="20"/>
          <w:szCs w:val="20"/>
        </w:rPr>
        <w:t>formation on the forward looking statements herein. In addition, you should read the “Risk Factors” section in Part I, Item 1A of our Annual Report on Form 10-K filed with the U.S. Securities and Exchange Commission (“SEC”) on March 9, 2021 and Part II, It</w:t>
      </w:r>
      <w:r>
        <w:rPr>
          <w:rFonts w:eastAsia="Times New Roman"/>
          <w:b/>
          <w:bCs/>
          <w:i/>
          <w:iCs/>
          <w:color w:val="000000"/>
          <w:sz w:val="20"/>
          <w:szCs w:val="20"/>
        </w:rPr>
        <w:t>em 1A in this Quarterly Report on Form 10-Q for a discussion of additional important factors that could cause actual results to differ materially from the results described in or implied by the forward-looking statements contained in the following discussi</w:t>
      </w:r>
      <w:r>
        <w:rPr>
          <w:rFonts w:eastAsia="Times New Roman"/>
          <w:b/>
          <w:bCs/>
          <w:i/>
          <w:iCs/>
          <w:color w:val="000000"/>
          <w:sz w:val="20"/>
          <w:szCs w:val="20"/>
        </w:rPr>
        <w:t>on and analysis and elsewhere in this Quarterly Report.</w:t>
      </w:r>
    </w:p>
    <w:p w:rsidR="00000000" w:rsidRDefault="00E65947">
      <w:pPr>
        <w:jc w:val="both"/>
        <w:divId w:val="499782774"/>
        <w:rPr>
          <w:rFonts w:eastAsia="Times New Roman"/>
        </w:rPr>
      </w:pPr>
      <w:r>
        <w:rPr>
          <w:rFonts w:eastAsia="Times New Roman"/>
          <w:b/>
          <w:bCs/>
          <w:color w:val="000000"/>
          <w:sz w:val="20"/>
          <w:szCs w:val="20"/>
          <w:u w:val="single"/>
        </w:rPr>
        <w:t>Overview</w:t>
      </w:r>
      <w:r>
        <w:rPr>
          <w:rFonts w:eastAsia="Times New Roman"/>
          <w:color w:val="000000"/>
          <w:sz w:val="20"/>
          <w:szCs w:val="20"/>
        </w:rPr>
        <w:t> </w:t>
      </w:r>
    </w:p>
    <w:p w:rsidR="00000000" w:rsidRDefault="00E65947">
      <w:pPr>
        <w:jc w:val="both"/>
        <w:divId w:val="136581071"/>
        <w:rPr>
          <w:rFonts w:eastAsia="Times New Roman"/>
        </w:rPr>
      </w:pPr>
      <w:r>
        <w:rPr>
          <w:rFonts w:eastAsia="Times New Roman"/>
          <w:b/>
          <w:bCs/>
          <w:i/>
          <w:iCs/>
          <w:color w:val="000000"/>
          <w:sz w:val="20"/>
          <w:szCs w:val="20"/>
        </w:rPr>
        <w:t>General Overview</w:t>
      </w:r>
      <w:r>
        <w:rPr>
          <w:rFonts w:eastAsia="Times New Roman"/>
          <w:color w:val="000000"/>
          <w:sz w:val="20"/>
          <w:szCs w:val="20"/>
        </w:rPr>
        <w:t xml:space="preserve"> </w:t>
      </w:r>
    </w:p>
    <w:p w:rsidR="00000000" w:rsidRDefault="00E65947">
      <w:pPr>
        <w:jc w:val="both"/>
        <w:rPr>
          <w:rFonts w:eastAsia="Times New Roman"/>
        </w:rPr>
      </w:pPr>
      <w:r>
        <w:rPr>
          <w:rFonts w:eastAsia="Times New Roman"/>
          <w:color w:val="000000"/>
          <w:sz w:val="20"/>
          <w:szCs w:val="20"/>
        </w:rPr>
        <w:t>Avadel Pharmaceuticals plc (Nasdaq: AVDL) (“Avadel,” the “Company,” “we,” “our,” or “us”) is a biopharmaceutical company. Our lead product candidate, FT218, is an investiga</w:t>
      </w:r>
      <w:r>
        <w:rPr>
          <w:rFonts w:eastAsia="Times New Roman"/>
          <w:color w:val="000000"/>
          <w:sz w:val="20"/>
          <w:szCs w:val="20"/>
        </w:rPr>
        <w:t>tional once-nightly, extended-release formulation of sodium oxybate for the treatment of excessive daytime sleepiness (“EDS”) and cataplexy in adults with narcolepsy. We are primarily focused on the development and potential United States (“U.S.”) Food and</w:t>
      </w:r>
      <w:r>
        <w:rPr>
          <w:rFonts w:eastAsia="Times New Roman"/>
          <w:color w:val="000000"/>
          <w:sz w:val="20"/>
          <w:szCs w:val="20"/>
        </w:rPr>
        <w:t xml:space="preserve"> Drug Administration (“FDA”) approval of FT218. In December 2020, we submitted a New Drug Application (“NDA”) to the FDA for FT218 to treat excessive daytime sleepiness and cataplexy in adults with narcolepsy. The NDA for FT218 was accepted by the FDA in F</w:t>
      </w:r>
      <w:r>
        <w:rPr>
          <w:rFonts w:eastAsia="Times New Roman"/>
          <w:color w:val="000000"/>
          <w:sz w:val="20"/>
          <w:szCs w:val="20"/>
        </w:rPr>
        <w:t xml:space="preserve">ebruary 2021 and assigned a Prescription Drug User Fee Act (“PDUFA”) target action date of October 15, 2021. </w:t>
      </w:r>
    </w:p>
    <w:p w:rsidR="00000000" w:rsidRDefault="00E65947">
      <w:pPr>
        <w:divId w:val="1955400151"/>
        <w:rPr>
          <w:rFonts w:eastAsia="Times New Roman"/>
        </w:rPr>
      </w:pPr>
    </w:p>
    <w:p w:rsidR="00000000" w:rsidRDefault="00E65947">
      <w:pPr>
        <w:jc w:val="both"/>
        <w:rPr>
          <w:rFonts w:eastAsia="Times New Roman"/>
        </w:rPr>
      </w:pPr>
      <w:r>
        <w:rPr>
          <w:rFonts w:eastAsia="Times New Roman"/>
          <w:color w:val="000000"/>
          <w:sz w:val="20"/>
          <w:szCs w:val="20"/>
        </w:rPr>
        <w:t>Outside of our lead product candidate, we continue to evaluate opportunities to expand our product portfolio. As of June 30, 2021, we do not hav</w:t>
      </w:r>
      <w:r>
        <w:rPr>
          <w:rFonts w:eastAsia="Times New Roman"/>
          <w:color w:val="000000"/>
          <w:sz w:val="20"/>
          <w:szCs w:val="20"/>
        </w:rPr>
        <w:t>e any approved and commercialized products in our portfolio.</w:t>
      </w:r>
    </w:p>
    <w:p w:rsidR="00000000" w:rsidRDefault="00E65947">
      <w:pPr>
        <w:divId w:val="221866455"/>
        <w:rPr>
          <w:rFonts w:eastAsia="Times New Roman"/>
        </w:rPr>
      </w:pPr>
    </w:p>
    <w:p w:rsidR="00000000" w:rsidRDefault="00E65947">
      <w:pPr>
        <w:divId w:val="2128575854"/>
        <w:rPr>
          <w:rFonts w:eastAsia="Times New Roman"/>
        </w:rPr>
      </w:pPr>
      <w:r>
        <w:rPr>
          <w:rFonts w:eastAsia="Times New Roman"/>
          <w:b/>
          <w:bCs/>
          <w:i/>
          <w:iCs/>
          <w:color w:val="000000"/>
          <w:sz w:val="20"/>
          <w:szCs w:val="20"/>
        </w:rPr>
        <w:t>FT218</w:t>
      </w:r>
    </w:p>
    <w:p w:rsidR="00000000" w:rsidRDefault="00E65947">
      <w:pPr>
        <w:divId w:val="100494489"/>
        <w:rPr>
          <w:rFonts w:eastAsia="Times New Roman"/>
        </w:rPr>
      </w:pPr>
    </w:p>
    <w:p w:rsidR="00000000" w:rsidRDefault="00E65947">
      <w:pPr>
        <w:jc w:val="both"/>
        <w:rPr>
          <w:rFonts w:eastAsia="Times New Roman"/>
        </w:rPr>
      </w:pPr>
      <w:r>
        <w:rPr>
          <w:rFonts w:eastAsia="Times New Roman"/>
          <w:color w:val="000000"/>
          <w:sz w:val="20"/>
          <w:szCs w:val="20"/>
        </w:rPr>
        <w:t>FT218 is a once-nightly formulation of sodium oxybate that uses our Micropump controlled release drug-delivery technology for the treatment of EDS and cataplexy in adults suffering from</w:t>
      </w:r>
      <w:r>
        <w:rPr>
          <w:rFonts w:eastAsia="Times New Roman"/>
          <w:color w:val="000000"/>
          <w:sz w:val="20"/>
          <w:szCs w:val="20"/>
        </w:rPr>
        <w:t xml:space="preserve"> narcolepsy. Sodium oxybate is the sodium salt of gamma hydroxybutyrate, an endogenous compound and metabolite of the neurotransmitter gamma-aminobutyric acid. Sodium oxybate is approved in the U.S. for the treatment of EDS and cataplexy in patients with n</w:t>
      </w:r>
      <w:r>
        <w:rPr>
          <w:rFonts w:eastAsia="Times New Roman"/>
          <w:color w:val="000000"/>
          <w:sz w:val="20"/>
          <w:szCs w:val="20"/>
        </w:rPr>
        <w:t>arcolepsy and is approved in Europe for the treatment of cataplexy in patients with narcolepsy. Since 2002, sodium oxybate has only been available as a formulation that must be taken twice nightly, first at bedtime, and then again 2.5 to 4 hours later.</w:t>
      </w:r>
    </w:p>
    <w:p w:rsidR="00000000" w:rsidRDefault="00E65947">
      <w:pPr>
        <w:divId w:val="1358578932"/>
        <w:rPr>
          <w:rFonts w:eastAsia="Times New Roman"/>
        </w:rPr>
      </w:pPr>
    </w:p>
    <w:p w:rsidR="00000000" w:rsidRDefault="00E65947">
      <w:pPr>
        <w:jc w:val="both"/>
        <w:rPr>
          <w:rFonts w:eastAsia="Times New Roman"/>
        </w:rPr>
      </w:pPr>
      <w:r>
        <w:rPr>
          <w:rFonts w:eastAsia="Times New Roman"/>
          <w:color w:val="000000"/>
          <w:sz w:val="20"/>
          <w:szCs w:val="20"/>
        </w:rPr>
        <w:t>O</w:t>
      </w:r>
      <w:r>
        <w:rPr>
          <w:rFonts w:eastAsia="Times New Roman"/>
          <w:color w:val="000000"/>
          <w:sz w:val="20"/>
          <w:szCs w:val="20"/>
        </w:rPr>
        <w:t>n December 16, 2020, we announced the submission of our NDA to the FDA for FT218. On February 26, 2021, the FDA notified us of formal acceptance of the NDA with an assigned PDUFA target action date of October 15, 2021.</w:t>
      </w:r>
    </w:p>
    <w:p w:rsidR="00000000" w:rsidRDefault="00E65947">
      <w:pPr>
        <w:divId w:val="1936741227"/>
        <w:rPr>
          <w:rFonts w:eastAsia="Times New Roman"/>
        </w:rPr>
      </w:pPr>
    </w:p>
    <w:p w:rsidR="00000000" w:rsidRDefault="00E65947">
      <w:pPr>
        <w:jc w:val="both"/>
        <w:rPr>
          <w:rFonts w:eastAsia="Times New Roman"/>
        </w:rPr>
      </w:pPr>
      <w:r>
        <w:rPr>
          <w:rFonts w:eastAsia="Times New Roman"/>
          <w:color w:val="000000"/>
          <w:sz w:val="20"/>
          <w:szCs w:val="20"/>
        </w:rPr>
        <w:t>We conducted a Phase 3 clinical tri</w:t>
      </w:r>
      <w:r>
        <w:rPr>
          <w:rFonts w:eastAsia="Times New Roman"/>
          <w:color w:val="000000"/>
          <w:sz w:val="20"/>
          <w:szCs w:val="20"/>
        </w:rPr>
        <w:t>al of FT218, the REST-ON trial, which was a randomized, double-blind, placebo-controlled study that enrolled 212 patients and was conducted in clinical sites in the U.S., Canada, Western Europe and Australia. The last patient, last visit was completed at t</w:t>
      </w:r>
      <w:r>
        <w:rPr>
          <w:rFonts w:eastAsia="Times New Roman"/>
          <w:color w:val="000000"/>
          <w:sz w:val="20"/>
          <w:szCs w:val="20"/>
        </w:rPr>
        <w:t>he end of the first quarter of 2020 and positive top line data from the REST-ON trial was announced on April 27, 2020. Patients who received 9 g of once-nightly FT218, the highest dose administered in the trial, demonstrated a statistically significant and</w:t>
      </w:r>
      <w:r>
        <w:rPr>
          <w:rFonts w:eastAsia="Times New Roman"/>
          <w:color w:val="000000"/>
          <w:sz w:val="20"/>
          <w:szCs w:val="20"/>
        </w:rPr>
        <w:t xml:space="preserve"> clinically meaningful improvement compared to placebo across the three co-primary endpoints of the trial: maintenance of wakefulness test, or MWT, clinical global impression-improvement, or CGI-I, and mean weekly cataplexy attacks. The lower doses assesse</w:t>
      </w:r>
      <w:r>
        <w:rPr>
          <w:rFonts w:eastAsia="Times New Roman"/>
          <w:color w:val="000000"/>
          <w:sz w:val="20"/>
          <w:szCs w:val="20"/>
        </w:rPr>
        <w:t>d, 6 g and 7.5 g also demonstrated a statistically significant and clinically meaningful improvement on all three co-primary endpoints compared to placebo. We observed the 9 g dose of once-nightly FT218 to be generally well tolerated. Adverse reactions com</w:t>
      </w:r>
      <w:r>
        <w:rPr>
          <w:rFonts w:eastAsia="Times New Roman"/>
          <w:color w:val="000000"/>
          <w:sz w:val="20"/>
          <w:szCs w:val="20"/>
        </w:rPr>
        <w:t>monly associated with sodium oxybate were observed in a small number of patients (nausea 1.3%, vomiting 5.2%, decreased appetite 2.6%, dizziness 5.2%, somnolence 3.9%, tremor 1.3% and enuresis 9%), and 3.9% of the patients who received 9 g of FT218 discont</w:t>
      </w:r>
      <w:r>
        <w:rPr>
          <w:rFonts w:eastAsia="Times New Roman"/>
          <w:color w:val="000000"/>
          <w:sz w:val="20"/>
          <w:szCs w:val="20"/>
        </w:rPr>
        <w:t>inued the trial due to adverse reactions.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In January 2018, the FDA granted FT218 Orphan Drug Designation, which makes the drug eligible for certain development and </w:t>
      </w:r>
    </w:p>
    <w:p w:rsidR="00000000" w:rsidRDefault="00E65947">
      <w:pPr>
        <w:jc w:val="center"/>
        <w:divId w:val="1257790148"/>
        <w:rPr>
          <w:rFonts w:eastAsia="Times New Roman"/>
        </w:rPr>
      </w:pPr>
      <w:r>
        <w:rPr>
          <w:rFonts w:eastAsia="Times New Roman"/>
          <w:color w:val="000000"/>
          <w:sz w:val="20"/>
          <w:szCs w:val="20"/>
        </w:rPr>
        <w:t>- 25 -</w:t>
      </w:r>
    </w:p>
    <w:p w:rsidR="00000000" w:rsidRDefault="00E65947">
      <w:pPr>
        <w:rPr>
          <w:rFonts w:eastAsia="Times New Roman"/>
        </w:rPr>
      </w:pPr>
      <w:r>
        <w:rPr>
          <w:rFonts w:eastAsia="Times New Roman"/>
        </w:rPr>
        <w:pict>
          <v:rect id="_x0000_i1050" style="width:0;height:1.5pt" o:hralign="center" o:hrstd="t" o:hr="t" fillcolor="#a0a0a0" stroked="f"/>
        </w:pict>
      </w:r>
    </w:p>
    <w:p w:rsidR="00000000" w:rsidRDefault="00E65947">
      <w:pPr>
        <w:divId w:val="1101682238"/>
        <w:rPr>
          <w:rFonts w:eastAsia="Times New Roman"/>
        </w:rPr>
      </w:pPr>
    </w:p>
    <w:p w:rsidR="00000000" w:rsidRDefault="00E65947">
      <w:pPr>
        <w:jc w:val="both"/>
        <w:rPr>
          <w:rFonts w:eastAsia="Times New Roman"/>
        </w:rPr>
      </w:pPr>
      <w:r>
        <w:rPr>
          <w:rFonts w:eastAsia="Times New Roman"/>
          <w:color w:val="000000"/>
          <w:sz w:val="20"/>
          <w:szCs w:val="20"/>
        </w:rPr>
        <w:t>commercial incentives, including potential U</w:t>
      </w:r>
      <w:r>
        <w:rPr>
          <w:rFonts w:eastAsia="Times New Roman"/>
          <w:color w:val="000000"/>
          <w:sz w:val="20"/>
          <w:szCs w:val="20"/>
        </w:rPr>
        <w:t>.S. market exclusivity for up to seven years. Additionally, several FT218-related U.S. patents have been issued, and there are additional patent applications currently in development and/or pending at the U.S. Patent and Trademark Office (“USPTO”), as well</w:t>
      </w:r>
      <w:r>
        <w:rPr>
          <w:rFonts w:eastAsia="Times New Roman"/>
          <w:color w:val="000000"/>
          <w:sz w:val="20"/>
          <w:szCs w:val="20"/>
        </w:rPr>
        <w:t xml:space="preserve"> as foreign patent offices.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 July 2020, we announced that the first patient was dosed initiating an open-label extension (“OLE”)/switch study of FT218 as a potential treatment for EDS and cataplexy in patients with narcolepsy. The OLE/switch study is e</w:t>
      </w:r>
      <w:r>
        <w:rPr>
          <w:rFonts w:eastAsia="Times New Roman"/>
          <w:color w:val="000000"/>
          <w:sz w:val="20"/>
          <w:szCs w:val="20"/>
        </w:rPr>
        <w:t>xamining the long-term safety and maintenance of efficacy of FT218 in patients with narcolepsy who participated in the REST-ON study, as well as dosing and preference data for patients switching from twice-nightly sodium oxybate to once-nightly FT218, rega</w:t>
      </w:r>
      <w:r>
        <w:rPr>
          <w:rFonts w:eastAsia="Times New Roman"/>
          <w:color w:val="000000"/>
          <w:sz w:val="20"/>
          <w:szCs w:val="20"/>
        </w:rPr>
        <w:t xml:space="preserve">rdless of whether they participated in REST-ON.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New secondary endpoints from the REST-ON trial were presented at the American Academy of Neurology, beginning April 17, 2021. The first poster described FT218 improvements in disturbed nocturnal sleep (“DN</w:t>
      </w:r>
      <w:r>
        <w:rPr>
          <w:rFonts w:eastAsia="Times New Roman"/>
          <w:color w:val="000000"/>
          <w:sz w:val="20"/>
          <w:szCs w:val="20"/>
        </w:rPr>
        <w:t>S”), defined in REST-ON as the number of shifts from stages N1, N2, N3, and rapid eye movement (“REM”) sleep to wake and from stages N2, N3, and REM sleep to stage N1. FT218 also decreased the number of nocturnal arousals as measured on polysomnography. Im</w:t>
      </w:r>
      <w:r>
        <w:rPr>
          <w:rFonts w:eastAsia="Times New Roman"/>
          <w:color w:val="000000"/>
          <w:sz w:val="20"/>
          <w:szCs w:val="20"/>
        </w:rPr>
        <w:t>provements in DNS were further supported by post-hoc analyses demonstrating increased time in deep sleep (N3, also known as slow wave sleep), and less time in N1. A second poster described the statistically significant improvements in the Epworth Sleepines</w:t>
      </w:r>
      <w:r>
        <w:rPr>
          <w:rFonts w:eastAsia="Times New Roman"/>
          <w:color w:val="000000"/>
          <w:sz w:val="20"/>
          <w:szCs w:val="20"/>
        </w:rPr>
        <w:t>s Scale, both the quality of sleep and the refreshing nature of sleep, and a decrease in sleep paralysis. These clinically relevant improvements were observed for all doses, beginning at Week 3, for the lowest 6 g dose, compared to placebo. FT218 did not d</w:t>
      </w:r>
      <w:r>
        <w:rPr>
          <w:rFonts w:eastAsia="Times New Roman"/>
          <w:color w:val="000000"/>
          <w:sz w:val="20"/>
          <w:szCs w:val="20"/>
        </w:rPr>
        <w:t xml:space="preserve">emonstrate significant improvement for hypnagogic hallucinations compared to placebo.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Additional data supportive of the efficacy findings in REST-ON were presented at the annual meeting of the 3</w:t>
      </w:r>
      <w:r>
        <w:rPr>
          <w:rFonts w:eastAsia="Times New Roman"/>
          <w:color w:val="000000"/>
          <w:sz w:val="20"/>
          <w:szCs w:val="20"/>
        </w:rPr>
        <w:t>5</w:t>
      </w:r>
      <w:r>
        <w:rPr>
          <w:rFonts w:eastAsia="Times New Roman"/>
          <w:color w:val="000000"/>
          <w:sz w:val="13"/>
          <w:szCs w:val="13"/>
        </w:rPr>
        <w:t>t</w:t>
      </w:r>
      <w:r>
        <w:rPr>
          <w:rFonts w:eastAsia="Times New Roman"/>
          <w:color w:val="000000"/>
          <w:sz w:val="13"/>
          <w:szCs w:val="13"/>
        </w:rPr>
        <w:t>h</w:t>
      </w:r>
      <w:r>
        <w:rPr>
          <w:rFonts w:eastAsia="Times New Roman"/>
          <w:color w:val="000000"/>
          <w:sz w:val="20"/>
          <w:szCs w:val="20"/>
        </w:rPr>
        <w:t xml:space="preserve"> Annual Meeting of the Associated Professional Sleep Societies, a joint meeting of the American Academy of Sleep Medicine and the Sleep Research </w:t>
      </w:r>
      <w:r>
        <w:rPr>
          <w:rFonts w:eastAsia="Times New Roman"/>
          <w:color w:val="000000"/>
          <w:sz w:val="20"/>
          <w:szCs w:val="20"/>
        </w:rPr>
        <w:t>Society, also known as SLEEP 2021, beginning June 10, 2021. New data included post-hoc analyses demonstrating endpoints improvements, regardless of concomitant stimulant use, in both narcolepsy Type 1 or Type 2. Additionally, a post-hoc analysis showed tha</w:t>
      </w:r>
      <w:r>
        <w:rPr>
          <w:rFonts w:eastAsia="Times New Roman"/>
          <w:color w:val="000000"/>
          <w:sz w:val="20"/>
          <w:szCs w:val="20"/>
        </w:rPr>
        <w:t xml:space="preserve">t FT218 was associated with decreased body mass index compared to placebo, which may be relevant as people with narcolepsy often have co-morbid obesity.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We believe FT218 has the potential to demonstrate improved dosing compliance, safety and patient sat</w:t>
      </w:r>
      <w:r>
        <w:rPr>
          <w:rFonts w:eastAsia="Times New Roman"/>
          <w:color w:val="000000"/>
          <w:sz w:val="20"/>
          <w:szCs w:val="20"/>
        </w:rPr>
        <w:t>isfaction over the current standard of care for EDS and cataplexy in patients with narcolepsy, which are twice-nightly oxybate formulations. If approved, we believe FT218 has the potential to take a significant share of the oxybate market. The current mark</w:t>
      </w:r>
      <w:r>
        <w:rPr>
          <w:rFonts w:eastAsia="Times New Roman"/>
          <w:color w:val="000000"/>
          <w:sz w:val="20"/>
          <w:szCs w:val="20"/>
        </w:rPr>
        <w:t>et size for the twice-nightly administration of oxybate products is an estimated $1.8 billion annually.</w:t>
      </w:r>
    </w:p>
    <w:p w:rsidR="00000000" w:rsidRDefault="00E65947">
      <w:pPr>
        <w:divId w:val="468523317"/>
        <w:rPr>
          <w:rFonts w:eastAsia="Times New Roman"/>
        </w:rPr>
      </w:pPr>
    </w:p>
    <w:p w:rsidR="00000000" w:rsidRDefault="00E65947">
      <w:pPr>
        <w:divId w:val="362443082"/>
        <w:rPr>
          <w:rFonts w:eastAsia="Times New Roman"/>
        </w:rPr>
      </w:pPr>
      <w:r>
        <w:rPr>
          <w:rFonts w:eastAsia="Times New Roman"/>
          <w:b/>
          <w:bCs/>
          <w:i/>
          <w:iCs/>
          <w:color w:val="000000"/>
          <w:sz w:val="20"/>
          <w:szCs w:val="20"/>
        </w:rPr>
        <w:t>Micropump Drug-Delivery Technology</w:t>
      </w:r>
    </w:p>
    <w:p w:rsidR="00000000" w:rsidRDefault="00E65947">
      <w:pPr>
        <w:divId w:val="1504316277"/>
        <w:rPr>
          <w:rFonts w:eastAsia="Times New Roman"/>
        </w:rPr>
      </w:pPr>
    </w:p>
    <w:p w:rsidR="00000000" w:rsidRDefault="00E65947">
      <w:pPr>
        <w:jc w:val="both"/>
        <w:rPr>
          <w:rFonts w:eastAsia="Times New Roman"/>
        </w:rPr>
      </w:pPr>
      <w:r>
        <w:rPr>
          <w:rFonts w:eastAsia="Times New Roman"/>
          <w:color w:val="000000"/>
          <w:sz w:val="20"/>
          <w:szCs w:val="20"/>
        </w:rPr>
        <w:t>Our Micropump drug-delivery technology allows for the controlled delivery of small molecule drugs taken orally, w</w:t>
      </w:r>
      <w:r>
        <w:rPr>
          <w:rFonts w:eastAsia="Times New Roman"/>
          <w:color w:val="000000"/>
          <w:sz w:val="20"/>
          <w:szCs w:val="20"/>
        </w:rPr>
        <w:t xml:space="preserve">hich has the potential to improve dosing compliance, reduce toxicity and improve patient compliance. Beyond FT218, we believe there could be other product development opportunities for our Micropump drug-delivery technology, representing either life cycle </w:t>
      </w:r>
      <w:r>
        <w:rPr>
          <w:rFonts w:eastAsia="Times New Roman"/>
          <w:color w:val="000000"/>
          <w:sz w:val="20"/>
          <w:szCs w:val="20"/>
        </w:rPr>
        <w:t>opportunities, whereby additional intellectual property can be added to a pharmaceutical product to extend the commercial viability of a currently marketed product, or innovative formulation opportunities for new chemical entities.</w:t>
      </w:r>
    </w:p>
    <w:p w:rsidR="00000000" w:rsidRDefault="00E65947">
      <w:pPr>
        <w:jc w:val="both"/>
        <w:rPr>
          <w:rFonts w:eastAsia="Times New Roman"/>
        </w:rPr>
      </w:pPr>
    </w:p>
    <w:p w:rsidR="00000000" w:rsidRDefault="00E65947">
      <w:pPr>
        <w:divId w:val="170029493"/>
        <w:rPr>
          <w:rFonts w:eastAsia="Times New Roman"/>
        </w:rPr>
      </w:pPr>
      <w:r>
        <w:rPr>
          <w:rFonts w:eastAsia="Times New Roman"/>
          <w:b/>
          <w:bCs/>
          <w:i/>
          <w:iCs/>
          <w:color w:val="000000"/>
          <w:sz w:val="20"/>
          <w:szCs w:val="20"/>
        </w:rPr>
        <w:t>Previously Approved FD</w:t>
      </w:r>
      <w:r>
        <w:rPr>
          <w:rFonts w:eastAsia="Times New Roman"/>
          <w:b/>
          <w:bCs/>
          <w:i/>
          <w:iCs/>
          <w:color w:val="000000"/>
          <w:sz w:val="20"/>
          <w:szCs w:val="20"/>
        </w:rPr>
        <w:t>A Products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On June 30, 2020, we announced the sale of our portfolio of sterile injectable drugs used in the hospital setting (the “Hospital Products”), including our three commercial products, Akovaz, Bloxiverz and Vazculep, as well as Nouress, to Exela </w:t>
      </w:r>
      <w:r>
        <w:rPr>
          <w:rFonts w:eastAsia="Times New Roman"/>
          <w:color w:val="000000"/>
          <w:sz w:val="20"/>
          <w:szCs w:val="20"/>
        </w:rPr>
        <w:t>Sterile Medicines LLC (“Exela Buyer”). This sale included the following FDA approved products:</w:t>
      </w:r>
    </w:p>
    <w:p w:rsidR="00000000" w:rsidRDefault="00E65947">
      <w:pPr>
        <w:jc w:val="both"/>
        <w:rPr>
          <w:rFonts w:eastAsia="Times New Roman"/>
        </w:rPr>
      </w:pPr>
    </w:p>
    <w:p w:rsidR="00000000" w:rsidRDefault="00E65947">
      <w:pPr>
        <w:ind w:hanging="360"/>
        <w:jc w:val="both"/>
        <w:divId w:val="1614632675"/>
        <w:rPr>
          <w:rFonts w:eastAsia="Times New Roman"/>
        </w:rPr>
      </w:pPr>
      <w:r>
        <w:rPr>
          <w:rFonts w:eastAsia="Times New Roman"/>
          <w:i/>
          <w:iCs/>
          <w:color w:val="000000"/>
          <w:sz w:val="20"/>
          <w:szCs w:val="20"/>
        </w:rPr>
        <w:t>•</w:t>
      </w:r>
      <w:r>
        <w:rPr>
          <w:rFonts w:eastAsia="Times New Roman"/>
          <w:b/>
          <w:bCs/>
          <w:color w:val="000000"/>
          <w:sz w:val="20"/>
          <w:szCs w:val="20"/>
        </w:rPr>
        <w:t>Bloxiverz (neostigmine methylsulfate injection)</w:t>
      </w:r>
      <w:r>
        <w:rPr>
          <w:rFonts w:eastAsia="Times New Roman"/>
          <w:color w:val="000000"/>
          <w:sz w:val="20"/>
          <w:szCs w:val="20"/>
        </w:rPr>
        <w:t xml:space="preserve"> - </w:t>
      </w:r>
      <w:r>
        <w:rPr>
          <w:rFonts w:eastAsia="Times New Roman"/>
          <w:color w:val="000000"/>
          <w:sz w:val="20"/>
          <w:szCs w:val="20"/>
        </w:rPr>
        <w:t>Bloxiverz is a drug used intravenously in the operating room to reverse the effects of non-depolarizing neuromuscular blocking agents after surgery.</w:t>
      </w:r>
    </w:p>
    <w:p w:rsidR="00000000" w:rsidRDefault="00E6594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(phenylephrine hydrochloride injection)</w:t>
      </w:r>
      <w:r>
        <w:rPr>
          <w:rFonts w:eastAsia="Times New Roman"/>
          <w:color w:val="000000"/>
          <w:sz w:val="20"/>
          <w:szCs w:val="20"/>
        </w:rPr>
        <w:t xml:space="preserve"> - Vazculep is indicated for the treatment of clinically i</w:t>
      </w:r>
      <w:r>
        <w:rPr>
          <w:rFonts w:eastAsia="Times New Roman"/>
          <w:color w:val="000000"/>
          <w:sz w:val="20"/>
          <w:szCs w:val="20"/>
        </w:rPr>
        <w:t>mportant hypotension occurring in the setting of anesthesia.</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w:t>
      </w:r>
      <w:r>
        <w:rPr>
          <w:rFonts w:eastAsia="Times New Roman"/>
          <w:color w:val="000000"/>
          <w:sz w:val="20"/>
          <w:szCs w:val="20"/>
        </w:rPr>
        <w:t xml:space="preserve"> - Akovaz was the first FDA approved formulation of ephedrine sulfate, an alpha- and beta- adrenergic agonist and a norepinephrine-releasing agent that is i</w:t>
      </w:r>
      <w:r>
        <w:rPr>
          <w:rFonts w:eastAsia="Times New Roman"/>
          <w:color w:val="000000"/>
          <w:sz w:val="20"/>
          <w:szCs w:val="20"/>
        </w:rPr>
        <w:t>ndicated for the treatment of clinically important hypotension occurring in the setting of anesthesia.</w:t>
      </w:r>
    </w:p>
    <w:p w:rsidR="00000000" w:rsidRDefault="00E65947">
      <w:pPr>
        <w:jc w:val="both"/>
        <w:rPr>
          <w:rFonts w:eastAsia="Times New Roman"/>
        </w:rPr>
      </w:pPr>
    </w:p>
    <w:p w:rsidR="00000000" w:rsidRDefault="00E65947">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 Nouress is a sterile injectable product for use in the hospital setting to provide parenteral nutrition t</w:t>
      </w:r>
      <w:r>
        <w:rPr>
          <w:rFonts w:eastAsia="Times New Roman"/>
          <w:color w:val="000000"/>
          <w:sz w:val="20"/>
          <w:szCs w:val="20"/>
        </w:rPr>
        <w:t>o neonates.</w:t>
      </w:r>
    </w:p>
    <w:p w:rsidR="00000000" w:rsidRDefault="00E65947">
      <w:pPr>
        <w:jc w:val="both"/>
        <w:rPr>
          <w:rFonts w:eastAsia="Times New Roman"/>
        </w:rPr>
      </w:pPr>
    </w:p>
    <w:p w:rsidR="00000000" w:rsidRDefault="00E65947">
      <w:pPr>
        <w:jc w:val="center"/>
        <w:divId w:val="1654403930"/>
        <w:rPr>
          <w:rFonts w:eastAsia="Times New Roman"/>
        </w:rPr>
      </w:pPr>
      <w:r>
        <w:rPr>
          <w:rFonts w:eastAsia="Times New Roman"/>
          <w:color w:val="000000"/>
          <w:sz w:val="20"/>
          <w:szCs w:val="20"/>
        </w:rPr>
        <w:t>- 26 -</w:t>
      </w:r>
    </w:p>
    <w:p w:rsidR="00000000" w:rsidRDefault="00E65947">
      <w:pPr>
        <w:rPr>
          <w:rFonts w:eastAsia="Times New Roman"/>
        </w:rPr>
      </w:pPr>
      <w:r>
        <w:rPr>
          <w:rFonts w:eastAsia="Times New Roman"/>
        </w:rPr>
        <w:pict>
          <v:rect id="_x0000_i1051" style="width:0;height:1.5pt" o:hralign="center" o:hrstd="t" o:hr="t" fillcolor="#a0a0a0" stroked="f"/>
        </w:pict>
      </w:r>
    </w:p>
    <w:p w:rsidR="00000000" w:rsidRDefault="00E65947">
      <w:pPr>
        <w:divId w:val="1918587627"/>
        <w:rPr>
          <w:rFonts w:eastAsia="Times New Roman"/>
        </w:rPr>
      </w:pPr>
    </w:p>
    <w:p w:rsidR="00000000" w:rsidRDefault="00E65947">
      <w:pPr>
        <w:divId w:val="93407649"/>
        <w:rPr>
          <w:rFonts w:eastAsia="Times New Roman"/>
        </w:rPr>
      </w:pPr>
      <w:r>
        <w:rPr>
          <w:rFonts w:eastAsia="Times New Roman"/>
          <w:b/>
          <w:bCs/>
          <w:i/>
          <w:iCs/>
          <w:color w:val="000000"/>
          <w:sz w:val="20"/>
          <w:szCs w:val="20"/>
        </w:rPr>
        <w:t>Corporate Information</w:t>
      </w:r>
    </w:p>
    <w:p w:rsidR="00000000" w:rsidRDefault="00E65947">
      <w:pPr>
        <w:divId w:val="917986222"/>
        <w:rPr>
          <w:rFonts w:eastAsia="Times New Roman"/>
        </w:rPr>
      </w:pPr>
    </w:p>
    <w:p w:rsidR="00000000" w:rsidRDefault="00E65947">
      <w:pPr>
        <w:jc w:val="both"/>
        <w:rPr>
          <w:rFonts w:eastAsia="Times New Roman"/>
        </w:rPr>
      </w:pPr>
      <w:r>
        <w:rPr>
          <w:rFonts w:eastAsia="Times New Roman"/>
          <w:color w:val="000000"/>
          <w:sz w:val="20"/>
          <w:szCs w:val="20"/>
        </w:rPr>
        <w:t>We are an Irish public limited company. Our registered address is at 10 Earlsfort Terrace, Dublin 2, Ireland and our phone number is +353-1-920-1000. We file annual, quarte</w:t>
      </w:r>
      <w:r>
        <w:rPr>
          <w:rFonts w:eastAsia="Times New Roman"/>
          <w:color w:val="000000"/>
          <w:sz w:val="20"/>
          <w:szCs w:val="20"/>
        </w:rPr>
        <w:t>rly and current reports, proxy statements and other documents with the SEC under the Securities Exchange Act of 1934, as amended (the “Exchange Act”). Our website is www.avadel.com, where we make available free of charge our reports (and any amendments the</w:t>
      </w:r>
      <w:r>
        <w:rPr>
          <w:rFonts w:eastAsia="Times New Roman"/>
          <w:color w:val="000000"/>
          <w:sz w:val="20"/>
          <w:szCs w:val="20"/>
        </w:rPr>
        <w:t xml:space="preserve">reto) on Forms 10-K, 10-Q and 8-K as soon as reasonably practicable after they are electronically filed with or furnished to the SEC. These filings are also available to the public at www.sec.gov.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We currently have five direct wholly-owned subsidiaries: (a) Avadel US Holdings, Inc., (b) Flamel Ireland Limited is an Irish limited company, which conducts business under the name Avadel Ireland, (c) Avadel Investment Company Limited, (d) Avadel Finance </w:t>
      </w:r>
      <w:r>
        <w:rPr>
          <w:rFonts w:eastAsia="Times New Roman"/>
          <w:color w:val="000000"/>
          <w:sz w:val="20"/>
          <w:szCs w:val="20"/>
        </w:rPr>
        <w:t>Ireland Designated Activity Company and (e) Avadel France Holding SAS. Avadel US Holdings, Inc., a Delaware corporation, is the holding entity of (i) Avadel Specialty Pharmaceuticals, LLC, (ii) Avadel Legacy Pharmaceuticals, LLC, (iii) Avadel Management Co</w:t>
      </w:r>
      <w:r>
        <w:rPr>
          <w:rFonts w:eastAsia="Times New Roman"/>
          <w:color w:val="000000"/>
          <w:sz w:val="20"/>
          <w:szCs w:val="20"/>
        </w:rPr>
        <w:t>rporation, and (iv) Avadel CNS Pharmaceuticals LLC. Avadel Finance Ireland Designated Activity Company is the holding entity of Avadel Finance Cayman Limited. Avadel France Holding SAS is the holding entity of Avadel Research SAS. A complete list of our su</w:t>
      </w:r>
      <w:r>
        <w:rPr>
          <w:rFonts w:eastAsia="Times New Roman"/>
          <w:color w:val="000000"/>
          <w:sz w:val="20"/>
          <w:szCs w:val="20"/>
        </w:rPr>
        <w:t>bsidiaries can be found in Exhibit 21.1 of our Annual Report on Form 10-K filed with the SEC on March 9, 2021.</w:t>
      </w:r>
    </w:p>
    <w:p w:rsidR="00000000" w:rsidRDefault="00E65947">
      <w:pPr>
        <w:divId w:val="1223950922"/>
        <w:rPr>
          <w:rFonts w:eastAsia="Times New Roman"/>
        </w:rPr>
      </w:pPr>
    </w:p>
    <w:p w:rsidR="00000000" w:rsidRDefault="00E65947">
      <w:pPr>
        <w:jc w:val="both"/>
        <w:divId w:val="1561330621"/>
        <w:rPr>
          <w:rFonts w:eastAsia="Times New Roman"/>
        </w:rPr>
      </w:pPr>
      <w:r>
        <w:rPr>
          <w:rFonts w:eastAsia="Times New Roman"/>
          <w:b/>
          <w:bCs/>
          <w:i/>
          <w:iCs/>
          <w:color w:val="000000"/>
          <w:sz w:val="20"/>
          <w:szCs w:val="20"/>
        </w:rPr>
        <w:t>Key Business Trends and Highlights</w:t>
      </w:r>
      <w:r>
        <w:rPr>
          <w:rFonts w:eastAsia="Times New Roman"/>
          <w:color w:val="000000"/>
          <w:sz w:val="20"/>
          <w:szCs w:val="20"/>
        </w:rPr>
        <w:t> </w:t>
      </w:r>
    </w:p>
    <w:p w:rsidR="00000000" w:rsidRDefault="00E65947">
      <w:pPr>
        <w:jc w:val="both"/>
        <w:divId w:val="1983998888"/>
        <w:rPr>
          <w:rFonts w:eastAsia="Times New Roman"/>
        </w:rPr>
      </w:pPr>
      <w:r>
        <w:rPr>
          <w:rFonts w:eastAsia="Times New Roman"/>
          <w:color w:val="000000"/>
          <w:sz w:val="20"/>
          <w:szCs w:val="20"/>
        </w:rPr>
        <w:t xml:space="preserve">In operating our business and monitoring our performance, we consider a number of performance measures, as </w:t>
      </w:r>
      <w:r>
        <w:rPr>
          <w:rFonts w:eastAsia="Times New Roman"/>
          <w:color w:val="000000"/>
          <w:sz w:val="20"/>
          <w:szCs w:val="20"/>
        </w:rPr>
        <w:t>well as trends affecting our industry as a whole, which include the following: </w:t>
      </w:r>
    </w:p>
    <w:p w:rsidR="00000000" w:rsidRDefault="00E65947">
      <w:pPr>
        <w:ind w:hanging="360"/>
        <w:jc w:val="both"/>
        <w:divId w:val="824510694"/>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laws in the U.S. may impact our ability to successfully commercialize our products and technologies. The success o</w:t>
      </w:r>
      <w:r>
        <w:rPr>
          <w:rFonts w:eastAsia="Times New Roman"/>
          <w:color w:val="000000"/>
          <w:sz w:val="20"/>
          <w:szCs w:val="20"/>
        </w:rPr>
        <w:t>f our commercialization efforts may depend on the extent to which the government health administration authorities, the health insurance funds in the E.U. Member States, private health insurers and other third-party payers in the U.S. will reimburse consum</w:t>
      </w:r>
      <w:r>
        <w:rPr>
          <w:rFonts w:eastAsia="Times New Roman"/>
          <w:color w:val="000000"/>
          <w:sz w:val="20"/>
          <w:szCs w:val="20"/>
        </w:rPr>
        <w:t>ers for the cost of healthcare products and services.</w:t>
      </w:r>
    </w:p>
    <w:p w:rsidR="00000000" w:rsidRDefault="00E65947">
      <w:pPr>
        <w:ind w:hanging="360"/>
        <w:jc w:val="both"/>
        <w:divId w:val="1565339716"/>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Competition in the pharmaceutical and biotechnology industry continues to be intense and is expected to increase. We compete with academic laboratories, research i</w:t>
      </w:r>
      <w:r>
        <w:rPr>
          <w:rFonts w:eastAsia="Times New Roman"/>
          <w:color w:val="000000"/>
          <w:sz w:val="20"/>
          <w:szCs w:val="20"/>
        </w:rPr>
        <w:t>nstitutions, universities, joint ventures, and other pharmaceutical and biotechnology companies, including other companies developing niche branded or generic specialty pharmaceutical products or drug delivery platforms. Furthermore, major technological ch</w:t>
      </w:r>
      <w:r>
        <w:rPr>
          <w:rFonts w:eastAsia="Times New Roman"/>
          <w:color w:val="000000"/>
          <w:sz w:val="20"/>
          <w:szCs w:val="20"/>
        </w:rPr>
        <w:t>anges can happen quickly in the pharmaceutical and biotechnology industries. Such rapid technological change, or the development by our competitors of technologically improved or differentiated products, could render our products, product candidates, or dr</w:t>
      </w:r>
      <w:r>
        <w:rPr>
          <w:rFonts w:eastAsia="Times New Roman"/>
          <w:color w:val="000000"/>
          <w:sz w:val="20"/>
          <w:szCs w:val="20"/>
        </w:rPr>
        <w:t>ug delivery platforms obsolete or noncompetitive.</w:t>
      </w:r>
    </w:p>
    <w:p w:rsidR="00000000" w:rsidRDefault="00E65947">
      <w:pPr>
        <w:ind w:hanging="360"/>
        <w:jc w:val="both"/>
        <w:divId w:val="953831598"/>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political spotlight in the U.S. As a result, the need to obtain and maintain appropriate pricing for pharmaceutical p</w:t>
      </w:r>
      <w:r>
        <w:rPr>
          <w:rFonts w:eastAsia="Times New Roman"/>
          <w:color w:val="000000"/>
          <w:sz w:val="20"/>
          <w:szCs w:val="20"/>
        </w:rPr>
        <w:t>roducts may become more challenging due to, among other things, the attention being paid to healthcare cost containment and other austerity measures in the U.S. and worldwide.</w:t>
      </w:r>
    </w:p>
    <w:p w:rsidR="00000000" w:rsidRDefault="00E65947">
      <w:pPr>
        <w:ind w:hanging="360"/>
        <w:jc w:val="both"/>
        <w:divId w:val="1291209011"/>
        <w:rPr>
          <w:rFonts w:eastAsia="Times New Roman"/>
        </w:rPr>
      </w:pPr>
      <w:r>
        <w:rPr>
          <w:rFonts w:eastAsia="Times New Roman"/>
          <w:b/>
          <w:bCs/>
          <w:color w:val="000000"/>
          <w:sz w:val="20"/>
          <w:szCs w:val="20"/>
        </w:rPr>
        <w:t>•Generics Playing a Larger Role in Healthcare</w:t>
      </w:r>
      <w:r>
        <w:rPr>
          <w:rFonts w:eastAsia="Times New Roman"/>
          <w:color w:val="000000"/>
          <w:sz w:val="20"/>
          <w:szCs w:val="20"/>
        </w:rPr>
        <w:t>: Generic pharmaceutical products w</w:t>
      </w:r>
      <w:r>
        <w:rPr>
          <w:rFonts w:eastAsia="Times New Roman"/>
          <w:color w:val="000000"/>
          <w:sz w:val="20"/>
          <w:szCs w:val="20"/>
        </w:rPr>
        <w:t>ill continue to play a large role in the U.S. healthcare system. As such, we expect to see generic competition for our products in the future.</w:t>
      </w:r>
    </w:p>
    <w:p w:rsidR="00000000" w:rsidRDefault="00E65947">
      <w:pPr>
        <w:ind w:hanging="360"/>
        <w:jc w:val="both"/>
        <w:divId w:val="952829169"/>
        <w:rPr>
          <w:rFonts w:eastAsia="Times New Roman"/>
        </w:rPr>
      </w:pPr>
      <w:r>
        <w:rPr>
          <w:rFonts w:eastAsia="Times New Roman"/>
          <w:b/>
          <w:bCs/>
          <w:color w:val="000000"/>
          <w:sz w:val="20"/>
          <w:szCs w:val="20"/>
        </w:rPr>
        <w:t>•Access to and Cost of Capital</w:t>
      </w:r>
      <w:r>
        <w:rPr>
          <w:rFonts w:eastAsia="Times New Roman"/>
          <w:color w:val="000000"/>
          <w:sz w:val="20"/>
          <w:szCs w:val="20"/>
        </w:rPr>
        <w:t xml:space="preserve">: The process of raising capital and associated cost of such capital for a company </w:t>
      </w:r>
      <w:r>
        <w:rPr>
          <w:rFonts w:eastAsia="Times New Roman"/>
          <w:color w:val="000000"/>
          <w:sz w:val="20"/>
          <w:szCs w:val="20"/>
        </w:rPr>
        <w:t>of our financial profile can be difficult and potentially expensive. If the need were to arise to raise additional capital, access to that capital may be difficult, expensive and/or dilutive and, as a result, could create liquidity challenges for the Compa</w:t>
      </w:r>
      <w:r>
        <w:rPr>
          <w:rFonts w:eastAsia="Times New Roman"/>
          <w:color w:val="000000"/>
          <w:sz w:val="20"/>
          <w:szCs w:val="20"/>
        </w:rPr>
        <w:t>ny.</w:t>
      </w:r>
    </w:p>
    <w:p w:rsidR="00000000" w:rsidRDefault="00E65947">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2021</w:t>
      </w:r>
      <w:r>
        <w:rPr>
          <w:rFonts w:eastAsia="Times New Roman"/>
          <w:color w:val="000000"/>
          <w:sz w:val="20"/>
          <w:szCs w:val="20"/>
        </w:rPr>
        <w:t>: We sold our Hospital Products at June 30, 2020 and no longer generate revenue from sales of these products. We will incur substantial expenses to further the clinical development of and continue our preparations for t</w:t>
      </w:r>
      <w:r>
        <w:rPr>
          <w:rFonts w:eastAsia="Times New Roman"/>
          <w:color w:val="000000"/>
          <w:sz w:val="20"/>
          <w:szCs w:val="20"/>
        </w:rPr>
        <w:t>he commercial launch of FT218, if approved.</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 xml:space="preserve">Impact of COVID-19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Since early 2020, we have seen the profound impact that the ongoing coronavirus (“COVID-19”) pandemic is having on human health, the global economy and society at large. We have continued </w:t>
      </w:r>
      <w:r>
        <w:rPr>
          <w:rFonts w:eastAsia="Times New Roman"/>
          <w:color w:val="000000"/>
          <w:sz w:val="20"/>
          <w:szCs w:val="20"/>
        </w:rPr>
        <w:t>to actively monitor the COVID-19 pandemic and have taken measures to mitigate the potential impacts to our employees and business, such as continuing to offer a work from home policy. We believe the impact of COVID-19 and measures to prevent its spread cou</w:t>
      </w:r>
      <w:r>
        <w:rPr>
          <w:rFonts w:eastAsia="Times New Roman"/>
          <w:color w:val="000000"/>
          <w:sz w:val="20"/>
          <w:szCs w:val="20"/>
        </w:rPr>
        <w:t xml:space="preserve">ld impact our business in a number of ways, </w:t>
      </w:r>
    </w:p>
    <w:p w:rsidR="00000000" w:rsidRDefault="00E65947">
      <w:pPr>
        <w:jc w:val="center"/>
        <w:divId w:val="329720144"/>
        <w:rPr>
          <w:rFonts w:eastAsia="Times New Roman"/>
        </w:rPr>
      </w:pPr>
      <w:r>
        <w:rPr>
          <w:rFonts w:eastAsia="Times New Roman"/>
          <w:color w:val="000000"/>
          <w:sz w:val="20"/>
          <w:szCs w:val="20"/>
        </w:rPr>
        <w:t>- 27 -</w:t>
      </w:r>
    </w:p>
    <w:p w:rsidR="00000000" w:rsidRDefault="00E65947">
      <w:pPr>
        <w:rPr>
          <w:rFonts w:eastAsia="Times New Roman"/>
        </w:rPr>
      </w:pPr>
      <w:r>
        <w:rPr>
          <w:rFonts w:eastAsia="Times New Roman"/>
        </w:rPr>
        <w:pict>
          <v:rect id="_x0000_i1052" style="width:0;height:1.5pt" o:hralign="center" o:hrstd="t" o:hr="t" fillcolor="#a0a0a0" stroked="f"/>
        </w:pict>
      </w:r>
    </w:p>
    <w:p w:rsidR="00000000" w:rsidRDefault="00E65947">
      <w:pPr>
        <w:divId w:val="50927899"/>
        <w:rPr>
          <w:rFonts w:eastAsia="Times New Roman"/>
        </w:rPr>
      </w:pPr>
    </w:p>
    <w:p w:rsidR="00000000" w:rsidRDefault="00E65947">
      <w:pPr>
        <w:jc w:val="both"/>
        <w:rPr>
          <w:rFonts w:eastAsia="Times New Roman"/>
        </w:rPr>
      </w:pPr>
      <w:r>
        <w:rPr>
          <w:rFonts w:eastAsia="Times New Roman"/>
          <w:color w:val="000000"/>
          <w:sz w:val="20"/>
          <w:szCs w:val="20"/>
        </w:rPr>
        <w:t>including: i) possibly delaying any remaining development activities for FT218, the FDA review timeline of FT218, and/or our ongoing RESTORE open-label extension/swit</w:t>
      </w:r>
      <w:r>
        <w:rPr>
          <w:rFonts w:eastAsia="Times New Roman"/>
          <w:color w:val="000000"/>
          <w:sz w:val="20"/>
          <w:szCs w:val="20"/>
        </w:rPr>
        <w:t>ch study, ii) disruptions to our supply chain and third parties; and iii) requiring our employees to work from home for an extended period of time. An extended period of global supply chain and economic disruption could materially affect our business, resu</w:t>
      </w:r>
      <w:r>
        <w:rPr>
          <w:rFonts w:eastAsia="Times New Roman"/>
          <w:color w:val="000000"/>
          <w:sz w:val="20"/>
          <w:szCs w:val="20"/>
        </w:rPr>
        <w:t>lts of operations, access to sources of liquidity and financial condition. Despite progress in vaccination efforts, future developments and impact on our operations remain uncertain and cannot be predicted with confidence, including the duration of the COV</w:t>
      </w:r>
      <w:r>
        <w:rPr>
          <w:rFonts w:eastAsia="Times New Roman"/>
          <w:color w:val="000000"/>
          <w:sz w:val="20"/>
          <w:szCs w:val="20"/>
        </w:rPr>
        <w:t>ID-19 pandemic, new strains of the virus, new information which may emerge concerning the severity of the COVID-19 pandemic, and any additional preventative and protective actions that governments, or we, may direct, which may result in extending continued</w:t>
      </w:r>
      <w:r>
        <w:rPr>
          <w:rFonts w:eastAsia="Times New Roman"/>
          <w:color w:val="000000"/>
          <w:sz w:val="20"/>
          <w:szCs w:val="20"/>
        </w:rPr>
        <w:t xml:space="preserve"> business disruptions.</w:t>
      </w:r>
    </w:p>
    <w:p w:rsidR="00000000" w:rsidRDefault="00E65947">
      <w:pPr>
        <w:divId w:val="893735656"/>
        <w:rPr>
          <w:rFonts w:eastAsia="Times New Roman"/>
        </w:rPr>
      </w:pPr>
    </w:p>
    <w:p w:rsidR="00000000" w:rsidRDefault="00E65947">
      <w:pPr>
        <w:divId w:val="745542271"/>
        <w:rPr>
          <w:rFonts w:eastAsia="Times New Roman"/>
        </w:rPr>
      </w:pPr>
      <w:r>
        <w:rPr>
          <w:rFonts w:eastAsia="Times New Roman"/>
          <w:b/>
          <w:bCs/>
          <w:i/>
          <w:iCs/>
          <w:color w:val="000000"/>
          <w:sz w:val="20"/>
          <w:szCs w:val="20"/>
        </w:rPr>
        <w:t>Financial Highlights</w:t>
      </w:r>
    </w:p>
    <w:p w:rsidR="00000000" w:rsidRDefault="00E65947">
      <w:pPr>
        <w:divId w:val="621619897"/>
        <w:rPr>
          <w:rFonts w:eastAsia="Times New Roman"/>
        </w:rPr>
      </w:pPr>
    </w:p>
    <w:p w:rsidR="00000000" w:rsidRDefault="00E65947">
      <w:pPr>
        <w:divId w:val="539973897"/>
        <w:rPr>
          <w:rFonts w:eastAsia="Times New Roman"/>
        </w:rPr>
      </w:pPr>
      <w:r>
        <w:rPr>
          <w:rFonts w:eastAsia="Times New Roman"/>
          <w:color w:val="000000"/>
          <w:sz w:val="20"/>
          <w:szCs w:val="20"/>
        </w:rPr>
        <w:t>Highlights of our consolidated results for the three and six months ended June 30, 2021 are as follows: </w:t>
      </w:r>
    </w:p>
    <w:p w:rsidR="00000000" w:rsidRDefault="00E65947">
      <w:pPr>
        <w:ind w:hanging="360"/>
        <w:jc w:val="both"/>
        <w:divId w:val="1315644349"/>
        <w:rPr>
          <w:rFonts w:eastAsia="Times New Roman"/>
        </w:rPr>
      </w:pPr>
      <w:r>
        <w:rPr>
          <w:rFonts w:eastAsia="Times New Roman"/>
          <w:color w:val="000000"/>
          <w:sz w:val="20"/>
          <w:szCs w:val="20"/>
        </w:rPr>
        <w:t>•Revenue was $0 for the three and six months ended June 30, 2021, compared to $10,091 and $22,334 in th</w:t>
      </w:r>
      <w:r>
        <w:rPr>
          <w:rFonts w:eastAsia="Times New Roman"/>
          <w:color w:val="000000"/>
          <w:sz w:val="20"/>
          <w:szCs w:val="20"/>
        </w:rPr>
        <w:t>e same periods last year, respectively. The year over year decrease was the result of the sale of the Hospital Products on June 30, 2020.</w:t>
      </w:r>
    </w:p>
    <w:p w:rsidR="00000000" w:rsidRDefault="00E65947">
      <w:pPr>
        <w:ind w:hanging="360"/>
        <w:jc w:val="both"/>
        <w:divId w:val="733428326"/>
        <w:rPr>
          <w:rFonts w:eastAsia="Times New Roman"/>
        </w:rPr>
      </w:pPr>
      <w:r>
        <w:rPr>
          <w:rFonts w:eastAsia="Times New Roman"/>
          <w:color w:val="000000"/>
          <w:sz w:val="20"/>
          <w:szCs w:val="20"/>
        </w:rPr>
        <w:t>•Operating loss was $21,936 and $36,747 for the three and six months ended June 30, 2021, respectively, compared to op</w:t>
      </w:r>
      <w:r>
        <w:rPr>
          <w:rFonts w:eastAsia="Times New Roman"/>
          <w:color w:val="000000"/>
          <w:sz w:val="20"/>
          <w:szCs w:val="20"/>
        </w:rPr>
        <w:t>erating income of $40,269 and $33,772 and for the same periods last year, respectively. The operating income for the three and six months ended June 30, 2020 was driven by sale of the Hospital Products on June 30, 2020.</w:t>
      </w:r>
    </w:p>
    <w:p w:rsidR="00000000" w:rsidRDefault="00E65947">
      <w:pPr>
        <w:ind w:hanging="360"/>
        <w:jc w:val="both"/>
        <w:divId w:val="1746149118"/>
        <w:rPr>
          <w:rFonts w:eastAsia="Times New Roman"/>
        </w:rPr>
      </w:pPr>
      <w:r>
        <w:rPr>
          <w:rFonts w:eastAsia="Times New Roman"/>
          <w:color w:val="000000"/>
          <w:sz w:val="20"/>
          <w:szCs w:val="20"/>
        </w:rPr>
        <w:t>•Net loss was $19,581 and $33,026 fo</w:t>
      </w:r>
      <w:r>
        <w:rPr>
          <w:rFonts w:eastAsia="Times New Roman"/>
          <w:color w:val="000000"/>
          <w:sz w:val="20"/>
          <w:szCs w:val="20"/>
        </w:rPr>
        <w:t>r the three and six months ended June 30, 2021, respectively, compared to net income of $30,874 and $30,009 in the same period last year, respectively.</w:t>
      </w:r>
    </w:p>
    <w:p w:rsidR="00000000" w:rsidRDefault="00E65947">
      <w:pPr>
        <w:ind w:hanging="360"/>
        <w:jc w:val="both"/>
        <w:divId w:val="1992249097"/>
        <w:rPr>
          <w:rFonts w:eastAsia="Times New Roman"/>
        </w:rPr>
      </w:pPr>
      <w:r>
        <w:rPr>
          <w:rFonts w:eastAsia="Times New Roman"/>
          <w:color w:val="000000"/>
          <w:sz w:val="20"/>
          <w:szCs w:val="20"/>
        </w:rPr>
        <w:t>•</w:t>
      </w:r>
      <w:r>
        <w:rPr>
          <w:rFonts w:eastAsia="Times New Roman"/>
          <w:color w:val="000000"/>
          <w:sz w:val="20"/>
          <w:szCs w:val="20"/>
        </w:rPr>
        <w:t>Diluted net loss per share was $(0.33) and $(0.56) for the three and six months ended June 30, 2021, respectively, compared to diluted net income per share of $0.49 and $0.58 in the same period last year, respectively.</w:t>
      </w:r>
    </w:p>
    <w:p w:rsidR="00000000" w:rsidRDefault="00E65947">
      <w:pPr>
        <w:ind w:hanging="360"/>
        <w:jc w:val="both"/>
        <w:rPr>
          <w:rFonts w:eastAsia="Times New Roman"/>
        </w:rPr>
      </w:pPr>
      <w:r>
        <w:rPr>
          <w:rFonts w:eastAsia="Times New Roman"/>
          <w:color w:val="000000"/>
          <w:sz w:val="20"/>
          <w:szCs w:val="20"/>
        </w:rPr>
        <w:t>•Cash and marketable securities decre</w:t>
      </w:r>
      <w:r>
        <w:rPr>
          <w:rFonts w:eastAsia="Times New Roman"/>
          <w:color w:val="000000"/>
          <w:sz w:val="20"/>
          <w:szCs w:val="20"/>
        </w:rPr>
        <w:t>ased $18,559 to $202,843 at June 30, 2021, from $221,402 at December 31, 2020. This decrease was driven by $33,566 of cash used in operations during the six months ended June 30, 2021, partially offset by $16,500 of installment proceeds received from the d</w:t>
      </w:r>
      <w:r>
        <w:rPr>
          <w:rFonts w:eastAsia="Times New Roman"/>
          <w:color w:val="000000"/>
          <w:sz w:val="20"/>
          <w:szCs w:val="20"/>
        </w:rPr>
        <w:t xml:space="preserve">isposition of the Hospital Products. </w:t>
      </w:r>
    </w:p>
    <w:p w:rsidR="00000000" w:rsidRDefault="00E65947">
      <w:pPr>
        <w:jc w:val="both"/>
        <w:rPr>
          <w:rFonts w:eastAsia="Times New Roman"/>
        </w:rPr>
      </w:pPr>
    </w:p>
    <w:p w:rsidR="00000000" w:rsidRDefault="00E65947">
      <w:pPr>
        <w:divId w:val="629822795"/>
        <w:rPr>
          <w:rFonts w:eastAsia="Times New Roman"/>
        </w:rPr>
      </w:pPr>
      <w:r>
        <w:rPr>
          <w:rFonts w:eastAsia="Times New Roman"/>
          <w:b/>
          <w:bCs/>
          <w:color w:val="000000"/>
          <w:sz w:val="20"/>
          <w:szCs w:val="20"/>
          <w:u w:val="single"/>
        </w:rPr>
        <w:t>Critical Accounting Estimates</w:t>
      </w:r>
      <w:r>
        <w:rPr>
          <w:rFonts w:eastAsia="Times New Roman"/>
          <w:b/>
          <w:bCs/>
          <w:i/>
          <w:iCs/>
          <w:color w:val="000000"/>
          <w:sz w:val="20"/>
          <w:szCs w:val="20"/>
        </w:rPr>
        <w:t> </w:t>
      </w:r>
    </w:p>
    <w:p w:rsidR="00000000" w:rsidRDefault="00E65947">
      <w:pPr>
        <w:jc w:val="both"/>
        <w:divId w:val="1088042452"/>
        <w:rPr>
          <w:rFonts w:eastAsia="Times New Roman"/>
        </w:rPr>
      </w:pPr>
      <w:r>
        <w:rPr>
          <w:rFonts w:eastAsia="Times New Roman"/>
          <w:color w:val="000000"/>
          <w:sz w:val="20"/>
          <w:szCs w:val="20"/>
        </w:rPr>
        <w:t>The Company’</w:t>
      </w:r>
      <w:r>
        <w:rPr>
          <w:rFonts w:eastAsia="Times New Roman"/>
          <w:color w:val="000000"/>
          <w:sz w:val="20"/>
          <w:szCs w:val="20"/>
        </w:rPr>
        <w:t>s unaudited condensed consolidated financial statements have been prepared in accordance with accounting principles generally accepted in the United States of America. To prepare these financial statements, management makes estimates and assumptions that a</w:t>
      </w:r>
      <w:r>
        <w:rPr>
          <w:rFonts w:eastAsia="Times New Roman"/>
          <w:color w:val="000000"/>
          <w:sz w:val="20"/>
          <w:szCs w:val="20"/>
        </w:rPr>
        <w:t>ffect the reported amounts of assets, liabilities, revenues and expenses, as well as the disclosures of contingent assets and liabilities. Actual results could be significantly different from these estimates. </w:t>
      </w:r>
    </w:p>
    <w:p w:rsidR="00000000" w:rsidRDefault="00E65947">
      <w:pPr>
        <w:jc w:val="both"/>
        <w:rPr>
          <w:rFonts w:eastAsia="Times New Roman"/>
        </w:rPr>
      </w:pPr>
      <w:r>
        <w:rPr>
          <w:rFonts w:eastAsia="Times New Roman"/>
          <w:color w:val="000000"/>
          <w:sz w:val="20"/>
          <w:szCs w:val="20"/>
        </w:rPr>
        <w:t>Our significant accounting policies are descri</w:t>
      </w:r>
      <w:r>
        <w:rPr>
          <w:rFonts w:eastAsia="Times New Roman"/>
          <w:color w:val="000000"/>
          <w:sz w:val="20"/>
          <w:szCs w:val="20"/>
        </w:rPr>
        <w:t>bed in Note 1 of the audited consolidated financial statements included in our Annual Report Form 10-K for the year ended December 31, 2020 (the “2020 Form 10-K”). The SEC suggests companies provide additional disclosure on those accounting policies consid</w:t>
      </w:r>
      <w:r>
        <w:rPr>
          <w:rFonts w:eastAsia="Times New Roman"/>
          <w:color w:val="000000"/>
          <w:sz w:val="20"/>
          <w:szCs w:val="20"/>
        </w:rPr>
        <w:t>ered most critical. The SEC considers an accounting policy to be critical if it is important to our financial condition and results of operations and requires significant judgments and estimates on the part of management in its application. Our estimates a</w:t>
      </w:r>
      <w:r>
        <w:rPr>
          <w:rFonts w:eastAsia="Times New Roman"/>
          <w:color w:val="000000"/>
          <w:sz w:val="20"/>
          <w:szCs w:val="20"/>
        </w:rPr>
        <w:t xml:space="preserve">re often based on complex judgments, probabilities and assumptions that management believes to be reasonable, but that are inherently uncertain and unpredictable. It is also possible that other professionals, applying reasonable judgment to the same facts </w:t>
      </w:r>
      <w:r>
        <w:rPr>
          <w:rFonts w:eastAsia="Times New Roman"/>
          <w:color w:val="000000"/>
          <w:sz w:val="20"/>
          <w:szCs w:val="20"/>
        </w:rPr>
        <w:t xml:space="preserve">and circumstances, could develop and support a range of alternative estimated amounts. For a complete discussion of our critical accounting policies, see the “Critical Accounting Policies” section of the Management’s Discussion &amp; Analysis in our 2020 Form </w:t>
      </w:r>
      <w:r>
        <w:rPr>
          <w:rFonts w:eastAsia="Times New Roman"/>
          <w:color w:val="000000"/>
          <w:sz w:val="20"/>
          <w:szCs w:val="20"/>
        </w:rPr>
        <w:t xml:space="preserve">10-K. </w:t>
      </w:r>
    </w:p>
    <w:p w:rsidR="00000000" w:rsidRDefault="00E65947">
      <w:pPr>
        <w:jc w:val="both"/>
        <w:rPr>
          <w:rFonts w:eastAsia="Times New Roman"/>
        </w:rPr>
      </w:pPr>
    </w:p>
    <w:p w:rsidR="00000000" w:rsidRDefault="00E65947">
      <w:pPr>
        <w:divId w:val="488595210"/>
        <w:rPr>
          <w:rFonts w:eastAsia="Times New Roman"/>
        </w:rPr>
      </w:pPr>
    </w:p>
    <w:p w:rsidR="00000000" w:rsidRDefault="00E65947">
      <w:pPr>
        <w:jc w:val="center"/>
        <w:divId w:val="588471106"/>
        <w:rPr>
          <w:rFonts w:eastAsia="Times New Roman"/>
        </w:rPr>
      </w:pPr>
      <w:r>
        <w:rPr>
          <w:rFonts w:eastAsia="Times New Roman"/>
          <w:color w:val="000000"/>
          <w:sz w:val="20"/>
          <w:szCs w:val="20"/>
        </w:rPr>
        <w:t>- 28 -</w:t>
      </w:r>
    </w:p>
    <w:p w:rsidR="00000000" w:rsidRDefault="00E65947">
      <w:pPr>
        <w:rPr>
          <w:rFonts w:eastAsia="Times New Roman"/>
        </w:rPr>
      </w:pPr>
      <w:r>
        <w:rPr>
          <w:rFonts w:eastAsia="Times New Roman"/>
        </w:rPr>
        <w:pict>
          <v:rect id="_x0000_i1053" style="width:0;height:1.5pt" o:hralign="center" o:hrstd="t" o:hr="t" fillcolor="#a0a0a0" stroked="f"/>
        </w:pict>
      </w:r>
    </w:p>
    <w:p w:rsidR="00000000" w:rsidRDefault="00E65947">
      <w:pPr>
        <w:divId w:val="1264532274"/>
        <w:rPr>
          <w:rFonts w:eastAsia="Times New Roman"/>
        </w:rPr>
      </w:pPr>
    </w:p>
    <w:p w:rsidR="00000000" w:rsidRDefault="00E65947">
      <w:pPr>
        <w:divId w:val="1616059659"/>
        <w:rPr>
          <w:rFonts w:eastAsia="Times New Roman"/>
        </w:rPr>
      </w:pPr>
      <w:r>
        <w:rPr>
          <w:rFonts w:eastAsia="Times New Roman"/>
          <w:b/>
          <w:bCs/>
          <w:color w:val="000000"/>
          <w:sz w:val="20"/>
          <w:szCs w:val="20"/>
          <w:u w:val="single"/>
        </w:rPr>
        <w:t>Results of Operations</w:t>
      </w:r>
      <w:r>
        <w:rPr>
          <w:rFonts w:eastAsia="Times New Roman"/>
          <w:color w:val="000000"/>
          <w:sz w:val="20"/>
          <w:szCs w:val="20"/>
        </w:rPr>
        <w:t> </w:t>
      </w:r>
    </w:p>
    <w:p w:rsidR="00000000" w:rsidRDefault="00E65947">
      <w:pPr>
        <w:jc w:val="both"/>
        <w:divId w:val="1357661533"/>
        <w:rPr>
          <w:rFonts w:eastAsia="Times New Roman"/>
        </w:rPr>
      </w:pPr>
      <w:r>
        <w:rPr>
          <w:rFonts w:eastAsia="Times New Roman"/>
          <w:color w:val="000000"/>
          <w:sz w:val="20"/>
          <w:szCs w:val="20"/>
        </w:rPr>
        <w:t>The following is a summary of our financial results (in thousands, except per share amounts) for the three months ended June 30, 2021 and 2020, respectively:</w:t>
      </w:r>
    </w:p>
    <w:tbl>
      <w:tblPr>
        <w:tblW w:w="4963" w:type="pct"/>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trPr>
          <w:divId w:val="1410232999"/>
        </w:trPr>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4102329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w:t>
            </w:r>
          </w:p>
        </w:tc>
      </w:tr>
      <w:tr w:rsidR="00000000">
        <w:trPr>
          <w:divId w:val="1410232999"/>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divId w:val="1410232999"/>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divId w:val="14102329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Comparative Statements of (Loss) Income</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divId w:val="141023299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410232999"/>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10,091 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(10,091)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41023299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3,285 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(3,285)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6,762 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4,057 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2,705 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66.7 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15,174 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7,095 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8,079 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113.9 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(203)</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(918)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45,760 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Restructuring costs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operating expense (income)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21,936 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(30,178)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172.7 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Operating (loss) income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(21,936)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40,269 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(62,205)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(154.5)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(741)</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1,173 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158.3 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(1,930)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(3,237)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1,307 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88 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(23,346)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36,166 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(59,512)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(164.6)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Income tax (benefit) expense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(9,057)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(171.1)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(19,581)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(50,455)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(163.4)</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410232999"/>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(0.33)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0.49 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(0.82)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(167.3)</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center"/>
        <w:divId w:val="246772991"/>
        <w:rPr>
          <w:rFonts w:eastAsia="Times New Roman"/>
        </w:rPr>
      </w:pPr>
      <w:r>
        <w:rPr>
          <w:rFonts w:eastAsia="Times New Roman"/>
          <w:color w:val="000000"/>
          <w:sz w:val="20"/>
          <w:szCs w:val="20"/>
        </w:rPr>
        <w:t>- 29 -</w:t>
      </w:r>
    </w:p>
    <w:p w:rsidR="00000000" w:rsidRDefault="00E65947">
      <w:pPr>
        <w:rPr>
          <w:rFonts w:eastAsia="Times New Roman"/>
        </w:rPr>
      </w:pPr>
      <w:r>
        <w:rPr>
          <w:rFonts w:eastAsia="Times New Roman"/>
        </w:rPr>
        <w:pict>
          <v:rect id="_x0000_i1054" style="width:0;height:1.5pt" o:hralign="center" o:hrstd="t" o:hr="t" fillcolor="#a0a0a0" stroked="f"/>
        </w:pict>
      </w:r>
    </w:p>
    <w:p w:rsidR="00000000" w:rsidRDefault="00E65947">
      <w:pPr>
        <w:divId w:val="1549416469"/>
        <w:rPr>
          <w:rFonts w:eastAsia="Times New Roman"/>
        </w:rPr>
      </w:pPr>
    </w:p>
    <w:p w:rsidR="00000000" w:rsidRDefault="00E65947">
      <w:pPr>
        <w:jc w:val="both"/>
        <w:rPr>
          <w:rFonts w:eastAsia="Times New Roman"/>
        </w:rPr>
      </w:pPr>
      <w:r>
        <w:rPr>
          <w:rFonts w:eastAsia="Times New Roman"/>
          <w:color w:val="000000"/>
          <w:sz w:val="20"/>
          <w:szCs w:val="20"/>
        </w:rPr>
        <w:t>The following is a summary of our financial results (in thousands, except per share amounts) for the six months ended June 30, 2021 and </w:t>
      </w:r>
      <w:r>
        <w:rPr>
          <w:rFonts w:eastAsia="Times New Roman"/>
          <w:color w:val="000000"/>
          <w:sz w:val="20"/>
          <w:szCs w:val="20"/>
        </w:rPr>
        <w:t>2020, respectively:</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trPr>
          <w:jc w:val="center"/>
        </w:trPr>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Comparative Statements of (Loss) Income</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(22,334)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(5,742)</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10,614 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9,587 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1,027 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26,186 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15,008 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11,178 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74.5 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(406)</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3,396 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(3,396)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45,760 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(236)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(129.0)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Total operating expense (income)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36,747 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(11,438)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48,185 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421.3 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Operating (loss) income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(36,747)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(70,519)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(208.8)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1,042 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(1,119)</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2,161 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193.1 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(3,859)</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(6,427)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2,568 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435 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(39,398)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25,791 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(65,189)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(252.8)</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xml:space="preserve">Income tax benefit </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(51.1)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(33,026)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30,009 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(63,035)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(210.1)</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0.58 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(196.6)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divId w:val="536430168"/>
        <w:rPr>
          <w:rFonts w:eastAsia="Times New Roman"/>
        </w:rPr>
      </w:pPr>
    </w:p>
    <w:p w:rsidR="00000000" w:rsidRDefault="00E65947">
      <w:pPr>
        <w:jc w:val="both"/>
        <w:rPr>
          <w:rFonts w:eastAsia="Times New Roman"/>
        </w:rPr>
      </w:pPr>
      <w:r>
        <w:rPr>
          <w:rFonts w:eastAsia="Times New Roman"/>
          <w:color w:val="000000"/>
          <w:sz w:val="20"/>
          <w:szCs w:val="20"/>
        </w:rPr>
        <w:t>On June 30, 2020 (“Closing Date”), we announced the sale of the Hospital Products, including our three commercial products, Akovaz, Bloxiverz and Vazculep, as well as Nouress, to the Exel</w:t>
      </w:r>
      <w:r>
        <w:rPr>
          <w:rFonts w:eastAsia="Times New Roman"/>
          <w:color w:val="000000"/>
          <w:sz w:val="20"/>
          <w:szCs w:val="20"/>
        </w:rPr>
        <w:t>a Buyer. As a result of the sale, the Company no longer recorded revenue, cost of products, intangible amortization and changes to the fair value of the contingent consideration related to these products subsequent to the Closing Date.</w:t>
      </w: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6,762 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4,057 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2,705 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66.7 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Research and development expenses increased $2,705 or 66.7% during the three months ended June 30, 2021 as compared to the same peri</w:t>
      </w:r>
      <w:r>
        <w:rPr>
          <w:rFonts w:eastAsia="Times New Roman"/>
          <w:color w:val="000000"/>
          <w:sz w:val="20"/>
          <w:szCs w:val="20"/>
        </w:rPr>
        <w:t>od in 2020. This increase was driven by increased pre-NDA approval activities, primarily the purchase of raw materials in preparation for product launch, if FT218 is approved.</w:t>
      </w:r>
    </w:p>
    <w:p w:rsidR="00000000" w:rsidRDefault="00E65947">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7"/>
        <w:gridCol w:w="826"/>
        <w:gridCol w:w="170"/>
      </w:tblGrid>
      <w:tr w:rsidR="00000000">
        <w:trPr>
          <w:jc w:val="center"/>
        </w:trPr>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10,614 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9,587 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1,027 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Research and development expenses increased $1,027 or 10.7% during the six months ended June 30, 2021 as compared to the same peri</w:t>
      </w:r>
      <w:r>
        <w:rPr>
          <w:rFonts w:eastAsia="Times New Roman"/>
          <w:color w:val="000000"/>
          <w:sz w:val="20"/>
          <w:szCs w:val="20"/>
        </w:rPr>
        <w:t>od in 2020. This increase was driven by higher pre-NDA approval activities, primarily the purchase of raw materials in preparation for product launch, if FT218 is approved, during the current period, partially offset by lower clinical studies expense due t</w:t>
      </w:r>
      <w:r>
        <w:rPr>
          <w:rFonts w:eastAsia="Times New Roman"/>
          <w:color w:val="000000"/>
          <w:sz w:val="20"/>
          <w:szCs w:val="20"/>
        </w:rPr>
        <w:t>o the completion of the FT218 clinical study during the six months ended June 30, 2020.</w:t>
      </w:r>
    </w:p>
    <w:p w:rsidR="00000000" w:rsidRDefault="00E65947">
      <w:pPr>
        <w:jc w:val="center"/>
        <w:divId w:val="374474665"/>
        <w:rPr>
          <w:rFonts w:eastAsia="Times New Roman"/>
        </w:rPr>
      </w:pPr>
      <w:r>
        <w:rPr>
          <w:rFonts w:eastAsia="Times New Roman"/>
          <w:color w:val="000000"/>
          <w:sz w:val="20"/>
          <w:szCs w:val="20"/>
        </w:rPr>
        <w:t>- 30 -</w:t>
      </w:r>
    </w:p>
    <w:p w:rsidR="00000000" w:rsidRDefault="00E65947">
      <w:pPr>
        <w:rPr>
          <w:rFonts w:eastAsia="Times New Roman"/>
        </w:rPr>
      </w:pPr>
      <w:r>
        <w:rPr>
          <w:rFonts w:eastAsia="Times New Roman"/>
        </w:rPr>
        <w:pict>
          <v:rect id="_x0000_i1055" style="width:0;height:1.5pt" o:hralign="center" o:hrstd="t" o:hr="t" fillcolor="#a0a0a0" stroked="f"/>
        </w:pict>
      </w:r>
    </w:p>
    <w:p w:rsidR="00000000" w:rsidRDefault="00E65947">
      <w:pPr>
        <w:divId w:val="1767116855"/>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9"/>
        <w:gridCol w:w="824"/>
        <w:gridCol w:w="170"/>
      </w:tblGrid>
      <w:tr w:rsidR="00000000">
        <w:tc>
          <w:tcPr>
            <w:tcW w:w="50" w:type="pct"/>
            <w:vAlign w:val="center"/>
            <w:hideMark/>
          </w:tcPr>
          <w:p w:rsidR="00000000" w:rsidRDefault="00E65947">
            <w:pPr>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1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15,174 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7,095 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8,079 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113.9 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Selling, general and administrative (“SG&amp;A”) expenses increased $8,079 or 113.9% during the three months ended June 30, 2021 as comp</w:t>
      </w:r>
      <w:r>
        <w:rPr>
          <w:rFonts w:eastAsia="Times New Roman"/>
          <w:color w:val="000000"/>
          <w:sz w:val="20"/>
          <w:szCs w:val="20"/>
        </w:rPr>
        <w:t>ared to the same prior year period, driven by the Company’s continued commercial preparations and launch readiness activities for potential approval of FT218. These activities included an increase in marketing and market research costs of approximately $3,</w:t>
      </w:r>
      <w:r>
        <w:rPr>
          <w:rFonts w:eastAsia="Times New Roman"/>
          <w:color w:val="000000"/>
          <w:sz w:val="20"/>
          <w:szCs w:val="20"/>
        </w:rPr>
        <w:t>000 and an increase in other launch planning and preparation activities totaling $1,400. Compensation costs increased by approximately $2,100 due to an increase in headcount, primarily in commercial and medical affairs, and legal and insurance costs increa</w:t>
      </w:r>
      <w:r>
        <w:rPr>
          <w:rFonts w:eastAsia="Times New Roman"/>
          <w:color w:val="000000"/>
          <w:sz w:val="20"/>
          <w:szCs w:val="20"/>
        </w:rPr>
        <w:t>sed by approximately $1,400.</w:t>
      </w:r>
    </w:p>
    <w:p w:rsidR="00000000" w:rsidRDefault="00E65947">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7"/>
        <w:gridCol w:w="826"/>
        <w:gridCol w:w="170"/>
      </w:tblGrid>
      <w:tr w:rsidR="00000000">
        <w:trPr>
          <w:jc w:val="center"/>
        </w:trPr>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26,186 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15,008 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11,178 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74.5 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SG&amp;A expenses increased $11,178 or 74.5% during the six months ended June 30, 2021 as compared to the same prior year period, driv</w:t>
      </w:r>
      <w:r>
        <w:rPr>
          <w:rFonts w:eastAsia="Times New Roman"/>
          <w:color w:val="000000"/>
          <w:sz w:val="20"/>
          <w:szCs w:val="20"/>
        </w:rPr>
        <w:t>en by the Company’s continued commercial preparations and launch readiness activities for potential approval of FT18. These activities included an increase in marketing and market research activities of approximately $3,800, and an increase in other launch</w:t>
      </w:r>
      <w:r>
        <w:rPr>
          <w:rFonts w:eastAsia="Times New Roman"/>
          <w:color w:val="000000"/>
          <w:sz w:val="20"/>
          <w:szCs w:val="20"/>
        </w:rPr>
        <w:t xml:space="preserve"> planning and preparation activities totaling approximately $2,300. Compensation costs increased by approximately $3,200 due to an increase in headcount, primarily in commercial and medical affairs. Legal and insurance costs increased by approximately $2,5</w:t>
      </w:r>
      <w:r>
        <w:rPr>
          <w:rFonts w:eastAsia="Times New Roman"/>
          <w:color w:val="000000"/>
          <w:sz w:val="20"/>
          <w:szCs w:val="20"/>
        </w:rPr>
        <w:t xml:space="preserve">00, which was offset by a decrease in other professional fees of approximately $400. </w:t>
      </w:r>
    </w:p>
    <w:p w:rsidR="00000000" w:rsidRDefault="00E65947">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9"/>
        <w:gridCol w:w="824"/>
        <w:gridCol w:w="170"/>
      </w:tblGrid>
      <w:tr w:rsidR="00000000">
        <w:trPr>
          <w:divId w:val="1035082760"/>
        </w:trPr>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03508276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w:t>
            </w:r>
          </w:p>
        </w:tc>
      </w:tr>
      <w:tr w:rsidR="00000000">
        <w:trPr>
          <w:divId w:val="1035082760"/>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divId w:val="1035082760"/>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divId w:val="103508276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Investment and Other Income (Expense), net</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divId w:val="103508276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035082760"/>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432 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(741)</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1,173 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158.3 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r>
        <w:rPr>
          <w:rFonts w:eastAsia="Times New Roman"/>
          <w:color w:val="000000"/>
          <w:sz w:val="20"/>
          <w:szCs w:val="20"/>
        </w:rPr>
        <w:t>Investment and other income (expense), net increased for the three months ended June 30, 2021 when compared to the same period in the prior year d</w:t>
      </w:r>
      <w:r>
        <w:rPr>
          <w:rFonts w:eastAsia="Times New Roman"/>
          <w:color w:val="000000"/>
          <w:sz w:val="20"/>
          <w:szCs w:val="20"/>
        </w:rPr>
        <w:t xml:space="preserve">riven by an $800 legal settlement related to a bankruptcy claim recognized in the prior period and higher interest income of approximately $400 in the current period.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9"/>
        <w:gridCol w:w="824"/>
        <w:gridCol w:w="170"/>
      </w:tblGrid>
      <w:tr w:rsidR="00000000">
        <w:trPr>
          <w:divId w:val="1282882456"/>
          <w:jc w:val="center"/>
        </w:trPr>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282882456"/>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w:t>
            </w:r>
          </w:p>
        </w:tc>
      </w:tr>
      <w:tr w:rsidR="00000000">
        <w:trPr>
          <w:divId w:val="1282882456"/>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divId w:val="1282882456"/>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divId w:val="1282882456"/>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Investment and Other Income (Expense), net</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divId w:val="1282882456"/>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282882456"/>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1,042 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(1,119)</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2,161 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193.1 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r>
        <w:rPr>
          <w:rFonts w:eastAsia="Times New Roman"/>
          <w:color w:val="000000"/>
          <w:sz w:val="20"/>
          <w:szCs w:val="20"/>
        </w:rPr>
        <w:t>Investment and other income (expense), net increased for the six months ended June 30, 2021 when compared to the same period in the prior year d</w:t>
      </w:r>
      <w:r>
        <w:rPr>
          <w:rFonts w:eastAsia="Times New Roman"/>
          <w:color w:val="000000"/>
          <w:sz w:val="20"/>
          <w:szCs w:val="20"/>
        </w:rPr>
        <w:t>riven by an $800 legal settlement related to a bankruptcy claim recognized in the prior period, higher interest income of approximately $500, lower realized losses on our marketable securities of approximately $500 and higher foreign currency gains of appr</w:t>
      </w:r>
      <w:r>
        <w:rPr>
          <w:rFonts w:eastAsia="Times New Roman"/>
          <w:color w:val="000000"/>
          <w:sz w:val="20"/>
          <w:szCs w:val="20"/>
        </w:rPr>
        <w:t>oximately $400.</w:t>
      </w:r>
    </w:p>
    <w:p w:rsidR="00000000" w:rsidRDefault="00E65947">
      <w:pPr>
        <w:jc w:val="both"/>
        <w:rPr>
          <w:rFonts w:eastAsia="Times New Roman"/>
        </w:rPr>
      </w:pPr>
    </w:p>
    <w:p w:rsidR="00000000" w:rsidRDefault="00E65947">
      <w:pPr>
        <w:jc w:val="center"/>
        <w:divId w:val="1106345413"/>
        <w:rPr>
          <w:rFonts w:eastAsia="Times New Roman"/>
        </w:rPr>
      </w:pPr>
      <w:r>
        <w:rPr>
          <w:rFonts w:eastAsia="Times New Roman"/>
          <w:color w:val="000000"/>
          <w:sz w:val="20"/>
          <w:szCs w:val="20"/>
        </w:rPr>
        <w:t>- 31 -</w:t>
      </w:r>
    </w:p>
    <w:p w:rsidR="00000000" w:rsidRDefault="00E65947">
      <w:pPr>
        <w:rPr>
          <w:rFonts w:eastAsia="Times New Roman"/>
        </w:rPr>
      </w:pPr>
      <w:r>
        <w:rPr>
          <w:rFonts w:eastAsia="Times New Roman"/>
        </w:rPr>
        <w:pict>
          <v:rect id="_x0000_i1056" style="width:0;height:1.5pt" o:hralign="center" o:hrstd="t" o:hr="t" fillcolor="#a0a0a0" stroked="f"/>
        </w:pict>
      </w:r>
    </w:p>
    <w:p w:rsidR="00000000" w:rsidRDefault="00E65947">
      <w:pPr>
        <w:divId w:val="1857117884"/>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c>
          <w:tcPr>
            <w:tcW w:w="50" w:type="pct"/>
            <w:vAlign w:val="center"/>
            <w:hideMark/>
          </w:tcPr>
          <w:p w:rsidR="00000000" w:rsidRDefault="00E65947">
            <w:pPr>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1,930 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3,237 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(1,307)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Interest expense of $1,930 and $3,237 for the three months ended June 30, 2021 and 2020, respectively, is related to interest on the 2023 Notes.</w:t>
      </w:r>
      <w:r>
        <w:rPr>
          <w:rFonts w:eastAsia="Times New Roman"/>
          <w:color w:val="000000"/>
          <w:sz w:val="20"/>
          <w:szCs w:val="20"/>
        </w:rPr>
        <w:t xml:space="preserve"> Included in these amounts are coupon interest expense of $1,617 for each period and the amortization of debt issuance costs of $313 and $250 for the three months ended June 30, 2021 and 2020, respectively. Prior period interest expense also included amort</w:t>
      </w:r>
      <w:r>
        <w:rPr>
          <w:rFonts w:eastAsia="Times New Roman"/>
          <w:color w:val="000000"/>
          <w:sz w:val="20"/>
          <w:szCs w:val="20"/>
        </w:rPr>
        <w:t xml:space="preserve">ization of a debt discount of $1,370, which was eliminated upon our adoption of ASU 2020-06. See </w:t>
      </w:r>
      <w:r>
        <w:rPr>
          <w:rFonts w:eastAsia="Times New Roman"/>
          <w:i/>
          <w:iCs/>
          <w:color w:val="000000"/>
          <w:sz w:val="20"/>
          <w:szCs w:val="20"/>
        </w:rPr>
        <w:t>Note 9: Long Term Debt</w:t>
      </w:r>
      <w:r>
        <w:rPr>
          <w:rFonts w:eastAsia="Times New Roman"/>
          <w:color w:val="000000"/>
          <w:sz w:val="20"/>
          <w:szCs w:val="20"/>
        </w:rPr>
        <w:t xml:space="preserve"> to our unaudited condensed consolidated financial statements included in Part 1, Item 1 of this Quarterly Report on Form 10-Q for furthe</w:t>
      </w:r>
      <w:r>
        <w:rPr>
          <w:rFonts w:eastAsia="Times New Roman"/>
          <w:color w:val="000000"/>
          <w:sz w:val="20"/>
          <w:szCs w:val="20"/>
        </w:rPr>
        <w:t xml:space="preserve">r details for further details.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rPr>
          <w:divId w:val="447428660"/>
          <w:jc w:val="center"/>
        </w:trPr>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44742866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w:t>
            </w:r>
          </w:p>
        </w:tc>
      </w:tr>
      <w:tr w:rsidR="00000000">
        <w:trPr>
          <w:divId w:val="447428660"/>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divId w:val="447428660"/>
          <w:trHeight w:val="28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divId w:val="447428660"/>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divId w:val="447428660"/>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447428660"/>
          <w:jc w:val="center"/>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3,859 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65947">
            <w:pPr>
              <w:spacing w:after="100"/>
              <w:jc w:val="right"/>
              <w:rPr>
                <w:rFonts w:eastAsia="Times New Roman"/>
              </w:rPr>
            </w:pPr>
            <w:r>
              <w:rPr>
                <w:rFonts w:eastAsia="Times New Roman"/>
                <w:color w:val="000000"/>
                <w:sz w:val="18"/>
                <w:szCs w:val="18"/>
              </w:rPr>
              <w:t>6,427 </w:t>
            </w:r>
          </w:p>
        </w:tc>
        <w:tc>
          <w:tcPr>
            <w:tcW w:w="0" w:type="auto"/>
            <w:shd w:val="clear" w:color="auto" w:fill="CCEEFF"/>
            <w:tcMar>
              <w:top w:w="30" w:type="dxa"/>
              <w:left w:w="0" w:type="dxa"/>
              <w:bottom w:w="3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(2,568)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(40.0)</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Interest expense of $3,859 and $6,427 for the six months ended June 30, 2021 and 2020, respectively, is related to interest on the 2023 Notes.</w:t>
      </w:r>
      <w:r>
        <w:rPr>
          <w:rFonts w:eastAsia="Times New Roman"/>
          <w:color w:val="000000"/>
          <w:sz w:val="20"/>
          <w:szCs w:val="20"/>
        </w:rPr>
        <w:t xml:space="preserve"> Included in these amounts are coupon interest expense of $3,234 for each period and the amortization of debt issuance costs of $625 and $495 for the six months ended June 30, 2021 and 2020, respectively. Prior period interest expense also included amortiz</w:t>
      </w:r>
      <w:r>
        <w:rPr>
          <w:rFonts w:eastAsia="Times New Roman"/>
          <w:color w:val="000000"/>
          <w:sz w:val="20"/>
          <w:szCs w:val="20"/>
        </w:rPr>
        <w:t xml:space="preserve">ation of a debt discount of $2,698, which was eliminated upon our adoption of ASU 2020-06. See </w:t>
      </w:r>
      <w:r>
        <w:rPr>
          <w:rFonts w:eastAsia="Times New Roman"/>
          <w:i/>
          <w:iCs/>
          <w:color w:val="000000"/>
          <w:sz w:val="20"/>
          <w:szCs w:val="20"/>
        </w:rPr>
        <w:t>Note 9: Long Term Debt</w:t>
      </w:r>
      <w:r>
        <w:rPr>
          <w:rFonts w:eastAsia="Times New Roman"/>
          <w:color w:val="000000"/>
          <w:sz w:val="20"/>
          <w:szCs w:val="20"/>
        </w:rPr>
        <w:t xml:space="preserve"> to our unaudited condensed consolidated financial statements included in Part 1, Item 1 of this Quarterly Report on Form 10-Q for further </w:t>
      </w:r>
      <w:r>
        <w:rPr>
          <w:rFonts w:eastAsia="Times New Roman"/>
          <w:color w:val="000000"/>
          <w:sz w:val="20"/>
          <w:szCs w:val="20"/>
        </w:rPr>
        <w:t xml:space="preserve">details for further details. </w:t>
      </w:r>
    </w:p>
    <w:p w:rsidR="00000000" w:rsidRDefault="00E65947">
      <w:pPr>
        <w:jc w:val="both"/>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25"/>
        <w:gridCol w:w="37"/>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45"/>
        <w:gridCol w:w="743"/>
        <w:gridCol w:w="170"/>
      </w:tblGrid>
      <w:tr w:rsidR="00000000">
        <w:tc>
          <w:tcPr>
            <w:tcW w:w="50" w:type="pct"/>
            <w:vAlign w:val="center"/>
            <w:hideMark/>
          </w:tcPr>
          <w:p w:rsidR="00000000" w:rsidRDefault="00E65947">
            <w:pPr>
              <w:jc w:val="both"/>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Income Tax (Benefit) Provision:</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(3,765)</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5,292 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(9,057)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(171.1)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Percentage of (loss)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14.6 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bl>
    <w:p w:rsidR="00000000" w:rsidRDefault="00E65947">
      <w:pPr>
        <w:jc w:val="both"/>
        <w:rPr>
          <w:rFonts w:eastAsia="Times New Roman"/>
        </w:rPr>
      </w:pPr>
    </w:p>
    <w:p w:rsidR="00000000" w:rsidRDefault="00E65947">
      <w:pPr>
        <w:divId w:val="837503387"/>
        <w:rPr>
          <w:rFonts w:eastAsia="Times New Roman"/>
        </w:rPr>
      </w:pPr>
      <w:r>
        <w:rPr>
          <w:rFonts w:eastAsia="Times New Roman"/>
          <w:color w:val="000000"/>
          <w:sz w:val="20"/>
          <w:szCs w:val="20"/>
        </w:rPr>
        <w:t>The income tax benefit was $3,765 for the three months ended June 30, 2021 resulting in an effective tax rate of</w:t>
      </w:r>
      <w:r>
        <w:rPr>
          <w:rFonts w:eastAsia="Times New Roman"/>
          <w:color w:val="000000"/>
          <w:sz w:val="20"/>
          <w:szCs w:val="20"/>
        </w:rPr>
        <w:t xml:space="preserve"> 16.1%. The income tax provision was $5,292 for the three months ended June 30, 2020 resulting in an effective tax rate of 14.6%. The income tax expense recorded in 2020 was the result of taxes recorded on the gain from the sale of the Hospital Products.</w:t>
      </w:r>
    </w:p>
    <w:p w:rsidR="00000000" w:rsidRDefault="00E65947">
      <w:pPr>
        <w:divId w:val="1328048164"/>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25"/>
        <w:gridCol w:w="37"/>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8"/>
        <w:gridCol w:w="750"/>
        <w:gridCol w:w="170"/>
      </w:tblGrid>
      <w:tr w:rsidR="00000000">
        <w:tc>
          <w:tcPr>
            <w:tcW w:w="50" w:type="pct"/>
            <w:vAlign w:val="center"/>
            <w:hideMark/>
          </w:tcPr>
          <w:p w:rsidR="00000000" w:rsidRDefault="00E65947">
            <w:pPr>
              <w:rPr>
                <w:rFonts w:eastAsia="Times New Roman"/>
              </w:rPr>
            </w:pPr>
          </w:p>
        </w:tc>
        <w:tc>
          <w:tcPr>
            <w:tcW w:w="232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56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Income Tax (Benefit) Provision:</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(6,372)</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(4,218)</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(2,154)</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(51.1)</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Percentage of (loss)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(16.4)</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 </w:t>
            </w:r>
          </w:p>
        </w:tc>
      </w:tr>
    </w:tbl>
    <w:p w:rsidR="00000000" w:rsidRDefault="00E65947">
      <w:pPr>
        <w:divId w:val="812261023"/>
        <w:rPr>
          <w:rFonts w:eastAsia="Times New Roman"/>
        </w:rPr>
      </w:pPr>
    </w:p>
    <w:p w:rsidR="00000000" w:rsidRDefault="00E65947">
      <w:pPr>
        <w:jc w:val="both"/>
        <w:rPr>
          <w:rFonts w:eastAsia="Times New Roman"/>
        </w:rPr>
      </w:pPr>
      <w:r>
        <w:rPr>
          <w:rFonts w:eastAsia="Times New Roman"/>
          <w:color w:val="000000"/>
          <w:sz w:val="20"/>
          <w:szCs w:val="20"/>
        </w:rPr>
        <w:t>The income tax benefit was $6,372 for the six months ended June 30, 2021 resulting in an effective tax rate of 1</w:t>
      </w:r>
      <w:r>
        <w:rPr>
          <w:rFonts w:eastAsia="Times New Roman"/>
          <w:color w:val="000000"/>
          <w:sz w:val="20"/>
          <w:szCs w:val="20"/>
        </w:rPr>
        <w:t>6.2%. The income tax benefit was $4,218 for the six months ended June 30, 2020 resulting in an effective tax rate of (16.4)%. The net increase in the effective income tax rate for the six months ended June 30, 2021 as compared to the prior period in 2020 i</w:t>
      </w:r>
      <w:r>
        <w:rPr>
          <w:rFonts w:eastAsia="Times New Roman"/>
          <w:color w:val="000000"/>
          <w:sz w:val="20"/>
          <w:szCs w:val="20"/>
        </w:rPr>
        <w:t xml:space="preserve">s primarily due to the discrete tax benefits recognized during the six months ended June 30, 2020 under the Coronavirus Aid, Relief and Economic Security Act, also known as the CARES Act, which did not occur during the six months ended June 30, 2021. </w:t>
      </w:r>
    </w:p>
    <w:p w:rsidR="00000000" w:rsidRDefault="00E65947">
      <w:pPr>
        <w:divId w:val="1176117081"/>
        <w:rPr>
          <w:rFonts w:eastAsia="Times New Roman"/>
        </w:rPr>
      </w:pPr>
    </w:p>
    <w:p w:rsidR="00000000" w:rsidRDefault="00E65947">
      <w:pPr>
        <w:jc w:val="center"/>
        <w:divId w:val="646058474"/>
        <w:rPr>
          <w:rFonts w:eastAsia="Times New Roman"/>
        </w:rPr>
      </w:pPr>
      <w:r>
        <w:rPr>
          <w:rFonts w:eastAsia="Times New Roman"/>
          <w:color w:val="000000"/>
          <w:sz w:val="20"/>
          <w:szCs w:val="20"/>
        </w:rPr>
        <w:t xml:space="preserve">- </w:t>
      </w:r>
      <w:r>
        <w:rPr>
          <w:rFonts w:eastAsia="Times New Roman"/>
          <w:color w:val="000000"/>
          <w:sz w:val="20"/>
          <w:szCs w:val="20"/>
        </w:rPr>
        <w:t>32 -</w:t>
      </w:r>
    </w:p>
    <w:p w:rsidR="00000000" w:rsidRDefault="00E65947">
      <w:pPr>
        <w:rPr>
          <w:rFonts w:eastAsia="Times New Roman"/>
        </w:rPr>
      </w:pPr>
      <w:r>
        <w:rPr>
          <w:rFonts w:eastAsia="Times New Roman"/>
        </w:rPr>
        <w:pict>
          <v:rect id="_x0000_i1057" style="width:0;height:1.5pt" o:hralign="center" o:hrstd="t" o:hr="t" fillcolor="#a0a0a0" stroked="f"/>
        </w:pict>
      </w:r>
    </w:p>
    <w:p w:rsidR="00000000" w:rsidRDefault="00E65947">
      <w:pPr>
        <w:divId w:val="1652364486"/>
        <w:rPr>
          <w:rFonts w:eastAsia="Times New Roman"/>
        </w:rPr>
      </w:pPr>
    </w:p>
    <w:p w:rsidR="00000000" w:rsidRDefault="00E65947">
      <w:pPr>
        <w:divId w:val="68966922"/>
        <w:rPr>
          <w:rFonts w:eastAsia="Times New Roman"/>
        </w:rPr>
      </w:pPr>
      <w:r>
        <w:rPr>
          <w:rFonts w:eastAsia="Times New Roman"/>
          <w:b/>
          <w:bCs/>
          <w:color w:val="000000"/>
          <w:sz w:val="20"/>
          <w:szCs w:val="20"/>
          <w:u w:val="single"/>
        </w:rPr>
        <w:t>Liquidity and Capital Resources</w:t>
      </w:r>
      <w:r>
        <w:rPr>
          <w:rFonts w:eastAsia="Times New Roman"/>
          <w:color w:val="000000"/>
          <w:sz w:val="20"/>
          <w:szCs w:val="20"/>
        </w:rPr>
        <w:t> </w:t>
      </w:r>
    </w:p>
    <w:p w:rsidR="00000000" w:rsidRDefault="00E65947">
      <w:pPr>
        <w:jc w:val="both"/>
        <w:divId w:val="1305430951"/>
        <w:rPr>
          <w:rFonts w:eastAsia="Times New Roman"/>
        </w:rPr>
      </w:pPr>
      <w:r>
        <w:rPr>
          <w:rFonts w:eastAsia="Times New Roman"/>
          <w:color w:val="000000"/>
          <w:sz w:val="20"/>
          <w:szCs w:val="20"/>
        </w:rPr>
        <w:t>The Company’s cash flows from operating, investing and financing activities, as reflected in the unaudited condensed consolidated statements of cash flows, are summarized in the f</w:t>
      </w:r>
      <w:r>
        <w:rPr>
          <w:rFonts w:eastAsia="Times New Roman"/>
          <w:color w:val="000000"/>
          <w:sz w:val="20"/>
          <w:szCs w:val="20"/>
        </w:rPr>
        <w:t>ollowing table: </w:t>
      </w:r>
    </w:p>
    <w:tbl>
      <w:tblPr>
        <w:tblW w:w="4970" w:type="pct"/>
        <w:tblCellMar>
          <w:top w:w="15" w:type="dxa"/>
          <w:left w:w="15" w:type="dxa"/>
          <w:bottom w:w="15" w:type="dxa"/>
          <w:right w:w="15" w:type="dxa"/>
        </w:tblCellMar>
        <w:tblLook w:val="04A0" w:firstRow="1" w:lastRow="0" w:firstColumn="1" w:lastColumn="0" w:noHBand="0" w:noVBand="1"/>
      </w:tblPr>
      <w:tblGrid>
        <w:gridCol w:w="38"/>
        <w:gridCol w:w="3347"/>
        <w:gridCol w:w="37"/>
        <w:gridCol w:w="36"/>
        <w:gridCol w:w="36"/>
        <w:gridCol w:w="36"/>
        <w:gridCol w:w="110"/>
        <w:gridCol w:w="940"/>
        <w:gridCol w:w="36"/>
        <w:gridCol w:w="36"/>
        <w:gridCol w:w="36"/>
        <w:gridCol w:w="36"/>
        <w:gridCol w:w="110"/>
        <w:gridCol w:w="940"/>
        <w:gridCol w:w="36"/>
        <w:gridCol w:w="36"/>
        <w:gridCol w:w="36"/>
        <w:gridCol w:w="36"/>
        <w:gridCol w:w="110"/>
        <w:gridCol w:w="940"/>
        <w:gridCol w:w="36"/>
        <w:gridCol w:w="36"/>
        <w:gridCol w:w="36"/>
        <w:gridCol w:w="36"/>
        <w:gridCol w:w="38"/>
        <w:gridCol w:w="936"/>
        <w:gridCol w:w="170"/>
      </w:tblGrid>
      <w:tr w:rsidR="00000000">
        <w:trPr>
          <w:divId w:val="1500538733"/>
        </w:trPr>
        <w:tc>
          <w:tcPr>
            <w:tcW w:w="50" w:type="pct"/>
            <w:vAlign w:val="center"/>
            <w:hideMark/>
          </w:tcPr>
          <w:p w:rsidR="00000000" w:rsidRDefault="00E65947">
            <w:pPr>
              <w:jc w:val="both"/>
              <w:rPr>
                <w:rFonts w:eastAsia="Times New Roman"/>
              </w:rPr>
            </w:pPr>
          </w:p>
        </w:tc>
        <w:tc>
          <w:tcPr>
            <w:tcW w:w="2062"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2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2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28"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2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629"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500538733"/>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w:t>
            </w:r>
          </w:p>
        </w:tc>
      </w:tr>
      <w:tr w:rsidR="00000000">
        <w:trPr>
          <w:divId w:val="1500538733"/>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Six Months Ended June 30,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i/>
                <w:iCs/>
                <w:color w:val="000000"/>
                <w:sz w:val="18"/>
                <w:szCs w:val="18"/>
              </w:rPr>
              <w:t>Increase / (Decrease)</w:t>
            </w:r>
          </w:p>
        </w:tc>
      </w:tr>
      <w:tr w:rsidR="00000000">
        <w:trPr>
          <w:divId w:val="1500538733"/>
          <w:trHeight w:val="280"/>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9"/>
            <w:vMerge/>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 vs. 2020</w:t>
            </w:r>
          </w:p>
        </w:tc>
      </w:tr>
      <w:tr w:rsidR="00000000">
        <w:trPr>
          <w:divId w:val="1500538733"/>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18"/>
                <w:szCs w:val="18"/>
              </w:rPr>
              <w:t>Net cash (used in) provided by:</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jc w:val="center"/>
              <w:rPr>
                <w:rFonts w:eastAsia="Times New Roman"/>
              </w:rPr>
            </w:pPr>
            <w:r>
              <w:rPr>
                <w:rFonts w:eastAsia="Times New Roman"/>
                <w:b/>
                <w:bCs/>
                <w:color w:val="000000"/>
                <w:sz w:val="18"/>
                <w:szCs w:val="18"/>
              </w:rPr>
              <w:t>%</w:t>
            </w:r>
          </w:p>
        </w:tc>
      </w:tr>
      <w:tr w:rsidR="00000000">
        <w:trPr>
          <w:divId w:val="150053873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rPr>
          <w:divId w:val="1500538733"/>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(33,566)</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(19,417)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6594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(14,149)</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(72.9)</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500538733"/>
        </w:trPr>
        <w:tc>
          <w:tcPr>
            <w:tcW w:w="0" w:type="auto"/>
            <w:gridSpan w:val="3"/>
            <w:shd w:val="clear" w:color="auto" w:fill="FFFF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29,315 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(67,662)</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96,977 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143.3 </w:t>
            </w:r>
          </w:p>
        </w:tc>
        <w:tc>
          <w:tcPr>
            <w:tcW w:w="0" w:type="auto"/>
            <w:shd w:val="clear" w:color="auto" w:fill="FFFF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r w:rsidR="00000000">
        <w:trPr>
          <w:divId w:val="1500538733"/>
        </w:trPr>
        <w:tc>
          <w:tcPr>
            <w:tcW w:w="0" w:type="auto"/>
            <w:gridSpan w:val="3"/>
            <w:shd w:val="clear" w:color="auto" w:fill="CCEEFF"/>
            <w:tcMar>
              <w:top w:w="30" w:type="dxa"/>
              <w:left w:w="155" w:type="dxa"/>
              <w:bottom w:w="30" w:type="dxa"/>
              <w:right w:w="20" w:type="dxa"/>
            </w:tcMar>
            <w:vAlign w:val="bottom"/>
            <w:hideMark/>
          </w:tcPr>
          <w:p w:rsidR="00000000" w:rsidRDefault="00E65947">
            <w:pPr>
              <w:spacing w:after="100"/>
              <w:rPr>
                <w:rFonts w:eastAsia="Times New Roman"/>
              </w:rPr>
            </w:pPr>
            <w:r>
              <w:rPr>
                <w:rFonts w:eastAsia="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179,516 </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(179,367)</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6594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65947">
            <w:pPr>
              <w:spacing w:after="100"/>
              <w:jc w:val="right"/>
              <w:rPr>
                <w:rFonts w:eastAsia="Times New Roman"/>
              </w:rPr>
            </w:pPr>
            <w:r>
              <w:rPr>
                <w:rFonts w:eastAsia="Times New Roman"/>
                <w:color w:val="000000"/>
                <w:sz w:val="18"/>
                <w:szCs w:val="18"/>
              </w:rPr>
              <w:t>(99.9)</w:t>
            </w:r>
          </w:p>
        </w:tc>
        <w:tc>
          <w:tcPr>
            <w:tcW w:w="0" w:type="auto"/>
            <w:shd w:val="clear" w:color="auto" w:fill="CCEEFF"/>
            <w:tcMar>
              <w:top w:w="30" w:type="dxa"/>
              <w:left w:w="0" w:type="dxa"/>
              <w:bottom w:w="30" w:type="dxa"/>
              <w:right w:w="20" w:type="dxa"/>
            </w:tcMar>
            <w:vAlign w:val="bottom"/>
            <w:hideMark/>
          </w:tcPr>
          <w:p w:rsidR="00000000" w:rsidRDefault="00E65947">
            <w:pPr>
              <w:spacing w:after="100"/>
              <w:jc w:val="right"/>
              <w:rPr>
                <w:rFonts w:eastAsia="Times New Roman"/>
              </w:rPr>
            </w:pPr>
            <w:r>
              <w:rPr>
                <w:rFonts w:eastAsia="Times New Roman"/>
                <w:color w:val="000000"/>
                <w:sz w:val="18"/>
                <w:szCs w:val="18"/>
              </w:rPr>
              <w:t>%</w:t>
            </w:r>
          </w:p>
        </w:tc>
      </w:tr>
    </w:tbl>
    <w:p w:rsidR="00000000" w:rsidRDefault="00E65947">
      <w:pPr>
        <w:divId w:val="1615209955"/>
        <w:rPr>
          <w:rFonts w:eastAsia="Times New Roman"/>
        </w:rPr>
      </w:pPr>
    </w:p>
    <w:p w:rsidR="00000000" w:rsidRDefault="00E65947">
      <w:pPr>
        <w:divId w:val="271666612"/>
        <w:rPr>
          <w:rFonts w:eastAsia="Times New Roman"/>
        </w:rPr>
      </w:pPr>
      <w:r>
        <w:rPr>
          <w:rFonts w:eastAsia="Times New Roman"/>
          <w:b/>
          <w:bCs/>
          <w:i/>
          <w:iCs/>
          <w:color w:val="000000"/>
          <w:sz w:val="20"/>
          <w:szCs w:val="20"/>
        </w:rPr>
        <w:t>Operating Activities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Net cash used in operating activities was $33,566 and $19,417 for the six months ended June 30, 2021 and 2020, respectively. Net cash used in operating activities for the six months ended June 30, 2021 was driven by net </w:t>
      </w:r>
      <w:r>
        <w:rPr>
          <w:rFonts w:eastAsia="Times New Roman"/>
          <w:color w:val="000000"/>
          <w:sz w:val="20"/>
          <w:szCs w:val="20"/>
        </w:rPr>
        <w:t>loss for the period and higher prepaid expenses due to the payment of annual insurance premiums, partially offset by cash received during the period related to research and development tax credits. Net cash used in operating activities for the six months e</w:t>
      </w:r>
      <w:r>
        <w:rPr>
          <w:rFonts w:eastAsia="Times New Roman"/>
          <w:color w:val="000000"/>
          <w:sz w:val="20"/>
          <w:szCs w:val="20"/>
        </w:rPr>
        <w:t xml:space="preserve">nded June 30, 2020 was due to lower accounts payable, accrued expenses and other liabilities, and cash paid related to the earn-out and royalty payments for contingent consideration. </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Investing Activities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Net cash provided by investing activities was </w:t>
      </w:r>
      <w:r>
        <w:rPr>
          <w:rFonts w:eastAsia="Times New Roman"/>
          <w:color w:val="000000"/>
          <w:sz w:val="20"/>
          <w:szCs w:val="20"/>
        </w:rPr>
        <w:t>$29,315 for the six months ended June 30, 2021 and cash used in investing activities was $67,662 for the six months ended June 30, 2020. Net cash provided by investing activities for the six months ended June 30, 2021 was driven by proceeds from the dispos</w:t>
      </w:r>
      <w:r>
        <w:rPr>
          <w:rFonts w:eastAsia="Times New Roman"/>
          <w:color w:val="000000"/>
          <w:sz w:val="20"/>
          <w:szCs w:val="20"/>
        </w:rPr>
        <w:t>ition of the Hospital Products of $16,500, as well as higher net proceeds received from the excess of sales over purchases of marketable securities of $12,841. Net cash used in investing activities for the six months ended June 30, 2020 was driven by highe</w:t>
      </w:r>
      <w:r>
        <w:rPr>
          <w:rFonts w:eastAsia="Times New Roman"/>
          <w:color w:val="000000"/>
          <w:sz w:val="20"/>
          <w:szCs w:val="20"/>
        </w:rPr>
        <w:t>r net purchases of marketable securities of $82,162, partially offset by the proceeds from the disposition of the Hospital Products of $14,500.</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Financing Activities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Net cash provided by financing activities for the six months ended June 30, 2021 was $149 related to proceeds from stock option exercises and employee stock purchase plan (“ESPP”) issuances. Net cash provided by financing activities for the six months ende</w:t>
      </w:r>
      <w:r>
        <w:rPr>
          <w:rFonts w:eastAsia="Times New Roman"/>
          <w:color w:val="000000"/>
          <w:sz w:val="20"/>
          <w:szCs w:val="20"/>
        </w:rPr>
        <w:t>d June 30, 2020 of $179,516 is driven by the February 2020 private placement and May 2020 public offering that resulted in net proceeds of $60,639 and $116,974, respectively, as well as stock option exercises and ESPP issuances of $1,903.</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Liquidity and R</w:t>
      </w:r>
      <w:r>
        <w:rPr>
          <w:rFonts w:eastAsia="Times New Roman"/>
          <w:b/>
          <w:bCs/>
          <w:i/>
          <w:iCs/>
          <w:color w:val="000000"/>
          <w:sz w:val="20"/>
          <w:szCs w:val="20"/>
        </w:rPr>
        <w:t>isk Management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The adequacy of our cash resources depends on the outcome of certain business conditions including the cost of our FT218 clinical development plan, our cost structure, and other factors set forth in “Risk Factors” within Part I, Item 1A o</w:t>
      </w:r>
      <w:r>
        <w:rPr>
          <w:rFonts w:eastAsia="Times New Roman"/>
          <w:color w:val="000000"/>
          <w:sz w:val="20"/>
          <w:szCs w:val="20"/>
        </w:rPr>
        <w:t>f the 2020 Form 10-K. To complete the FT218 clinical development and commercialization plan we will need to commit substantial resources, which could result in future losses or otherwise limit our opportunities or affect our ability to operate our business</w:t>
      </w:r>
      <w:r>
        <w:rPr>
          <w:rFonts w:eastAsia="Times New Roman"/>
          <w:color w:val="000000"/>
          <w:sz w:val="20"/>
          <w:szCs w:val="20"/>
        </w:rPr>
        <w:t>. Our assumptions concerning the outcome of certain business conditions may prove to be wrong or other factors may adversely affect our business, and as a result we could exhaust or significantly decrease our available cash and marketable securities balanc</w:t>
      </w:r>
      <w:r>
        <w:rPr>
          <w:rFonts w:eastAsia="Times New Roman"/>
          <w:color w:val="000000"/>
          <w:sz w:val="20"/>
          <w:szCs w:val="20"/>
        </w:rPr>
        <w:t>es which could, among other things, force us to raise additional funds and/or force us to reduce our expenses, either of which could have a material adverse effect on our business. Additionally, we are unable to estimate the near or long term impact of COV</w:t>
      </w:r>
      <w:r>
        <w:rPr>
          <w:rFonts w:eastAsia="Times New Roman"/>
          <w:color w:val="000000"/>
          <w:sz w:val="20"/>
          <w:szCs w:val="20"/>
        </w:rPr>
        <w:t xml:space="preserve">ID-19, which may have a material adverse impact on our business.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If available to us, raising additional capital may be accomplished through one or more public or private debt or equity financings, collaborations or partnering arrangements. Any equity fi</w:t>
      </w:r>
      <w:r>
        <w:rPr>
          <w:rFonts w:eastAsia="Times New Roman"/>
          <w:color w:val="000000"/>
          <w:sz w:val="20"/>
          <w:szCs w:val="20"/>
        </w:rPr>
        <w:t>nancing would be dilutive to our shareholders.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Cash, cash equivalent and marketable security balances as of June 30, 2021 and unused financing sources are expected to provide us with the flexibility to meet our liquidity needs in 2021, including its oper</w:t>
      </w:r>
      <w:r>
        <w:rPr>
          <w:rFonts w:eastAsia="Times New Roman"/>
          <w:color w:val="000000"/>
          <w:sz w:val="20"/>
          <w:szCs w:val="20"/>
        </w:rPr>
        <w:t>ating requirements related to the development of FT218.</w:t>
      </w:r>
    </w:p>
    <w:p w:rsidR="00000000" w:rsidRDefault="00E65947">
      <w:pPr>
        <w:jc w:val="center"/>
        <w:divId w:val="310602465"/>
        <w:rPr>
          <w:rFonts w:eastAsia="Times New Roman"/>
        </w:rPr>
      </w:pPr>
      <w:r>
        <w:rPr>
          <w:rFonts w:eastAsia="Times New Roman"/>
          <w:color w:val="000000"/>
          <w:sz w:val="20"/>
          <w:szCs w:val="20"/>
        </w:rPr>
        <w:t>- 33 -</w:t>
      </w:r>
    </w:p>
    <w:p w:rsidR="00000000" w:rsidRDefault="00E65947">
      <w:pPr>
        <w:rPr>
          <w:rFonts w:eastAsia="Times New Roman"/>
        </w:rPr>
      </w:pPr>
      <w:r>
        <w:rPr>
          <w:rFonts w:eastAsia="Times New Roman"/>
        </w:rPr>
        <w:pict>
          <v:rect id="_x0000_i1058" style="width:0;height:1.5pt" o:hralign="center" o:hrstd="t" o:hr="t" fillcolor="#a0a0a0" stroked="f"/>
        </w:pict>
      </w:r>
    </w:p>
    <w:p w:rsidR="00000000" w:rsidRDefault="00E65947">
      <w:pPr>
        <w:divId w:val="1712071165"/>
        <w:rPr>
          <w:rFonts w:eastAsia="Times New Roman"/>
        </w:rPr>
      </w:pPr>
    </w:p>
    <w:p w:rsidR="00000000" w:rsidRDefault="00E65947">
      <w:pPr>
        <w:jc w:val="both"/>
        <w:rPr>
          <w:rFonts w:eastAsia="Times New Roman"/>
        </w:rPr>
      </w:pPr>
    </w:p>
    <w:p w:rsidR="00000000" w:rsidRDefault="00E65947">
      <w:pPr>
        <w:divId w:val="443114437"/>
        <w:rPr>
          <w:rFonts w:eastAsia="Times New Roman"/>
        </w:rPr>
      </w:pPr>
      <w:r>
        <w:rPr>
          <w:rFonts w:eastAsia="Times New Roman"/>
          <w:b/>
          <w:bCs/>
          <w:color w:val="000000"/>
          <w:sz w:val="20"/>
          <w:szCs w:val="20"/>
          <w:u w:val="single"/>
        </w:rPr>
        <w:t>Other Matters</w:t>
      </w:r>
      <w:r>
        <w:rPr>
          <w:rFonts w:eastAsia="Times New Roman"/>
          <w:b/>
          <w:bCs/>
          <w:color w:val="000000"/>
          <w:sz w:val="20"/>
          <w:szCs w:val="20"/>
        </w:rPr>
        <w:t> </w:t>
      </w:r>
    </w:p>
    <w:p w:rsidR="00000000" w:rsidRDefault="00E65947">
      <w:pPr>
        <w:divId w:val="799804149"/>
        <w:rPr>
          <w:rFonts w:eastAsia="Times New Roman"/>
        </w:rPr>
      </w:pPr>
      <w:r>
        <w:rPr>
          <w:rFonts w:eastAsia="Times New Roman"/>
          <w:b/>
          <w:bCs/>
          <w:i/>
          <w:iCs/>
          <w:color w:val="000000"/>
          <w:sz w:val="20"/>
          <w:szCs w:val="20"/>
        </w:rPr>
        <w:t>Litigation  </w:t>
      </w:r>
    </w:p>
    <w:p w:rsidR="00000000" w:rsidRDefault="00E65947">
      <w:pPr>
        <w:jc w:val="both"/>
        <w:rPr>
          <w:rFonts w:eastAsia="Times New Roman"/>
        </w:rPr>
      </w:pPr>
      <w:r>
        <w:rPr>
          <w:rFonts w:eastAsia="Times New Roman"/>
          <w:color w:val="000000"/>
          <w:sz w:val="20"/>
          <w:szCs w:val="20"/>
        </w:rPr>
        <w:t>The Company is subject to potential liabilities generally incidental to our business arising out of present and future lawsu</w:t>
      </w:r>
      <w:r>
        <w:rPr>
          <w:rFonts w:eastAsia="Times New Roman"/>
          <w:color w:val="000000"/>
          <w:sz w:val="20"/>
          <w:szCs w:val="20"/>
        </w:rPr>
        <w:t>its and claims related to product liability, personal injury, contract, commercial, intellectual property, tax, employment, compliance and other matters that arise in the ordinary course of business. The Company accrues for potential liabilities when it is</w:t>
      </w:r>
      <w:r>
        <w:rPr>
          <w:rFonts w:eastAsia="Times New Roman"/>
          <w:color w:val="000000"/>
          <w:sz w:val="20"/>
          <w:szCs w:val="20"/>
        </w:rPr>
        <w:t xml:space="preserve"> probable that future costs (including legal fees and expenses) will be incurred and such costs can be reasonably estimated. At June 30, 2021 and December 31, 2020, there were no contingent liabilities with respect to any litigation, arbitration or adminis</w:t>
      </w:r>
      <w:r>
        <w:rPr>
          <w:rFonts w:eastAsia="Times New Roman"/>
          <w:color w:val="000000"/>
          <w:sz w:val="20"/>
          <w:szCs w:val="20"/>
        </w:rPr>
        <w:t>trative or other proceeding that are reasonably likely to have a material adverse effect on the Company’s unaudited condensed consolidated financial position, results of operations, cash flows or liquidity.</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May 12, 2021, Jazz Pharmaceuticals, Inc. (“J</w:t>
      </w:r>
      <w:r>
        <w:rPr>
          <w:rFonts w:eastAsia="Times New Roman"/>
          <w:color w:val="000000"/>
          <w:sz w:val="20"/>
          <w:szCs w:val="20"/>
        </w:rPr>
        <w:t xml:space="preserve">azz”) filed a formal complaint (the “Complaint”) initiating a lawsuit in the United States District Court for the District of Delaware (the “Court”) against Avadel Pharmaceuticals plc, Avadel US Holdings, Inc., Avadel Management Corporation, Avadel Legacy </w:t>
      </w:r>
      <w:r>
        <w:rPr>
          <w:rFonts w:eastAsia="Times New Roman"/>
          <w:color w:val="000000"/>
          <w:sz w:val="20"/>
          <w:szCs w:val="20"/>
        </w:rPr>
        <w:t>Pharmaceuticals, LLC, Avadel Specialty Pharmaceuticals, LLC, and Avadel CNS Pharmaceuticals, LLC (collectively, the “Avadel Parties”). In the Complaint, Jazz alleges the sodium oxybate product (“Proposed Product”) described in the New Drug Application (“ND</w:t>
      </w:r>
      <w:r>
        <w:rPr>
          <w:rFonts w:eastAsia="Times New Roman"/>
          <w:color w:val="000000"/>
          <w:sz w:val="20"/>
          <w:szCs w:val="20"/>
        </w:rPr>
        <w:t>A”) owned by Avadel CNS Pharmaceuticals, LLC will infringe at least one claim of US Patent No. 8731963, 10758488, 10813885, 10959956 and/or 10966931 (collectively, the “patents-in-suit”). The Complaint further includes typical relief requests such as preli</w:t>
      </w:r>
      <w:r>
        <w:rPr>
          <w:rFonts w:eastAsia="Times New Roman"/>
          <w:color w:val="000000"/>
          <w:sz w:val="20"/>
          <w:szCs w:val="20"/>
        </w:rPr>
        <w:t>minary and permanent injunctive relief, monetary damages and attorneys’ fees, costs and expenses.</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June 3, 2021, the Avadel Parties timely filed their Answer and Counterclaims (the “Avadel Answer”) with the Court in response to the Complaint. The Avade</w:t>
      </w:r>
      <w:r>
        <w:rPr>
          <w:rFonts w:eastAsia="Times New Roman"/>
          <w:color w:val="000000"/>
          <w:sz w:val="20"/>
          <w:szCs w:val="20"/>
        </w:rPr>
        <w:t>l Answer generally denies the allegations set forth in the Complaint, includes numerous affirmative defenses (including, but not limited to, non-infringement and invalidity of the patents-in-suit), and asserts a number of counterclaims seeking i) a declara</w:t>
      </w:r>
      <w:r>
        <w:rPr>
          <w:rFonts w:eastAsia="Times New Roman"/>
          <w:color w:val="000000"/>
          <w:sz w:val="20"/>
          <w:szCs w:val="20"/>
        </w:rPr>
        <w:t xml:space="preserve">tory judgment of non-infringement of each patent-in-suit, ii) a declaratory judgment of invalidity of each patent-in-suit, and iii) a declaratory judgement requiring delisting of US Patent No. 8731963 from FDA’s Orange Book.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June 18, 2021, Jazz filed</w:t>
      </w:r>
      <w:r>
        <w:rPr>
          <w:rFonts w:eastAsia="Times New Roman"/>
          <w:color w:val="000000"/>
          <w:sz w:val="20"/>
          <w:szCs w:val="20"/>
        </w:rPr>
        <w:t xml:space="preserve"> its Answer (“Jazz Answer”) with the Court in response to the Avadel Answer. The Jazz Answer generally denies the allegations set forth in the Avadel Answer and sets forth a single affirmative defense asserting that Avadel has failed to state a claim for w</w:t>
      </w:r>
      <w:r>
        <w:rPr>
          <w:rFonts w:eastAsia="Times New Roman"/>
          <w:color w:val="000000"/>
          <w:sz w:val="20"/>
          <w:szCs w:val="20"/>
        </w:rPr>
        <w:t>hich relief can be granted.</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June 21, 2021, the Court issued an oral order requiring the parties to i) confer regarding proposed dates to be included in the Court’s scheduling order for the case, and ii) submit a proposed order, including a proposal fo</w:t>
      </w:r>
      <w:r>
        <w:rPr>
          <w:rFonts w:eastAsia="Times New Roman"/>
          <w:color w:val="000000"/>
          <w:sz w:val="20"/>
          <w:szCs w:val="20"/>
        </w:rPr>
        <w:t xml:space="preserve">r the length and timing of trial, to the Court by no later than July 21, 2021.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On July 30, 2021, the Court issued a scheduling order establishing timing for litigation events including i) a preliminary injunction hearing date of November 23, 2021 (only </w:t>
      </w:r>
      <w:r>
        <w:rPr>
          <w:rFonts w:eastAsia="Times New Roman"/>
          <w:color w:val="000000"/>
          <w:sz w:val="20"/>
          <w:szCs w:val="20"/>
        </w:rPr>
        <w:t xml:space="preserve">relevant in the event that Jazz files a motion for a preliminary injunction by October 22, 2021), ii) a claim construction hearing date of August 2, 2022, and iii) a trial date of October 30, 2023.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On August 4, 2021, Jazz filed another formal complaint (the “Second Complaint”) initiating a lawsuit in the Court against the Avadel Parties. In the Second Complaint, Jazz alleges the Proposed Product described in the NDA owned by Avadel CNS Pharmaceutical</w:t>
      </w:r>
      <w:r>
        <w:rPr>
          <w:rFonts w:eastAsia="Times New Roman"/>
          <w:color w:val="000000"/>
          <w:sz w:val="20"/>
          <w:szCs w:val="20"/>
        </w:rPr>
        <w:t xml:space="preserve">s, LLC will infringe at least one claim of US Patent No. 11077079. The Second Complaint further includes typical relief requests such as preliminary and permanent injunctive relief, monetary damages and attorneys’ fees, costs and expenses.  </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Material Com</w:t>
      </w:r>
      <w:r>
        <w:rPr>
          <w:rFonts w:eastAsia="Times New Roman"/>
          <w:b/>
          <w:bCs/>
          <w:i/>
          <w:iCs/>
          <w:color w:val="000000"/>
          <w:sz w:val="20"/>
          <w:szCs w:val="20"/>
        </w:rPr>
        <w:t>mitments and Contractual Obligations</w:t>
      </w:r>
      <w:r>
        <w:rPr>
          <w:rFonts w:eastAsia="Times New Roman"/>
          <w:b/>
          <w:bCs/>
          <w:color w:val="000000"/>
          <w:sz w:val="20"/>
          <w:szCs w:val="20"/>
        </w:rPr>
        <w:t> </w:t>
      </w:r>
    </w:p>
    <w:p w:rsidR="00000000" w:rsidRDefault="00E65947">
      <w:pPr>
        <w:jc w:val="both"/>
        <w:rPr>
          <w:rFonts w:eastAsia="Times New Roman"/>
        </w:rPr>
      </w:pPr>
    </w:p>
    <w:p w:rsidR="00000000" w:rsidRDefault="00E65947">
      <w:pPr>
        <w:jc w:val="both"/>
        <w:rPr>
          <w:rFonts w:eastAsia="Times New Roman"/>
        </w:rPr>
      </w:pPr>
      <w:r>
        <w:rPr>
          <w:rFonts w:eastAsia="Times New Roman"/>
          <w:color w:val="000000"/>
          <w:sz w:val="20"/>
          <w:szCs w:val="20"/>
        </w:rPr>
        <w:t xml:space="preserve">Disclosures regarding material commitments and contractual obligations are included in Part II, Item 7 of the Company’s 2020 Annual Report on Form 10-K and updated in </w:t>
      </w:r>
      <w:r>
        <w:rPr>
          <w:rFonts w:eastAsia="Times New Roman"/>
          <w:i/>
          <w:iCs/>
          <w:color w:val="000000"/>
          <w:sz w:val="20"/>
          <w:szCs w:val="20"/>
        </w:rPr>
        <w:t>Note 16: Commitments and Contingencies</w:t>
      </w:r>
      <w:r>
        <w:rPr>
          <w:rFonts w:eastAsia="Times New Roman"/>
          <w:color w:val="000000"/>
          <w:sz w:val="20"/>
          <w:szCs w:val="20"/>
        </w:rPr>
        <w:t> </w:t>
      </w:r>
      <w:r>
        <w:rPr>
          <w:rFonts w:eastAsia="Times New Roman"/>
          <w:color w:val="000000"/>
          <w:sz w:val="20"/>
          <w:szCs w:val="20"/>
        </w:rPr>
        <w:t>to the Company’s unaudited condensed consolidated financial statements included in Part I, Item 1 of this Quarterly Report on Form 10-Q.</w:t>
      </w:r>
    </w:p>
    <w:p w:rsidR="00000000" w:rsidRDefault="00E65947">
      <w:pPr>
        <w:jc w:val="both"/>
        <w:rPr>
          <w:rFonts w:eastAsia="Times New Roman"/>
        </w:rPr>
      </w:pPr>
    </w:p>
    <w:p w:rsidR="00000000" w:rsidRDefault="00E65947">
      <w:pPr>
        <w:ind w:hanging="360"/>
        <w:divId w:val="1657413114"/>
        <w:rPr>
          <w:rFonts w:eastAsia="Times New Roman"/>
        </w:rPr>
      </w:pPr>
      <w:r>
        <w:rPr>
          <w:rFonts w:eastAsia="Times New Roman"/>
          <w:b/>
          <w:bCs/>
          <w:color w:val="000000"/>
          <w:sz w:val="20"/>
          <w:szCs w:val="20"/>
        </w:rPr>
        <w:t>ITEM 3.    QUANTITATIVE AND QUALITATIVE DISCLOSURES ABOUT MARKET RISK.</w:t>
      </w:r>
      <w:r>
        <w:rPr>
          <w:rFonts w:eastAsia="Times New Roman"/>
          <w:color w:val="000000"/>
          <w:sz w:val="20"/>
          <w:szCs w:val="20"/>
        </w:rPr>
        <w:t> </w:t>
      </w:r>
    </w:p>
    <w:p w:rsidR="00000000" w:rsidRDefault="00E65947">
      <w:pPr>
        <w:jc w:val="both"/>
        <w:divId w:val="2140104174"/>
        <w:rPr>
          <w:rFonts w:eastAsia="Times New Roman"/>
        </w:rPr>
      </w:pPr>
      <w:r>
        <w:rPr>
          <w:rFonts w:eastAsia="Times New Roman"/>
          <w:b/>
          <w:bCs/>
          <w:color w:val="000000"/>
          <w:sz w:val="20"/>
          <w:szCs w:val="20"/>
          <w:u w:val="single"/>
        </w:rPr>
        <w:t>Interest Rate Risk</w:t>
      </w:r>
    </w:p>
    <w:p w:rsidR="00000000" w:rsidRDefault="00E65947">
      <w:pPr>
        <w:jc w:val="both"/>
        <w:rPr>
          <w:rFonts w:eastAsia="Times New Roman"/>
        </w:rPr>
      </w:pPr>
      <w:r>
        <w:rPr>
          <w:rFonts w:eastAsia="Times New Roman"/>
          <w:color w:val="000000"/>
          <w:sz w:val="20"/>
          <w:szCs w:val="20"/>
        </w:rPr>
        <w:t xml:space="preserve">The Company is subject to </w:t>
      </w:r>
      <w:r>
        <w:rPr>
          <w:rFonts w:eastAsia="Times New Roman"/>
          <w:color w:val="000000"/>
          <w:sz w:val="20"/>
          <w:szCs w:val="20"/>
        </w:rPr>
        <w:t xml:space="preserve">interest rate risk as a result of its portfolio of marketable securities. The primary objectives of our investment policy are as follows: safety and preservation of principal and diversification of risk; liquidity of investments </w:t>
      </w:r>
    </w:p>
    <w:p w:rsidR="00000000" w:rsidRDefault="00E65947">
      <w:pPr>
        <w:jc w:val="center"/>
        <w:divId w:val="27923059"/>
        <w:rPr>
          <w:rFonts w:eastAsia="Times New Roman"/>
        </w:rPr>
      </w:pPr>
      <w:r>
        <w:rPr>
          <w:rFonts w:eastAsia="Times New Roman"/>
          <w:color w:val="000000"/>
          <w:sz w:val="20"/>
          <w:szCs w:val="20"/>
        </w:rPr>
        <w:t>- 34 -</w:t>
      </w:r>
    </w:p>
    <w:p w:rsidR="00000000" w:rsidRDefault="00E65947">
      <w:pPr>
        <w:rPr>
          <w:rFonts w:eastAsia="Times New Roman"/>
        </w:rPr>
      </w:pPr>
      <w:r>
        <w:rPr>
          <w:rFonts w:eastAsia="Times New Roman"/>
        </w:rPr>
        <w:pict>
          <v:rect id="_x0000_i1059" style="width:0;height:1.5pt" o:hralign="center" o:hrstd="t" o:hr="t" fillcolor="#a0a0a0" stroked="f"/>
        </w:pict>
      </w:r>
    </w:p>
    <w:p w:rsidR="00000000" w:rsidRDefault="00E65947">
      <w:pPr>
        <w:divId w:val="246157653"/>
        <w:rPr>
          <w:rFonts w:eastAsia="Times New Roman"/>
        </w:rPr>
      </w:pPr>
    </w:p>
    <w:p w:rsidR="00000000" w:rsidRDefault="00E65947">
      <w:pPr>
        <w:jc w:val="both"/>
        <w:rPr>
          <w:rFonts w:eastAsia="Times New Roman"/>
        </w:rPr>
      </w:pPr>
      <w:r>
        <w:rPr>
          <w:rFonts w:eastAsia="Times New Roman"/>
          <w:color w:val="000000"/>
          <w:sz w:val="20"/>
          <w:szCs w:val="20"/>
        </w:rPr>
        <w:t>sufficient to meet cash flow requirements; and competitive yield. Although our investments are subject to market risk, our investment policy specifies credit quality standards for our investments and limits the amount of credit exposure</w:t>
      </w:r>
      <w:r>
        <w:rPr>
          <w:rFonts w:eastAsia="Times New Roman"/>
          <w:color w:val="000000"/>
          <w:sz w:val="20"/>
          <w:szCs w:val="20"/>
        </w:rPr>
        <w:t xml:space="preserve"> from any single issue, issuer or certain types of investment. Our investment policy allows us to maintain a portfolio of cash equivalents and marketable securities in a variety of instruments, including U.S. federal government and federal agency securitie</w:t>
      </w:r>
      <w:r>
        <w:rPr>
          <w:rFonts w:eastAsia="Times New Roman"/>
          <w:color w:val="000000"/>
          <w:sz w:val="20"/>
          <w:szCs w:val="20"/>
        </w:rPr>
        <w:t>s, European Government bonds, corporate bonds or commercial paper issued by U.S. or European corporations, money market instruments, certain qualifying money market mutual funds, certain repurchase agreements, tax-exempt obligations of states, agencies, an</w:t>
      </w:r>
      <w:r>
        <w:rPr>
          <w:rFonts w:eastAsia="Times New Roman"/>
          <w:color w:val="000000"/>
          <w:sz w:val="20"/>
          <w:szCs w:val="20"/>
        </w:rPr>
        <w:t>d municipalities in the U.S and Europe, and equities.</w:t>
      </w:r>
      <w:r>
        <w:rPr>
          <w:rFonts w:eastAsia="Times New Roman"/>
          <w:b/>
          <w:bCs/>
          <w:color w:val="000000"/>
          <w:sz w:val="20"/>
          <w:szCs w:val="20"/>
        </w:rPr>
        <w:t xml:space="preserve">  </w:t>
      </w:r>
      <w:r>
        <w:rPr>
          <w:rFonts w:eastAsia="Times New Roman"/>
          <w:color w:val="000000"/>
          <w:sz w:val="20"/>
          <w:szCs w:val="20"/>
        </w:rPr>
        <w:t>A hypothetical 50 basis point change in interest rates would not result in a material decrease or increase in the fair value of our securities due to the general short-term nature of our investment por</w:t>
      </w:r>
      <w:r>
        <w:rPr>
          <w:rFonts w:eastAsia="Times New Roman"/>
          <w:color w:val="000000"/>
          <w:sz w:val="20"/>
          <w:szCs w:val="20"/>
        </w:rPr>
        <w:t>tfolio.</w:t>
      </w:r>
    </w:p>
    <w:p w:rsidR="00000000" w:rsidRDefault="00E65947">
      <w:pPr>
        <w:jc w:val="both"/>
        <w:rPr>
          <w:rFonts w:eastAsia="Times New Roman"/>
        </w:rPr>
      </w:pPr>
    </w:p>
    <w:p w:rsidR="00000000" w:rsidRDefault="00E65947">
      <w:pPr>
        <w:ind w:hanging="360"/>
        <w:divId w:val="1704944659"/>
        <w:rPr>
          <w:rFonts w:eastAsia="Times New Roman"/>
        </w:rPr>
      </w:pPr>
      <w:r>
        <w:rPr>
          <w:rFonts w:eastAsia="Times New Roman"/>
          <w:b/>
          <w:bCs/>
          <w:color w:val="000000"/>
          <w:sz w:val="20"/>
          <w:szCs w:val="20"/>
        </w:rPr>
        <w:t>ITEM 4.    CONTROLS AND PROCEDURES.</w:t>
      </w:r>
      <w:r>
        <w:rPr>
          <w:rFonts w:eastAsia="Times New Roman"/>
          <w:color w:val="000000"/>
          <w:sz w:val="20"/>
          <w:szCs w:val="20"/>
        </w:rPr>
        <w:t> </w:t>
      </w:r>
    </w:p>
    <w:p w:rsidR="00000000" w:rsidRDefault="00E65947">
      <w:pPr>
        <w:jc w:val="both"/>
        <w:divId w:val="1586836707"/>
        <w:rPr>
          <w:rFonts w:eastAsia="Times New Roman"/>
        </w:rPr>
      </w:pPr>
      <w:r>
        <w:rPr>
          <w:rFonts w:eastAsia="Times New Roman"/>
          <w:color w:val="000000"/>
          <w:sz w:val="20"/>
          <w:szCs w:val="20"/>
        </w:rPr>
        <w:t>Management of the Company, with the participation of its Chief Executive Officer and Chief Financial Officer, evaluated the effectiveness of the Company’s disclosure controls and procedures as of June 30, 2021</w:t>
      </w:r>
      <w:r>
        <w:rPr>
          <w:rFonts w:eastAsia="Times New Roman"/>
          <w:color w:val="000000"/>
          <w:sz w:val="20"/>
          <w:szCs w:val="20"/>
        </w:rPr>
        <w:t>, the end of the period covered by this quarterly report on Form 10-Q.  The term “disclosure controls and procedures,” as defined in Rules 13a-15(e) and 15d-15(e) under the Securities Exchange Act of 1934, as amended (“Exchange Act”), means controls and ot</w:t>
      </w:r>
      <w:r>
        <w:rPr>
          <w:rFonts w:eastAsia="Times New Roman"/>
          <w:color w:val="000000"/>
          <w:sz w:val="20"/>
          <w:szCs w:val="20"/>
        </w:rPr>
        <w:t>her procedures of a company that are designed to provide reasonable assurance that information required to be disclosed by the Company in the reports it files or submits under the Exchange Act is recorded, processed, summarized and reported, within the tim</w:t>
      </w:r>
      <w:r>
        <w:rPr>
          <w:rFonts w:eastAsia="Times New Roman"/>
          <w:color w:val="000000"/>
          <w:sz w:val="20"/>
          <w:szCs w:val="20"/>
        </w:rPr>
        <w:t xml:space="preserve">e periods specified in the SEC’s rules and forms. Disclosure controls and procedures are also designed to provide reasonable assurance that such information is accumulated and communicated to the Company’s management, including its Chief Executive Officer </w:t>
      </w:r>
      <w:r>
        <w:rPr>
          <w:rFonts w:eastAsia="Times New Roman"/>
          <w:color w:val="000000"/>
          <w:sz w:val="20"/>
          <w:szCs w:val="20"/>
        </w:rPr>
        <w:t>and Chief Financial Officer, to allow timely decisions regarding required disclosure.  Based on their evaluation, as of the end of the period covered by this Form 10-Q, the Company’s Chief Executive Officer and Chief Financial Officer have concluded that t</w:t>
      </w:r>
      <w:r>
        <w:rPr>
          <w:rFonts w:eastAsia="Times New Roman"/>
          <w:color w:val="000000"/>
          <w:sz w:val="20"/>
          <w:szCs w:val="20"/>
        </w:rPr>
        <w:t>he Company’s disclosure controls and procedures (as defined in Rules 13a-15(e) and 15d-15(e) under the Securities Exchange Act of 1934, as amended) were effective as of June 30, 2021. </w:t>
      </w:r>
    </w:p>
    <w:p w:rsidR="00000000" w:rsidRDefault="00E65947">
      <w:pPr>
        <w:jc w:val="both"/>
        <w:divId w:val="136530789"/>
        <w:rPr>
          <w:rFonts w:eastAsia="Times New Roman"/>
        </w:rPr>
      </w:pPr>
      <w:r>
        <w:rPr>
          <w:rFonts w:eastAsia="Times New Roman"/>
          <w:b/>
          <w:bCs/>
          <w:i/>
          <w:iCs/>
          <w:color w:val="000000"/>
          <w:sz w:val="20"/>
          <w:szCs w:val="20"/>
        </w:rPr>
        <w:t>Changes in Internal Control over Financial Reporting</w:t>
      </w:r>
      <w:r>
        <w:rPr>
          <w:rFonts w:eastAsia="Times New Roman"/>
          <w:i/>
          <w:iCs/>
          <w:color w:val="000000"/>
          <w:sz w:val="20"/>
          <w:szCs w:val="20"/>
        </w:rPr>
        <w:t> </w:t>
      </w:r>
    </w:p>
    <w:p w:rsidR="00000000" w:rsidRDefault="00E65947">
      <w:pPr>
        <w:jc w:val="both"/>
        <w:rPr>
          <w:rFonts w:eastAsia="Times New Roman"/>
        </w:rPr>
      </w:pPr>
      <w:r>
        <w:rPr>
          <w:rFonts w:eastAsia="Times New Roman"/>
          <w:color w:val="000000"/>
          <w:sz w:val="20"/>
          <w:szCs w:val="20"/>
        </w:rPr>
        <w:t>There were no cha</w:t>
      </w:r>
      <w:r>
        <w:rPr>
          <w:rFonts w:eastAsia="Times New Roman"/>
          <w:color w:val="000000"/>
          <w:sz w:val="20"/>
          <w:szCs w:val="20"/>
        </w:rPr>
        <w:t>nges in our internal control over financial reporting identified in connection with the evaluation required by paragraph (d) of Exchange Act Rule 13a-15 or 15d-15 that occurred during the three months ended June 30, 2021 that have materially affected, or a</w:t>
      </w:r>
      <w:r>
        <w:rPr>
          <w:rFonts w:eastAsia="Times New Roman"/>
          <w:color w:val="000000"/>
          <w:sz w:val="20"/>
          <w:szCs w:val="20"/>
        </w:rPr>
        <w:t xml:space="preserve">re reasonably likely to materially affect, our internal control over financial reporting. </w:t>
      </w:r>
    </w:p>
    <w:p w:rsidR="00000000" w:rsidRDefault="00E65947">
      <w:pPr>
        <w:jc w:val="both"/>
        <w:rPr>
          <w:rFonts w:eastAsia="Times New Roman"/>
        </w:rPr>
      </w:pPr>
    </w:p>
    <w:p w:rsidR="00000000" w:rsidRDefault="00E65947">
      <w:pPr>
        <w:jc w:val="center"/>
        <w:divId w:val="1901163441"/>
        <w:rPr>
          <w:rFonts w:eastAsia="Times New Roman"/>
        </w:rPr>
      </w:pPr>
      <w:r>
        <w:rPr>
          <w:rFonts w:eastAsia="Times New Roman"/>
          <w:b/>
          <w:bCs/>
          <w:color w:val="000000"/>
          <w:sz w:val="20"/>
          <w:szCs w:val="20"/>
        </w:rPr>
        <w:t>PART II – OTHER INFORMATION</w:t>
      </w:r>
      <w:r>
        <w:rPr>
          <w:rFonts w:eastAsia="Times New Roman"/>
          <w:color w:val="000000"/>
          <w:sz w:val="20"/>
          <w:szCs w:val="20"/>
        </w:rPr>
        <w:t> </w:t>
      </w:r>
    </w:p>
    <w:p w:rsidR="00000000" w:rsidRDefault="00E65947">
      <w:pPr>
        <w:ind w:hanging="360"/>
        <w:divId w:val="2049799626"/>
        <w:rPr>
          <w:rFonts w:eastAsia="Times New Roman"/>
        </w:rPr>
      </w:pPr>
      <w:r>
        <w:rPr>
          <w:rFonts w:eastAsia="Times New Roman"/>
          <w:b/>
          <w:bCs/>
          <w:color w:val="000000"/>
          <w:sz w:val="20"/>
          <w:szCs w:val="20"/>
        </w:rPr>
        <w:t>ITEM 1.    LEGAL PROCEEDINGS.</w:t>
      </w:r>
      <w:r>
        <w:rPr>
          <w:rFonts w:eastAsia="Times New Roman"/>
          <w:color w:val="000000"/>
          <w:sz w:val="20"/>
          <w:szCs w:val="20"/>
        </w:rPr>
        <w:t> </w:t>
      </w:r>
    </w:p>
    <w:p w:rsidR="00000000" w:rsidRDefault="00E65947">
      <w:pPr>
        <w:jc w:val="both"/>
        <w:divId w:val="1827433982"/>
        <w:rPr>
          <w:rFonts w:eastAsia="Times New Roman"/>
        </w:rPr>
      </w:pPr>
      <w:r>
        <w:rPr>
          <w:rFonts w:eastAsia="Times New Roman"/>
          <w:color w:val="000000"/>
          <w:sz w:val="20"/>
          <w:szCs w:val="20"/>
        </w:rPr>
        <w:t xml:space="preserve">The information contained in </w:t>
      </w:r>
      <w:r>
        <w:rPr>
          <w:rFonts w:eastAsia="Times New Roman"/>
          <w:i/>
          <w:iCs/>
          <w:color w:val="000000"/>
          <w:sz w:val="20"/>
          <w:szCs w:val="20"/>
        </w:rPr>
        <w:t>Note 16: Commitments and Contingencies </w:t>
      </w:r>
      <w:r>
        <w:rPr>
          <w:rFonts w:eastAsia="Times New Roman"/>
          <w:color w:val="000000"/>
          <w:sz w:val="20"/>
          <w:szCs w:val="20"/>
        </w:rPr>
        <w:t>to the Company’s unaudited condense</w:t>
      </w:r>
      <w:r>
        <w:rPr>
          <w:rFonts w:eastAsia="Times New Roman"/>
          <w:color w:val="000000"/>
          <w:sz w:val="20"/>
          <w:szCs w:val="20"/>
        </w:rPr>
        <w:t>d consolidated financial statements included in Part I, Item 1 of this Report is incorporated by reference herein.</w:t>
      </w:r>
    </w:p>
    <w:p w:rsidR="00000000" w:rsidRDefault="00E65947">
      <w:pPr>
        <w:jc w:val="both"/>
        <w:divId w:val="1556239733"/>
        <w:rPr>
          <w:rFonts w:eastAsia="Times New Roman"/>
        </w:rPr>
      </w:pPr>
      <w:r>
        <w:rPr>
          <w:rFonts w:eastAsia="Times New Roman"/>
          <w:b/>
          <w:bCs/>
          <w:color w:val="000000"/>
          <w:sz w:val="20"/>
          <w:szCs w:val="20"/>
        </w:rPr>
        <w:t>ITEM 1A.    RISK FACTORS.</w:t>
      </w: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Except as set forth below, there have been no material changes in our risk factors from those disclosed in our Ann</w:t>
      </w:r>
      <w:r>
        <w:rPr>
          <w:rFonts w:eastAsia="Times New Roman"/>
          <w:color w:val="000000"/>
          <w:sz w:val="20"/>
          <w:szCs w:val="20"/>
        </w:rPr>
        <w:t>ual Report on Form 10-K for the year ended December 31, 2020 filed with the SEC on March 9, 2021.</w:t>
      </w:r>
    </w:p>
    <w:p w:rsidR="00000000" w:rsidRDefault="00E65947">
      <w:pPr>
        <w:jc w:val="both"/>
        <w:rPr>
          <w:rFonts w:eastAsia="Times New Roman"/>
        </w:rPr>
      </w:pPr>
    </w:p>
    <w:p w:rsidR="00000000" w:rsidRDefault="00E65947">
      <w:pPr>
        <w:jc w:val="both"/>
        <w:rPr>
          <w:rFonts w:eastAsia="Times New Roman"/>
        </w:rPr>
      </w:pPr>
      <w:r>
        <w:rPr>
          <w:rFonts w:eastAsia="Times New Roman"/>
          <w:b/>
          <w:bCs/>
          <w:i/>
          <w:iCs/>
          <w:color w:val="000000"/>
          <w:sz w:val="20"/>
          <w:szCs w:val="20"/>
        </w:rPr>
        <w:t>Our product candidate and future product candidates, if approved by the FDA, may not obtain desired regulatory exclusivities, including orphan drug exclusiv</w:t>
      </w:r>
      <w:r>
        <w:rPr>
          <w:rFonts w:eastAsia="Times New Roman"/>
          <w:b/>
          <w:bCs/>
          <w:i/>
          <w:iCs/>
          <w:color w:val="000000"/>
          <w:sz w:val="20"/>
          <w:szCs w:val="20"/>
        </w:rPr>
        <w:t>ity</w:t>
      </w:r>
      <w:r>
        <w:rPr>
          <w:rFonts w:eastAsia="Times New Roman"/>
          <w:b/>
          <w:bCs/>
          <w:color w:val="000000"/>
          <w:sz w:val="20"/>
          <w:szCs w:val="20"/>
        </w:rPr>
        <w:t>.</w:t>
      </w:r>
    </w:p>
    <w:p w:rsidR="00000000" w:rsidRDefault="00E65947">
      <w:pPr>
        <w:divId w:val="440761767"/>
        <w:rPr>
          <w:rFonts w:eastAsia="Times New Roman"/>
        </w:rPr>
      </w:pPr>
    </w:p>
    <w:p w:rsidR="00000000" w:rsidRDefault="00E65947">
      <w:pPr>
        <w:jc w:val="both"/>
        <w:rPr>
          <w:rFonts w:eastAsia="Times New Roman"/>
        </w:rPr>
      </w:pPr>
      <w:r>
        <w:rPr>
          <w:rFonts w:eastAsia="Times New Roman"/>
          <w:color w:val="000000"/>
          <w:sz w:val="20"/>
          <w:szCs w:val="20"/>
        </w:rPr>
        <w:t>Under the Orphan Drug Act, as amended, the FDA may designate a drug as an orphan drug if it is intended to treat a rare disease or condition, which is defined as a patient population of fewer than 200,000 individuals in the United States, or a patient popu</w:t>
      </w:r>
      <w:r>
        <w:rPr>
          <w:rFonts w:eastAsia="Times New Roman"/>
          <w:color w:val="000000"/>
          <w:sz w:val="20"/>
          <w:szCs w:val="20"/>
        </w:rPr>
        <w:t>lation greater than 200,000 where there is no reasonable expectation that the cost of developing the drug for the rare disease or condition will be recovered from sales of the drug in the United States. Generally, if a drug with orphan drug designation sub</w:t>
      </w:r>
      <w:r>
        <w:rPr>
          <w:rFonts w:eastAsia="Times New Roman"/>
          <w:color w:val="000000"/>
          <w:sz w:val="20"/>
          <w:szCs w:val="20"/>
        </w:rPr>
        <w:t>sequently receives the first marketing approval for the disease or condition for which it has such designation, the drug is entitled to a period of marketing exclusivity, which precludes the FDA from approving another marketing application for the same dru</w:t>
      </w:r>
      <w:r>
        <w:rPr>
          <w:rFonts w:eastAsia="Times New Roman"/>
          <w:color w:val="000000"/>
          <w:sz w:val="20"/>
          <w:szCs w:val="20"/>
        </w:rPr>
        <w:t xml:space="preserve">g for the same disease or condition for seven years, except in limited circumstances, such as if the FDA concludes that a subsequent same drug is clinically superior through greater safety, greater effectiveness, or a major contribution to patient care. A </w:t>
      </w:r>
      <w:r>
        <w:rPr>
          <w:rFonts w:eastAsia="Times New Roman"/>
          <w:color w:val="000000"/>
          <w:sz w:val="20"/>
          <w:szCs w:val="20"/>
        </w:rPr>
        <w:t xml:space="preserve">designated orphan drug may not receive orphan drug exclusivity if it is approved for a use that is broader than the indication for which it received orphan designation. </w:t>
      </w:r>
    </w:p>
    <w:p w:rsidR="00000000" w:rsidRDefault="00E65947">
      <w:pPr>
        <w:divId w:val="521554746"/>
        <w:rPr>
          <w:rFonts w:eastAsia="Times New Roman"/>
        </w:rPr>
      </w:pPr>
    </w:p>
    <w:p w:rsidR="00000000" w:rsidRDefault="00E65947">
      <w:pPr>
        <w:jc w:val="both"/>
        <w:rPr>
          <w:rFonts w:eastAsia="Times New Roman"/>
        </w:rPr>
      </w:pPr>
      <w:r>
        <w:rPr>
          <w:rFonts w:eastAsia="Times New Roman"/>
          <w:color w:val="000000"/>
          <w:sz w:val="20"/>
          <w:szCs w:val="20"/>
        </w:rPr>
        <w:t>Although our lead product candidate, FT218, obtained orphan drug designation for the</w:t>
      </w:r>
      <w:r>
        <w:rPr>
          <w:rFonts w:eastAsia="Times New Roman"/>
          <w:color w:val="000000"/>
          <w:sz w:val="20"/>
          <w:szCs w:val="20"/>
        </w:rPr>
        <w:t xml:space="preserve"> treatment of narcolepsy from the FDA in January 2018, there is no guarantee that we will obtain approval or orphan drug exclusivity for FT218. Orphan drug designation does not give a product candidate any advantage in, or shorten the timeline for, the FDA</w:t>
      </w:r>
      <w:r>
        <w:rPr>
          <w:rFonts w:eastAsia="Times New Roman"/>
          <w:color w:val="000000"/>
          <w:sz w:val="20"/>
          <w:szCs w:val="20"/>
        </w:rPr>
        <w:t xml:space="preserve"> regulatory review and approval process. In addition, because FT218 would not be the first sodium oxybate product to be approved for the treatment of </w:t>
      </w:r>
    </w:p>
    <w:p w:rsidR="00000000" w:rsidRDefault="00E65947">
      <w:pPr>
        <w:jc w:val="center"/>
        <w:divId w:val="447747713"/>
        <w:rPr>
          <w:rFonts w:eastAsia="Times New Roman"/>
        </w:rPr>
      </w:pPr>
      <w:r>
        <w:rPr>
          <w:rFonts w:eastAsia="Times New Roman"/>
          <w:color w:val="000000"/>
          <w:sz w:val="20"/>
          <w:szCs w:val="20"/>
        </w:rPr>
        <w:t>- 35 -</w:t>
      </w:r>
    </w:p>
    <w:p w:rsidR="00000000" w:rsidRDefault="00E65947">
      <w:pPr>
        <w:rPr>
          <w:rFonts w:eastAsia="Times New Roman"/>
        </w:rPr>
      </w:pPr>
      <w:r>
        <w:rPr>
          <w:rFonts w:eastAsia="Times New Roman"/>
        </w:rPr>
        <w:pict>
          <v:rect id="_x0000_i1060" style="width:0;height:1.5pt" o:hralign="center" o:hrstd="t" o:hr="t" fillcolor="#a0a0a0" stroked="f"/>
        </w:pict>
      </w:r>
    </w:p>
    <w:p w:rsidR="00000000" w:rsidRDefault="00E65947">
      <w:pPr>
        <w:divId w:val="1590501258"/>
        <w:rPr>
          <w:rFonts w:eastAsia="Times New Roman"/>
        </w:rPr>
      </w:pPr>
    </w:p>
    <w:p w:rsidR="00000000" w:rsidRDefault="00E65947">
      <w:pPr>
        <w:jc w:val="both"/>
        <w:rPr>
          <w:rFonts w:eastAsia="Times New Roman"/>
        </w:rPr>
      </w:pPr>
      <w:r>
        <w:rPr>
          <w:rFonts w:eastAsia="Times New Roman"/>
          <w:color w:val="000000"/>
          <w:sz w:val="20"/>
          <w:szCs w:val="20"/>
        </w:rPr>
        <w:t>narcolepsy, we must demonstrate that FT218 is clinically sup</w:t>
      </w:r>
      <w:r>
        <w:rPr>
          <w:rFonts w:eastAsia="Times New Roman"/>
          <w:color w:val="000000"/>
          <w:sz w:val="20"/>
          <w:szCs w:val="20"/>
        </w:rPr>
        <w:t>erior to any previously approved same drug in order to obtain orphan drug exclusivity for FT218, and we may be required to demonstrate clinical superiority for the approval and exclusivity of other product candidates in the future. Even if we obtain orphan</w:t>
      </w:r>
      <w:r>
        <w:rPr>
          <w:rFonts w:eastAsia="Times New Roman"/>
          <w:color w:val="000000"/>
          <w:sz w:val="20"/>
          <w:szCs w:val="20"/>
        </w:rPr>
        <w:t xml:space="preserve"> drug exclusivity for a product, that exclusivity may not effectively protect the product from competition because different drugs can be approved for the same condition. Moreover, any orphan drug exclusive marketing rights may be lost if the FDA later det</w:t>
      </w:r>
      <w:r>
        <w:rPr>
          <w:rFonts w:eastAsia="Times New Roman"/>
          <w:color w:val="000000"/>
          <w:sz w:val="20"/>
          <w:szCs w:val="20"/>
        </w:rPr>
        <w:t>ermines that the request for designation was materially defective or if we are unable to assure sufficient quantity of the drug to meet the needs of patients with the particular rare disease or condition.</w:t>
      </w:r>
    </w:p>
    <w:p w:rsidR="00000000" w:rsidRDefault="00E65947">
      <w:pPr>
        <w:divId w:val="630012947"/>
        <w:rPr>
          <w:rFonts w:eastAsia="Times New Roman"/>
        </w:rPr>
      </w:pPr>
    </w:p>
    <w:p w:rsidR="00000000" w:rsidRDefault="00E65947">
      <w:pPr>
        <w:jc w:val="both"/>
        <w:rPr>
          <w:rFonts w:eastAsia="Times New Roman"/>
        </w:rPr>
      </w:pPr>
      <w:r>
        <w:rPr>
          <w:rFonts w:eastAsia="Times New Roman"/>
          <w:b/>
          <w:bCs/>
          <w:i/>
          <w:iCs/>
          <w:color w:val="000000"/>
          <w:sz w:val="20"/>
          <w:szCs w:val="20"/>
        </w:rPr>
        <w:t>Third parties may claim that our product candidat</w:t>
      </w:r>
      <w:r>
        <w:rPr>
          <w:rFonts w:eastAsia="Times New Roman"/>
          <w:b/>
          <w:bCs/>
          <w:i/>
          <w:iCs/>
          <w:color w:val="000000"/>
          <w:sz w:val="20"/>
          <w:szCs w:val="20"/>
        </w:rPr>
        <w:t xml:space="preserve">e or future product candidates infringe their rights, and we may incur significant costs resolving these claims. Additionally, legal proceedings related to such claims could materially delay or otherwise adversely affect commercialization plans related to </w:t>
      </w:r>
      <w:r>
        <w:rPr>
          <w:rFonts w:eastAsia="Times New Roman"/>
          <w:b/>
          <w:bCs/>
          <w:i/>
          <w:iCs/>
          <w:color w:val="000000"/>
          <w:sz w:val="20"/>
          <w:szCs w:val="20"/>
        </w:rPr>
        <w:t xml:space="preserve">our product candidate, if approved. </w:t>
      </w:r>
    </w:p>
    <w:p w:rsidR="00000000" w:rsidRDefault="00E65947">
      <w:pPr>
        <w:divId w:val="1223374189"/>
        <w:rPr>
          <w:rFonts w:eastAsia="Times New Roman"/>
        </w:rPr>
      </w:pPr>
    </w:p>
    <w:p w:rsidR="00000000" w:rsidRDefault="00E65947">
      <w:pPr>
        <w:jc w:val="both"/>
        <w:rPr>
          <w:rFonts w:eastAsia="Times New Roman"/>
        </w:rPr>
      </w:pPr>
      <w:r>
        <w:rPr>
          <w:rFonts w:eastAsia="Times New Roman"/>
          <w:color w:val="000000"/>
          <w:sz w:val="20"/>
          <w:szCs w:val="20"/>
        </w:rPr>
        <w:t>Third parties may claim infringement of their patents and other intellectual property rights by the manufacture, use, import, offer for sale or sale of our drug delivery technologies or our other products. For example</w:t>
      </w:r>
      <w:r>
        <w:rPr>
          <w:rFonts w:eastAsia="Times New Roman"/>
          <w:color w:val="000000"/>
          <w:sz w:val="20"/>
          <w:szCs w:val="20"/>
        </w:rPr>
        <w:t>, in connection with us seeking regulatory approval for a product candidate, a third party may allege that our product candidate infringes its patents or other intellectual property rights and file suit to delay/prevent regulatory approval and/or commercia</w:t>
      </w:r>
      <w:r>
        <w:rPr>
          <w:rFonts w:eastAsia="Times New Roman"/>
          <w:color w:val="000000"/>
          <w:sz w:val="20"/>
          <w:szCs w:val="20"/>
        </w:rPr>
        <w:t xml:space="preserve">lization of such product. </w:t>
      </w:r>
    </w:p>
    <w:p w:rsidR="00000000" w:rsidRDefault="00E65947">
      <w:pPr>
        <w:divId w:val="864446069"/>
        <w:rPr>
          <w:rFonts w:eastAsia="Times New Roman"/>
        </w:rPr>
      </w:pPr>
    </w:p>
    <w:p w:rsidR="00000000" w:rsidRDefault="00E65947">
      <w:pPr>
        <w:jc w:val="both"/>
        <w:rPr>
          <w:rFonts w:eastAsia="Times New Roman"/>
        </w:rPr>
      </w:pPr>
      <w:r>
        <w:rPr>
          <w:rFonts w:eastAsia="Times New Roman"/>
          <w:color w:val="000000"/>
          <w:sz w:val="20"/>
          <w:szCs w:val="20"/>
        </w:rPr>
        <w:t>In May 2021, Jazz Pharmaceuticals filed a complaint against us and certain of our subsidiaries in the United States District Court for the District of Delaware alleging infringement of certain of its patents.</w:t>
      </w:r>
      <w:r>
        <w:rPr>
          <w:rFonts w:eastAsia="Times New Roman"/>
          <w:color w:val="000000"/>
        </w:rPr>
        <w:t xml:space="preserve"> </w:t>
      </w:r>
    </w:p>
    <w:p w:rsidR="00000000" w:rsidRDefault="00E65947">
      <w:pPr>
        <w:divId w:val="823548991"/>
        <w:rPr>
          <w:rFonts w:eastAsia="Times New Roman"/>
        </w:rPr>
      </w:pPr>
    </w:p>
    <w:p w:rsidR="00000000" w:rsidRDefault="00E65947">
      <w:pPr>
        <w:jc w:val="both"/>
        <w:rPr>
          <w:rFonts w:eastAsia="Times New Roman"/>
        </w:rPr>
      </w:pPr>
      <w:r>
        <w:rPr>
          <w:rFonts w:eastAsia="Times New Roman"/>
          <w:color w:val="000000"/>
          <w:sz w:val="20"/>
          <w:szCs w:val="20"/>
        </w:rPr>
        <w:t>In response to any claim of infringement, we may choose or be forced to seek licenses, defend infringement actions or challenge the validity or enforceability of those patent rights in court or administrative proceedings. If we cannot obtain required licen</w:t>
      </w:r>
      <w:r>
        <w:rPr>
          <w:rFonts w:eastAsia="Times New Roman"/>
          <w:color w:val="000000"/>
          <w:sz w:val="20"/>
          <w:szCs w:val="20"/>
        </w:rPr>
        <w:t>ses on commercially reasonably terms, or at all, are found liable for infringement or are not able to have such patent rights declared invalid or unenforceable, our business could be materially harmed. We may be subject to claims (and even held liable) for</w:t>
      </w:r>
      <w:r>
        <w:rPr>
          <w:rFonts w:eastAsia="Times New Roman"/>
          <w:color w:val="000000"/>
          <w:sz w:val="20"/>
          <w:szCs w:val="20"/>
        </w:rPr>
        <w:t xml:space="preserve"> significant monetary damages (including enhanced damages and/or attorneys’ fees), encounter significant delays in bringing products to market or be precluded from the manufacture, use, import, offer for sale or sale of products or methods of drug delivery</w:t>
      </w:r>
      <w:r>
        <w:rPr>
          <w:rFonts w:eastAsia="Times New Roman"/>
          <w:color w:val="000000"/>
          <w:sz w:val="20"/>
          <w:szCs w:val="20"/>
        </w:rPr>
        <w:t xml:space="preserve"> covered by the patents of others. Even if a license is available, it may not be available on commercially reasonable terms or may be non-exclusive, which could result in our competitors gaining access to the same intellectual property. We may not have ide</w:t>
      </w:r>
      <w:r>
        <w:rPr>
          <w:rFonts w:eastAsia="Times New Roman"/>
          <w:color w:val="000000"/>
          <w:sz w:val="20"/>
          <w:szCs w:val="20"/>
        </w:rPr>
        <w:t>ntified, or be able to identify in the future, U.S. or non-U.S. patents that pose a risk of potential infringement claims.</w:t>
      </w:r>
    </w:p>
    <w:p w:rsidR="00000000" w:rsidRDefault="00E65947">
      <w:pPr>
        <w:divId w:val="298151793"/>
        <w:rPr>
          <w:rFonts w:eastAsia="Times New Roman"/>
        </w:rPr>
      </w:pPr>
    </w:p>
    <w:p w:rsidR="00000000" w:rsidRDefault="00E65947">
      <w:pPr>
        <w:jc w:val="both"/>
        <w:rPr>
          <w:rFonts w:eastAsia="Times New Roman"/>
        </w:rPr>
      </w:pPr>
      <w:r>
        <w:rPr>
          <w:rFonts w:eastAsia="Times New Roman"/>
          <w:color w:val="000000"/>
          <w:sz w:val="20"/>
          <w:szCs w:val="20"/>
        </w:rPr>
        <w:t>In addition to the possibility of intellectual property infringement claims, a third party could submit a citizen petition to the F</w:t>
      </w:r>
      <w:r>
        <w:rPr>
          <w:rFonts w:eastAsia="Times New Roman"/>
          <w:color w:val="000000"/>
          <w:sz w:val="20"/>
          <w:szCs w:val="20"/>
        </w:rPr>
        <w:t>DA requesting relief that, if granted, could materially adversely affect the NDA and/or underlying product candidate. For example, such a third-party petition could, if granted, materially adversely affect the likelihood and/or timing of NDA approval, cont</w:t>
      </w:r>
      <w:r>
        <w:rPr>
          <w:rFonts w:eastAsia="Times New Roman"/>
          <w:color w:val="000000"/>
          <w:sz w:val="20"/>
          <w:szCs w:val="20"/>
        </w:rPr>
        <w:t>ent of final product labeling, and/or resulting regulatory exclusivity (if any) for such product.</w:t>
      </w:r>
    </w:p>
    <w:p w:rsidR="00000000" w:rsidRDefault="00E65947">
      <w:pPr>
        <w:divId w:val="1937785811"/>
        <w:rPr>
          <w:rFonts w:eastAsia="Times New Roman"/>
        </w:rPr>
      </w:pPr>
    </w:p>
    <w:p w:rsidR="00000000" w:rsidRDefault="00E65947">
      <w:pPr>
        <w:jc w:val="both"/>
        <w:rPr>
          <w:rFonts w:eastAsia="Times New Roman"/>
        </w:rPr>
      </w:pPr>
      <w:r>
        <w:rPr>
          <w:rFonts w:eastAsia="Times New Roman"/>
          <w:color w:val="000000"/>
          <w:sz w:val="20"/>
          <w:szCs w:val="20"/>
        </w:rPr>
        <w:t xml:space="preserve">Parties making claims against us may be able to sustain the costs of patent litigation more effectively than we can because they have substantially greater </w:t>
      </w:r>
      <w:r>
        <w:rPr>
          <w:rFonts w:eastAsia="Times New Roman"/>
          <w:color w:val="000000"/>
          <w:sz w:val="20"/>
          <w:szCs w:val="20"/>
        </w:rPr>
        <w:t>resources. In addition, any claims, with or without merit, that our product candidate, future product candidates or drug delivery technologies infringe proprietary rights of third parties could be time-consuming, result in costly litigation or divert the e</w:t>
      </w:r>
      <w:r>
        <w:rPr>
          <w:rFonts w:eastAsia="Times New Roman"/>
          <w:color w:val="000000"/>
          <w:sz w:val="20"/>
          <w:szCs w:val="20"/>
        </w:rPr>
        <w:t>fforts of our technical and management personnel, any of which could disrupt our relationships with our partners and could significantly harm our financial positions and operating results.</w:t>
      </w:r>
    </w:p>
    <w:p w:rsidR="00000000" w:rsidRDefault="00E65947">
      <w:pPr>
        <w:jc w:val="both"/>
        <w:rPr>
          <w:rFonts w:eastAsia="Times New Roman"/>
        </w:rPr>
      </w:pPr>
    </w:p>
    <w:p w:rsidR="00000000" w:rsidRDefault="00E65947">
      <w:pPr>
        <w:divId w:val="86657345"/>
        <w:rPr>
          <w:rFonts w:eastAsia="Times New Roman"/>
        </w:rPr>
      </w:pPr>
      <w:r>
        <w:rPr>
          <w:rFonts w:eastAsia="Times New Roman"/>
          <w:b/>
          <w:bCs/>
          <w:color w:val="000000"/>
          <w:sz w:val="20"/>
          <w:szCs w:val="20"/>
        </w:rPr>
        <w:t>ITEM 2.    UNREGISTERED SALES OF EQUITY SECURITIES AND USE OF PRO</w:t>
      </w:r>
      <w:r>
        <w:rPr>
          <w:rFonts w:eastAsia="Times New Roman"/>
          <w:b/>
          <w:bCs/>
          <w:color w:val="000000"/>
          <w:sz w:val="20"/>
          <w:szCs w:val="20"/>
        </w:rPr>
        <w:t>CEEDS.</w:t>
      </w:r>
      <w:r>
        <w:rPr>
          <w:rFonts w:eastAsia="Times New Roman"/>
          <w:color w:val="000000"/>
          <w:sz w:val="20"/>
          <w:szCs w:val="20"/>
        </w:rPr>
        <w:t> </w:t>
      </w:r>
    </w:p>
    <w:p w:rsidR="00000000" w:rsidRDefault="00E65947">
      <w:pPr>
        <w:jc w:val="both"/>
        <w:rPr>
          <w:rFonts w:eastAsia="Times New Roman"/>
        </w:rPr>
      </w:pPr>
      <w:r>
        <w:rPr>
          <w:rFonts w:eastAsia="Times New Roman"/>
          <w:color w:val="000000"/>
          <w:sz w:val="20"/>
          <w:szCs w:val="20"/>
        </w:rPr>
        <w:t>None.</w:t>
      </w:r>
    </w:p>
    <w:p w:rsidR="00000000" w:rsidRDefault="00E65947">
      <w:pPr>
        <w:jc w:val="both"/>
        <w:rPr>
          <w:rFonts w:eastAsia="Times New Roman"/>
        </w:rPr>
      </w:pPr>
    </w:p>
    <w:p w:rsidR="00000000" w:rsidRDefault="00E65947">
      <w:pPr>
        <w:divId w:val="1343389498"/>
        <w:rPr>
          <w:rFonts w:eastAsia="Times New Roman"/>
        </w:rPr>
      </w:pPr>
      <w:r>
        <w:rPr>
          <w:rFonts w:eastAsia="Times New Roman"/>
          <w:b/>
          <w:bCs/>
          <w:color w:val="000000"/>
          <w:sz w:val="20"/>
          <w:szCs w:val="20"/>
        </w:rPr>
        <w:t>ITEM 3.     DEFAULTS UPON SENIOR SECURITIES. </w:t>
      </w:r>
    </w:p>
    <w:p w:rsidR="00000000" w:rsidRDefault="00E65947">
      <w:pPr>
        <w:divId w:val="79258595"/>
        <w:rPr>
          <w:rFonts w:eastAsia="Times New Roman"/>
        </w:rPr>
      </w:pPr>
      <w:r>
        <w:rPr>
          <w:rFonts w:eastAsia="Times New Roman"/>
          <w:color w:val="000000"/>
          <w:sz w:val="20"/>
          <w:szCs w:val="20"/>
        </w:rPr>
        <w:t>None.</w:t>
      </w:r>
    </w:p>
    <w:p w:rsidR="00000000" w:rsidRDefault="00E65947">
      <w:pPr>
        <w:divId w:val="613220571"/>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rsidR="00000000" w:rsidRDefault="00E65947">
      <w:pPr>
        <w:divId w:val="1693998177"/>
        <w:rPr>
          <w:rFonts w:eastAsia="Times New Roman"/>
        </w:rPr>
      </w:pPr>
      <w:r>
        <w:rPr>
          <w:rFonts w:eastAsia="Times New Roman"/>
          <w:color w:val="000000"/>
          <w:sz w:val="20"/>
          <w:szCs w:val="20"/>
        </w:rPr>
        <w:t>Not applicable.</w:t>
      </w:r>
    </w:p>
    <w:p w:rsidR="00000000" w:rsidRDefault="00E65947">
      <w:pPr>
        <w:divId w:val="440422291"/>
        <w:rPr>
          <w:rFonts w:eastAsia="Times New Roman"/>
        </w:rPr>
      </w:pPr>
      <w:r>
        <w:rPr>
          <w:rFonts w:eastAsia="Times New Roman"/>
          <w:b/>
          <w:bCs/>
          <w:color w:val="000000"/>
          <w:sz w:val="20"/>
          <w:szCs w:val="20"/>
        </w:rPr>
        <w:t>ITEM 5.    OTHER INFORMATION.</w:t>
      </w:r>
      <w:r>
        <w:rPr>
          <w:rFonts w:eastAsia="Times New Roman"/>
          <w:color w:val="000000"/>
          <w:sz w:val="20"/>
          <w:szCs w:val="20"/>
        </w:rPr>
        <w:t> </w:t>
      </w:r>
    </w:p>
    <w:p w:rsidR="00000000" w:rsidRDefault="00E65947">
      <w:pPr>
        <w:divId w:val="1194156034"/>
        <w:rPr>
          <w:rFonts w:eastAsia="Times New Roman"/>
        </w:rPr>
      </w:pPr>
    </w:p>
    <w:p w:rsidR="00000000" w:rsidRDefault="00E65947">
      <w:pPr>
        <w:divId w:val="1489856915"/>
        <w:rPr>
          <w:rFonts w:eastAsia="Times New Roman"/>
        </w:rPr>
      </w:pPr>
      <w:r>
        <w:rPr>
          <w:rFonts w:eastAsia="Times New Roman"/>
          <w:color w:val="000000"/>
          <w:sz w:val="20"/>
          <w:szCs w:val="20"/>
        </w:rPr>
        <w:t>None.</w:t>
      </w:r>
    </w:p>
    <w:p w:rsidR="00000000" w:rsidRDefault="00E65947">
      <w:pPr>
        <w:divId w:val="1278096987"/>
        <w:rPr>
          <w:rFonts w:eastAsia="Times New Roman"/>
        </w:rPr>
      </w:pPr>
    </w:p>
    <w:p w:rsidR="00000000" w:rsidRDefault="00E65947">
      <w:pPr>
        <w:jc w:val="center"/>
        <w:divId w:val="1199124948"/>
        <w:rPr>
          <w:rFonts w:eastAsia="Times New Roman"/>
        </w:rPr>
      </w:pPr>
      <w:r>
        <w:rPr>
          <w:rFonts w:eastAsia="Times New Roman"/>
          <w:color w:val="000000"/>
          <w:sz w:val="20"/>
          <w:szCs w:val="20"/>
        </w:rPr>
        <w:t>- 36 -</w:t>
      </w:r>
    </w:p>
    <w:p w:rsidR="00000000" w:rsidRDefault="00E65947">
      <w:pPr>
        <w:rPr>
          <w:rFonts w:eastAsia="Times New Roman"/>
        </w:rPr>
      </w:pPr>
      <w:r>
        <w:rPr>
          <w:rFonts w:eastAsia="Times New Roman"/>
        </w:rPr>
        <w:pict>
          <v:rect id="_x0000_i1061" style="width:0;height:1.5pt" o:hralign="center" o:hrstd="t" o:hr="t" fillcolor="#a0a0a0" stroked="f"/>
        </w:pict>
      </w:r>
    </w:p>
    <w:p w:rsidR="00000000" w:rsidRDefault="00E65947">
      <w:pPr>
        <w:divId w:val="367460655"/>
        <w:rPr>
          <w:rFonts w:eastAsia="Times New Roman"/>
        </w:rPr>
      </w:pPr>
    </w:p>
    <w:p w:rsidR="00000000" w:rsidRDefault="00E65947">
      <w:pPr>
        <w:divId w:val="451361437"/>
        <w:rPr>
          <w:rFonts w:eastAsia="Times New Roman"/>
        </w:rPr>
      </w:pPr>
      <w:r>
        <w:rPr>
          <w:rFonts w:eastAsia="Times New Roman"/>
          <w:b/>
          <w:bCs/>
          <w:color w:val="000000"/>
          <w:sz w:val="20"/>
          <w:szCs w:val="20"/>
        </w:rPr>
        <w:t>ITEM 6.    EXHIBITS.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7"/>
        <w:gridCol w:w="983"/>
        <w:gridCol w:w="37"/>
        <w:gridCol w:w="36"/>
        <w:gridCol w:w="36"/>
        <w:gridCol w:w="36"/>
        <w:gridCol w:w="58"/>
        <w:gridCol w:w="7017"/>
        <w:gridCol w:w="36"/>
      </w:tblGrid>
      <w:tr w:rsidR="00000000">
        <w:trPr>
          <w:divId w:val="1900701099"/>
        </w:trPr>
        <w:tc>
          <w:tcPr>
            <w:tcW w:w="50" w:type="pct"/>
            <w:vAlign w:val="center"/>
            <w:hideMark/>
          </w:tcPr>
          <w:p w:rsidR="00000000" w:rsidRDefault="00E65947">
            <w:pPr>
              <w:rPr>
                <w:rFonts w:eastAsia="Times New Roman"/>
              </w:rPr>
            </w:pPr>
          </w:p>
        </w:tc>
        <w:tc>
          <w:tcPr>
            <w:tcW w:w="610"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3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423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20"/>
                <w:szCs w:val="20"/>
              </w:rPr>
              <w:t>Description</w:t>
            </w:r>
          </w:p>
        </w:tc>
      </w:tr>
      <w:tr w:rsidR="00000000">
        <w:trPr>
          <w:divId w:val="1900701099"/>
        </w:trPr>
        <w:tc>
          <w:tcPr>
            <w:tcW w:w="0" w:type="auto"/>
            <w:gridSpan w:val="3"/>
            <w:tcBorders>
              <w:top w:val="single" w:sz="8" w:space="0" w:color="000000"/>
            </w:tcBorders>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divId w:val="764036484"/>
              <w:rPr>
                <w:rFonts w:eastAsia="Times New Roman"/>
              </w:rPr>
            </w:pPr>
            <w:hyperlink r:id="rId4" w:history="1">
              <w:r>
                <w:rPr>
                  <w:rStyle w:val="a3"/>
                  <w:rFonts w:eastAsia="Times New Roman"/>
                  <w:sz w:val="20"/>
                  <w:szCs w:val="20"/>
                </w:rPr>
                <w:t>Certification of the Principal Executive Officer pursuant to Rule 13a-14(a) and Rule 15d-14(a) promulgated under the Exchange Act</w:t>
              </w:r>
            </w:hyperlink>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divId w:val="147134709"/>
              <w:rPr>
                <w:rFonts w:eastAsia="Times New Roman"/>
              </w:rPr>
            </w:pPr>
            <w:hyperlink r:id="rId5" w:history="1">
              <w:r>
                <w:rPr>
                  <w:rStyle w:val="a3"/>
                  <w:rFonts w:eastAsia="Times New Roman"/>
                  <w:sz w:val="20"/>
                  <w:szCs w:val="20"/>
                </w:rPr>
                <w:t>Certification of the Principal Financial Officer pursuant to Rule 13a-14(a) and Rule 15d-14(a) promulgated under the Exchange Act</w:t>
              </w:r>
            </w:hyperlink>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divId w:val="160051603"/>
              <w:rPr>
                <w:rFonts w:eastAsia="Times New Roman"/>
              </w:rPr>
            </w:pPr>
            <w:hyperlink r:id="rId6" w:history="1">
              <w:r>
                <w:rPr>
                  <w:rStyle w:val="a3"/>
                  <w:rFonts w:eastAsia="Times New Roman"/>
                  <w:sz w:val="20"/>
                  <w:szCs w:val="20"/>
                </w:rPr>
                <w:t>Certification of the Principal Executive Officer pursuant to 18 U.S.C. Section 1350, as adopted pursuant to Section 906 of the Sarbanes-Oxley Act of 2002</w:t>
              </w:r>
            </w:hyperlink>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divId w:val="1935437902"/>
              <w:rPr>
                <w:rFonts w:eastAsia="Times New Roman"/>
              </w:rPr>
            </w:pPr>
            <w:hyperlink r:id="rId7" w:history="1">
              <w:r>
                <w:rPr>
                  <w:rStyle w:val="a3"/>
                  <w:rFonts w:eastAsia="Times New Roman"/>
                  <w:sz w:val="20"/>
                  <w:szCs w:val="20"/>
                </w:rPr>
                <w:t>Certification of the Principal Financial Officer pursuant to 18 U.S.C. Section 1350, as adopted pursuant to Section 906 of the Sarbanes-Oxley Act of 2002</w:t>
              </w:r>
            </w:hyperlink>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Inline XBRL Taxonomy Extension Schema Document</w:t>
            </w:r>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xml:space="preserve">Inline XBRL Taxonomy </w:t>
            </w:r>
            <w:r>
              <w:rPr>
                <w:rFonts w:eastAsia="Times New Roman"/>
                <w:color w:val="000000"/>
                <w:sz w:val="20"/>
                <w:szCs w:val="20"/>
              </w:rPr>
              <w:t>Extension Calculation Linkbase Document</w:t>
            </w:r>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Inline XBRL Taxonomy Extension Definition Linkbase Document</w:t>
            </w:r>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Inline XBRL Taxonomy Extension Label Linkbase Document</w:t>
            </w:r>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Inline XBRL Taxonomy Extension Presentation Linkbase Document</w:t>
            </w:r>
          </w:p>
        </w:tc>
      </w:tr>
      <w:tr w:rsidR="00000000">
        <w:trPr>
          <w:divId w:val="1900701099"/>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Cover Page Interactive Data File (formatted as inline XBRL with applicable taxonomy extension information contained in Exhibits 101.*) (filed herewith)</w:t>
            </w:r>
          </w:p>
        </w:tc>
      </w:tr>
    </w:tbl>
    <w:p w:rsidR="00000000" w:rsidRDefault="00E65947">
      <w:pPr>
        <w:divId w:val="1787191409"/>
        <w:rPr>
          <w:rFonts w:eastAsia="Times New Roman"/>
        </w:rPr>
      </w:pPr>
      <w:r>
        <w:rPr>
          <w:rFonts w:eastAsia="Times New Roman"/>
          <w:color w:val="000000"/>
          <w:sz w:val="20"/>
          <w:szCs w:val="20"/>
        </w:rPr>
        <w:t>______________________ </w:t>
      </w:r>
    </w:p>
    <w:p w:rsidR="00000000" w:rsidRDefault="00E65947">
      <w:pPr>
        <w:divId w:val="1703701738"/>
        <w:rPr>
          <w:rFonts w:eastAsia="Times New Roman"/>
        </w:rPr>
      </w:pPr>
      <w:r>
        <w:rPr>
          <w:rFonts w:eastAsia="Times New Roman"/>
          <w:color w:val="000000"/>
          <w:sz w:val="20"/>
          <w:szCs w:val="20"/>
        </w:rPr>
        <w:t>*    Filed herewith. </w:t>
      </w:r>
    </w:p>
    <w:p w:rsidR="00000000" w:rsidRDefault="00E65947">
      <w:pPr>
        <w:divId w:val="1851023616"/>
        <w:rPr>
          <w:rFonts w:eastAsia="Times New Roman"/>
        </w:rPr>
      </w:pPr>
      <w:r>
        <w:rPr>
          <w:rFonts w:eastAsia="Times New Roman"/>
          <w:color w:val="000000"/>
          <w:sz w:val="20"/>
          <w:szCs w:val="20"/>
        </w:rPr>
        <w:t>**          Furnished herewith. </w:t>
      </w:r>
    </w:p>
    <w:p w:rsidR="00000000" w:rsidRDefault="00E65947">
      <w:pPr>
        <w:divId w:val="1674533718"/>
        <w:rPr>
          <w:rFonts w:eastAsia="Times New Roman"/>
        </w:rPr>
      </w:pPr>
      <w:r>
        <w:rPr>
          <w:rFonts w:eastAsia="Times New Roman"/>
          <w:color w:val="000000"/>
          <w:sz w:val="20"/>
          <w:szCs w:val="20"/>
        </w:rPr>
        <w:t>+          Indicates management contract or compensatory plan or arrangement.</w:t>
      </w:r>
    </w:p>
    <w:p w:rsidR="00000000" w:rsidRDefault="00E65947">
      <w:pPr>
        <w:divId w:val="96684651"/>
        <w:rPr>
          <w:rFonts w:eastAsia="Times New Roman"/>
        </w:rPr>
      </w:pPr>
    </w:p>
    <w:p w:rsidR="00000000" w:rsidRDefault="00E65947">
      <w:pPr>
        <w:divId w:val="30804768"/>
        <w:rPr>
          <w:rFonts w:eastAsia="Times New Roman"/>
        </w:rPr>
      </w:pPr>
      <w:r>
        <w:rPr>
          <w:rFonts w:eastAsia="Times New Roman"/>
          <w:b/>
          <w:bCs/>
          <w:color w:val="000000"/>
          <w:sz w:val="20"/>
          <w:szCs w:val="20"/>
        </w:rPr>
        <w:t>SIGNATURES</w:t>
      </w:r>
      <w:r>
        <w:rPr>
          <w:rFonts w:eastAsia="Times New Roman"/>
          <w:color w:val="000000"/>
          <w:sz w:val="20"/>
          <w:szCs w:val="20"/>
        </w:rPr>
        <w:t> </w:t>
      </w:r>
    </w:p>
    <w:p w:rsidR="00000000" w:rsidRDefault="00E65947">
      <w:pPr>
        <w:jc w:val="both"/>
        <w:divId w:val="1669753506"/>
        <w:rPr>
          <w:rFonts w:eastAsia="Times New Roman"/>
        </w:rPr>
      </w:pPr>
      <w:r>
        <w:rPr>
          <w:rFonts w:eastAsia="Times New Roman"/>
          <w:color w:val="000000"/>
          <w:sz w:val="20"/>
          <w:szCs w:val="20"/>
        </w:rPr>
        <w:t>Pursuant to the requirements of the Securities Exchange Act of 1934, the registrant h</w:t>
      </w:r>
      <w:r>
        <w:rPr>
          <w:rFonts w:eastAsia="Times New Roman"/>
          <w:color w:val="000000"/>
          <w:sz w:val="20"/>
          <w:szCs w:val="20"/>
        </w:rPr>
        <w:t>as duly caused this report to be signed on its behalf by the undersigned thereunto duly authorized. </w:t>
      </w:r>
    </w:p>
    <w:tbl>
      <w:tblPr>
        <w:tblW w:w="4963" w:type="pct"/>
        <w:jc w:val="center"/>
        <w:tblCellMar>
          <w:top w:w="15" w:type="dxa"/>
          <w:left w:w="15" w:type="dxa"/>
          <w:bottom w:w="15" w:type="dxa"/>
          <w:right w:w="15" w:type="dxa"/>
        </w:tblCellMar>
        <w:tblLook w:val="04A0" w:firstRow="1" w:lastRow="0" w:firstColumn="1" w:lastColumn="0" w:noHBand="0" w:noVBand="1"/>
      </w:tblPr>
      <w:tblGrid>
        <w:gridCol w:w="67"/>
        <w:gridCol w:w="3357"/>
        <w:gridCol w:w="36"/>
        <w:gridCol w:w="68"/>
        <w:gridCol w:w="344"/>
        <w:gridCol w:w="38"/>
        <w:gridCol w:w="68"/>
        <w:gridCol w:w="4231"/>
        <w:gridCol w:w="36"/>
      </w:tblGrid>
      <w:tr w:rsidR="00000000">
        <w:trPr>
          <w:divId w:val="1706904045"/>
          <w:jc w:val="center"/>
        </w:trPr>
        <w:tc>
          <w:tcPr>
            <w:tcW w:w="50" w:type="pct"/>
            <w:vAlign w:val="center"/>
            <w:hideMark/>
          </w:tcPr>
          <w:p w:rsidR="00000000" w:rsidRDefault="00E65947">
            <w:pPr>
              <w:jc w:val="both"/>
              <w:rPr>
                <w:rFonts w:eastAsia="Times New Roman"/>
              </w:rPr>
            </w:pPr>
          </w:p>
        </w:tc>
        <w:tc>
          <w:tcPr>
            <w:tcW w:w="204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217"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257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rPr>
          <w:divId w:val="1706904045"/>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b/>
                <w:bCs/>
                <w:color w:val="000000"/>
                <w:sz w:val="20"/>
                <w:szCs w:val="20"/>
              </w:rPr>
              <w:t>AVADEL PHARMACEUTICALS PLC</w:t>
            </w:r>
          </w:p>
        </w:tc>
      </w:tr>
      <w:tr w:rsidR="00000000">
        <w:trPr>
          <w:divId w:val="1706904045"/>
          <w:jc w:val="center"/>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(Registrant)</w:t>
            </w:r>
          </w:p>
        </w:tc>
      </w:tr>
      <w:tr w:rsidR="00000000">
        <w:trPr>
          <w:divId w:val="1706904045"/>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r>
      <w:tr w:rsidR="00000000">
        <w:trPr>
          <w:divId w:val="1706904045"/>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Date: August 9, 2021</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/s/ Gregory J. Divis</w:t>
            </w:r>
          </w:p>
        </w:tc>
      </w:tr>
      <w:tr w:rsidR="00000000">
        <w:trPr>
          <w:divId w:val="1706904045"/>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Gregory J. Divis</w:t>
            </w:r>
          </w:p>
        </w:tc>
      </w:tr>
      <w:tr w:rsidR="00000000">
        <w:trPr>
          <w:divId w:val="1706904045"/>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i/>
                <w:iCs/>
                <w:color w:val="000000"/>
                <w:sz w:val="20"/>
                <w:szCs w:val="20"/>
              </w:rPr>
              <w:t>Chief Executive Officer</w:t>
            </w:r>
          </w:p>
        </w:tc>
      </w:tr>
      <w:tr w:rsidR="00000000">
        <w:trPr>
          <w:divId w:val="1706904045"/>
          <w:jc w:val="center"/>
        </w:trPr>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divId w:val="1947036988"/>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Executive Officer)</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393"/>
        <w:gridCol w:w="144"/>
        <w:gridCol w:w="144"/>
        <w:gridCol w:w="356"/>
        <w:gridCol w:w="144"/>
        <w:gridCol w:w="144"/>
        <w:gridCol w:w="4267"/>
        <w:gridCol w:w="144"/>
      </w:tblGrid>
      <w:tr w:rsidR="00000000">
        <w:tc>
          <w:tcPr>
            <w:tcW w:w="50" w:type="pct"/>
            <w:vAlign w:val="center"/>
            <w:hideMark/>
          </w:tcPr>
          <w:p w:rsidR="00000000" w:rsidRDefault="00E65947">
            <w:pPr>
              <w:jc w:val="center"/>
              <w:rPr>
                <w:rFonts w:eastAsia="Times New Roman"/>
              </w:rPr>
            </w:pPr>
          </w:p>
        </w:tc>
        <w:tc>
          <w:tcPr>
            <w:tcW w:w="2046"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215"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c>
          <w:tcPr>
            <w:tcW w:w="50" w:type="pct"/>
            <w:vAlign w:val="center"/>
            <w:hideMark/>
          </w:tcPr>
          <w:p w:rsidR="00000000" w:rsidRDefault="00E65947">
            <w:pPr>
              <w:spacing w:after="100"/>
              <w:rPr>
                <w:rFonts w:eastAsia="Times New Roman"/>
                <w:sz w:val="20"/>
                <w:szCs w:val="20"/>
              </w:rPr>
            </w:pPr>
          </w:p>
        </w:tc>
        <w:tc>
          <w:tcPr>
            <w:tcW w:w="2573" w:type="pct"/>
            <w:vAlign w:val="center"/>
            <w:hideMark/>
          </w:tcPr>
          <w:p w:rsidR="00000000" w:rsidRDefault="00E65947">
            <w:pPr>
              <w:spacing w:after="100"/>
              <w:rPr>
                <w:rFonts w:eastAsia="Times New Roman"/>
                <w:sz w:val="20"/>
                <w:szCs w:val="20"/>
              </w:rPr>
            </w:pPr>
          </w:p>
        </w:tc>
        <w:tc>
          <w:tcPr>
            <w:tcW w:w="5" w:type="pct"/>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6"/>
            <w:tcMar>
              <w:top w:w="0" w:type="dxa"/>
              <w:left w:w="20" w:type="dxa"/>
              <w:bottom w:w="0" w:type="dxa"/>
              <w:right w:w="20" w:type="dxa"/>
            </w:tcMar>
            <w:vAlign w:val="center"/>
            <w:hideMark/>
          </w:tcPr>
          <w:p w:rsidR="00000000" w:rsidRDefault="00E65947">
            <w:pPr>
              <w:spacing w:after="100"/>
              <w:rPr>
                <w:rFonts w:eastAsia="Times New Roman"/>
              </w:rPr>
            </w:pPr>
          </w:p>
        </w:tc>
      </w:tr>
      <w:tr w:rsidR="00000000">
        <w:trPr>
          <w:trHeight w:val="300"/>
        </w:trPr>
        <w:tc>
          <w:tcPr>
            <w:tcW w:w="0" w:type="auto"/>
            <w:gridSpan w:val="3"/>
            <w:tcMar>
              <w:top w:w="0" w:type="dxa"/>
              <w:left w:w="20" w:type="dxa"/>
              <w:bottom w:w="0" w:type="dxa"/>
              <w:right w:w="20" w:type="dxa"/>
            </w:tcMar>
            <w:vAlign w:val="center"/>
            <w:hideMark/>
          </w:tcPr>
          <w:p w:rsidR="00000000" w:rsidRDefault="00E65947">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E6594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Date: August 9, 2021</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/s/ Thomas S. McHugh</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Thomas S. McHugh</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i/>
                <w:iCs/>
                <w:color w:val="000000"/>
                <w:sz w:val="20"/>
                <w:szCs w:val="20"/>
              </w:rPr>
              <w:t>Senior Vice President and Chief Financial Officer</w:t>
            </w:r>
          </w:p>
        </w:tc>
      </w:tr>
      <w:tr w:rsidR="00000000">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E65947">
            <w:pPr>
              <w:spacing w:after="100"/>
              <w:divId w:val="517350077"/>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Financial and Accounting Officer)</w:t>
            </w:r>
          </w:p>
        </w:tc>
      </w:tr>
    </w:tbl>
    <w:p w:rsidR="00000000" w:rsidRDefault="00E65947">
      <w:pPr>
        <w:ind w:firstLine="720"/>
        <w:divId w:val="1091781052"/>
        <w:rPr>
          <w:rFonts w:eastAsia="Times New Roman"/>
        </w:rPr>
      </w:pPr>
      <w:r>
        <w:rPr>
          <w:rFonts w:eastAsia="Times New Roman"/>
          <w:color w:val="000000"/>
          <w:sz w:val="20"/>
          <w:szCs w:val="20"/>
        </w:rPr>
        <w:t> </w:t>
      </w:r>
    </w:p>
    <w:p w:rsidR="00000000" w:rsidRDefault="00E65947">
      <w:pPr>
        <w:divId w:val="1493715452"/>
        <w:rPr>
          <w:rFonts w:eastAsia="Times New Roman"/>
        </w:rPr>
      </w:pPr>
    </w:p>
    <w:p w:rsidR="00E65947" w:rsidRDefault="00E65947">
      <w:pPr>
        <w:jc w:val="center"/>
        <w:divId w:val="1873882836"/>
        <w:rPr>
          <w:rFonts w:eastAsia="Times New Roman"/>
        </w:rPr>
      </w:pPr>
      <w:r>
        <w:rPr>
          <w:rFonts w:eastAsia="Times New Roman"/>
          <w:color w:val="000000"/>
          <w:sz w:val="20"/>
          <w:szCs w:val="20"/>
        </w:rPr>
        <w:t>- 37 -</w:t>
      </w:r>
    </w:p>
    <w:sectPr w:rsidR="00E6594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5947"/>
    <w:rsid w:val="00E65947"/>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www.xbrl.org/2003/instance"/>
  <w:attachedSchema w:val="http://xbrl.sec.gov/dei/2021"/>
  <w:attachedSchema w:val="http://xbrl.sec.gov/exch/2021"/>
  <w:attachedSchema w:val="http://www.w3.org/1999/xlink"/>
  <w:attachedSchema w:val="http://www.avadel.com/20210630"/>
  <w:attachedSchema w:val="http://xbrl.org/2006/xbrldi"/>
  <w:attachedSchema w:val="http://fasb.org/srt/2021-01-31"/>
  <w:attachedSchema w:val="http://www.xbrl.org/2013/inlineXBRL"/>
  <w:attachedSchema w:val="http://www.xbrl.org/inlineXBRL/transformation/2015-02-26"/>
  <w:attachedSchema w:val="http://www.xbrl.org/2003/linkbase"/>
  <w:attachedSchema w:val="http://fasb.org/us-gaap/2021-01-31"/>
  <w:attachedSchema w:val="http://www.sec.gov/inlineXBRL/transformation/2015-08-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785">
      <w:marLeft w:val="0"/>
      <w:marRight w:val="0"/>
      <w:marTop w:val="0"/>
      <w:marBottom w:val="180"/>
      <w:divBdr>
        <w:top w:val="none" w:sz="0" w:space="0" w:color="auto"/>
        <w:left w:val="none" w:sz="0" w:space="0" w:color="auto"/>
        <w:bottom w:val="none" w:sz="0" w:space="0" w:color="auto"/>
        <w:right w:val="none" w:sz="0" w:space="0" w:color="auto"/>
      </w:divBdr>
    </w:div>
    <w:div w:id="25448835">
      <w:marLeft w:val="0"/>
      <w:marRight w:val="0"/>
      <w:marTop w:val="0"/>
      <w:marBottom w:val="0"/>
      <w:divBdr>
        <w:top w:val="none" w:sz="0" w:space="0" w:color="auto"/>
        <w:left w:val="none" w:sz="0" w:space="0" w:color="auto"/>
        <w:bottom w:val="none" w:sz="0" w:space="0" w:color="auto"/>
        <w:right w:val="none" w:sz="0" w:space="0" w:color="auto"/>
      </w:divBdr>
      <w:divsChild>
        <w:div w:id="1590501258">
          <w:marLeft w:val="0"/>
          <w:marRight w:val="0"/>
          <w:marTop w:val="0"/>
          <w:marBottom w:val="0"/>
          <w:divBdr>
            <w:top w:val="none" w:sz="0" w:space="0" w:color="auto"/>
            <w:left w:val="none" w:sz="0" w:space="0" w:color="auto"/>
            <w:bottom w:val="none" w:sz="0" w:space="0" w:color="auto"/>
            <w:right w:val="none" w:sz="0" w:space="0" w:color="auto"/>
          </w:divBdr>
        </w:div>
      </w:divsChild>
    </w:div>
    <w:div w:id="30804768">
      <w:marLeft w:val="0"/>
      <w:marRight w:val="0"/>
      <w:marTop w:val="0"/>
      <w:marBottom w:val="180"/>
      <w:divBdr>
        <w:top w:val="none" w:sz="0" w:space="0" w:color="auto"/>
        <w:left w:val="none" w:sz="0" w:space="0" w:color="auto"/>
        <w:bottom w:val="none" w:sz="0" w:space="0" w:color="auto"/>
        <w:right w:val="none" w:sz="0" w:space="0" w:color="auto"/>
      </w:divBdr>
    </w:div>
    <w:div w:id="31539753">
      <w:marLeft w:val="0"/>
      <w:marRight w:val="0"/>
      <w:marTop w:val="0"/>
      <w:marBottom w:val="0"/>
      <w:divBdr>
        <w:top w:val="none" w:sz="0" w:space="0" w:color="auto"/>
        <w:left w:val="none" w:sz="0" w:space="0" w:color="auto"/>
        <w:bottom w:val="none" w:sz="0" w:space="0" w:color="auto"/>
        <w:right w:val="none" w:sz="0" w:space="0" w:color="auto"/>
      </w:divBdr>
    </w:div>
    <w:div w:id="36010122">
      <w:marLeft w:val="0"/>
      <w:marRight w:val="0"/>
      <w:marTop w:val="0"/>
      <w:marBottom w:val="0"/>
      <w:divBdr>
        <w:top w:val="none" w:sz="0" w:space="0" w:color="auto"/>
        <w:left w:val="none" w:sz="0" w:space="0" w:color="auto"/>
        <w:bottom w:val="none" w:sz="0" w:space="0" w:color="auto"/>
        <w:right w:val="none" w:sz="0" w:space="0" w:color="auto"/>
      </w:divBdr>
      <w:divsChild>
        <w:div w:id="1264532274">
          <w:marLeft w:val="0"/>
          <w:marRight w:val="0"/>
          <w:marTop w:val="0"/>
          <w:marBottom w:val="0"/>
          <w:divBdr>
            <w:top w:val="none" w:sz="0" w:space="0" w:color="auto"/>
            <w:left w:val="none" w:sz="0" w:space="0" w:color="auto"/>
            <w:bottom w:val="none" w:sz="0" w:space="0" w:color="auto"/>
            <w:right w:val="none" w:sz="0" w:space="0" w:color="auto"/>
          </w:divBdr>
        </w:div>
      </w:divsChild>
    </w:div>
    <w:div w:id="42218171">
      <w:marLeft w:val="0"/>
      <w:marRight w:val="0"/>
      <w:marTop w:val="0"/>
      <w:marBottom w:val="0"/>
      <w:divBdr>
        <w:top w:val="none" w:sz="0" w:space="0" w:color="auto"/>
        <w:left w:val="none" w:sz="0" w:space="0" w:color="auto"/>
        <w:bottom w:val="none" w:sz="0" w:space="0" w:color="auto"/>
        <w:right w:val="none" w:sz="0" w:space="0" w:color="auto"/>
      </w:divBdr>
    </w:div>
    <w:div w:id="45881120">
      <w:marLeft w:val="0"/>
      <w:marRight w:val="0"/>
      <w:marTop w:val="0"/>
      <w:marBottom w:val="0"/>
      <w:divBdr>
        <w:top w:val="none" w:sz="0" w:space="0" w:color="auto"/>
        <w:left w:val="none" w:sz="0" w:space="0" w:color="auto"/>
        <w:bottom w:val="none" w:sz="0" w:space="0" w:color="auto"/>
        <w:right w:val="none" w:sz="0" w:space="0" w:color="auto"/>
      </w:divBdr>
    </w:div>
    <w:div w:id="55663425">
      <w:marLeft w:val="0"/>
      <w:marRight w:val="0"/>
      <w:marTop w:val="0"/>
      <w:marBottom w:val="0"/>
      <w:divBdr>
        <w:top w:val="none" w:sz="0" w:space="0" w:color="auto"/>
        <w:left w:val="none" w:sz="0" w:space="0" w:color="auto"/>
        <w:bottom w:val="none" w:sz="0" w:space="0" w:color="auto"/>
        <w:right w:val="none" w:sz="0" w:space="0" w:color="auto"/>
      </w:divBdr>
    </w:div>
    <w:div w:id="57096441">
      <w:marLeft w:val="0"/>
      <w:marRight w:val="0"/>
      <w:marTop w:val="180"/>
      <w:marBottom w:val="0"/>
      <w:divBdr>
        <w:top w:val="none" w:sz="0" w:space="0" w:color="auto"/>
        <w:left w:val="none" w:sz="0" w:space="0" w:color="auto"/>
        <w:bottom w:val="none" w:sz="0" w:space="0" w:color="auto"/>
        <w:right w:val="none" w:sz="0" w:space="0" w:color="auto"/>
      </w:divBdr>
    </w:div>
    <w:div w:id="68966922">
      <w:marLeft w:val="0"/>
      <w:marRight w:val="0"/>
      <w:marTop w:val="0"/>
      <w:marBottom w:val="180"/>
      <w:divBdr>
        <w:top w:val="none" w:sz="0" w:space="0" w:color="auto"/>
        <w:left w:val="none" w:sz="0" w:space="0" w:color="auto"/>
        <w:bottom w:val="none" w:sz="0" w:space="0" w:color="auto"/>
        <w:right w:val="none" w:sz="0" w:space="0" w:color="auto"/>
      </w:divBdr>
    </w:div>
    <w:div w:id="74714597">
      <w:marLeft w:val="0"/>
      <w:marRight w:val="0"/>
      <w:marTop w:val="0"/>
      <w:marBottom w:val="0"/>
      <w:divBdr>
        <w:top w:val="none" w:sz="0" w:space="0" w:color="auto"/>
        <w:left w:val="none" w:sz="0" w:space="0" w:color="auto"/>
        <w:bottom w:val="none" w:sz="0" w:space="0" w:color="auto"/>
        <w:right w:val="none" w:sz="0" w:space="0" w:color="auto"/>
      </w:divBdr>
    </w:div>
    <w:div w:id="79258595">
      <w:marLeft w:val="0"/>
      <w:marRight w:val="0"/>
      <w:marTop w:val="0"/>
      <w:marBottom w:val="180"/>
      <w:divBdr>
        <w:top w:val="none" w:sz="0" w:space="0" w:color="auto"/>
        <w:left w:val="none" w:sz="0" w:space="0" w:color="auto"/>
        <w:bottom w:val="none" w:sz="0" w:space="0" w:color="auto"/>
        <w:right w:val="none" w:sz="0" w:space="0" w:color="auto"/>
      </w:divBdr>
    </w:div>
    <w:div w:id="81267064">
      <w:marLeft w:val="0"/>
      <w:marRight w:val="0"/>
      <w:marTop w:val="0"/>
      <w:marBottom w:val="180"/>
      <w:divBdr>
        <w:top w:val="none" w:sz="0" w:space="0" w:color="auto"/>
        <w:left w:val="none" w:sz="0" w:space="0" w:color="auto"/>
        <w:bottom w:val="none" w:sz="0" w:space="0" w:color="auto"/>
        <w:right w:val="none" w:sz="0" w:space="0" w:color="auto"/>
      </w:divBdr>
    </w:div>
    <w:div w:id="86657345">
      <w:marLeft w:val="0"/>
      <w:marRight w:val="0"/>
      <w:marTop w:val="0"/>
      <w:marBottom w:val="180"/>
      <w:divBdr>
        <w:top w:val="none" w:sz="0" w:space="0" w:color="auto"/>
        <w:left w:val="none" w:sz="0" w:space="0" w:color="auto"/>
        <w:bottom w:val="none" w:sz="0" w:space="0" w:color="auto"/>
        <w:right w:val="none" w:sz="0" w:space="0" w:color="auto"/>
      </w:divBdr>
    </w:div>
    <w:div w:id="93407649">
      <w:marLeft w:val="0"/>
      <w:marRight w:val="0"/>
      <w:marTop w:val="0"/>
      <w:marBottom w:val="0"/>
      <w:divBdr>
        <w:top w:val="none" w:sz="0" w:space="0" w:color="auto"/>
        <w:left w:val="none" w:sz="0" w:space="0" w:color="auto"/>
        <w:bottom w:val="none" w:sz="0" w:space="0" w:color="auto"/>
        <w:right w:val="none" w:sz="0" w:space="0" w:color="auto"/>
      </w:divBdr>
    </w:div>
    <w:div w:id="96684651">
      <w:marLeft w:val="0"/>
      <w:marRight w:val="0"/>
      <w:marTop w:val="0"/>
      <w:marBottom w:val="180"/>
      <w:divBdr>
        <w:top w:val="none" w:sz="0" w:space="0" w:color="auto"/>
        <w:left w:val="none" w:sz="0" w:space="0" w:color="auto"/>
        <w:bottom w:val="none" w:sz="0" w:space="0" w:color="auto"/>
        <w:right w:val="none" w:sz="0" w:space="0" w:color="auto"/>
      </w:divBdr>
    </w:div>
    <w:div w:id="100494489">
      <w:marLeft w:val="0"/>
      <w:marRight w:val="0"/>
      <w:marTop w:val="0"/>
      <w:marBottom w:val="0"/>
      <w:divBdr>
        <w:top w:val="none" w:sz="0" w:space="0" w:color="auto"/>
        <w:left w:val="none" w:sz="0" w:space="0" w:color="auto"/>
        <w:bottom w:val="none" w:sz="0" w:space="0" w:color="auto"/>
        <w:right w:val="none" w:sz="0" w:space="0" w:color="auto"/>
      </w:divBdr>
    </w:div>
    <w:div w:id="120999271">
      <w:marLeft w:val="0"/>
      <w:marRight w:val="0"/>
      <w:marTop w:val="0"/>
      <w:marBottom w:val="0"/>
      <w:divBdr>
        <w:top w:val="none" w:sz="0" w:space="0" w:color="auto"/>
        <w:left w:val="none" w:sz="0" w:space="0" w:color="auto"/>
        <w:bottom w:val="none" w:sz="0" w:space="0" w:color="auto"/>
        <w:right w:val="none" w:sz="0" w:space="0" w:color="auto"/>
      </w:divBdr>
      <w:divsChild>
        <w:div w:id="1632709812">
          <w:marLeft w:val="0"/>
          <w:marRight w:val="0"/>
          <w:marTop w:val="0"/>
          <w:marBottom w:val="0"/>
          <w:divBdr>
            <w:top w:val="none" w:sz="0" w:space="0" w:color="auto"/>
            <w:left w:val="none" w:sz="0" w:space="0" w:color="auto"/>
            <w:bottom w:val="none" w:sz="0" w:space="0" w:color="auto"/>
            <w:right w:val="none" w:sz="0" w:space="0" w:color="auto"/>
          </w:divBdr>
        </w:div>
      </w:divsChild>
    </w:div>
    <w:div w:id="122844858">
      <w:marLeft w:val="0"/>
      <w:marRight w:val="0"/>
      <w:marTop w:val="0"/>
      <w:marBottom w:val="180"/>
      <w:divBdr>
        <w:top w:val="none" w:sz="0" w:space="0" w:color="auto"/>
        <w:left w:val="none" w:sz="0" w:space="0" w:color="auto"/>
        <w:bottom w:val="none" w:sz="0" w:space="0" w:color="auto"/>
        <w:right w:val="none" w:sz="0" w:space="0" w:color="auto"/>
      </w:divBdr>
    </w:div>
    <w:div w:id="126820521">
      <w:marLeft w:val="0"/>
      <w:marRight w:val="0"/>
      <w:marTop w:val="0"/>
      <w:marBottom w:val="180"/>
      <w:divBdr>
        <w:top w:val="none" w:sz="0" w:space="0" w:color="auto"/>
        <w:left w:val="none" w:sz="0" w:space="0" w:color="auto"/>
        <w:bottom w:val="none" w:sz="0" w:space="0" w:color="auto"/>
        <w:right w:val="none" w:sz="0" w:space="0" w:color="auto"/>
      </w:divBdr>
    </w:div>
    <w:div w:id="127283300">
      <w:marLeft w:val="0"/>
      <w:marRight w:val="0"/>
      <w:marTop w:val="0"/>
      <w:marBottom w:val="0"/>
      <w:divBdr>
        <w:top w:val="none" w:sz="0" w:space="0" w:color="auto"/>
        <w:left w:val="none" w:sz="0" w:space="0" w:color="auto"/>
        <w:bottom w:val="none" w:sz="0" w:space="0" w:color="auto"/>
        <w:right w:val="none" w:sz="0" w:space="0" w:color="auto"/>
      </w:divBdr>
      <w:divsChild>
        <w:div w:id="1652364486">
          <w:marLeft w:val="0"/>
          <w:marRight w:val="0"/>
          <w:marTop w:val="0"/>
          <w:marBottom w:val="0"/>
          <w:divBdr>
            <w:top w:val="none" w:sz="0" w:space="0" w:color="auto"/>
            <w:left w:val="none" w:sz="0" w:space="0" w:color="auto"/>
            <w:bottom w:val="none" w:sz="0" w:space="0" w:color="auto"/>
            <w:right w:val="none" w:sz="0" w:space="0" w:color="auto"/>
          </w:divBdr>
        </w:div>
      </w:divsChild>
    </w:div>
    <w:div w:id="136530789">
      <w:marLeft w:val="0"/>
      <w:marRight w:val="0"/>
      <w:marTop w:val="0"/>
      <w:marBottom w:val="180"/>
      <w:divBdr>
        <w:top w:val="none" w:sz="0" w:space="0" w:color="auto"/>
        <w:left w:val="none" w:sz="0" w:space="0" w:color="auto"/>
        <w:bottom w:val="none" w:sz="0" w:space="0" w:color="auto"/>
        <w:right w:val="none" w:sz="0" w:space="0" w:color="auto"/>
      </w:divBdr>
    </w:div>
    <w:div w:id="136581071">
      <w:marLeft w:val="0"/>
      <w:marRight w:val="0"/>
      <w:marTop w:val="0"/>
      <w:marBottom w:val="180"/>
      <w:divBdr>
        <w:top w:val="none" w:sz="0" w:space="0" w:color="auto"/>
        <w:left w:val="none" w:sz="0" w:space="0" w:color="auto"/>
        <w:bottom w:val="none" w:sz="0" w:space="0" w:color="auto"/>
        <w:right w:val="none" w:sz="0" w:space="0" w:color="auto"/>
      </w:divBdr>
    </w:div>
    <w:div w:id="141894872">
      <w:marLeft w:val="0"/>
      <w:marRight w:val="0"/>
      <w:marTop w:val="0"/>
      <w:marBottom w:val="0"/>
      <w:divBdr>
        <w:top w:val="none" w:sz="0" w:space="0" w:color="auto"/>
        <w:left w:val="none" w:sz="0" w:space="0" w:color="auto"/>
        <w:bottom w:val="none" w:sz="0" w:space="0" w:color="auto"/>
        <w:right w:val="none" w:sz="0" w:space="0" w:color="auto"/>
      </w:divBdr>
    </w:div>
    <w:div w:id="150340892">
      <w:marLeft w:val="0"/>
      <w:marRight w:val="0"/>
      <w:marTop w:val="0"/>
      <w:marBottom w:val="0"/>
      <w:divBdr>
        <w:top w:val="none" w:sz="0" w:space="0" w:color="auto"/>
        <w:left w:val="none" w:sz="0" w:space="0" w:color="auto"/>
        <w:bottom w:val="none" w:sz="0" w:space="0" w:color="auto"/>
        <w:right w:val="none" w:sz="0" w:space="0" w:color="auto"/>
      </w:divBdr>
      <w:divsChild>
        <w:div w:id="428619960">
          <w:marLeft w:val="0"/>
          <w:marRight w:val="0"/>
          <w:marTop w:val="0"/>
          <w:marBottom w:val="0"/>
          <w:divBdr>
            <w:top w:val="none" w:sz="0" w:space="0" w:color="auto"/>
            <w:left w:val="none" w:sz="0" w:space="0" w:color="auto"/>
            <w:bottom w:val="none" w:sz="0" w:space="0" w:color="auto"/>
            <w:right w:val="none" w:sz="0" w:space="0" w:color="auto"/>
          </w:divBdr>
        </w:div>
      </w:divsChild>
    </w:div>
    <w:div w:id="170029493">
      <w:marLeft w:val="0"/>
      <w:marRight w:val="0"/>
      <w:marTop w:val="0"/>
      <w:marBottom w:val="0"/>
      <w:divBdr>
        <w:top w:val="none" w:sz="0" w:space="0" w:color="auto"/>
        <w:left w:val="none" w:sz="0" w:space="0" w:color="auto"/>
        <w:bottom w:val="none" w:sz="0" w:space="0" w:color="auto"/>
        <w:right w:val="none" w:sz="0" w:space="0" w:color="auto"/>
      </w:divBdr>
    </w:div>
    <w:div w:id="180319889">
      <w:marLeft w:val="0"/>
      <w:marRight w:val="0"/>
      <w:marTop w:val="100"/>
      <w:marBottom w:val="0"/>
      <w:divBdr>
        <w:top w:val="none" w:sz="0" w:space="0" w:color="auto"/>
        <w:left w:val="none" w:sz="0" w:space="0" w:color="auto"/>
        <w:bottom w:val="none" w:sz="0" w:space="0" w:color="auto"/>
        <w:right w:val="none" w:sz="0" w:space="0" w:color="auto"/>
      </w:divBdr>
    </w:div>
    <w:div w:id="180700822">
      <w:marLeft w:val="0"/>
      <w:marRight w:val="0"/>
      <w:marTop w:val="0"/>
      <w:marBottom w:val="0"/>
      <w:divBdr>
        <w:top w:val="none" w:sz="0" w:space="0" w:color="auto"/>
        <w:left w:val="none" w:sz="0" w:space="0" w:color="auto"/>
        <w:bottom w:val="none" w:sz="0" w:space="0" w:color="auto"/>
        <w:right w:val="none" w:sz="0" w:space="0" w:color="auto"/>
      </w:divBdr>
      <w:divsChild>
        <w:div w:id="1549416469">
          <w:marLeft w:val="0"/>
          <w:marRight w:val="0"/>
          <w:marTop w:val="0"/>
          <w:marBottom w:val="0"/>
          <w:divBdr>
            <w:top w:val="none" w:sz="0" w:space="0" w:color="auto"/>
            <w:left w:val="none" w:sz="0" w:space="0" w:color="auto"/>
            <w:bottom w:val="none" w:sz="0" w:space="0" w:color="auto"/>
            <w:right w:val="none" w:sz="0" w:space="0" w:color="auto"/>
          </w:divBdr>
        </w:div>
      </w:divsChild>
    </w:div>
    <w:div w:id="185868076">
      <w:marLeft w:val="0"/>
      <w:marRight w:val="0"/>
      <w:marTop w:val="0"/>
      <w:marBottom w:val="0"/>
      <w:divBdr>
        <w:top w:val="none" w:sz="0" w:space="0" w:color="auto"/>
        <w:left w:val="none" w:sz="0" w:space="0" w:color="auto"/>
        <w:bottom w:val="none" w:sz="0" w:space="0" w:color="auto"/>
        <w:right w:val="none" w:sz="0" w:space="0" w:color="auto"/>
      </w:divBdr>
      <w:divsChild>
        <w:div w:id="100684192">
          <w:marLeft w:val="0"/>
          <w:marRight w:val="0"/>
          <w:marTop w:val="0"/>
          <w:marBottom w:val="0"/>
          <w:divBdr>
            <w:top w:val="none" w:sz="0" w:space="0" w:color="auto"/>
            <w:left w:val="none" w:sz="0" w:space="0" w:color="auto"/>
            <w:bottom w:val="none" w:sz="0" w:space="0" w:color="auto"/>
            <w:right w:val="none" w:sz="0" w:space="0" w:color="auto"/>
          </w:divBdr>
        </w:div>
      </w:divsChild>
    </w:div>
    <w:div w:id="194780749">
      <w:marLeft w:val="0"/>
      <w:marRight w:val="0"/>
      <w:marTop w:val="0"/>
      <w:marBottom w:val="0"/>
      <w:divBdr>
        <w:top w:val="none" w:sz="0" w:space="0" w:color="auto"/>
        <w:left w:val="none" w:sz="0" w:space="0" w:color="auto"/>
        <w:bottom w:val="none" w:sz="0" w:space="0" w:color="auto"/>
        <w:right w:val="none" w:sz="0" w:space="0" w:color="auto"/>
      </w:divBdr>
    </w:div>
    <w:div w:id="208154154">
      <w:marLeft w:val="0"/>
      <w:marRight w:val="0"/>
      <w:marTop w:val="0"/>
      <w:marBottom w:val="0"/>
      <w:divBdr>
        <w:top w:val="none" w:sz="0" w:space="0" w:color="auto"/>
        <w:left w:val="none" w:sz="0" w:space="0" w:color="auto"/>
        <w:bottom w:val="none" w:sz="0" w:space="0" w:color="auto"/>
        <w:right w:val="none" w:sz="0" w:space="0" w:color="auto"/>
      </w:divBdr>
      <w:divsChild>
        <w:div w:id="1482579061">
          <w:marLeft w:val="0"/>
          <w:marRight w:val="0"/>
          <w:marTop w:val="0"/>
          <w:marBottom w:val="0"/>
          <w:divBdr>
            <w:top w:val="none" w:sz="0" w:space="0" w:color="auto"/>
            <w:left w:val="none" w:sz="0" w:space="0" w:color="auto"/>
            <w:bottom w:val="none" w:sz="0" w:space="0" w:color="auto"/>
            <w:right w:val="none" w:sz="0" w:space="0" w:color="auto"/>
          </w:divBdr>
        </w:div>
      </w:divsChild>
    </w:div>
    <w:div w:id="212084421">
      <w:marLeft w:val="0"/>
      <w:marRight w:val="0"/>
      <w:marTop w:val="0"/>
      <w:marBottom w:val="0"/>
      <w:divBdr>
        <w:top w:val="none" w:sz="0" w:space="0" w:color="auto"/>
        <w:left w:val="none" w:sz="0" w:space="0" w:color="auto"/>
        <w:bottom w:val="none" w:sz="0" w:space="0" w:color="auto"/>
        <w:right w:val="none" w:sz="0" w:space="0" w:color="auto"/>
      </w:divBdr>
      <w:divsChild>
        <w:div w:id="246772991">
          <w:marLeft w:val="0"/>
          <w:marRight w:val="0"/>
          <w:marTop w:val="0"/>
          <w:marBottom w:val="0"/>
          <w:divBdr>
            <w:top w:val="none" w:sz="0" w:space="0" w:color="auto"/>
            <w:left w:val="none" w:sz="0" w:space="0" w:color="auto"/>
            <w:bottom w:val="none" w:sz="0" w:space="0" w:color="auto"/>
            <w:right w:val="none" w:sz="0" w:space="0" w:color="auto"/>
          </w:divBdr>
        </w:div>
      </w:divsChild>
    </w:div>
    <w:div w:id="213201481">
      <w:marLeft w:val="0"/>
      <w:marRight w:val="0"/>
      <w:marTop w:val="180"/>
      <w:marBottom w:val="0"/>
      <w:divBdr>
        <w:top w:val="none" w:sz="0" w:space="0" w:color="auto"/>
        <w:left w:val="none" w:sz="0" w:space="0" w:color="auto"/>
        <w:bottom w:val="none" w:sz="0" w:space="0" w:color="auto"/>
        <w:right w:val="none" w:sz="0" w:space="0" w:color="auto"/>
      </w:divBdr>
    </w:div>
    <w:div w:id="214970768">
      <w:marLeft w:val="0"/>
      <w:marRight w:val="0"/>
      <w:marTop w:val="0"/>
      <w:marBottom w:val="20"/>
      <w:divBdr>
        <w:top w:val="none" w:sz="0" w:space="0" w:color="auto"/>
        <w:left w:val="none" w:sz="0" w:space="0" w:color="auto"/>
        <w:bottom w:val="none" w:sz="0" w:space="0" w:color="auto"/>
        <w:right w:val="none" w:sz="0" w:space="0" w:color="auto"/>
      </w:divBdr>
    </w:div>
    <w:div w:id="218444820">
      <w:marLeft w:val="0"/>
      <w:marRight w:val="0"/>
      <w:marTop w:val="0"/>
      <w:marBottom w:val="0"/>
      <w:divBdr>
        <w:top w:val="none" w:sz="0" w:space="0" w:color="auto"/>
        <w:left w:val="none" w:sz="0" w:space="0" w:color="auto"/>
        <w:bottom w:val="none" w:sz="0" w:space="0" w:color="auto"/>
        <w:right w:val="none" w:sz="0" w:space="0" w:color="auto"/>
      </w:divBdr>
    </w:div>
    <w:div w:id="221866455">
      <w:marLeft w:val="0"/>
      <w:marRight w:val="0"/>
      <w:marTop w:val="0"/>
      <w:marBottom w:val="0"/>
      <w:divBdr>
        <w:top w:val="none" w:sz="0" w:space="0" w:color="auto"/>
        <w:left w:val="none" w:sz="0" w:space="0" w:color="auto"/>
        <w:bottom w:val="none" w:sz="0" w:space="0" w:color="auto"/>
        <w:right w:val="none" w:sz="0" w:space="0" w:color="auto"/>
      </w:divBdr>
    </w:div>
    <w:div w:id="230427436">
      <w:marLeft w:val="0"/>
      <w:marRight w:val="0"/>
      <w:marTop w:val="0"/>
      <w:marBottom w:val="0"/>
      <w:divBdr>
        <w:top w:val="none" w:sz="0" w:space="0" w:color="auto"/>
        <w:left w:val="none" w:sz="0" w:space="0" w:color="auto"/>
        <w:bottom w:val="none" w:sz="0" w:space="0" w:color="auto"/>
        <w:right w:val="none" w:sz="0" w:space="0" w:color="auto"/>
      </w:divBdr>
      <w:divsChild>
        <w:div w:id="1078937712">
          <w:marLeft w:val="0"/>
          <w:marRight w:val="0"/>
          <w:marTop w:val="0"/>
          <w:marBottom w:val="0"/>
          <w:divBdr>
            <w:top w:val="none" w:sz="0" w:space="0" w:color="auto"/>
            <w:left w:val="none" w:sz="0" w:space="0" w:color="auto"/>
            <w:bottom w:val="none" w:sz="0" w:space="0" w:color="auto"/>
            <w:right w:val="none" w:sz="0" w:space="0" w:color="auto"/>
          </w:divBdr>
        </w:div>
      </w:divsChild>
    </w:div>
    <w:div w:id="249655107">
      <w:marLeft w:val="0"/>
      <w:marRight w:val="0"/>
      <w:marTop w:val="0"/>
      <w:marBottom w:val="180"/>
      <w:divBdr>
        <w:top w:val="none" w:sz="0" w:space="0" w:color="auto"/>
        <w:left w:val="none" w:sz="0" w:space="0" w:color="auto"/>
        <w:bottom w:val="none" w:sz="0" w:space="0" w:color="auto"/>
        <w:right w:val="none" w:sz="0" w:space="0" w:color="auto"/>
      </w:divBdr>
    </w:div>
    <w:div w:id="253975239">
      <w:marLeft w:val="0"/>
      <w:marRight w:val="0"/>
      <w:marTop w:val="0"/>
      <w:marBottom w:val="180"/>
      <w:divBdr>
        <w:top w:val="none" w:sz="0" w:space="0" w:color="auto"/>
        <w:left w:val="none" w:sz="0" w:space="0" w:color="auto"/>
        <w:bottom w:val="none" w:sz="0" w:space="0" w:color="auto"/>
        <w:right w:val="none" w:sz="0" w:space="0" w:color="auto"/>
      </w:divBdr>
    </w:div>
    <w:div w:id="269165609">
      <w:marLeft w:val="0"/>
      <w:marRight w:val="0"/>
      <w:marTop w:val="0"/>
      <w:marBottom w:val="0"/>
      <w:divBdr>
        <w:top w:val="none" w:sz="0" w:space="0" w:color="auto"/>
        <w:left w:val="none" w:sz="0" w:space="0" w:color="auto"/>
        <w:bottom w:val="none" w:sz="0" w:space="0" w:color="auto"/>
        <w:right w:val="none" w:sz="0" w:space="0" w:color="auto"/>
      </w:divBdr>
      <w:divsChild>
        <w:div w:id="1767116855">
          <w:marLeft w:val="0"/>
          <w:marRight w:val="0"/>
          <w:marTop w:val="0"/>
          <w:marBottom w:val="0"/>
          <w:divBdr>
            <w:top w:val="none" w:sz="0" w:space="0" w:color="auto"/>
            <w:left w:val="none" w:sz="0" w:space="0" w:color="auto"/>
            <w:bottom w:val="none" w:sz="0" w:space="0" w:color="auto"/>
            <w:right w:val="none" w:sz="0" w:space="0" w:color="auto"/>
          </w:divBdr>
        </w:div>
      </w:divsChild>
    </w:div>
    <w:div w:id="271666612">
      <w:marLeft w:val="0"/>
      <w:marRight w:val="0"/>
      <w:marTop w:val="0"/>
      <w:marBottom w:val="0"/>
      <w:divBdr>
        <w:top w:val="none" w:sz="0" w:space="0" w:color="auto"/>
        <w:left w:val="none" w:sz="0" w:space="0" w:color="auto"/>
        <w:bottom w:val="none" w:sz="0" w:space="0" w:color="auto"/>
        <w:right w:val="none" w:sz="0" w:space="0" w:color="auto"/>
      </w:divBdr>
    </w:div>
    <w:div w:id="274682059">
      <w:marLeft w:val="0"/>
      <w:marRight w:val="0"/>
      <w:marTop w:val="0"/>
      <w:marBottom w:val="280"/>
      <w:divBdr>
        <w:top w:val="none" w:sz="0" w:space="0" w:color="auto"/>
        <w:left w:val="none" w:sz="0" w:space="0" w:color="auto"/>
        <w:bottom w:val="none" w:sz="0" w:space="0" w:color="auto"/>
        <w:right w:val="none" w:sz="0" w:space="0" w:color="auto"/>
      </w:divBdr>
    </w:div>
    <w:div w:id="280452987">
      <w:marLeft w:val="0"/>
      <w:marRight w:val="0"/>
      <w:marTop w:val="0"/>
      <w:marBottom w:val="0"/>
      <w:divBdr>
        <w:top w:val="none" w:sz="0" w:space="0" w:color="auto"/>
        <w:left w:val="none" w:sz="0" w:space="0" w:color="auto"/>
        <w:bottom w:val="none" w:sz="0" w:space="0" w:color="auto"/>
        <w:right w:val="none" w:sz="0" w:space="0" w:color="auto"/>
      </w:divBdr>
      <w:divsChild>
        <w:div w:id="1918587627">
          <w:marLeft w:val="0"/>
          <w:marRight w:val="0"/>
          <w:marTop w:val="0"/>
          <w:marBottom w:val="0"/>
          <w:divBdr>
            <w:top w:val="none" w:sz="0" w:space="0" w:color="auto"/>
            <w:left w:val="none" w:sz="0" w:space="0" w:color="auto"/>
            <w:bottom w:val="none" w:sz="0" w:space="0" w:color="auto"/>
            <w:right w:val="none" w:sz="0" w:space="0" w:color="auto"/>
          </w:divBdr>
        </w:div>
      </w:divsChild>
    </w:div>
    <w:div w:id="298151793">
      <w:marLeft w:val="0"/>
      <w:marRight w:val="0"/>
      <w:marTop w:val="0"/>
      <w:marBottom w:val="0"/>
      <w:divBdr>
        <w:top w:val="none" w:sz="0" w:space="0" w:color="auto"/>
        <w:left w:val="none" w:sz="0" w:space="0" w:color="auto"/>
        <w:bottom w:val="none" w:sz="0" w:space="0" w:color="auto"/>
        <w:right w:val="none" w:sz="0" w:space="0" w:color="auto"/>
      </w:divBdr>
    </w:div>
    <w:div w:id="298847751">
      <w:marLeft w:val="0"/>
      <w:marRight w:val="0"/>
      <w:marTop w:val="0"/>
      <w:marBottom w:val="0"/>
      <w:divBdr>
        <w:top w:val="none" w:sz="0" w:space="0" w:color="auto"/>
        <w:left w:val="none" w:sz="0" w:space="0" w:color="auto"/>
        <w:bottom w:val="none" w:sz="0" w:space="0" w:color="auto"/>
        <w:right w:val="none" w:sz="0" w:space="0" w:color="auto"/>
      </w:divBdr>
    </w:div>
    <w:div w:id="302926604">
      <w:marLeft w:val="0"/>
      <w:marRight w:val="0"/>
      <w:marTop w:val="0"/>
      <w:marBottom w:val="0"/>
      <w:divBdr>
        <w:top w:val="none" w:sz="0" w:space="0" w:color="auto"/>
        <w:left w:val="none" w:sz="0" w:space="0" w:color="auto"/>
        <w:bottom w:val="none" w:sz="0" w:space="0" w:color="auto"/>
        <w:right w:val="none" w:sz="0" w:space="0" w:color="auto"/>
      </w:divBdr>
    </w:div>
    <w:div w:id="309947886">
      <w:marLeft w:val="0"/>
      <w:marRight w:val="0"/>
      <w:marTop w:val="0"/>
      <w:marBottom w:val="0"/>
      <w:divBdr>
        <w:top w:val="none" w:sz="0" w:space="0" w:color="auto"/>
        <w:left w:val="none" w:sz="0" w:space="0" w:color="auto"/>
        <w:bottom w:val="none" w:sz="0" w:space="0" w:color="auto"/>
        <w:right w:val="none" w:sz="0" w:space="0" w:color="auto"/>
      </w:divBdr>
    </w:div>
    <w:div w:id="313412910">
      <w:marLeft w:val="0"/>
      <w:marRight w:val="0"/>
      <w:marTop w:val="0"/>
      <w:marBottom w:val="0"/>
      <w:divBdr>
        <w:top w:val="none" w:sz="0" w:space="0" w:color="auto"/>
        <w:left w:val="none" w:sz="0" w:space="0" w:color="auto"/>
        <w:bottom w:val="none" w:sz="0" w:space="0" w:color="auto"/>
        <w:right w:val="none" w:sz="0" w:space="0" w:color="auto"/>
      </w:divBdr>
      <w:divsChild>
        <w:div w:id="1106345413">
          <w:marLeft w:val="0"/>
          <w:marRight w:val="0"/>
          <w:marTop w:val="0"/>
          <w:marBottom w:val="0"/>
          <w:divBdr>
            <w:top w:val="none" w:sz="0" w:space="0" w:color="auto"/>
            <w:left w:val="none" w:sz="0" w:space="0" w:color="auto"/>
            <w:bottom w:val="none" w:sz="0" w:space="0" w:color="auto"/>
            <w:right w:val="none" w:sz="0" w:space="0" w:color="auto"/>
          </w:divBdr>
        </w:div>
      </w:divsChild>
    </w:div>
    <w:div w:id="320502494">
      <w:marLeft w:val="0"/>
      <w:marRight w:val="0"/>
      <w:marTop w:val="0"/>
      <w:marBottom w:val="180"/>
      <w:divBdr>
        <w:top w:val="none" w:sz="0" w:space="0" w:color="auto"/>
        <w:left w:val="none" w:sz="0" w:space="0" w:color="auto"/>
        <w:bottom w:val="none" w:sz="0" w:space="0" w:color="auto"/>
        <w:right w:val="none" w:sz="0" w:space="0" w:color="auto"/>
      </w:divBdr>
    </w:div>
    <w:div w:id="332997397">
      <w:marLeft w:val="0"/>
      <w:marRight w:val="0"/>
      <w:marTop w:val="0"/>
      <w:marBottom w:val="0"/>
      <w:divBdr>
        <w:top w:val="none" w:sz="0" w:space="0" w:color="auto"/>
        <w:left w:val="none" w:sz="0" w:space="0" w:color="auto"/>
        <w:bottom w:val="none" w:sz="0" w:space="0" w:color="auto"/>
        <w:right w:val="none" w:sz="0" w:space="0" w:color="auto"/>
      </w:divBdr>
      <w:divsChild>
        <w:div w:id="155610914">
          <w:marLeft w:val="0"/>
          <w:marRight w:val="0"/>
          <w:marTop w:val="0"/>
          <w:marBottom w:val="0"/>
          <w:divBdr>
            <w:top w:val="none" w:sz="0" w:space="0" w:color="auto"/>
            <w:left w:val="none" w:sz="0" w:space="0" w:color="auto"/>
            <w:bottom w:val="none" w:sz="0" w:space="0" w:color="auto"/>
            <w:right w:val="none" w:sz="0" w:space="0" w:color="auto"/>
          </w:divBdr>
        </w:div>
      </w:divsChild>
    </w:div>
    <w:div w:id="344751067">
      <w:marLeft w:val="0"/>
      <w:marRight w:val="0"/>
      <w:marTop w:val="0"/>
      <w:marBottom w:val="0"/>
      <w:divBdr>
        <w:top w:val="none" w:sz="0" w:space="0" w:color="auto"/>
        <w:left w:val="none" w:sz="0" w:space="0" w:color="auto"/>
        <w:bottom w:val="none" w:sz="0" w:space="0" w:color="auto"/>
        <w:right w:val="none" w:sz="0" w:space="0" w:color="auto"/>
      </w:divBdr>
      <w:divsChild>
        <w:div w:id="1746490895">
          <w:marLeft w:val="0"/>
          <w:marRight w:val="0"/>
          <w:marTop w:val="0"/>
          <w:marBottom w:val="0"/>
          <w:divBdr>
            <w:top w:val="none" w:sz="0" w:space="0" w:color="auto"/>
            <w:left w:val="none" w:sz="0" w:space="0" w:color="auto"/>
            <w:bottom w:val="none" w:sz="0" w:space="0" w:color="auto"/>
            <w:right w:val="none" w:sz="0" w:space="0" w:color="auto"/>
          </w:divBdr>
        </w:div>
      </w:divsChild>
    </w:div>
    <w:div w:id="348141559">
      <w:marLeft w:val="0"/>
      <w:marRight w:val="0"/>
      <w:marTop w:val="0"/>
      <w:marBottom w:val="0"/>
      <w:divBdr>
        <w:top w:val="none" w:sz="0" w:space="0" w:color="auto"/>
        <w:left w:val="none" w:sz="0" w:space="0" w:color="auto"/>
        <w:bottom w:val="none" w:sz="0" w:space="0" w:color="auto"/>
        <w:right w:val="none" w:sz="0" w:space="0" w:color="auto"/>
      </w:divBdr>
    </w:div>
    <w:div w:id="359361807">
      <w:marLeft w:val="0"/>
      <w:marRight w:val="0"/>
      <w:marTop w:val="0"/>
      <w:marBottom w:val="0"/>
      <w:divBdr>
        <w:top w:val="none" w:sz="0" w:space="0" w:color="auto"/>
        <w:left w:val="none" w:sz="0" w:space="0" w:color="auto"/>
        <w:bottom w:val="none" w:sz="0" w:space="0" w:color="auto"/>
        <w:right w:val="none" w:sz="0" w:space="0" w:color="auto"/>
      </w:divBdr>
    </w:div>
    <w:div w:id="362443082">
      <w:marLeft w:val="0"/>
      <w:marRight w:val="0"/>
      <w:marTop w:val="0"/>
      <w:marBottom w:val="0"/>
      <w:divBdr>
        <w:top w:val="none" w:sz="0" w:space="0" w:color="auto"/>
        <w:left w:val="none" w:sz="0" w:space="0" w:color="auto"/>
        <w:bottom w:val="none" w:sz="0" w:space="0" w:color="auto"/>
        <w:right w:val="none" w:sz="0" w:space="0" w:color="auto"/>
      </w:divBdr>
    </w:div>
    <w:div w:id="363556974">
      <w:marLeft w:val="0"/>
      <w:marRight w:val="0"/>
      <w:marTop w:val="0"/>
      <w:marBottom w:val="0"/>
      <w:divBdr>
        <w:top w:val="none" w:sz="0" w:space="0" w:color="auto"/>
        <w:left w:val="none" w:sz="0" w:space="0" w:color="auto"/>
        <w:bottom w:val="none" w:sz="0" w:space="0" w:color="auto"/>
        <w:right w:val="none" w:sz="0" w:space="0" w:color="auto"/>
      </w:divBdr>
      <w:divsChild>
        <w:div w:id="1055280237">
          <w:marLeft w:val="0"/>
          <w:marRight w:val="0"/>
          <w:marTop w:val="0"/>
          <w:marBottom w:val="0"/>
          <w:divBdr>
            <w:top w:val="none" w:sz="0" w:space="0" w:color="auto"/>
            <w:left w:val="none" w:sz="0" w:space="0" w:color="auto"/>
            <w:bottom w:val="none" w:sz="0" w:space="0" w:color="auto"/>
            <w:right w:val="none" w:sz="0" w:space="0" w:color="auto"/>
          </w:divBdr>
        </w:div>
      </w:divsChild>
    </w:div>
    <w:div w:id="379330506">
      <w:marLeft w:val="0"/>
      <w:marRight w:val="0"/>
      <w:marTop w:val="0"/>
      <w:marBottom w:val="0"/>
      <w:divBdr>
        <w:top w:val="none" w:sz="0" w:space="0" w:color="auto"/>
        <w:left w:val="none" w:sz="0" w:space="0" w:color="auto"/>
        <w:bottom w:val="none" w:sz="0" w:space="0" w:color="auto"/>
        <w:right w:val="none" w:sz="0" w:space="0" w:color="auto"/>
      </w:divBdr>
      <w:divsChild>
        <w:div w:id="1199124948">
          <w:marLeft w:val="0"/>
          <w:marRight w:val="0"/>
          <w:marTop w:val="0"/>
          <w:marBottom w:val="0"/>
          <w:divBdr>
            <w:top w:val="none" w:sz="0" w:space="0" w:color="auto"/>
            <w:left w:val="none" w:sz="0" w:space="0" w:color="auto"/>
            <w:bottom w:val="none" w:sz="0" w:space="0" w:color="auto"/>
            <w:right w:val="none" w:sz="0" w:space="0" w:color="auto"/>
          </w:divBdr>
        </w:div>
      </w:divsChild>
    </w:div>
    <w:div w:id="385031160">
      <w:marLeft w:val="0"/>
      <w:marRight w:val="0"/>
      <w:marTop w:val="0"/>
      <w:marBottom w:val="0"/>
      <w:divBdr>
        <w:top w:val="none" w:sz="0" w:space="0" w:color="auto"/>
        <w:left w:val="none" w:sz="0" w:space="0" w:color="auto"/>
        <w:bottom w:val="none" w:sz="0" w:space="0" w:color="auto"/>
        <w:right w:val="none" w:sz="0" w:space="0" w:color="auto"/>
      </w:divBdr>
    </w:div>
    <w:div w:id="388767622">
      <w:marLeft w:val="0"/>
      <w:marRight w:val="0"/>
      <w:marTop w:val="0"/>
      <w:marBottom w:val="0"/>
      <w:divBdr>
        <w:top w:val="none" w:sz="0" w:space="0" w:color="auto"/>
        <w:left w:val="none" w:sz="0" w:space="0" w:color="auto"/>
        <w:bottom w:val="none" w:sz="0" w:space="0" w:color="auto"/>
        <w:right w:val="none" w:sz="0" w:space="0" w:color="auto"/>
      </w:divBdr>
      <w:divsChild>
        <w:div w:id="484861599">
          <w:marLeft w:val="0"/>
          <w:marRight w:val="0"/>
          <w:marTop w:val="0"/>
          <w:marBottom w:val="0"/>
          <w:divBdr>
            <w:top w:val="none" w:sz="0" w:space="0" w:color="auto"/>
            <w:left w:val="none" w:sz="0" w:space="0" w:color="auto"/>
            <w:bottom w:val="none" w:sz="0" w:space="0" w:color="auto"/>
            <w:right w:val="none" w:sz="0" w:space="0" w:color="auto"/>
          </w:divBdr>
        </w:div>
      </w:divsChild>
    </w:div>
    <w:div w:id="390420632">
      <w:marLeft w:val="0"/>
      <w:marRight w:val="0"/>
      <w:marTop w:val="0"/>
      <w:marBottom w:val="0"/>
      <w:divBdr>
        <w:top w:val="none" w:sz="0" w:space="0" w:color="auto"/>
        <w:left w:val="none" w:sz="0" w:space="0" w:color="auto"/>
        <w:bottom w:val="none" w:sz="0" w:space="0" w:color="auto"/>
        <w:right w:val="none" w:sz="0" w:space="0" w:color="auto"/>
      </w:divBdr>
      <w:divsChild>
        <w:div w:id="1952665429">
          <w:marLeft w:val="0"/>
          <w:marRight w:val="0"/>
          <w:marTop w:val="0"/>
          <w:marBottom w:val="0"/>
          <w:divBdr>
            <w:top w:val="none" w:sz="0" w:space="0" w:color="auto"/>
            <w:left w:val="none" w:sz="0" w:space="0" w:color="auto"/>
            <w:bottom w:val="none" w:sz="0" w:space="0" w:color="auto"/>
            <w:right w:val="none" w:sz="0" w:space="0" w:color="auto"/>
          </w:divBdr>
        </w:div>
      </w:divsChild>
    </w:div>
    <w:div w:id="392654593">
      <w:marLeft w:val="0"/>
      <w:marRight w:val="0"/>
      <w:marTop w:val="0"/>
      <w:marBottom w:val="0"/>
      <w:divBdr>
        <w:top w:val="none" w:sz="0" w:space="0" w:color="auto"/>
        <w:left w:val="none" w:sz="0" w:space="0" w:color="auto"/>
        <w:bottom w:val="none" w:sz="0" w:space="0" w:color="auto"/>
        <w:right w:val="none" w:sz="0" w:space="0" w:color="auto"/>
      </w:divBdr>
    </w:div>
    <w:div w:id="404036358">
      <w:marLeft w:val="0"/>
      <w:marRight w:val="0"/>
      <w:marTop w:val="0"/>
      <w:marBottom w:val="0"/>
      <w:divBdr>
        <w:top w:val="none" w:sz="0" w:space="0" w:color="auto"/>
        <w:left w:val="none" w:sz="0" w:space="0" w:color="auto"/>
        <w:bottom w:val="none" w:sz="0" w:space="0" w:color="auto"/>
        <w:right w:val="none" w:sz="0" w:space="0" w:color="auto"/>
      </w:divBdr>
    </w:div>
    <w:div w:id="408038860">
      <w:marLeft w:val="0"/>
      <w:marRight w:val="0"/>
      <w:marTop w:val="0"/>
      <w:marBottom w:val="0"/>
      <w:divBdr>
        <w:top w:val="none" w:sz="0" w:space="0" w:color="auto"/>
        <w:left w:val="none" w:sz="0" w:space="0" w:color="auto"/>
        <w:bottom w:val="none" w:sz="0" w:space="0" w:color="auto"/>
        <w:right w:val="none" w:sz="0" w:space="0" w:color="auto"/>
      </w:divBdr>
    </w:div>
    <w:div w:id="413816198">
      <w:marLeft w:val="0"/>
      <w:marRight w:val="0"/>
      <w:marTop w:val="0"/>
      <w:marBottom w:val="180"/>
      <w:divBdr>
        <w:top w:val="none" w:sz="0" w:space="0" w:color="auto"/>
        <w:left w:val="none" w:sz="0" w:space="0" w:color="auto"/>
        <w:bottom w:val="none" w:sz="0" w:space="0" w:color="auto"/>
        <w:right w:val="none" w:sz="0" w:space="0" w:color="auto"/>
      </w:divBdr>
    </w:div>
    <w:div w:id="440422291">
      <w:marLeft w:val="0"/>
      <w:marRight w:val="0"/>
      <w:marTop w:val="0"/>
      <w:marBottom w:val="0"/>
      <w:divBdr>
        <w:top w:val="none" w:sz="0" w:space="0" w:color="auto"/>
        <w:left w:val="none" w:sz="0" w:space="0" w:color="auto"/>
        <w:bottom w:val="none" w:sz="0" w:space="0" w:color="auto"/>
        <w:right w:val="none" w:sz="0" w:space="0" w:color="auto"/>
      </w:divBdr>
    </w:div>
    <w:div w:id="440761767">
      <w:marLeft w:val="0"/>
      <w:marRight w:val="0"/>
      <w:marTop w:val="0"/>
      <w:marBottom w:val="0"/>
      <w:divBdr>
        <w:top w:val="none" w:sz="0" w:space="0" w:color="auto"/>
        <w:left w:val="none" w:sz="0" w:space="0" w:color="auto"/>
        <w:bottom w:val="none" w:sz="0" w:space="0" w:color="auto"/>
        <w:right w:val="none" w:sz="0" w:space="0" w:color="auto"/>
      </w:divBdr>
    </w:div>
    <w:div w:id="443114437">
      <w:marLeft w:val="0"/>
      <w:marRight w:val="0"/>
      <w:marTop w:val="0"/>
      <w:marBottom w:val="180"/>
      <w:divBdr>
        <w:top w:val="none" w:sz="0" w:space="0" w:color="auto"/>
        <w:left w:val="none" w:sz="0" w:space="0" w:color="auto"/>
        <w:bottom w:val="none" w:sz="0" w:space="0" w:color="auto"/>
        <w:right w:val="none" w:sz="0" w:space="0" w:color="auto"/>
      </w:divBdr>
    </w:div>
    <w:div w:id="447428660">
      <w:marLeft w:val="0"/>
      <w:marRight w:val="0"/>
      <w:marTop w:val="100"/>
      <w:marBottom w:val="0"/>
      <w:divBdr>
        <w:top w:val="none" w:sz="0" w:space="0" w:color="auto"/>
        <w:left w:val="none" w:sz="0" w:space="0" w:color="auto"/>
        <w:bottom w:val="none" w:sz="0" w:space="0" w:color="auto"/>
        <w:right w:val="none" w:sz="0" w:space="0" w:color="auto"/>
      </w:divBdr>
    </w:div>
    <w:div w:id="451361437">
      <w:marLeft w:val="0"/>
      <w:marRight w:val="0"/>
      <w:marTop w:val="0"/>
      <w:marBottom w:val="280"/>
      <w:divBdr>
        <w:top w:val="none" w:sz="0" w:space="0" w:color="auto"/>
        <w:left w:val="none" w:sz="0" w:space="0" w:color="auto"/>
        <w:bottom w:val="none" w:sz="0" w:space="0" w:color="auto"/>
        <w:right w:val="none" w:sz="0" w:space="0" w:color="auto"/>
      </w:divBdr>
    </w:div>
    <w:div w:id="452948046">
      <w:marLeft w:val="0"/>
      <w:marRight w:val="0"/>
      <w:marTop w:val="0"/>
      <w:marBottom w:val="180"/>
      <w:divBdr>
        <w:top w:val="none" w:sz="0" w:space="0" w:color="auto"/>
        <w:left w:val="none" w:sz="0" w:space="0" w:color="auto"/>
        <w:bottom w:val="none" w:sz="0" w:space="0" w:color="auto"/>
        <w:right w:val="none" w:sz="0" w:space="0" w:color="auto"/>
      </w:divBdr>
    </w:div>
    <w:div w:id="468329614">
      <w:marLeft w:val="0"/>
      <w:marRight w:val="0"/>
      <w:marTop w:val="0"/>
      <w:marBottom w:val="0"/>
      <w:divBdr>
        <w:top w:val="none" w:sz="0" w:space="0" w:color="auto"/>
        <w:left w:val="none" w:sz="0" w:space="0" w:color="auto"/>
        <w:bottom w:val="none" w:sz="0" w:space="0" w:color="auto"/>
        <w:right w:val="none" w:sz="0" w:space="0" w:color="auto"/>
      </w:divBdr>
    </w:div>
    <w:div w:id="468523317">
      <w:marLeft w:val="0"/>
      <w:marRight w:val="0"/>
      <w:marTop w:val="0"/>
      <w:marBottom w:val="0"/>
      <w:divBdr>
        <w:top w:val="none" w:sz="0" w:space="0" w:color="auto"/>
        <w:left w:val="none" w:sz="0" w:space="0" w:color="auto"/>
        <w:bottom w:val="none" w:sz="0" w:space="0" w:color="auto"/>
        <w:right w:val="none" w:sz="0" w:space="0" w:color="auto"/>
      </w:divBdr>
    </w:div>
    <w:div w:id="477115092">
      <w:marLeft w:val="0"/>
      <w:marRight w:val="0"/>
      <w:marTop w:val="0"/>
      <w:marBottom w:val="0"/>
      <w:divBdr>
        <w:top w:val="none" w:sz="0" w:space="0" w:color="auto"/>
        <w:left w:val="none" w:sz="0" w:space="0" w:color="auto"/>
        <w:bottom w:val="none" w:sz="0" w:space="0" w:color="auto"/>
        <w:right w:val="none" w:sz="0" w:space="0" w:color="auto"/>
      </w:divBdr>
    </w:div>
    <w:div w:id="487746674">
      <w:marLeft w:val="0"/>
      <w:marRight w:val="0"/>
      <w:marTop w:val="0"/>
      <w:marBottom w:val="0"/>
      <w:divBdr>
        <w:top w:val="none" w:sz="0" w:space="0" w:color="auto"/>
        <w:left w:val="none" w:sz="0" w:space="0" w:color="auto"/>
        <w:bottom w:val="none" w:sz="0" w:space="0" w:color="auto"/>
        <w:right w:val="none" w:sz="0" w:space="0" w:color="auto"/>
      </w:divBdr>
      <w:divsChild>
        <w:div w:id="1183282726">
          <w:marLeft w:val="0"/>
          <w:marRight w:val="0"/>
          <w:marTop w:val="0"/>
          <w:marBottom w:val="0"/>
          <w:divBdr>
            <w:top w:val="none" w:sz="0" w:space="0" w:color="auto"/>
            <w:left w:val="none" w:sz="0" w:space="0" w:color="auto"/>
            <w:bottom w:val="none" w:sz="0" w:space="0" w:color="auto"/>
            <w:right w:val="none" w:sz="0" w:space="0" w:color="auto"/>
          </w:divBdr>
        </w:div>
      </w:divsChild>
    </w:div>
    <w:div w:id="488595210">
      <w:marLeft w:val="0"/>
      <w:marRight w:val="0"/>
      <w:marTop w:val="0"/>
      <w:marBottom w:val="180"/>
      <w:divBdr>
        <w:top w:val="none" w:sz="0" w:space="0" w:color="auto"/>
        <w:left w:val="none" w:sz="0" w:space="0" w:color="auto"/>
        <w:bottom w:val="none" w:sz="0" w:space="0" w:color="auto"/>
        <w:right w:val="none" w:sz="0" w:space="0" w:color="auto"/>
      </w:divBdr>
    </w:div>
    <w:div w:id="489254354">
      <w:marLeft w:val="0"/>
      <w:marRight w:val="0"/>
      <w:marTop w:val="0"/>
      <w:marBottom w:val="180"/>
      <w:divBdr>
        <w:top w:val="none" w:sz="0" w:space="0" w:color="auto"/>
        <w:left w:val="none" w:sz="0" w:space="0" w:color="auto"/>
        <w:bottom w:val="none" w:sz="0" w:space="0" w:color="auto"/>
        <w:right w:val="none" w:sz="0" w:space="0" w:color="auto"/>
      </w:divBdr>
    </w:div>
    <w:div w:id="499782774">
      <w:marLeft w:val="0"/>
      <w:marRight w:val="0"/>
      <w:marTop w:val="0"/>
      <w:marBottom w:val="180"/>
      <w:divBdr>
        <w:top w:val="none" w:sz="0" w:space="0" w:color="auto"/>
        <w:left w:val="none" w:sz="0" w:space="0" w:color="auto"/>
        <w:bottom w:val="none" w:sz="0" w:space="0" w:color="auto"/>
        <w:right w:val="none" w:sz="0" w:space="0" w:color="auto"/>
      </w:divBdr>
    </w:div>
    <w:div w:id="510607742">
      <w:marLeft w:val="0"/>
      <w:marRight w:val="0"/>
      <w:marTop w:val="180"/>
      <w:marBottom w:val="0"/>
      <w:divBdr>
        <w:top w:val="none" w:sz="0" w:space="0" w:color="auto"/>
        <w:left w:val="none" w:sz="0" w:space="0" w:color="auto"/>
        <w:bottom w:val="none" w:sz="0" w:space="0" w:color="auto"/>
        <w:right w:val="none" w:sz="0" w:space="0" w:color="auto"/>
      </w:divBdr>
    </w:div>
    <w:div w:id="517350077">
      <w:marLeft w:val="0"/>
      <w:marRight w:val="0"/>
      <w:marTop w:val="0"/>
      <w:marBottom w:val="0"/>
      <w:divBdr>
        <w:top w:val="none" w:sz="0" w:space="0" w:color="auto"/>
        <w:left w:val="none" w:sz="0" w:space="0" w:color="auto"/>
        <w:bottom w:val="none" w:sz="0" w:space="0" w:color="auto"/>
        <w:right w:val="none" w:sz="0" w:space="0" w:color="auto"/>
      </w:divBdr>
    </w:div>
    <w:div w:id="521554746">
      <w:marLeft w:val="0"/>
      <w:marRight w:val="0"/>
      <w:marTop w:val="0"/>
      <w:marBottom w:val="0"/>
      <w:divBdr>
        <w:top w:val="none" w:sz="0" w:space="0" w:color="auto"/>
        <w:left w:val="none" w:sz="0" w:space="0" w:color="auto"/>
        <w:bottom w:val="none" w:sz="0" w:space="0" w:color="auto"/>
        <w:right w:val="none" w:sz="0" w:space="0" w:color="auto"/>
      </w:divBdr>
    </w:div>
    <w:div w:id="528641659">
      <w:marLeft w:val="0"/>
      <w:marRight w:val="0"/>
      <w:marTop w:val="0"/>
      <w:marBottom w:val="220"/>
      <w:divBdr>
        <w:top w:val="none" w:sz="0" w:space="0" w:color="auto"/>
        <w:left w:val="none" w:sz="0" w:space="0" w:color="auto"/>
        <w:bottom w:val="none" w:sz="0" w:space="0" w:color="auto"/>
        <w:right w:val="none" w:sz="0" w:space="0" w:color="auto"/>
      </w:divBdr>
    </w:div>
    <w:div w:id="536430168">
      <w:marLeft w:val="0"/>
      <w:marRight w:val="0"/>
      <w:marTop w:val="0"/>
      <w:marBottom w:val="0"/>
      <w:divBdr>
        <w:top w:val="none" w:sz="0" w:space="0" w:color="auto"/>
        <w:left w:val="none" w:sz="0" w:space="0" w:color="auto"/>
        <w:bottom w:val="none" w:sz="0" w:space="0" w:color="auto"/>
        <w:right w:val="none" w:sz="0" w:space="0" w:color="auto"/>
      </w:divBdr>
    </w:div>
    <w:div w:id="539973897">
      <w:marLeft w:val="0"/>
      <w:marRight w:val="0"/>
      <w:marTop w:val="0"/>
      <w:marBottom w:val="180"/>
      <w:divBdr>
        <w:top w:val="none" w:sz="0" w:space="0" w:color="auto"/>
        <w:left w:val="none" w:sz="0" w:space="0" w:color="auto"/>
        <w:bottom w:val="none" w:sz="0" w:space="0" w:color="auto"/>
        <w:right w:val="none" w:sz="0" w:space="0" w:color="auto"/>
      </w:divBdr>
    </w:div>
    <w:div w:id="543324988">
      <w:marLeft w:val="0"/>
      <w:marRight w:val="0"/>
      <w:marTop w:val="0"/>
      <w:marBottom w:val="0"/>
      <w:divBdr>
        <w:top w:val="none" w:sz="0" w:space="0" w:color="auto"/>
        <w:left w:val="none" w:sz="0" w:space="0" w:color="auto"/>
        <w:bottom w:val="none" w:sz="0" w:space="0" w:color="auto"/>
        <w:right w:val="none" w:sz="0" w:space="0" w:color="auto"/>
      </w:divBdr>
      <w:divsChild>
        <w:div w:id="1179855652">
          <w:marLeft w:val="0"/>
          <w:marRight w:val="0"/>
          <w:marTop w:val="0"/>
          <w:marBottom w:val="0"/>
          <w:divBdr>
            <w:top w:val="none" w:sz="0" w:space="0" w:color="auto"/>
            <w:left w:val="none" w:sz="0" w:space="0" w:color="auto"/>
            <w:bottom w:val="none" w:sz="0" w:space="0" w:color="auto"/>
            <w:right w:val="none" w:sz="0" w:space="0" w:color="auto"/>
          </w:divBdr>
        </w:div>
      </w:divsChild>
    </w:div>
    <w:div w:id="545144177">
      <w:marLeft w:val="0"/>
      <w:marRight w:val="0"/>
      <w:marTop w:val="40"/>
      <w:marBottom w:val="40"/>
      <w:divBdr>
        <w:top w:val="none" w:sz="0" w:space="0" w:color="auto"/>
        <w:left w:val="none" w:sz="0" w:space="0" w:color="auto"/>
        <w:bottom w:val="none" w:sz="0" w:space="0" w:color="auto"/>
        <w:right w:val="none" w:sz="0" w:space="0" w:color="auto"/>
      </w:divBdr>
    </w:div>
    <w:div w:id="550506340">
      <w:marLeft w:val="0"/>
      <w:marRight w:val="0"/>
      <w:marTop w:val="120"/>
      <w:marBottom w:val="0"/>
      <w:divBdr>
        <w:top w:val="none" w:sz="0" w:space="0" w:color="auto"/>
        <w:left w:val="none" w:sz="0" w:space="0" w:color="auto"/>
        <w:bottom w:val="none" w:sz="0" w:space="0" w:color="auto"/>
        <w:right w:val="none" w:sz="0" w:space="0" w:color="auto"/>
      </w:divBdr>
    </w:div>
    <w:div w:id="563564230">
      <w:marLeft w:val="0"/>
      <w:marRight w:val="0"/>
      <w:marTop w:val="0"/>
      <w:marBottom w:val="0"/>
      <w:divBdr>
        <w:top w:val="none" w:sz="0" w:space="0" w:color="auto"/>
        <w:left w:val="none" w:sz="0" w:space="0" w:color="auto"/>
        <w:bottom w:val="none" w:sz="0" w:space="0" w:color="auto"/>
        <w:right w:val="none" w:sz="0" w:space="0" w:color="auto"/>
      </w:divBdr>
      <w:divsChild>
        <w:div w:id="1873882836">
          <w:marLeft w:val="0"/>
          <w:marRight w:val="0"/>
          <w:marTop w:val="0"/>
          <w:marBottom w:val="0"/>
          <w:divBdr>
            <w:top w:val="none" w:sz="0" w:space="0" w:color="auto"/>
            <w:left w:val="none" w:sz="0" w:space="0" w:color="auto"/>
            <w:bottom w:val="none" w:sz="0" w:space="0" w:color="auto"/>
            <w:right w:val="none" w:sz="0" w:space="0" w:color="auto"/>
          </w:divBdr>
        </w:div>
      </w:divsChild>
    </w:div>
    <w:div w:id="566959096">
      <w:marLeft w:val="0"/>
      <w:marRight w:val="0"/>
      <w:marTop w:val="0"/>
      <w:marBottom w:val="0"/>
      <w:divBdr>
        <w:top w:val="none" w:sz="0" w:space="0" w:color="auto"/>
        <w:left w:val="none" w:sz="0" w:space="0" w:color="auto"/>
        <w:bottom w:val="none" w:sz="0" w:space="0" w:color="auto"/>
        <w:right w:val="none" w:sz="0" w:space="0" w:color="auto"/>
      </w:divBdr>
    </w:div>
    <w:div w:id="569192197">
      <w:marLeft w:val="0"/>
      <w:marRight w:val="0"/>
      <w:marTop w:val="0"/>
      <w:marBottom w:val="0"/>
      <w:divBdr>
        <w:top w:val="none" w:sz="0" w:space="0" w:color="auto"/>
        <w:left w:val="none" w:sz="0" w:space="0" w:color="auto"/>
        <w:bottom w:val="none" w:sz="0" w:space="0" w:color="auto"/>
        <w:right w:val="none" w:sz="0" w:space="0" w:color="auto"/>
      </w:divBdr>
    </w:div>
    <w:div w:id="569775998">
      <w:marLeft w:val="0"/>
      <w:marRight w:val="0"/>
      <w:marTop w:val="0"/>
      <w:marBottom w:val="0"/>
      <w:divBdr>
        <w:top w:val="none" w:sz="0" w:space="0" w:color="auto"/>
        <w:left w:val="none" w:sz="0" w:space="0" w:color="auto"/>
        <w:bottom w:val="none" w:sz="0" w:space="0" w:color="auto"/>
        <w:right w:val="none" w:sz="0" w:space="0" w:color="auto"/>
      </w:divBdr>
      <w:divsChild>
        <w:div w:id="1267155920">
          <w:marLeft w:val="0"/>
          <w:marRight w:val="0"/>
          <w:marTop w:val="0"/>
          <w:marBottom w:val="0"/>
          <w:divBdr>
            <w:top w:val="none" w:sz="0" w:space="0" w:color="auto"/>
            <w:left w:val="none" w:sz="0" w:space="0" w:color="auto"/>
            <w:bottom w:val="none" w:sz="0" w:space="0" w:color="auto"/>
            <w:right w:val="none" w:sz="0" w:space="0" w:color="auto"/>
          </w:divBdr>
        </w:div>
      </w:divsChild>
    </w:div>
    <w:div w:id="571237593">
      <w:marLeft w:val="0"/>
      <w:marRight w:val="0"/>
      <w:marTop w:val="0"/>
      <w:marBottom w:val="0"/>
      <w:divBdr>
        <w:top w:val="none" w:sz="0" w:space="0" w:color="auto"/>
        <w:left w:val="none" w:sz="0" w:space="0" w:color="auto"/>
        <w:bottom w:val="none" w:sz="0" w:space="0" w:color="auto"/>
        <w:right w:val="none" w:sz="0" w:space="0" w:color="auto"/>
      </w:divBdr>
    </w:div>
    <w:div w:id="576869358">
      <w:marLeft w:val="0"/>
      <w:marRight w:val="0"/>
      <w:marTop w:val="0"/>
      <w:marBottom w:val="0"/>
      <w:divBdr>
        <w:top w:val="none" w:sz="0" w:space="0" w:color="auto"/>
        <w:left w:val="none" w:sz="0" w:space="0" w:color="auto"/>
        <w:bottom w:val="none" w:sz="0" w:space="0" w:color="auto"/>
        <w:right w:val="none" w:sz="0" w:space="0" w:color="auto"/>
      </w:divBdr>
      <w:divsChild>
        <w:div w:id="988364415">
          <w:marLeft w:val="0"/>
          <w:marRight w:val="0"/>
          <w:marTop w:val="0"/>
          <w:marBottom w:val="0"/>
          <w:divBdr>
            <w:top w:val="none" w:sz="0" w:space="0" w:color="auto"/>
            <w:left w:val="none" w:sz="0" w:space="0" w:color="auto"/>
            <w:bottom w:val="none" w:sz="0" w:space="0" w:color="auto"/>
            <w:right w:val="none" w:sz="0" w:space="0" w:color="auto"/>
          </w:divBdr>
        </w:div>
      </w:divsChild>
    </w:div>
    <w:div w:id="593326632">
      <w:marLeft w:val="0"/>
      <w:marRight w:val="0"/>
      <w:marTop w:val="0"/>
      <w:marBottom w:val="180"/>
      <w:divBdr>
        <w:top w:val="none" w:sz="0" w:space="0" w:color="auto"/>
        <w:left w:val="none" w:sz="0" w:space="0" w:color="auto"/>
        <w:bottom w:val="none" w:sz="0" w:space="0" w:color="auto"/>
        <w:right w:val="none" w:sz="0" w:space="0" w:color="auto"/>
      </w:divBdr>
    </w:div>
    <w:div w:id="599604183">
      <w:marLeft w:val="0"/>
      <w:marRight w:val="0"/>
      <w:marTop w:val="0"/>
      <w:marBottom w:val="0"/>
      <w:divBdr>
        <w:top w:val="none" w:sz="0" w:space="0" w:color="auto"/>
        <w:left w:val="none" w:sz="0" w:space="0" w:color="auto"/>
        <w:bottom w:val="none" w:sz="0" w:space="0" w:color="auto"/>
        <w:right w:val="none" w:sz="0" w:space="0" w:color="auto"/>
      </w:divBdr>
      <w:divsChild>
        <w:div w:id="588471106">
          <w:marLeft w:val="0"/>
          <w:marRight w:val="0"/>
          <w:marTop w:val="0"/>
          <w:marBottom w:val="0"/>
          <w:divBdr>
            <w:top w:val="none" w:sz="0" w:space="0" w:color="auto"/>
            <w:left w:val="none" w:sz="0" w:space="0" w:color="auto"/>
            <w:bottom w:val="none" w:sz="0" w:space="0" w:color="auto"/>
            <w:right w:val="none" w:sz="0" w:space="0" w:color="auto"/>
          </w:divBdr>
        </w:div>
      </w:divsChild>
    </w:div>
    <w:div w:id="600576509">
      <w:marLeft w:val="0"/>
      <w:marRight w:val="0"/>
      <w:marTop w:val="0"/>
      <w:marBottom w:val="320"/>
      <w:divBdr>
        <w:top w:val="none" w:sz="0" w:space="0" w:color="auto"/>
        <w:left w:val="none" w:sz="0" w:space="0" w:color="auto"/>
        <w:bottom w:val="none" w:sz="0" w:space="0" w:color="auto"/>
        <w:right w:val="none" w:sz="0" w:space="0" w:color="auto"/>
      </w:divBdr>
    </w:div>
    <w:div w:id="609240059">
      <w:marLeft w:val="0"/>
      <w:marRight w:val="0"/>
      <w:marTop w:val="0"/>
      <w:marBottom w:val="280"/>
      <w:divBdr>
        <w:top w:val="none" w:sz="0" w:space="0" w:color="auto"/>
        <w:left w:val="none" w:sz="0" w:space="0" w:color="auto"/>
        <w:bottom w:val="none" w:sz="0" w:space="0" w:color="auto"/>
        <w:right w:val="none" w:sz="0" w:space="0" w:color="auto"/>
      </w:divBdr>
    </w:div>
    <w:div w:id="613220571">
      <w:marLeft w:val="0"/>
      <w:marRight w:val="0"/>
      <w:marTop w:val="0"/>
      <w:marBottom w:val="180"/>
      <w:divBdr>
        <w:top w:val="none" w:sz="0" w:space="0" w:color="auto"/>
        <w:left w:val="none" w:sz="0" w:space="0" w:color="auto"/>
        <w:bottom w:val="none" w:sz="0" w:space="0" w:color="auto"/>
        <w:right w:val="none" w:sz="0" w:space="0" w:color="auto"/>
      </w:divBdr>
    </w:div>
    <w:div w:id="615018372">
      <w:marLeft w:val="0"/>
      <w:marRight w:val="0"/>
      <w:marTop w:val="0"/>
      <w:marBottom w:val="0"/>
      <w:divBdr>
        <w:top w:val="none" w:sz="0" w:space="0" w:color="auto"/>
        <w:left w:val="none" w:sz="0" w:space="0" w:color="auto"/>
        <w:bottom w:val="none" w:sz="0" w:space="0" w:color="auto"/>
        <w:right w:val="none" w:sz="0" w:space="0" w:color="auto"/>
      </w:divBdr>
      <w:divsChild>
        <w:div w:id="142238171">
          <w:marLeft w:val="0"/>
          <w:marRight w:val="0"/>
          <w:marTop w:val="0"/>
          <w:marBottom w:val="0"/>
          <w:divBdr>
            <w:top w:val="none" w:sz="0" w:space="0" w:color="auto"/>
            <w:left w:val="none" w:sz="0" w:space="0" w:color="auto"/>
            <w:bottom w:val="none" w:sz="0" w:space="0" w:color="auto"/>
            <w:right w:val="none" w:sz="0" w:space="0" w:color="auto"/>
          </w:divBdr>
        </w:div>
      </w:divsChild>
    </w:div>
    <w:div w:id="615912095">
      <w:marLeft w:val="0"/>
      <w:marRight w:val="0"/>
      <w:marTop w:val="100"/>
      <w:marBottom w:val="0"/>
      <w:divBdr>
        <w:top w:val="none" w:sz="0" w:space="0" w:color="auto"/>
        <w:left w:val="none" w:sz="0" w:space="0" w:color="auto"/>
        <w:bottom w:val="none" w:sz="0" w:space="0" w:color="auto"/>
        <w:right w:val="none" w:sz="0" w:space="0" w:color="auto"/>
      </w:divBdr>
      <w:divsChild>
        <w:div w:id="865024329">
          <w:marLeft w:val="0"/>
          <w:marRight w:val="0"/>
          <w:marTop w:val="0"/>
          <w:marBottom w:val="0"/>
          <w:divBdr>
            <w:top w:val="none" w:sz="0" w:space="0" w:color="auto"/>
            <w:left w:val="none" w:sz="0" w:space="0" w:color="auto"/>
            <w:bottom w:val="none" w:sz="0" w:space="0" w:color="auto"/>
            <w:right w:val="none" w:sz="0" w:space="0" w:color="auto"/>
          </w:divBdr>
        </w:div>
        <w:div w:id="1094861778">
          <w:marLeft w:val="0"/>
          <w:marRight w:val="0"/>
          <w:marTop w:val="0"/>
          <w:marBottom w:val="0"/>
          <w:divBdr>
            <w:top w:val="none" w:sz="0" w:space="0" w:color="auto"/>
            <w:left w:val="none" w:sz="0" w:space="0" w:color="auto"/>
            <w:bottom w:val="none" w:sz="0" w:space="0" w:color="auto"/>
            <w:right w:val="none" w:sz="0" w:space="0" w:color="auto"/>
          </w:divBdr>
        </w:div>
        <w:div w:id="1894929914">
          <w:marLeft w:val="0"/>
          <w:marRight w:val="0"/>
          <w:marTop w:val="0"/>
          <w:marBottom w:val="0"/>
          <w:divBdr>
            <w:top w:val="none" w:sz="0" w:space="0" w:color="auto"/>
            <w:left w:val="none" w:sz="0" w:space="0" w:color="auto"/>
            <w:bottom w:val="none" w:sz="0" w:space="0" w:color="auto"/>
            <w:right w:val="none" w:sz="0" w:space="0" w:color="auto"/>
          </w:divBdr>
        </w:div>
        <w:div w:id="188300708">
          <w:marLeft w:val="0"/>
          <w:marRight w:val="0"/>
          <w:marTop w:val="0"/>
          <w:marBottom w:val="0"/>
          <w:divBdr>
            <w:top w:val="none" w:sz="0" w:space="0" w:color="auto"/>
            <w:left w:val="none" w:sz="0" w:space="0" w:color="auto"/>
            <w:bottom w:val="none" w:sz="0" w:space="0" w:color="auto"/>
            <w:right w:val="none" w:sz="0" w:space="0" w:color="auto"/>
          </w:divBdr>
        </w:div>
        <w:div w:id="1559316341">
          <w:marLeft w:val="0"/>
          <w:marRight w:val="0"/>
          <w:marTop w:val="0"/>
          <w:marBottom w:val="0"/>
          <w:divBdr>
            <w:top w:val="none" w:sz="0" w:space="0" w:color="auto"/>
            <w:left w:val="none" w:sz="0" w:space="0" w:color="auto"/>
            <w:bottom w:val="none" w:sz="0" w:space="0" w:color="auto"/>
            <w:right w:val="none" w:sz="0" w:space="0" w:color="auto"/>
          </w:divBdr>
        </w:div>
        <w:div w:id="1816799426">
          <w:marLeft w:val="0"/>
          <w:marRight w:val="0"/>
          <w:marTop w:val="0"/>
          <w:marBottom w:val="0"/>
          <w:divBdr>
            <w:top w:val="none" w:sz="0" w:space="0" w:color="auto"/>
            <w:left w:val="none" w:sz="0" w:space="0" w:color="auto"/>
            <w:bottom w:val="none" w:sz="0" w:space="0" w:color="auto"/>
            <w:right w:val="none" w:sz="0" w:space="0" w:color="auto"/>
          </w:divBdr>
        </w:div>
        <w:div w:id="926042602">
          <w:marLeft w:val="0"/>
          <w:marRight w:val="0"/>
          <w:marTop w:val="0"/>
          <w:marBottom w:val="0"/>
          <w:divBdr>
            <w:top w:val="none" w:sz="0" w:space="0" w:color="auto"/>
            <w:left w:val="none" w:sz="0" w:space="0" w:color="auto"/>
            <w:bottom w:val="none" w:sz="0" w:space="0" w:color="auto"/>
            <w:right w:val="none" w:sz="0" w:space="0" w:color="auto"/>
          </w:divBdr>
        </w:div>
        <w:div w:id="627977857">
          <w:marLeft w:val="0"/>
          <w:marRight w:val="0"/>
          <w:marTop w:val="0"/>
          <w:marBottom w:val="0"/>
          <w:divBdr>
            <w:top w:val="none" w:sz="0" w:space="0" w:color="auto"/>
            <w:left w:val="none" w:sz="0" w:space="0" w:color="auto"/>
            <w:bottom w:val="none" w:sz="0" w:space="0" w:color="auto"/>
            <w:right w:val="none" w:sz="0" w:space="0" w:color="auto"/>
          </w:divBdr>
        </w:div>
        <w:div w:id="262302035">
          <w:marLeft w:val="0"/>
          <w:marRight w:val="0"/>
          <w:marTop w:val="0"/>
          <w:marBottom w:val="0"/>
          <w:divBdr>
            <w:top w:val="none" w:sz="0" w:space="0" w:color="auto"/>
            <w:left w:val="none" w:sz="0" w:space="0" w:color="auto"/>
            <w:bottom w:val="none" w:sz="0" w:space="0" w:color="auto"/>
            <w:right w:val="none" w:sz="0" w:space="0" w:color="auto"/>
          </w:divBdr>
        </w:div>
        <w:div w:id="1305045223">
          <w:marLeft w:val="0"/>
          <w:marRight w:val="0"/>
          <w:marTop w:val="0"/>
          <w:marBottom w:val="0"/>
          <w:divBdr>
            <w:top w:val="none" w:sz="0" w:space="0" w:color="auto"/>
            <w:left w:val="none" w:sz="0" w:space="0" w:color="auto"/>
            <w:bottom w:val="none" w:sz="0" w:space="0" w:color="auto"/>
            <w:right w:val="none" w:sz="0" w:space="0" w:color="auto"/>
          </w:divBdr>
        </w:div>
        <w:div w:id="2360151">
          <w:marLeft w:val="0"/>
          <w:marRight w:val="0"/>
          <w:marTop w:val="0"/>
          <w:marBottom w:val="0"/>
          <w:divBdr>
            <w:top w:val="none" w:sz="0" w:space="0" w:color="auto"/>
            <w:left w:val="none" w:sz="0" w:space="0" w:color="auto"/>
            <w:bottom w:val="none" w:sz="0" w:space="0" w:color="auto"/>
            <w:right w:val="none" w:sz="0" w:space="0" w:color="auto"/>
          </w:divBdr>
        </w:div>
        <w:div w:id="923226055">
          <w:marLeft w:val="0"/>
          <w:marRight w:val="0"/>
          <w:marTop w:val="0"/>
          <w:marBottom w:val="0"/>
          <w:divBdr>
            <w:top w:val="none" w:sz="0" w:space="0" w:color="auto"/>
            <w:left w:val="none" w:sz="0" w:space="0" w:color="auto"/>
            <w:bottom w:val="none" w:sz="0" w:space="0" w:color="auto"/>
            <w:right w:val="none" w:sz="0" w:space="0" w:color="auto"/>
          </w:divBdr>
        </w:div>
        <w:div w:id="665285712">
          <w:marLeft w:val="0"/>
          <w:marRight w:val="0"/>
          <w:marTop w:val="0"/>
          <w:marBottom w:val="0"/>
          <w:divBdr>
            <w:top w:val="none" w:sz="0" w:space="0" w:color="auto"/>
            <w:left w:val="none" w:sz="0" w:space="0" w:color="auto"/>
            <w:bottom w:val="none" w:sz="0" w:space="0" w:color="auto"/>
            <w:right w:val="none" w:sz="0" w:space="0" w:color="auto"/>
          </w:divBdr>
        </w:div>
        <w:div w:id="1406995137">
          <w:marLeft w:val="0"/>
          <w:marRight w:val="0"/>
          <w:marTop w:val="0"/>
          <w:marBottom w:val="0"/>
          <w:divBdr>
            <w:top w:val="none" w:sz="0" w:space="0" w:color="auto"/>
            <w:left w:val="none" w:sz="0" w:space="0" w:color="auto"/>
            <w:bottom w:val="none" w:sz="0" w:space="0" w:color="auto"/>
            <w:right w:val="none" w:sz="0" w:space="0" w:color="auto"/>
          </w:divBdr>
        </w:div>
      </w:divsChild>
    </w:div>
    <w:div w:id="621619897">
      <w:marLeft w:val="0"/>
      <w:marRight w:val="0"/>
      <w:marTop w:val="0"/>
      <w:marBottom w:val="0"/>
      <w:divBdr>
        <w:top w:val="none" w:sz="0" w:space="0" w:color="auto"/>
        <w:left w:val="none" w:sz="0" w:space="0" w:color="auto"/>
        <w:bottom w:val="none" w:sz="0" w:space="0" w:color="auto"/>
        <w:right w:val="none" w:sz="0" w:space="0" w:color="auto"/>
      </w:divBdr>
    </w:div>
    <w:div w:id="627318689">
      <w:marLeft w:val="0"/>
      <w:marRight w:val="0"/>
      <w:marTop w:val="0"/>
      <w:marBottom w:val="0"/>
      <w:divBdr>
        <w:top w:val="none" w:sz="0" w:space="0" w:color="auto"/>
        <w:left w:val="none" w:sz="0" w:space="0" w:color="auto"/>
        <w:bottom w:val="none" w:sz="0" w:space="0" w:color="auto"/>
        <w:right w:val="none" w:sz="0" w:space="0" w:color="auto"/>
      </w:divBdr>
      <w:divsChild>
        <w:div w:id="1753549252">
          <w:marLeft w:val="0"/>
          <w:marRight w:val="0"/>
          <w:marTop w:val="0"/>
          <w:marBottom w:val="0"/>
          <w:divBdr>
            <w:top w:val="none" w:sz="0" w:space="0" w:color="auto"/>
            <w:left w:val="none" w:sz="0" w:space="0" w:color="auto"/>
            <w:bottom w:val="none" w:sz="0" w:space="0" w:color="auto"/>
            <w:right w:val="none" w:sz="0" w:space="0" w:color="auto"/>
          </w:divBdr>
        </w:div>
      </w:divsChild>
    </w:div>
    <w:div w:id="629822795">
      <w:marLeft w:val="0"/>
      <w:marRight w:val="0"/>
      <w:marTop w:val="0"/>
      <w:marBottom w:val="180"/>
      <w:divBdr>
        <w:top w:val="none" w:sz="0" w:space="0" w:color="auto"/>
        <w:left w:val="none" w:sz="0" w:space="0" w:color="auto"/>
        <w:bottom w:val="none" w:sz="0" w:space="0" w:color="auto"/>
        <w:right w:val="none" w:sz="0" w:space="0" w:color="auto"/>
      </w:divBdr>
    </w:div>
    <w:div w:id="630012947">
      <w:marLeft w:val="0"/>
      <w:marRight w:val="0"/>
      <w:marTop w:val="0"/>
      <w:marBottom w:val="0"/>
      <w:divBdr>
        <w:top w:val="none" w:sz="0" w:space="0" w:color="auto"/>
        <w:left w:val="none" w:sz="0" w:space="0" w:color="auto"/>
        <w:bottom w:val="none" w:sz="0" w:space="0" w:color="auto"/>
        <w:right w:val="none" w:sz="0" w:space="0" w:color="auto"/>
      </w:divBdr>
    </w:div>
    <w:div w:id="644972104">
      <w:marLeft w:val="0"/>
      <w:marRight w:val="0"/>
      <w:marTop w:val="0"/>
      <w:marBottom w:val="0"/>
      <w:divBdr>
        <w:top w:val="none" w:sz="0" w:space="0" w:color="auto"/>
        <w:left w:val="none" w:sz="0" w:space="0" w:color="auto"/>
        <w:bottom w:val="none" w:sz="0" w:space="0" w:color="auto"/>
        <w:right w:val="none" w:sz="0" w:space="0" w:color="auto"/>
      </w:divBdr>
      <w:divsChild>
        <w:div w:id="315379795">
          <w:marLeft w:val="0"/>
          <w:marRight w:val="0"/>
          <w:marTop w:val="0"/>
          <w:marBottom w:val="0"/>
          <w:divBdr>
            <w:top w:val="none" w:sz="0" w:space="0" w:color="auto"/>
            <w:left w:val="none" w:sz="0" w:space="0" w:color="auto"/>
            <w:bottom w:val="none" w:sz="0" w:space="0" w:color="auto"/>
            <w:right w:val="none" w:sz="0" w:space="0" w:color="auto"/>
          </w:divBdr>
        </w:div>
      </w:divsChild>
    </w:div>
    <w:div w:id="648287981">
      <w:marLeft w:val="0"/>
      <w:marRight w:val="0"/>
      <w:marTop w:val="0"/>
      <w:marBottom w:val="0"/>
      <w:divBdr>
        <w:top w:val="none" w:sz="0" w:space="0" w:color="auto"/>
        <w:left w:val="none" w:sz="0" w:space="0" w:color="auto"/>
        <w:bottom w:val="none" w:sz="0" w:space="0" w:color="auto"/>
        <w:right w:val="none" w:sz="0" w:space="0" w:color="auto"/>
      </w:divBdr>
    </w:div>
    <w:div w:id="649015125">
      <w:marLeft w:val="0"/>
      <w:marRight w:val="0"/>
      <w:marTop w:val="0"/>
      <w:marBottom w:val="0"/>
      <w:divBdr>
        <w:top w:val="none" w:sz="0" w:space="0" w:color="auto"/>
        <w:left w:val="none" w:sz="0" w:space="0" w:color="auto"/>
        <w:bottom w:val="none" w:sz="0" w:space="0" w:color="auto"/>
        <w:right w:val="none" w:sz="0" w:space="0" w:color="auto"/>
      </w:divBdr>
      <w:divsChild>
        <w:div w:id="1654403930">
          <w:marLeft w:val="0"/>
          <w:marRight w:val="0"/>
          <w:marTop w:val="0"/>
          <w:marBottom w:val="0"/>
          <w:divBdr>
            <w:top w:val="none" w:sz="0" w:space="0" w:color="auto"/>
            <w:left w:val="none" w:sz="0" w:space="0" w:color="auto"/>
            <w:bottom w:val="none" w:sz="0" w:space="0" w:color="auto"/>
            <w:right w:val="none" w:sz="0" w:space="0" w:color="auto"/>
          </w:divBdr>
        </w:div>
      </w:divsChild>
    </w:div>
    <w:div w:id="665282899">
      <w:marLeft w:val="0"/>
      <w:marRight w:val="0"/>
      <w:marTop w:val="0"/>
      <w:marBottom w:val="0"/>
      <w:divBdr>
        <w:top w:val="none" w:sz="0" w:space="0" w:color="auto"/>
        <w:left w:val="none" w:sz="0" w:space="0" w:color="auto"/>
        <w:bottom w:val="none" w:sz="0" w:space="0" w:color="auto"/>
        <w:right w:val="none" w:sz="0" w:space="0" w:color="auto"/>
      </w:divBdr>
      <w:divsChild>
        <w:div w:id="644775756">
          <w:marLeft w:val="0"/>
          <w:marRight w:val="0"/>
          <w:marTop w:val="0"/>
          <w:marBottom w:val="0"/>
          <w:divBdr>
            <w:top w:val="none" w:sz="0" w:space="0" w:color="auto"/>
            <w:left w:val="none" w:sz="0" w:space="0" w:color="auto"/>
            <w:bottom w:val="none" w:sz="0" w:space="0" w:color="auto"/>
            <w:right w:val="none" w:sz="0" w:space="0" w:color="auto"/>
          </w:divBdr>
        </w:div>
      </w:divsChild>
    </w:div>
    <w:div w:id="666707828">
      <w:marLeft w:val="0"/>
      <w:marRight w:val="0"/>
      <w:marTop w:val="180"/>
      <w:marBottom w:val="0"/>
      <w:divBdr>
        <w:top w:val="none" w:sz="0" w:space="0" w:color="auto"/>
        <w:left w:val="none" w:sz="0" w:space="0" w:color="auto"/>
        <w:bottom w:val="none" w:sz="0" w:space="0" w:color="auto"/>
        <w:right w:val="none" w:sz="0" w:space="0" w:color="auto"/>
      </w:divBdr>
    </w:div>
    <w:div w:id="667830841">
      <w:marLeft w:val="0"/>
      <w:marRight w:val="0"/>
      <w:marTop w:val="0"/>
      <w:marBottom w:val="80"/>
      <w:divBdr>
        <w:top w:val="none" w:sz="0" w:space="0" w:color="auto"/>
        <w:left w:val="none" w:sz="0" w:space="0" w:color="auto"/>
        <w:bottom w:val="none" w:sz="0" w:space="0" w:color="auto"/>
        <w:right w:val="none" w:sz="0" w:space="0" w:color="auto"/>
      </w:divBdr>
      <w:divsChild>
        <w:div w:id="781149482">
          <w:marLeft w:val="0"/>
          <w:marRight w:val="0"/>
          <w:marTop w:val="0"/>
          <w:marBottom w:val="0"/>
          <w:divBdr>
            <w:top w:val="none" w:sz="0" w:space="0" w:color="auto"/>
            <w:left w:val="none" w:sz="0" w:space="0" w:color="auto"/>
            <w:bottom w:val="none" w:sz="0" w:space="0" w:color="auto"/>
            <w:right w:val="none" w:sz="0" w:space="0" w:color="auto"/>
          </w:divBdr>
        </w:div>
      </w:divsChild>
    </w:div>
    <w:div w:id="671760815">
      <w:marLeft w:val="0"/>
      <w:marRight w:val="0"/>
      <w:marTop w:val="0"/>
      <w:marBottom w:val="0"/>
      <w:divBdr>
        <w:top w:val="none" w:sz="0" w:space="0" w:color="auto"/>
        <w:left w:val="none" w:sz="0" w:space="0" w:color="auto"/>
        <w:bottom w:val="none" w:sz="0" w:space="0" w:color="auto"/>
        <w:right w:val="none" w:sz="0" w:space="0" w:color="auto"/>
      </w:divBdr>
    </w:div>
    <w:div w:id="675498477">
      <w:marLeft w:val="0"/>
      <w:marRight w:val="0"/>
      <w:marTop w:val="0"/>
      <w:marBottom w:val="0"/>
      <w:divBdr>
        <w:top w:val="none" w:sz="0" w:space="0" w:color="auto"/>
        <w:left w:val="none" w:sz="0" w:space="0" w:color="auto"/>
        <w:bottom w:val="none" w:sz="0" w:space="0" w:color="auto"/>
        <w:right w:val="none" w:sz="0" w:space="0" w:color="auto"/>
      </w:divBdr>
      <w:divsChild>
        <w:div w:id="1099106526">
          <w:marLeft w:val="0"/>
          <w:marRight w:val="0"/>
          <w:marTop w:val="0"/>
          <w:marBottom w:val="0"/>
          <w:divBdr>
            <w:top w:val="none" w:sz="0" w:space="0" w:color="auto"/>
            <w:left w:val="none" w:sz="0" w:space="0" w:color="auto"/>
            <w:bottom w:val="none" w:sz="0" w:space="0" w:color="auto"/>
            <w:right w:val="none" w:sz="0" w:space="0" w:color="auto"/>
          </w:divBdr>
        </w:div>
      </w:divsChild>
    </w:div>
    <w:div w:id="708411237">
      <w:marLeft w:val="0"/>
      <w:marRight w:val="0"/>
      <w:marTop w:val="0"/>
      <w:marBottom w:val="0"/>
      <w:divBdr>
        <w:top w:val="none" w:sz="0" w:space="0" w:color="auto"/>
        <w:left w:val="none" w:sz="0" w:space="0" w:color="auto"/>
        <w:bottom w:val="none" w:sz="0" w:space="0" w:color="auto"/>
        <w:right w:val="none" w:sz="0" w:space="0" w:color="auto"/>
      </w:divBdr>
      <w:divsChild>
        <w:div w:id="1768770446">
          <w:marLeft w:val="0"/>
          <w:marRight w:val="0"/>
          <w:marTop w:val="0"/>
          <w:marBottom w:val="0"/>
          <w:divBdr>
            <w:top w:val="none" w:sz="0" w:space="0" w:color="auto"/>
            <w:left w:val="none" w:sz="0" w:space="0" w:color="auto"/>
            <w:bottom w:val="none" w:sz="0" w:space="0" w:color="auto"/>
            <w:right w:val="none" w:sz="0" w:space="0" w:color="auto"/>
          </w:divBdr>
        </w:div>
      </w:divsChild>
    </w:div>
    <w:div w:id="733428326">
      <w:marLeft w:val="0"/>
      <w:marRight w:val="0"/>
      <w:marTop w:val="0"/>
      <w:marBottom w:val="180"/>
      <w:divBdr>
        <w:top w:val="none" w:sz="0" w:space="0" w:color="auto"/>
        <w:left w:val="none" w:sz="0" w:space="0" w:color="auto"/>
        <w:bottom w:val="none" w:sz="0" w:space="0" w:color="auto"/>
        <w:right w:val="none" w:sz="0" w:space="0" w:color="auto"/>
      </w:divBdr>
    </w:div>
    <w:div w:id="745542271">
      <w:marLeft w:val="0"/>
      <w:marRight w:val="0"/>
      <w:marTop w:val="0"/>
      <w:marBottom w:val="0"/>
      <w:divBdr>
        <w:top w:val="none" w:sz="0" w:space="0" w:color="auto"/>
        <w:left w:val="none" w:sz="0" w:space="0" w:color="auto"/>
        <w:bottom w:val="none" w:sz="0" w:space="0" w:color="auto"/>
        <w:right w:val="none" w:sz="0" w:space="0" w:color="auto"/>
      </w:divBdr>
    </w:div>
    <w:div w:id="747314203">
      <w:marLeft w:val="0"/>
      <w:marRight w:val="0"/>
      <w:marTop w:val="0"/>
      <w:marBottom w:val="0"/>
      <w:divBdr>
        <w:top w:val="none" w:sz="0" w:space="0" w:color="auto"/>
        <w:left w:val="none" w:sz="0" w:space="0" w:color="auto"/>
        <w:bottom w:val="none" w:sz="0" w:space="0" w:color="auto"/>
        <w:right w:val="none" w:sz="0" w:space="0" w:color="auto"/>
      </w:divBdr>
      <w:divsChild>
        <w:div w:id="1734886159">
          <w:marLeft w:val="0"/>
          <w:marRight w:val="0"/>
          <w:marTop w:val="0"/>
          <w:marBottom w:val="0"/>
          <w:divBdr>
            <w:top w:val="none" w:sz="0" w:space="0" w:color="auto"/>
            <w:left w:val="none" w:sz="0" w:space="0" w:color="auto"/>
            <w:bottom w:val="none" w:sz="0" w:space="0" w:color="auto"/>
            <w:right w:val="none" w:sz="0" w:space="0" w:color="auto"/>
          </w:divBdr>
        </w:div>
      </w:divsChild>
    </w:div>
    <w:div w:id="779228694">
      <w:marLeft w:val="0"/>
      <w:marRight w:val="0"/>
      <w:marTop w:val="0"/>
      <w:marBottom w:val="0"/>
      <w:divBdr>
        <w:top w:val="none" w:sz="0" w:space="0" w:color="auto"/>
        <w:left w:val="none" w:sz="0" w:space="0" w:color="auto"/>
        <w:bottom w:val="none" w:sz="0" w:space="0" w:color="auto"/>
        <w:right w:val="none" w:sz="0" w:space="0" w:color="auto"/>
      </w:divBdr>
    </w:div>
    <w:div w:id="799804149">
      <w:marLeft w:val="0"/>
      <w:marRight w:val="0"/>
      <w:marTop w:val="0"/>
      <w:marBottom w:val="180"/>
      <w:divBdr>
        <w:top w:val="none" w:sz="0" w:space="0" w:color="auto"/>
        <w:left w:val="none" w:sz="0" w:space="0" w:color="auto"/>
        <w:bottom w:val="none" w:sz="0" w:space="0" w:color="auto"/>
        <w:right w:val="none" w:sz="0" w:space="0" w:color="auto"/>
      </w:divBdr>
    </w:div>
    <w:div w:id="802700459">
      <w:marLeft w:val="0"/>
      <w:marRight w:val="0"/>
      <w:marTop w:val="0"/>
      <w:marBottom w:val="80"/>
      <w:divBdr>
        <w:top w:val="none" w:sz="0" w:space="0" w:color="auto"/>
        <w:left w:val="none" w:sz="0" w:space="0" w:color="auto"/>
        <w:bottom w:val="none" w:sz="0" w:space="0" w:color="auto"/>
        <w:right w:val="none" w:sz="0" w:space="0" w:color="auto"/>
      </w:divBdr>
      <w:divsChild>
        <w:div w:id="348336819">
          <w:marLeft w:val="0"/>
          <w:marRight w:val="0"/>
          <w:marTop w:val="0"/>
          <w:marBottom w:val="0"/>
          <w:divBdr>
            <w:top w:val="none" w:sz="0" w:space="0" w:color="auto"/>
            <w:left w:val="none" w:sz="0" w:space="0" w:color="auto"/>
            <w:bottom w:val="none" w:sz="0" w:space="0" w:color="auto"/>
            <w:right w:val="none" w:sz="0" w:space="0" w:color="auto"/>
          </w:divBdr>
        </w:div>
      </w:divsChild>
    </w:div>
    <w:div w:id="812261023">
      <w:marLeft w:val="0"/>
      <w:marRight w:val="0"/>
      <w:marTop w:val="0"/>
      <w:marBottom w:val="0"/>
      <w:divBdr>
        <w:top w:val="none" w:sz="0" w:space="0" w:color="auto"/>
        <w:left w:val="none" w:sz="0" w:space="0" w:color="auto"/>
        <w:bottom w:val="none" w:sz="0" w:space="0" w:color="auto"/>
        <w:right w:val="none" w:sz="0" w:space="0" w:color="auto"/>
      </w:divBdr>
    </w:div>
    <w:div w:id="816727818">
      <w:marLeft w:val="0"/>
      <w:marRight w:val="0"/>
      <w:marTop w:val="0"/>
      <w:marBottom w:val="80"/>
      <w:divBdr>
        <w:top w:val="none" w:sz="0" w:space="0" w:color="auto"/>
        <w:left w:val="none" w:sz="0" w:space="0" w:color="auto"/>
        <w:bottom w:val="none" w:sz="0" w:space="0" w:color="auto"/>
        <w:right w:val="none" w:sz="0" w:space="0" w:color="auto"/>
      </w:divBdr>
      <w:divsChild>
        <w:div w:id="194081276">
          <w:marLeft w:val="0"/>
          <w:marRight w:val="0"/>
          <w:marTop w:val="0"/>
          <w:marBottom w:val="0"/>
          <w:divBdr>
            <w:top w:val="none" w:sz="0" w:space="0" w:color="auto"/>
            <w:left w:val="none" w:sz="0" w:space="0" w:color="auto"/>
            <w:bottom w:val="none" w:sz="0" w:space="0" w:color="auto"/>
            <w:right w:val="none" w:sz="0" w:space="0" w:color="auto"/>
          </w:divBdr>
        </w:div>
        <w:div w:id="194390866">
          <w:marLeft w:val="0"/>
          <w:marRight w:val="0"/>
          <w:marTop w:val="0"/>
          <w:marBottom w:val="0"/>
          <w:divBdr>
            <w:top w:val="none" w:sz="0" w:space="0" w:color="auto"/>
            <w:left w:val="none" w:sz="0" w:space="0" w:color="auto"/>
            <w:bottom w:val="none" w:sz="0" w:space="0" w:color="auto"/>
            <w:right w:val="none" w:sz="0" w:space="0" w:color="auto"/>
          </w:divBdr>
        </w:div>
      </w:divsChild>
    </w:div>
    <w:div w:id="823548991">
      <w:marLeft w:val="0"/>
      <w:marRight w:val="0"/>
      <w:marTop w:val="0"/>
      <w:marBottom w:val="0"/>
      <w:divBdr>
        <w:top w:val="none" w:sz="0" w:space="0" w:color="auto"/>
        <w:left w:val="none" w:sz="0" w:space="0" w:color="auto"/>
        <w:bottom w:val="none" w:sz="0" w:space="0" w:color="auto"/>
        <w:right w:val="none" w:sz="0" w:space="0" w:color="auto"/>
      </w:divBdr>
    </w:div>
    <w:div w:id="824510694">
      <w:marLeft w:val="0"/>
      <w:marRight w:val="0"/>
      <w:marTop w:val="0"/>
      <w:marBottom w:val="180"/>
      <w:divBdr>
        <w:top w:val="none" w:sz="0" w:space="0" w:color="auto"/>
        <w:left w:val="none" w:sz="0" w:space="0" w:color="auto"/>
        <w:bottom w:val="none" w:sz="0" w:space="0" w:color="auto"/>
        <w:right w:val="none" w:sz="0" w:space="0" w:color="auto"/>
      </w:divBdr>
    </w:div>
    <w:div w:id="827329264">
      <w:marLeft w:val="0"/>
      <w:marRight w:val="0"/>
      <w:marTop w:val="0"/>
      <w:marBottom w:val="180"/>
      <w:divBdr>
        <w:top w:val="none" w:sz="0" w:space="0" w:color="auto"/>
        <w:left w:val="none" w:sz="0" w:space="0" w:color="auto"/>
        <w:bottom w:val="none" w:sz="0" w:space="0" w:color="auto"/>
        <w:right w:val="none" w:sz="0" w:space="0" w:color="auto"/>
      </w:divBdr>
    </w:div>
    <w:div w:id="828714479">
      <w:marLeft w:val="0"/>
      <w:marRight w:val="0"/>
      <w:marTop w:val="0"/>
      <w:marBottom w:val="180"/>
      <w:divBdr>
        <w:top w:val="none" w:sz="0" w:space="0" w:color="auto"/>
        <w:left w:val="none" w:sz="0" w:space="0" w:color="auto"/>
        <w:bottom w:val="none" w:sz="0" w:space="0" w:color="auto"/>
        <w:right w:val="none" w:sz="0" w:space="0" w:color="auto"/>
      </w:divBdr>
    </w:div>
    <w:div w:id="837503387">
      <w:marLeft w:val="0"/>
      <w:marRight w:val="0"/>
      <w:marTop w:val="0"/>
      <w:marBottom w:val="0"/>
      <w:divBdr>
        <w:top w:val="none" w:sz="0" w:space="0" w:color="auto"/>
        <w:left w:val="none" w:sz="0" w:space="0" w:color="auto"/>
        <w:bottom w:val="none" w:sz="0" w:space="0" w:color="auto"/>
        <w:right w:val="none" w:sz="0" w:space="0" w:color="auto"/>
      </w:divBdr>
    </w:div>
    <w:div w:id="864446069">
      <w:marLeft w:val="0"/>
      <w:marRight w:val="0"/>
      <w:marTop w:val="0"/>
      <w:marBottom w:val="0"/>
      <w:divBdr>
        <w:top w:val="none" w:sz="0" w:space="0" w:color="auto"/>
        <w:left w:val="none" w:sz="0" w:space="0" w:color="auto"/>
        <w:bottom w:val="none" w:sz="0" w:space="0" w:color="auto"/>
        <w:right w:val="none" w:sz="0" w:space="0" w:color="auto"/>
      </w:divBdr>
    </w:div>
    <w:div w:id="893735656">
      <w:marLeft w:val="0"/>
      <w:marRight w:val="0"/>
      <w:marTop w:val="0"/>
      <w:marBottom w:val="0"/>
      <w:divBdr>
        <w:top w:val="none" w:sz="0" w:space="0" w:color="auto"/>
        <w:left w:val="none" w:sz="0" w:space="0" w:color="auto"/>
        <w:bottom w:val="none" w:sz="0" w:space="0" w:color="auto"/>
        <w:right w:val="none" w:sz="0" w:space="0" w:color="auto"/>
      </w:divBdr>
    </w:div>
    <w:div w:id="894702717">
      <w:marLeft w:val="0"/>
      <w:marRight w:val="0"/>
      <w:marTop w:val="0"/>
      <w:marBottom w:val="0"/>
      <w:divBdr>
        <w:top w:val="none" w:sz="0" w:space="0" w:color="auto"/>
        <w:left w:val="none" w:sz="0" w:space="0" w:color="auto"/>
        <w:bottom w:val="none" w:sz="0" w:space="0" w:color="auto"/>
        <w:right w:val="none" w:sz="0" w:space="0" w:color="auto"/>
      </w:divBdr>
    </w:div>
    <w:div w:id="901216468">
      <w:marLeft w:val="0"/>
      <w:marRight w:val="0"/>
      <w:marTop w:val="0"/>
      <w:marBottom w:val="0"/>
      <w:divBdr>
        <w:top w:val="none" w:sz="0" w:space="0" w:color="auto"/>
        <w:left w:val="none" w:sz="0" w:space="0" w:color="auto"/>
        <w:bottom w:val="none" w:sz="0" w:space="0" w:color="auto"/>
        <w:right w:val="none" w:sz="0" w:space="0" w:color="auto"/>
      </w:divBdr>
    </w:div>
    <w:div w:id="901990192">
      <w:marLeft w:val="0"/>
      <w:marRight w:val="0"/>
      <w:marTop w:val="0"/>
      <w:marBottom w:val="0"/>
      <w:divBdr>
        <w:top w:val="none" w:sz="0" w:space="0" w:color="auto"/>
        <w:left w:val="none" w:sz="0" w:space="0" w:color="auto"/>
        <w:bottom w:val="none" w:sz="0" w:space="0" w:color="auto"/>
        <w:right w:val="none" w:sz="0" w:space="0" w:color="auto"/>
      </w:divBdr>
      <w:divsChild>
        <w:div w:id="1101682238">
          <w:marLeft w:val="0"/>
          <w:marRight w:val="0"/>
          <w:marTop w:val="0"/>
          <w:marBottom w:val="0"/>
          <w:divBdr>
            <w:top w:val="none" w:sz="0" w:space="0" w:color="auto"/>
            <w:left w:val="none" w:sz="0" w:space="0" w:color="auto"/>
            <w:bottom w:val="none" w:sz="0" w:space="0" w:color="auto"/>
            <w:right w:val="none" w:sz="0" w:space="0" w:color="auto"/>
          </w:divBdr>
        </w:div>
      </w:divsChild>
    </w:div>
    <w:div w:id="911158532">
      <w:marLeft w:val="0"/>
      <w:marRight w:val="0"/>
      <w:marTop w:val="0"/>
      <w:marBottom w:val="0"/>
      <w:divBdr>
        <w:top w:val="none" w:sz="0" w:space="0" w:color="auto"/>
        <w:left w:val="none" w:sz="0" w:space="0" w:color="auto"/>
        <w:bottom w:val="none" w:sz="0" w:space="0" w:color="auto"/>
        <w:right w:val="none" w:sz="0" w:space="0" w:color="auto"/>
      </w:divBdr>
      <w:divsChild>
        <w:div w:id="1392461817">
          <w:marLeft w:val="0"/>
          <w:marRight w:val="0"/>
          <w:marTop w:val="0"/>
          <w:marBottom w:val="0"/>
          <w:divBdr>
            <w:top w:val="none" w:sz="0" w:space="0" w:color="auto"/>
            <w:left w:val="none" w:sz="0" w:space="0" w:color="auto"/>
            <w:bottom w:val="none" w:sz="0" w:space="0" w:color="auto"/>
            <w:right w:val="none" w:sz="0" w:space="0" w:color="auto"/>
          </w:divBdr>
        </w:div>
      </w:divsChild>
    </w:div>
    <w:div w:id="917986222">
      <w:marLeft w:val="0"/>
      <w:marRight w:val="0"/>
      <w:marTop w:val="0"/>
      <w:marBottom w:val="0"/>
      <w:divBdr>
        <w:top w:val="none" w:sz="0" w:space="0" w:color="auto"/>
        <w:left w:val="none" w:sz="0" w:space="0" w:color="auto"/>
        <w:bottom w:val="none" w:sz="0" w:space="0" w:color="auto"/>
        <w:right w:val="none" w:sz="0" w:space="0" w:color="auto"/>
      </w:divBdr>
    </w:div>
    <w:div w:id="925841284">
      <w:marLeft w:val="0"/>
      <w:marRight w:val="0"/>
      <w:marTop w:val="0"/>
      <w:marBottom w:val="180"/>
      <w:divBdr>
        <w:top w:val="none" w:sz="0" w:space="0" w:color="auto"/>
        <w:left w:val="none" w:sz="0" w:space="0" w:color="auto"/>
        <w:bottom w:val="none" w:sz="0" w:space="0" w:color="auto"/>
        <w:right w:val="none" w:sz="0" w:space="0" w:color="auto"/>
      </w:divBdr>
    </w:div>
    <w:div w:id="937367865">
      <w:marLeft w:val="0"/>
      <w:marRight w:val="0"/>
      <w:marTop w:val="0"/>
      <w:marBottom w:val="0"/>
      <w:divBdr>
        <w:top w:val="none" w:sz="0" w:space="0" w:color="auto"/>
        <w:left w:val="none" w:sz="0" w:space="0" w:color="auto"/>
        <w:bottom w:val="none" w:sz="0" w:space="0" w:color="auto"/>
        <w:right w:val="none" w:sz="0" w:space="0" w:color="auto"/>
      </w:divBdr>
      <w:divsChild>
        <w:div w:id="50927899">
          <w:marLeft w:val="0"/>
          <w:marRight w:val="0"/>
          <w:marTop w:val="0"/>
          <w:marBottom w:val="0"/>
          <w:divBdr>
            <w:top w:val="none" w:sz="0" w:space="0" w:color="auto"/>
            <w:left w:val="none" w:sz="0" w:space="0" w:color="auto"/>
            <w:bottom w:val="none" w:sz="0" w:space="0" w:color="auto"/>
            <w:right w:val="none" w:sz="0" w:space="0" w:color="auto"/>
          </w:divBdr>
        </w:div>
      </w:divsChild>
    </w:div>
    <w:div w:id="952829169">
      <w:marLeft w:val="0"/>
      <w:marRight w:val="0"/>
      <w:marTop w:val="0"/>
      <w:marBottom w:val="180"/>
      <w:divBdr>
        <w:top w:val="none" w:sz="0" w:space="0" w:color="auto"/>
        <w:left w:val="none" w:sz="0" w:space="0" w:color="auto"/>
        <w:bottom w:val="none" w:sz="0" w:space="0" w:color="auto"/>
        <w:right w:val="none" w:sz="0" w:space="0" w:color="auto"/>
      </w:divBdr>
    </w:div>
    <w:div w:id="953292045">
      <w:marLeft w:val="0"/>
      <w:marRight w:val="0"/>
      <w:marTop w:val="0"/>
      <w:marBottom w:val="0"/>
      <w:divBdr>
        <w:top w:val="none" w:sz="0" w:space="0" w:color="auto"/>
        <w:left w:val="none" w:sz="0" w:space="0" w:color="auto"/>
        <w:bottom w:val="none" w:sz="0" w:space="0" w:color="auto"/>
        <w:right w:val="none" w:sz="0" w:space="0" w:color="auto"/>
      </w:divBdr>
    </w:div>
    <w:div w:id="953757010">
      <w:marLeft w:val="0"/>
      <w:marRight w:val="0"/>
      <w:marTop w:val="0"/>
      <w:marBottom w:val="0"/>
      <w:divBdr>
        <w:top w:val="none" w:sz="0" w:space="0" w:color="auto"/>
        <w:left w:val="none" w:sz="0" w:space="0" w:color="auto"/>
        <w:bottom w:val="none" w:sz="0" w:space="0" w:color="auto"/>
        <w:right w:val="none" w:sz="0" w:space="0" w:color="auto"/>
      </w:divBdr>
      <w:divsChild>
        <w:div w:id="1257790148">
          <w:marLeft w:val="0"/>
          <w:marRight w:val="0"/>
          <w:marTop w:val="0"/>
          <w:marBottom w:val="0"/>
          <w:divBdr>
            <w:top w:val="none" w:sz="0" w:space="0" w:color="auto"/>
            <w:left w:val="none" w:sz="0" w:space="0" w:color="auto"/>
            <w:bottom w:val="none" w:sz="0" w:space="0" w:color="auto"/>
            <w:right w:val="none" w:sz="0" w:space="0" w:color="auto"/>
          </w:divBdr>
        </w:div>
      </w:divsChild>
    </w:div>
    <w:div w:id="953831598">
      <w:marLeft w:val="0"/>
      <w:marRight w:val="0"/>
      <w:marTop w:val="0"/>
      <w:marBottom w:val="180"/>
      <w:divBdr>
        <w:top w:val="none" w:sz="0" w:space="0" w:color="auto"/>
        <w:left w:val="none" w:sz="0" w:space="0" w:color="auto"/>
        <w:bottom w:val="none" w:sz="0" w:space="0" w:color="auto"/>
        <w:right w:val="none" w:sz="0" w:space="0" w:color="auto"/>
      </w:divBdr>
    </w:div>
    <w:div w:id="959996937">
      <w:marLeft w:val="0"/>
      <w:marRight w:val="0"/>
      <w:marTop w:val="0"/>
      <w:marBottom w:val="0"/>
      <w:divBdr>
        <w:top w:val="none" w:sz="0" w:space="0" w:color="auto"/>
        <w:left w:val="none" w:sz="0" w:space="0" w:color="auto"/>
        <w:bottom w:val="none" w:sz="0" w:space="0" w:color="auto"/>
        <w:right w:val="none" w:sz="0" w:space="0" w:color="auto"/>
      </w:divBdr>
      <w:divsChild>
        <w:div w:id="646058474">
          <w:marLeft w:val="0"/>
          <w:marRight w:val="0"/>
          <w:marTop w:val="0"/>
          <w:marBottom w:val="0"/>
          <w:divBdr>
            <w:top w:val="none" w:sz="0" w:space="0" w:color="auto"/>
            <w:left w:val="none" w:sz="0" w:space="0" w:color="auto"/>
            <w:bottom w:val="none" w:sz="0" w:space="0" w:color="auto"/>
            <w:right w:val="none" w:sz="0" w:space="0" w:color="auto"/>
          </w:divBdr>
        </w:div>
      </w:divsChild>
    </w:div>
    <w:div w:id="962342110">
      <w:marLeft w:val="0"/>
      <w:marRight w:val="0"/>
      <w:marTop w:val="180"/>
      <w:marBottom w:val="0"/>
      <w:divBdr>
        <w:top w:val="none" w:sz="0" w:space="0" w:color="auto"/>
        <w:left w:val="none" w:sz="0" w:space="0" w:color="auto"/>
        <w:bottom w:val="none" w:sz="0" w:space="0" w:color="auto"/>
        <w:right w:val="none" w:sz="0" w:space="0" w:color="auto"/>
      </w:divBdr>
    </w:div>
    <w:div w:id="988678788">
      <w:marLeft w:val="0"/>
      <w:marRight w:val="0"/>
      <w:marTop w:val="180"/>
      <w:marBottom w:val="0"/>
      <w:divBdr>
        <w:top w:val="none" w:sz="0" w:space="0" w:color="auto"/>
        <w:left w:val="none" w:sz="0" w:space="0" w:color="auto"/>
        <w:bottom w:val="none" w:sz="0" w:space="0" w:color="auto"/>
        <w:right w:val="none" w:sz="0" w:space="0" w:color="auto"/>
      </w:divBdr>
    </w:div>
    <w:div w:id="991446485">
      <w:marLeft w:val="0"/>
      <w:marRight w:val="0"/>
      <w:marTop w:val="0"/>
      <w:marBottom w:val="0"/>
      <w:divBdr>
        <w:top w:val="none" w:sz="0" w:space="0" w:color="auto"/>
        <w:left w:val="none" w:sz="0" w:space="0" w:color="auto"/>
        <w:bottom w:val="none" w:sz="0" w:space="0" w:color="auto"/>
        <w:right w:val="none" w:sz="0" w:space="0" w:color="auto"/>
      </w:divBdr>
      <w:divsChild>
        <w:div w:id="1981228056">
          <w:marLeft w:val="0"/>
          <w:marRight w:val="0"/>
          <w:marTop w:val="0"/>
          <w:marBottom w:val="0"/>
          <w:divBdr>
            <w:top w:val="none" w:sz="0" w:space="0" w:color="auto"/>
            <w:left w:val="none" w:sz="0" w:space="0" w:color="auto"/>
            <w:bottom w:val="none" w:sz="0" w:space="0" w:color="auto"/>
            <w:right w:val="none" w:sz="0" w:space="0" w:color="auto"/>
          </w:divBdr>
        </w:div>
      </w:divsChild>
    </w:div>
    <w:div w:id="993796215">
      <w:marLeft w:val="0"/>
      <w:marRight w:val="0"/>
      <w:marTop w:val="0"/>
      <w:marBottom w:val="0"/>
      <w:divBdr>
        <w:top w:val="none" w:sz="0" w:space="0" w:color="auto"/>
        <w:left w:val="none" w:sz="0" w:space="0" w:color="auto"/>
        <w:bottom w:val="none" w:sz="0" w:space="0" w:color="auto"/>
        <w:right w:val="none" w:sz="0" w:space="0" w:color="auto"/>
      </w:divBdr>
      <w:divsChild>
        <w:div w:id="1828473429">
          <w:marLeft w:val="0"/>
          <w:marRight w:val="0"/>
          <w:marTop w:val="0"/>
          <w:marBottom w:val="0"/>
          <w:divBdr>
            <w:top w:val="none" w:sz="0" w:space="0" w:color="auto"/>
            <w:left w:val="none" w:sz="0" w:space="0" w:color="auto"/>
            <w:bottom w:val="none" w:sz="0" w:space="0" w:color="auto"/>
            <w:right w:val="none" w:sz="0" w:space="0" w:color="auto"/>
          </w:divBdr>
        </w:div>
      </w:divsChild>
    </w:div>
    <w:div w:id="1005474313">
      <w:marLeft w:val="0"/>
      <w:marRight w:val="0"/>
      <w:marTop w:val="0"/>
      <w:marBottom w:val="0"/>
      <w:divBdr>
        <w:top w:val="none" w:sz="0" w:space="0" w:color="auto"/>
        <w:left w:val="none" w:sz="0" w:space="0" w:color="auto"/>
        <w:bottom w:val="none" w:sz="0" w:space="0" w:color="auto"/>
        <w:right w:val="none" w:sz="0" w:space="0" w:color="auto"/>
      </w:divBdr>
    </w:div>
    <w:div w:id="1024136504">
      <w:marLeft w:val="0"/>
      <w:marRight w:val="0"/>
      <w:marTop w:val="0"/>
      <w:marBottom w:val="180"/>
      <w:divBdr>
        <w:top w:val="none" w:sz="0" w:space="0" w:color="auto"/>
        <w:left w:val="none" w:sz="0" w:space="0" w:color="auto"/>
        <w:bottom w:val="none" w:sz="0" w:space="0" w:color="auto"/>
        <w:right w:val="none" w:sz="0" w:space="0" w:color="auto"/>
      </w:divBdr>
    </w:div>
    <w:div w:id="1035082760">
      <w:marLeft w:val="0"/>
      <w:marRight w:val="0"/>
      <w:marTop w:val="0"/>
      <w:marBottom w:val="320"/>
      <w:divBdr>
        <w:top w:val="none" w:sz="0" w:space="0" w:color="auto"/>
        <w:left w:val="none" w:sz="0" w:space="0" w:color="auto"/>
        <w:bottom w:val="none" w:sz="0" w:space="0" w:color="auto"/>
        <w:right w:val="none" w:sz="0" w:space="0" w:color="auto"/>
      </w:divBdr>
    </w:div>
    <w:div w:id="1041633914">
      <w:marLeft w:val="0"/>
      <w:marRight w:val="0"/>
      <w:marTop w:val="0"/>
      <w:marBottom w:val="0"/>
      <w:divBdr>
        <w:top w:val="none" w:sz="0" w:space="0" w:color="auto"/>
        <w:left w:val="none" w:sz="0" w:space="0" w:color="auto"/>
        <w:bottom w:val="none" w:sz="0" w:space="0" w:color="auto"/>
        <w:right w:val="none" w:sz="0" w:space="0" w:color="auto"/>
      </w:divBdr>
      <w:divsChild>
        <w:div w:id="2106682594">
          <w:marLeft w:val="0"/>
          <w:marRight w:val="0"/>
          <w:marTop w:val="0"/>
          <w:marBottom w:val="0"/>
          <w:divBdr>
            <w:top w:val="none" w:sz="0" w:space="0" w:color="auto"/>
            <w:left w:val="none" w:sz="0" w:space="0" w:color="auto"/>
            <w:bottom w:val="none" w:sz="0" w:space="0" w:color="auto"/>
            <w:right w:val="none" w:sz="0" w:space="0" w:color="auto"/>
          </w:divBdr>
        </w:div>
      </w:divsChild>
    </w:div>
    <w:div w:id="1045983999">
      <w:marLeft w:val="0"/>
      <w:marRight w:val="0"/>
      <w:marTop w:val="120"/>
      <w:marBottom w:val="0"/>
      <w:divBdr>
        <w:top w:val="none" w:sz="0" w:space="0" w:color="auto"/>
        <w:left w:val="none" w:sz="0" w:space="0" w:color="auto"/>
        <w:bottom w:val="none" w:sz="0" w:space="0" w:color="auto"/>
        <w:right w:val="none" w:sz="0" w:space="0" w:color="auto"/>
      </w:divBdr>
    </w:div>
    <w:div w:id="1052656453">
      <w:marLeft w:val="0"/>
      <w:marRight w:val="0"/>
      <w:marTop w:val="0"/>
      <w:marBottom w:val="0"/>
      <w:divBdr>
        <w:top w:val="none" w:sz="0" w:space="0" w:color="auto"/>
        <w:left w:val="none" w:sz="0" w:space="0" w:color="auto"/>
        <w:bottom w:val="none" w:sz="0" w:space="0" w:color="auto"/>
        <w:right w:val="none" w:sz="0" w:space="0" w:color="auto"/>
      </w:divBdr>
      <w:divsChild>
        <w:div w:id="239414500">
          <w:marLeft w:val="0"/>
          <w:marRight w:val="0"/>
          <w:marTop w:val="0"/>
          <w:marBottom w:val="0"/>
          <w:divBdr>
            <w:top w:val="none" w:sz="0" w:space="0" w:color="auto"/>
            <w:left w:val="none" w:sz="0" w:space="0" w:color="auto"/>
            <w:bottom w:val="none" w:sz="0" w:space="0" w:color="auto"/>
            <w:right w:val="none" w:sz="0" w:space="0" w:color="auto"/>
          </w:divBdr>
          <w:divsChild>
            <w:div w:id="252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5513">
      <w:marLeft w:val="0"/>
      <w:marRight w:val="0"/>
      <w:marTop w:val="0"/>
      <w:marBottom w:val="0"/>
      <w:divBdr>
        <w:top w:val="none" w:sz="0" w:space="0" w:color="auto"/>
        <w:left w:val="none" w:sz="0" w:space="0" w:color="auto"/>
        <w:bottom w:val="none" w:sz="0" w:space="0" w:color="auto"/>
        <w:right w:val="none" w:sz="0" w:space="0" w:color="auto"/>
      </w:divBdr>
      <w:divsChild>
        <w:div w:id="1935899084">
          <w:marLeft w:val="0"/>
          <w:marRight w:val="0"/>
          <w:marTop w:val="0"/>
          <w:marBottom w:val="0"/>
          <w:divBdr>
            <w:top w:val="none" w:sz="0" w:space="0" w:color="auto"/>
            <w:left w:val="none" w:sz="0" w:space="0" w:color="auto"/>
            <w:bottom w:val="none" w:sz="0" w:space="0" w:color="auto"/>
            <w:right w:val="none" w:sz="0" w:space="0" w:color="auto"/>
          </w:divBdr>
        </w:div>
      </w:divsChild>
    </w:div>
    <w:div w:id="1079400373">
      <w:marLeft w:val="0"/>
      <w:marRight w:val="0"/>
      <w:marTop w:val="0"/>
      <w:marBottom w:val="0"/>
      <w:divBdr>
        <w:top w:val="none" w:sz="0" w:space="0" w:color="auto"/>
        <w:left w:val="none" w:sz="0" w:space="0" w:color="auto"/>
        <w:bottom w:val="none" w:sz="0" w:space="0" w:color="auto"/>
        <w:right w:val="none" w:sz="0" w:space="0" w:color="auto"/>
      </w:divBdr>
    </w:div>
    <w:div w:id="1085691016">
      <w:marLeft w:val="0"/>
      <w:marRight w:val="0"/>
      <w:marTop w:val="0"/>
      <w:marBottom w:val="0"/>
      <w:divBdr>
        <w:top w:val="none" w:sz="0" w:space="0" w:color="auto"/>
        <w:left w:val="none" w:sz="0" w:space="0" w:color="auto"/>
        <w:bottom w:val="none" w:sz="0" w:space="0" w:color="auto"/>
        <w:right w:val="none" w:sz="0" w:space="0" w:color="auto"/>
      </w:divBdr>
    </w:div>
    <w:div w:id="1088042452">
      <w:marLeft w:val="0"/>
      <w:marRight w:val="0"/>
      <w:marTop w:val="0"/>
      <w:marBottom w:val="180"/>
      <w:divBdr>
        <w:top w:val="none" w:sz="0" w:space="0" w:color="auto"/>
        <w:left w:val="none" w:sz="0" w:space="0" w:color="auto"/>
        <w:bottom w:val="none" w:sz="0" w:space="0" w:color="auto"/>
        <w:right w:val="none" w:sz="0" w:space="0" w:color="auto"/>
      </w:divBdr>
    </w:div>
    <w:div w:id="1091781052">
      <w:marLeft w:val="0"/>
      <w:marRight w:val="0"/>
      <w:marTop w:val="0"/>
      <w:marBottom w:val="180"/>
      <w:divBdr>
        <w:top w:val="none" w:sz="0" w:space="0" w:color="auto"/>
        <w:left w:val="none" w:sz="0" w:space="0" w:color="auto"/>
        <w:bottom w:val="none" w:sz="0" w:space="0" w:color="auto"/>
        <w:right w:val="none" w:sz="0" w:space="0" w:color="auto"/>
      </w:divBdr>
    </w:div>
    <w:div w:id="1091970730">
      <w:marLeft w:val="0"/>
      <w:marRight w:val="0"/>
      <w:marTop w:val="0"/>
      <w:marBottom w:val="0"/>
      <w:divBdr>
        <w:top w:val="none" w:sz="0" w:space="0" w:color="auto"/>
        <w:left w:val="none" w:sz="0" w:space="0" w:color="auto"/>
        <w:bottom w:val="none" w:sz="0" w:space="0" w:color="auto"/>
        <w:right w:val="none" w:sz="0" w:space="0" w:color="auto"/>
      </w:divBdr>
      <w:divsChild>
        <w:div w:id="1250698511">
          <w:marLeft w:val="0"/>
          <w:marRight w:val="0"/>
          <w:marTop w:val="0"/>
          <w:marBottom w:val="0"/>
          <w:divBdr>
            <w:top w:val="none" w:sz="0" w:space="0" w:color="auto"/>
            <w:left w:val="none" w:sz="0" w:space="0" w:color="auto"/>
            <w:bottom w:val="none" w:sz="0" w:space="0" w:color="auto"/>
            <w:right w:val="none" w:sz="0" w:space="0" w:color="auto"/>
          </w:divBdr>
        </w:div>
      </w:divsChild>
    </w:div>
    <w:div w:id="1095323277">
      <w:marLeft w:val="0"/>
      <w:marRight w:val="0"/>
      <w:marTop w:val="0"/>
      <w:marBottom w:val="0"/>
      <w:divBdr>
        <w:top w:val="none" w:sz="0" w:space="0" w:color="auto"/>
        <w:left w:val="none" w:sz="0" w:space="0" w:color="auto"/>
        <w:bottom w:val="none" w:sz="0" w:space="0" w:color="auto"/>
        <w:right w:val="none" w:sz="0" w:space="0" w:color="auto"/>
      </w:divBdr>
      <w:divsChild>
        <w:div w:id="27923059">
          <w:marLeft w:val="0"/>
          <w:marRight w:val="0"/>
          <w:marTop w:val="0"/>
          <w:marBottom w:val="0"/>
          <w:divBdr>
            <w:top w:val="none" w:sz="0" w:space="0" w:color="auto"/>
            <w:left w:val="none" w:sz="0" w:space="0" w:color="auto"/>
            <w:bottom w:val="none" w:sz="0" w:space="0" w:color="auto"/>
            <w:right w:val="none" w:sz="0" w:space="0" w:color="auto"/>
          </w:divBdr>
        </w:div>
      </w:divsChild>
    </w:div>
    <w:div w:id="1112701967">
      <w:marLeft w:val="0"/>
      <w:marRight w:val="0"/>
      <w:marTop w:val="0"/>
      <w:marBottom w:val="180"/>
      <w:divBdr>
        <w:top w:val="none" w:sz="0" w:space="0" w:color="auto"/>
        <w:left w:val="none" w:sz="0" w:space="0" w:color="auto"/>
        <w:bottom w:val="none" w:sz="0" w:space="0" w:color="auto"/>
        <w:right w:val="none" w:sz="0" w:space="0" w:color="auto"/>
      </w:divBdr>
    </w:div>
    <w:div w:id="1142384109">
      <w:marLeft w:val="0"/>
      <w:marRight w:val="0"/>
      <w:marTop w:val="0"/>
      <w:marBottom w:val="0"/>
      <w:divBdr>
        <w:top w:val="none" w:sz="0" w:space="0" w:color="auto"/>
        <w:left w:val="none" w:sz="0" w:space="0" w:color="auto"/>
        <w:bottom w:val="none" w:sz="0" w:space="0" w:color="auto"/>
        <w:right w:val="none" w:sz="0" w:space="0" w:color="auto"/>
      </w:divBdr>
      <w:divsChild>
        <w:div w:id="488638546">
          <w:marLeft w:val="0"/>
          <w:marRight w:val="0"/>
          <w:marTop w:val="0"/>
          <w:marBottom w:val="0"/>
          <w:divBdr>
            <w:top w:val="none" w:sz="0" w:space="0" w:color="auto"/>
            <w:left w:val="none" w:sz="0" w:space="0" w:color="auto"/>
            <w:bottom w:val="none" w:sz="0" w:space="0" w:color="auto"/>
            <w:right w:val="none" w:sz="0" w:space="0" w:color="auto"/>
          </w:divBdr>
        </w:div>
      </w:divsChild>
    </w:div>
    <w:div w:id="1158306227">
      <w:marLeft w:val="0"/>
      <w:marRight w:val="0"/>
      <w:marTop w:val="0"/>
      <w:marBottom w:val="0"/>
      <w:divBdr>
        <w:top w:val="none" w:sz="0" w:space="0" w:color="auto"/>
        <w:left w:val="none" w:sz="0" w:space="0" w:color="auto"/>
        <w:bottom w:val="none" w:sz="0" w:space="0" w:color="auto"/>
        <w:right w:val="none" w:sz="0" w:space="0" w:color="auto"/>
      </w:divBdr>
      <w:divsChild>
        <w:div w:id="1968583128">
          <w:marLeft w:val="0"/>
          <w:marRight w:val="0"/>
          <w:marTop w:val="0"/>
          <w:marBottom w:val="0"/>
          <w:divBdr>
            <w:top w:val="none" w:sz="0" w:space="0" w:color="auto"/>
            <w:left w:val="none" w:sz="0" w:space="0" w:color="auto"/>
            <w:bottom w:val="none" w:sz="0" w:space="0" w:color="auto"/>
            <w:right w:val="none" w:sz="0" w:space="0" w:color="auto"/>
          </w:divBdr>
        </w:div>
      </w:divsChild>
    </w:div>
    <w:div w:id="1164390525">
      <w:marLeft w:val="0"/>
      <w:marRight w:val="0"/>
      <w:marTop w:val="0"/>
      <w:marBottom w:val="0"/>
      <w:divBdr>
        <w:top w:val="none" w:sz="0" w:space="0" w:color="auto"/>
        <w:left w:val="none" w:sz="0" w:space="0" w:color="auto"/>
        <w:bottom w:val="none" w:sz="0" w:space="0" w:color="auto"/>
        <w:right w:val="none" w:sz="0" w:space="0" w:color="auto"/>
      </w:divBdr>
    </w:div>
    <w:div w:id="1164393890">
      <w:marLeft w:val="0"/>
      <w:marRight w:val="0"/>
      <w:marTop w:val="0"/>
      <w:marBottom w:val="0"/>
      <w:divBdr>
        <w:top w:val="none" w:sz="0" w:space="0" w:color="auto"/>
        <w:left w:val="none" w:sz="0" w:space="0" w:color="auto"/>
        <w:bottom w:val="none" w:sz="0" w:space="0" w:color="auto"/>
        <w:right w:val="none" w:sz="0" w:space="0" w:color="auto"/>
      </w:divBdr>
    </w:div>
    <w:div w:id="1165632483">
      <w:marLeft w:val="0"/>
      <w:marRight w:val="0"/>
      <w:marTop w:val="0"/>
      <w:marBottom w:val="180"/>
      <w:divBdr>
        <w:top w:val="none" w:sz="0" w:space="0" w:color="auto"/>
        <w:left w:val="none" w:sz="0" w:space="0" w:color="auto"/>
        <w:bottom w:val="none" w:sz="0" w:space="0" w:color="auto"/>
        <w:right w:val="none" w:sz="0" w:space="0" w:color="auto"/>
      </w:divBdr>
    </w:div>
    <w:div w:id="1172985024">
      <w:marLeft w:val="0"/>
      <w:marRight w:val="0"/>
      <w:marTop w:val="0"/>
      <w:marBottom w:val="0"/>
      <w:divBdr>
        <w:top w:val="none" w:sz="0" w:space="0" w:color="auto"/>
        <w:left w:val="none" w:sz="0" w:space="0" w:color="auto"/>
        <w:bottom w:val="none" w:sz="0" w:space="0" w:color="auto"/>
        <w:right w:val="none" w:sz="0" w:space="0" w:color="auto"/>
      </w:divBdr>
    </w:div>
    <w:div w:id="1176117081">
      <w:marLeft w:val="0"/>
      <w:marRight w:val="0"/>
      <w:marTop w:val="0"/>
      <w:marBottom w:val="0"/>
      <w:divBdr>
        <w:top w:val="none" w:sz="0" w:space="0" w:color="auto"/>
        <w:left w:val="none" w:sz="0" w:space="0" w:color="auto"/>
        <w:bottom w:val="none" w:sz="0" w:space="0" w:color="auto"/>
        <w:right w:val="none" w:sz="0" w:space="0" w:color="auto"/>
      </w:divBdr>
    </w:div>
    <w:div w:id="1181965885">
      <w:marLeft w:val="0"/>
      <w:marRight w:val="0"/>
      <w:marTop w:val="0"/>
      <w:marBottom w:val="0"/>
      <w:divBdr>
        <w:top w:val="none" w:sz="0" w:space="0" w:color="auto"/>
        <w:left w:val="none" w:sz="0" w:space="0" w:color="auto"/>
        <w:bottom w:val="none" w:sz="0" w:space="0" w:color="auto"/>
        <w:right w:val="none" w:sz="0" w:space="0" w:color="auto"/>
      </w:divBdr>
    </w:div>
    <w:div w:id="1194156034">
      <w:marLeft w:val="0"/>
      <w:marRight w:val="0"/>
      <w:marTop w:val="0"/>
      <w:marBottom w:val="0"/>
      <w:divBdr>
        <w:top w:val="none" w:sz="0" w:space="0" w:color="auto"/>
        <w:left w:val="none" w:sz="0" w:space="0" w:color="auto"/>
        <w:bottom w:val="none" w:sz="0" w:space="0" w:color="auto"/>
        <w:right w:val="none" w:sz="0" w:space="0" w:color="auto"/>
      </w:divBdr>
    </w:div>
    <w:div w:id="1196626171">
      <w:marLeft w:val="0"/>
      <w:marRight w:val="0"/>
      <w:marTop w:val="0"/>
      <w:marBottom w:val="80"/>
      <w:divBdr>
        <w:top w:val="none" w:sz="0" w:space="0" w:color="auto"/>
        <w:left w:val="none" w:sz="0" w:space="0" w:color="auto"/>
        <w:bottom w:val="none" w:sz="0" w:space="0" w:color="auto"/>
        <w:right w:val="none" w:sz="0" w:space="0" w:color="auto"/>
      </w:divBdr>
    </w:div>
    <w:div w:id="1198470664">
      <w:marLeft w:val="0"/>
      <w:marRight w:val="0"/>
      <w:marTop w:val="0"/>
      <w:marBottom w:val="0"/>
      <w:divBdr>
        <w:top w:val="none" w:sz="0" w:space="0" w:color="auto"/>
        <w:left w:val="none" w:sz="0" w:space="0" w:color="auto"/>
        <w:bottom w:val="none" w:sz="0" w:space="0" w:color="auto"/>
        <w:right w:val="none" w:sz="0" w:space="0" w:color="auto"/>
      </w:divBdr>
      <w:divsChild>
        <w:div w:id="730075196">
          <w:marLeft w:val="0"/>
          <w:marRight w:val="0"/>
          <w:marTop w:val="0"/>
          <w:marBottom w:val="0"/>
          <w:divBdr>
            <w:top w:val="none" w:sz="0" w:space="0" w:color="auto"/>
            <w:left w:val="none" w:sz="0" w:space="0" w:color="auto"/>
            <w:bottom w:val="none" w:sz="0" w:space="0" w:color="auto"/>
            <w:right w:val="none" w:sz="0" w:space="0" w:color="auto"/>
          </w:divBdr>
        </w:div>
      </w:divsChild>
    </w:div>
    <w:div w:id="1207335267">
      <w:marLeft w:val="0"/>
      <w:marRight w:val="0"/>
      <w:marTop w:val="100"/>
      <w:marBottom w:val="0"/>
      <w:divBdr>
        <w:top w:val="none" w:sz="0" w:space="0" w:color="auto"/>
        <w:left w:val="none" w:sz="0" w:space="0" w:color="auto"/>
        <w:bottom w:val="none" w:sz="0" w:space="0" w:color="auto"/>
        <w:right w:val="none" w:sz="0" w:space="0" w:color="auto"/>
      </w:divBdr>
      <w:divsChild>
        <w:div w:id="1297444009">
          <w:marLeft w:val="0"/>
          <w:marRight w:val="0"/>
          <w:marTop w:val="0"/>
          <w:marBottom w:val="0"/>
          <w:divBdr>
            <w:top w:val="none" w:sz="0" w:space="0" w:color="auto"/>
            <w:left w:val="none" w:sz="0" w:space="0" w:color="auto"/>
            <w:bottom w:val="none" w:sz="0" w:space="0" w:color="auto"/>
            <w:right w:val="none" w:sz="0" w:space="0" w:color="auto"/>
          </w:divBdr>
        </w:div>
      </w:divsChild>
    </w:div>
    <w:div w:id="1213928284">
      <w:marLeft w:val="0"/>
      <w:marRight w:val="0"/>
      <w:marTop w:val="0"/>
      <w:marBottom w:val="0"/>
      <w:divBdr>
        <w:top w:val="none" w:sz="0" w:space="0" w:color="auto"/>
        <w:left w:val="none" w:sz="0" w:space="0" w:color="auto"/>
        <w:bottom w:val="none" w:sz="0" w:space="0" w:color="auto"/>
        <w:right w:val="none" w:sz="0" w:space="0" w:color="auto"/>
      </w:divBdr>
      <w:divsChild>
        <w:div w:id="112139665">
          <w:marLeft w:val="0"/>
          <w:marRight w:val="0"/>
          <w:marTop w:val="0"/>
          <w:marBottom w:val="0"/>
          <w:divBdr>
            <w:top w:val="none" w:sz="0" w:space="0" w:color="auto"/>
            <w:left w:val="none" w:sz="0" w:space="0" w:color="auto"/>
            <w:bottom w:val="none" w:sz="0" w:space="0" w:color="auto"/>
            <w:right w:val="none" w:sz="0" w:space="0" w:color="auto"/>
          </w:divBdr>
        </w:div>
      </w:divsChild>
    </w:div>
    <w:div w:id="1221356283">
      <w:marLeft w:val="0"/>
      <w:marRight w:val="0"/>
      <w:marTop w:val="60"/>
      <w:marBottom w:val="0"/>
      <w:divBdr>
        <w:top w:val="none" w:sz="0" w:space="0" w:color="auto"/>
        <w:left w:val="none" w:sz="0" w:space="0" w:color="auto"/>
        <w:bottom w:val="none" w:sz="0" w:space="0" w:color="auto"/>
        <w:right w:val="none" w:sz="0" w:space="0" w:color="auto"/>
      </w:divBdr>
    </w:div>
    <w:div w:id="1223374189">
      <w:marLeft w:val="0"/>
      <w:marRight w:val="0"/>
      <w:marTop w:val="0"/>
      <w:marBottom w:val="0"/>
      <w:divBdr>
        <w:top w:val="none" w:sz="0" w:space="0" w:color="auto"/>
        <w:left w:val="none" w:sz="0" w:space="0" w:color="auto"/>
        <w:bottom w:val="none" w:sz="0" w:space="0" w:color="auto"/>
        <w:right w:val="none" w:sz="0" w:space="0" w:color="auto"/>
      </w:divBdr>
    </w:div>
    <w:div w:id="1223950922">
      <w:marLeft w:val="0"/>
      <w:marRight w:val="0"/>
      <w:marTop w:val="0"/>
      <w:marBottom w:val="0"/>
      <w:divBdr>
        <w:top w:val="none" w:sz="0" w:space="0" w:color="auto"/>
        <w:left w:val="none" w:sz="0" w:space="0" w:color="auto"/>
        <w:bottom w:val="none" w:sz="0" w:space="0" w:color="auto"/>
        <w:right w:val="none" w:sz="0" w:space="0" w:color="auto"/>
      </w:divBdr>
    </w:div>
    <w:div w:id="1244148011">
      <w:marLeft w:val="0"/>
      <w:marRight w:val="0"/>
      <w:marTop w:val="0"/>
      <w:marBottom w:val="0"/>
      <w:divBdr>
        <w:top w:val="none" w:sz="0" w:space="0" w:color="auto"/>
        <w:left w:val="none" w:sz="0" w:space="0" w:color="auto"/>
        <w:bottom w:val="none" w:sz="0" w:space="0" w:color="auto"/>
        <w:right w:val="none" w:sz="0" w:space="0" w:color="auto"/>
      </w:divBdr>
      <w:divsChild>
        <w:div w:id="1966424918">
          <w:marLeft w:val="0"/>
          <w:marRight w:val="0"/>
          <w:marTop w:val="0"/>
          <w:marBottom w:val="0"/>
          <w:divBdr>
            <w:top w:val="none" w:sz="0" w:space="0" w:color="auto"/>
            <w:left w:val="none" w:sz="0" w:space="0" w:color="auto"/>
            <w:bottom w:val="none" w:sz="0" w:space="0" w:color="auto"/>
            <w:right w:val="none" w:sz="0" w:space="0" w:color="auto"/>
          </w:divBdr>
        </w:div>
      </w:divsChild>
    </w:div>
    <w:div w:id="1262563040">
      <w:marLeft w:val="0"/>
      <w:marRight w:val="0"/>
      <w:marTop w:val="0"/>
      <w:marBottom w:val="0"/>
      <w:divBdr>
        <w:top w:val="none" w:sz="0" w:space="0" w:color="auto"/>
        <w:left w:val="none" w:sz="0" w:space="0" w:color="auto"/>
        <w:bottom w:val="none" w:sz="0" w:space="0" w:color="auto"/>
        <w:right w:val="none" w:sz="0" w:space="0" w:color="auto"/>
      </w:divBdr>
    </w:div>
    <w:div w:id="1278096987">
      <w:marLeft w:val="0"/>
      <w:marRight w:val="0"/>
      <w:marTop w:val="0"/>
      <w:marBottom w:val="0"/>
      <w:divBdr>
        <w:top w:val="none" w:sz="0" w:space="0" w:color="auto"/>
        <w:left w:val="none" w:sz="0" w:space="0" w:color="auto"/>
        <w:bottom w:val="none" w:sz="0" w:space="0" w:color="auto"/>
        <w:right w:val="none" w:sz="0" w:space="0" w:color="auto"/>
      </w:divBdr>
    </w:div>
    <w:div w:id="1282765475">
      <w:marLeft w:val="0"/>
      <w:marRight w:val="0"/>
      <w:marTop w:val="100"/>
      <w:marBottom w:val="100"/>
      <w:divBdr>
        <w:top w:val="none" w:sz="0" w:space="0" w:color="auto"/>
        <w:left w:val="none" w:sz="0" w:space="0" w:color="auto"/>
        <w:bottom w:val="none" w:sz="0" w:space="0" w:color="auto"/>
        <w:right w:val="none" w:sz="0" w:space="0" w:color="auto"/>
      </w:divBdr>
    </w:div>
    <w:div w:id="1282882456">
      <w:marLeft w:val="0"/>
      <w:marRight w:val="0"/>
      <w:marTop w:val="0"/>
      <w:marBottom w:val="80"/>
      <w:divBdr>
        <w:top w:val="none" w:sz="0" w:space="0" w:color="auto"/>
        <w:left w:val="none" w:sz="0" w:space="0" w:color="auto"/>
        <w:bottom w:val="none" w:sz="0" w:space="0" w:color="auto"/>
        <w:right w:val="none" w:sz="0" w:space="0" w:color="auto"/>
      </w:divBdr>
    </w:div>
    <w:div w:id="1288928843">
      <w:marLeft w:val="0"/>
      <w:marRight w:val="0"/>
      <w:marTop w:val="0"/>
      <w:marBottom w:val="0"/>
      <w:divBdr>
        <w:top w:val="none" w:sz="0" w:space="0" w:color="auto"/>
        <w:left w:val="none" w:sz="0" w:space="0" w:color="auto"/>
        <w:bottom w:val="none" w:sz="0" w:space="0" w:color="auto"/>
        <w:right w:val="none" w:sz="0" w:space="0" w:color="auto"/>
      </w:divBdr>
      <w:divsChild>
        <w:div w:id="1779107782">
          <w:marLeft w:val="0"/>
          <w:marRight w:val="0"/>
          <w:marTop w:val="0"/>
          <w:marBottom w:val="0"/>
          <w:divBdr>
            <w:top w:val="none" w:sz="0" w:space="0" w:color="auto"/>
            <w:left w:val="none" w:sz="0" w:space="0" w:color="auto"/>
            <w:bottom w:val="none" w:sz="0" w:space="0" w:color="auto"/>
            <w:right w:val="none" w:sz="0" w:space="0" w:color="auto"/>
          </w:divBdr>
        </w:div>
      </w:divsChild>
    </w:div>
    <w:div w:id="1289625292">
      <w:marLeft w:val="0"/>
      <w:marRight w:val="0"/>
      <w:marTop w:val="0"/>
      <w:marBottom w:val="180"/>
      <w:divBdr>
        <w:top w:val="none" w:sz="0" w:space="0" w:color="auto"/>
        <w:left w:val="none" w:sz="0" w:space="0" w:color="auto"/>
        <w:bottom w:val="none" w:sz="0" w:space="0" w:color="auto"/>
        <w:right w:val="none" w:sz="0" w:space="0" w:color="auto"/>
      </w:divBdr>
    </w:div>
    <w:div w:id="1291209011">
      <w:marLeft w:val="0"/>
      <w:marRight w:val="0"/>
      <w:marTop w:val="0"/>
      <w:marBottom w:val="180"/>
      <w:divBdr>
        <w:top w:val="none" w:sz="0" w:space="0" w:color="auto"/>
        <w:left w:val="none" w:sz="0" w:space="0" w:color="auto"/>
        <w:bottom w:val="none" w:sz="0" w:space="0" w:color="auto"/>
        <w:right w:val="none" w:sz="0" w:space="0" w:color="auto"/>
      </w:divBdr>
    </w:div>
    <w:div w:id="1294755228">
      <w:marLeft w:val="0"/>
      <w:marRight w:val="0"/>
      <w:marTop w:val="0"/>
      <w:marBottom w:val="0"/>
      <w:divBdr>
        <w:top w:val="none" w:sz="0" w:space="0" w:color="auto"/>
        <w:left w:val="none" w:sz="0" w:space="0" w:color="auto"/>
        <w:bottom w:val="none" w:sz="0" w:space="0" w:color="auto"/>
        <w:right w:val="none" w:sz="0" w:space="0" w:color="auto"/>
      </w:divBdr>
      <w:divsChild>
        <w:div w:id="1955207135">
          <w:marLeft w:val="0"/>
          <w:marRight w:val="0"/>
          <w:marTop w:val="0"/>
          <w:marBottom w:val="0"/>
          <w:divBdr>
            <w:top w:val="none" w:sz="0" w:space="0" w:color="auto"/>
            <w:left w:val="none" w:sz="0" w:space="0" w:color="auto"/>
            <w:bottom w:val="none" w:sz="0" w:space="0" w:color="auto"/>
            <w:right w:val="none" w:sz="0" w:space="0" w:color="auto"/>
          </w:divBdr>
        </w:div>
      </w:divsChild>
    </w:div>
    <w:div w:id="1298337352">
      <w:marLeft w:val="0"/>
      <w:marRight w:val="0"/>
      <w:marTop w:val="0"/>
      <w:marBottom w:val="320"/>
      <w:divBdr>
        <w:top w:val="none" w:sz="0" w:space="0" w:color="auto"/>
        <w:left w:val="none" w:sz="0" w:space="0" w:color="auto"/>
        <w:bottom w:val="none" w:sz="0" w:space="0" w:color="auto"/>
        <w:right w:val="none" w:sz="0" w:space="0" w:color="auto"/>
      </w:divBdr>
    </w:div>
    <w:div w:id="1305430951">
      <w:marLeft w:val="0"/>
      <w:marRight w:val="0"/>
      <w:marTop w:val="0"/>
      <w:marBottom w:val="280"/>
      <w:divBdr>
        <w:top w:val="none" w:sz="0" w:space="0" w:color="auto"/>
        <w:left w:val="none" w:sz="0" w:space="0" w:color="auto"/>
        <w:bottom w:val="none" w:sz="0" w:space="0" w:color="auto"/>
        <w:right w:val="none" w:sz="0" w:space="0" w:color="auto"/>
      </w:divBdr>
    </w:div>
    <w:div w:id="1315644349">
      <w:marLeft w:val="0"/>
      <w:marRight w:val="0"/>
      <w:marTop w:val="0"/>
      <w:marBottom w:val="180"/>
      <w:divBdr>
        <w:top w:val="none" w:sz="0" w:space="0" w:color="auto"/>
        <w:left w:val="none" w:sz="0" w:space="0" w:color="auto"/>
        <w:bottom w:val="none" w:sz="0" w:space="0" w:color="auto"/>
        <w:right w:val="none" w:sz="0" w:space="0" w:color="auto"/>
      </w:divBdr>
    </w:div>
    <w:div w:id="1328048164">
      <w:marLeft w:val="0"/>
      <w:marRight w:val="0"/>
      <w:marTop w:val="0"/>
      <w:marBottom w:val="0"/>
      <w:divBdr>
        <w:top w:val="none" w:sz="0" w:space="0" w:color="auto"/>
        <w:left w:val="none" w:sz="0" w:space="0" w:color="auto"/>
        <w:bottom w:val="none" w:sz="0" w:space="0" w:color="auto"/>
        <w:right w:val="none" w:sz="0" w:space="0" w:color="auto"/>
      </w:divBdr>
    </w:div>
    <w:div w:id="1343389498">
      <w:marLeft w:val="0"/>
      <w:marRight w:val="0"/>
      <w:marTop w:val="0"/>
      <w:marBottom w:val="180"/>
      <w:divBdr>
        <w:top w:val="none" w:sz="0" w:space="0" w:color="auto"/>
        <w:left w:val="none" w:sz="0" w:space="0" w:color="auto"/>
        <w:bottom w:val="none" w:sz="0" w:space="0" w:color="auto"/>
        <w:right w:val="none" w:sz="0" w:space="0" w:color="auto"/>
      </w:divBdr>
    </w:div>
    <w:div w:id="1351368246">
      <w:marLeft w:val="0"/>
      <w:marRight w:val="0"/>
      <w:marTop w:val="0"/>
      <w:marBottom w:val="180"/>
      <w:divBdr>
        <w:top w:val="none" w:sz="0" w:space="0" w:color="auto"/>
        <w:left w:val="none" w:sz="0" w:space="0" w:color="auto"/>
        <w:bottom w:val="none" w:sz="0" w:space="0" w:color="auto"/>
        <w:right w:val="none" w:sz="0" w:space="0" w:color="auto"/>
      </w:divBdr>
    </w:div>
    <w:div w:id="1352952906">
      <w:marLeft w:val="0"/>
      <w:marRight w:val="0"/>
      <w:marTop w:val="180"/>
      <w:marBottom w:val="0"/>
      <w:divBdr>
        <w:top w:val="none" w:sz="0" w:space="0" w:color="auto"/>
        <w:left w:val="none" w:sz="0" w:space="0" w:color="auto"/>
        <w:bottom w:val="none" w:sz="0" w:space="0" w:color="auto"/>
        <w:right w:val="none" w:sz="0" w:space="0" w:color="auto"/>
      </w:divBdr>
    </w:div>
    <w:div w:id="1357661533">
      <w:marLeft w:val="0"/>
      <w:marRight w:val="0"/>
      <w:marTop w:val="0"/>
      <w:marBottom w:val="180"/>
      <w:divBdr>
        <w:top w:val="none" w:sz="0" w:space="0" w:color="auto"/>
        <w:left w:val="none" w:sz="0" w:space="0" w:color="auto"/>
        <w:bottom w:val="none" w:sz="0" w:space="0" w:color="auto"/>
        <w:right w:val="none" w:sz="0" w:space="0" w:color="auto"/>
      </w:divBdr>
    </w:div>
    <w:div w:id="1358576245">
      <w:marLeft w:val="0"/>
      <w:marRight w:val="0"/>
      <w:marTop w:val="0"/>
      <w:marBottom w:val="180"/>
      <w:divBdr>
        <w:top w:val="none" w:sz="0" w:space="0" w:color="auto"/>
        <w:left w:val="none" w:sz="0" w:space="0" w:color="auto"/>
        <w:bottom w:val="none" w:sz="0" w:space="0" w:color="auto"/>
        <w:right w:val="none" w:sz="0" w:space="0" w:color="auto"/>
      </w:divBdr>
    </w:div>
    <w:div w:id="1358578932">
      <w:marLeft w:val="0"/>
      <w:marRight w:val="0"/>
      <w:marTop w:val="0"/>
      <w:marBottom w:val="0"/>
      <w:divBdr>
        <w:top w:val="none" w:sz="0" w:space="0" w:color="auto"/>
        <w:left w:val="none" w:sz="0" w:space="0" w:color="auto"/>
        <w:bottom w:val="none" w:sz="0" w:space="0" w:color="auto"/>
        <w:right w:val="none" w:sz="0" w:space="0" w:color="auto"/>
      </w:divBdr>
    </w:div>
    <w:div w:id="1370835724">
      <w:marLeft w:val="0"/>
      <w:marRight w:val="0"/>
      <w:marTop w:val="0"/>
      <w:marBottom w:val="180"/>
      <w:divBdr>
        <w:top w:val="none" w:sz="0" w:space="0" w:color="auto"/>
        <w:left w:val="none" w:sz="0" w:space="0" w:color="auto"/>
        <w:bottom w:val="none" w:sz="0" w:space="0" w:color="auto"/>
        <w:right w:val="none" w:sz="0" w:space="0" w:color="auto"/>
      </w:divBdr>
    </w:div>
    <w:div w:id="1373731185">
      <w:marLeft w:val="0"/>
      <w:marRight w:val="0"/>
      <w:marTop w:val="0"/>
      <w:marBottom w:val="0"/>
      <w:divBdr>
        <w:top w:val="none" w:sz="0" w:space="0" w:color="auto"/>
        <w:left w:val="none" w:sz="0" w:space="0" w:color="auto"/>
        <w:bottom w:val="none" w:sz="0" w:space="0" w:color="auto"/>
        <w:right w:val="none" w:sz="0" w:space="0" w:color="auto"/>
      </w:divBdr>
    </w:div>
    <w:div w:id="1377268207">
      <w:marLeft w:val="0"/>
      <w:marRight w:val="0"/>
      <w:marTop w:val="0"/>
      <w:marBottom w:val="0"/>
      <w:divBdr>
        <w:top w:val="none" w:sz="0" w:space="0" w:color="auto"/>
        <w:left w:val="none" w:sz="0" w:space="0" w:color="auto"/>
        <w:bottom w:val="none" w:sz="0" w:space="0" w:color="auto"/>
        <w:right w:val="none" w:sz="0" w:space="0" w:color="auto"/>
      </w:divBdr>
    </w:div>
    <w:div w:id="1381588239">
      <w:marLeft w:val="0"/>
      <w:marRight w:val="0"/>
      <w:marTop w:val="0"/>
      <w:marBottom w:val="0"/>
      <w:divBdr>
        <w:top w:val="none" w:sz="0" w:space="0" w:color="auto"/>
        <w:left w:val="none" w:sz="0" w:space="0" w:color="auto"/>
        <w:bottom w:val="none" w:sz="0" w:space="0" w:color="auto"/>
        <w:right w:val="none" w:sz="0" w:space="0" w:color="auto"/>
      </w:divBdr>
      <w:divsChild>
        <w:div w:id="1065682843">
          <w:marLeft w:val="0"/>
          <w:marRight w:val="0"/>
          <w:marTop w:val="0"/>
          <w:marBottom w:val="0"/>
          <w:divBdr>
            <w:top w:val="none" w:sz="0" w:space="0" w:color="auto"/>
            <w:left w:val="none" w:sz="0" w:space="0" w:color="auto"/>
            <w:bottom w:val="none" w:sz="0" w:space="0" w:color="auto"/>
            <w:right w:val="none" w:sz="0" w:space="0" w:color="auto"/>
          </w:divBdr>
        </w:div>
      </w:divsChild>
    </w:div>
    <w:div w:id="1386293856">
      <w:marLeft w:val="0"/>
      <w:marRight w:val="0"/>
      <w:marTop w:val="0"/>
      <w:marBottom w:val="20"/>
      <w:divBdr>
        <w:top w:val="none" w:sz="0" w:space="0" w:color="auto"/>
        <w:left w:val="none" w:sz="0" w:space="0" w:color="auto"/>
        <w:bottom w:val="none" w:sz="0" w:space="0" w:color="auto"/>
        <w:right w:val="none" w:sz="0" w:space="0" w:color="auto"/>
      </w:divBdr>
    </w:div>
    <w:div w:id="1386684332">
      <w:marLeft w:val="0"/>
      <w:marRight w:val="0"/>
      <w:marTop w:val="0"/>
      <w:marBottom w:val="0"/>
      <w:divBdr>
        <w:top w:val="none" w:sz="0" w:space="0" w:color="auto"/>
        <w:left w:val="none" w:sz="0" w:space="0" w:color="auto"/>
        <w:bottom w:val="none" w:sz="0" w:space="0" w:color="auto"/>
        <w:right w:val="none" w:sz="0" w:space="0" w:color="auto"/>
      </w:divBdr>
    </w:div>
    <w:div w:id="1409116796">
      <w:marLeft w:val="0"/>
      <w:marRight w:val="0"/>
      <w:marTop w:val="0"/>
      <w:marBottom w:val="0"/>
      <w:divBdr>
        <w:top w:val="none" w:sz="0" w:space="0" w:color="auto"/>
        <w:left w:val="none" w:sz="0" w:space="0" w:color="auto"/>
        <w:bottom w:val="none" w:sz="0" w:space="0" w:color="auto"/>
        <w:right w:val="none" w:sz="0" w:space="0" w:color="auto"/>
      </w:divBdr>
      <w:divsChild>
        <w:div w:id="937369451">
          <w:marLeft w:val="0"/>
          <w:marRight w:val="0"/>
          <w:marTop w:val="0"/>
          <w:marBottom w:val="0"/>
          <w:divBdr>
            <w:top w:val="none" w:sz="0" w:space="0" w:color="auto"/>
            <w:left w:val="none" w:sz="0" w:space="0" w:color="auto"/>
            <w:bottom w:val="none" w:sz="0" w:space="0" w:color="auto"/>
            <w:right w:val="none" w:sz="0" w:space="0" w:color="auto"/>
          </w:divBdr>
        </w:div>
      </w:divsChild>
    </w:div>
    <w:div w:id="1410232999">
      <w:marLeft w:val="0"/>
      <w:marRight w:val="0"/>
      <w:marTop w:val="0"/>
      <w:marBottom w:val="180"/>
      <w:divBdr>
        <w:top w:val="none" w:sz="0" w:space="0" w:color="auto"/>
        <w:left w:val="none" w:sz="0" w:space="0" w:color="auto"/>
        <w:bottom w:val="none" w:sz="0" w:space="0" w:color="auto"/>
        <w:right w:val="none" w:sz="0" w:space="0" w:color="auto"/>
      </w:divBdr>
    </w:div>
    <w:div w:id="1458062190">
      <w:marLeft w:val="0"/>
      <w:marRight w:val="0"/>
      <w:marTop w:val="0"/>
      <w:marBottom w:val="0"/>
      <w:divBdr>
        <w:top w:val="none" w:sz="0" w:space="0" w:color="auto"/>
        <w:left w:val="none" w:sz="0" w:space="0" w:color="auto"/>
        <w:bottom w:val="none" w:sz="0" w:space="0" w:color="auto"/>
        <w:right w:val="none" w:sz="0" w:space="0" w:color="auto"/>
      </w:divBdr>
    </w:div>
    <w:div w:id="1458068799">
      <w:marLeft w:val="0"/>
      <w:marRight w:val="0"/>
      <w:marTop w:val="0"/>
      <w:marBottom w:val="0"/>
      <w:divBdr>
        <w:top w:val="none" w:sz="0" w:space="0" w:color="auto"/>
        <w:left w:val="none" w:sz="0" w:space="0" w:color="auto"/>
        <w:bottom w:val="none" w:sz="0" w:space="0" w:color="auto"/>
        <w:right w:val="none" w:sz="0" w:space="0" w:color="auto"/>
      </w:divBdr>
    </w:div>
    <w:div w:id="1469008248">
      <w:marLeft w:val="0"/>
      <w:marRight w:val="0"/>
      <w:marTop w:val="0"/>
      <w:marBottom w:val="80"/>
      <w:divBdr>
        <w:top w:val="none" w:sz="0" w:space="0" w:color="auto"/>
        <w:left w:val="none" w:sz="0" w:space="0" w:color="auto"/>
        <w:bottom w:val="none" w:sz="0" w:space="0" w:color="auto"/>
        <w:right w:val="none" w:sz="0" w:space="0" w:color="auto"/>
      </w:divBdr>
      <w:divsChild>
        <w:div w:id="419982034">
          <w:marLeft w:val="0"/>
          <w:marRight w:val="0"/>
          <w:marTop w:val="0"/>
          <w:marBottom w:val="0"/>
          <w:divBdr>
            <w:top w:val="none" w:sz="0" w:space="0" w:color="auto"/>
            <w:left w:val="none" w:sz="0" w:space="0" w:color="auto"/>
            <w:bottom w:val="none" w:sz="0" w:space="0" w:color="auto"/>
            <w:right w:val="none" w:sz="0" w:space="0" w:color="auto"/>
          </w:divBdr>
        </w:div>
        <w:div w:id="839779012">
          <w:marLeft w:val="0"/>
          <w:marRight w:val="0"/>
          <w:marTop w:val="0"/>
          <w:marBottom w:val="0"/>
          <w:divBdr>
            <w:top w:val="none" w:sz="0" w:space="0" w:color="auto"/>
            <w:left w:val="none" w:sz="0" w:space="0" w:color="auto"/>
            <w:bottom w:val="none" w:sz="0" w:space="0" w:color="auto"/>
            <w:right w:val="none" w:sz="0" w:space="0" w:color="auto"/>
          </w:divBdr>
        </w:div>
      </w:divsChild>
    </w:div>
    <w:div w:id="1489856915">
      <w:marLeft w:val="0"/>
      <w:marRight w:val="0"/>
      <w:marTop w:val="0"/>
      <w:marBottom w:val="0"/>
      <w:divBdr>
        <w:top w:val="none" w:sz="0" w:space="0" w:color="auto"/>
        <w:left w:val="none" w:sz="0" w:space="0" w:color="auto"/>
        <w:bottom w:val="none" w:sz="0" w:space="0" w:color="auto"/>
        <w:right w:val="none" w:sz="0" w:space="0" w:color="auto"/>
      </w:divBdr>
    </w:div>
    <w:div w:id="1493183725">
      <w:marLeft w:val="0"/>
      <w:marRight w:val="0"/>
      <w:marTop w:val="0"/>
      <w:marBottom w:val="0"/>
      <w:divBdr>
        <w:top w:val="none" w:sz="0" w:space="0" w:color="auto"/>
        <w:left w:val="none" w:sz="0" w:space="0" w:color="auto"/>
        <w:bottom w:val="none" w:sz="0" w:space="0" w:color="auto"/>
        <w:right w:val="none" w:sz="0" w:space="0" w:color="auto"/>
      </w:divBdr>
    </w:div>
    <w:div w:id="1493250773">
      <w:marLeft w:val="0"/>
      <w:marRight w:val="0"/>
      <w:marTop w:val="0"/>
      <w:marBottom w:val="0"/>
      <w:divBdr>
        <w:top w:val="none" w:sz="0" w:space="0" w:color="auto"/>
        <w:left w:val="none" w:sz="0" w:space="0" w:color="auto"/>
        <w:bottom w:val="none" w:sz="0" w:space="0" w:color="auto"/>
        <w:right w:val="none" w:sz="0" w:space="0" w:color="auto"/>
      </w:divBdr>
    </w:div>
    <w:div w:id="1493715452">
      <w:marLeft w:val="0"/>
      <w:marRight w:val="0"/>
      <w:marTop w:val="0"/>
      <w:marBottom w:val="180"/>
      <w:divBdr>
        <w:top w:val="none" w:sz="0" w:space="0" w:color="auto"/>
        <w:left w:val="none" w:sz="0" w:space="0" w:color="auto"/>
        <w:bottom w:val="none" w:sz="0" w:space="0" w:color="auto"/>
        <w:right w:val="none" w:sz="0" w:space="0" w:color="auto"/>
      </w:divBdr>
    </w:div>
    <w:div w:id="1500538733">
      <w:marLeft w:val="0"/>
      <w:marRight w:val="0"/>
      <w:marTop w:val="0"/>
      <w:marBottom w:val="180"/>
      <w:divBdr>
        <w:top w:val="none" w:sz="0" w:space="0" w:color="auto"/>
        <w:left w:val="none" w:sz="0" w:space="0" w:color="auto"/>
        <w:bottom w:val="none" w:sz="0" w:space="0" w:color="auto"/>
        <w:right w:val="none" w:sz="0" w:space="0" w:color="auto"/>
      </w:divBdr>
    </w:div>
    <w:div w:id="1504316277">
      <w:marLeft w:val="0"/>
      <w:marRight w:val="0"/>
      <w:marTop w:val="0"/>
      <w:marBottom w:val="0"/>
      <w:divBdr>
        <w:top w:val="none" w:sz="0" w:space="0" w:color="auto"/>
        <w:left w:val="none" w:sz="0" w:space="0" w:color="auto"/>
        <w:bottom w:val="none" w:sz="0" w:space="0" w:color="auto"/>
        <w:right w:val="none" w:sz="0" w:space="0" w:color="auto"/>
      </w:divBdr>
    </w:div>
    <w:div w:id="1512915588">
      <w:marLeft w:val="0"/>
      <w:marRight w:val="0"/>
      <w:marTop w:val="0"/>
      <w:marBottom w:val="0"/>
      <w:divBdr>
        <w:top w:val="none" w:sz="0" w:space="0" w:color="auto"/>
        <w:left w:val="none" w:sz="0" w:space="0" w:color="auto"/>
        <w:bottom w:val="none" w:sz="0" w:space="0" w:color="auto"/>
        <w:right w:val="none" w:sz="0" w:space="0" w:color="auto"/>
      </w:divBdr>
      <w:divsChild>
        <w:div w:id="310602465">
          <w:marLeft w:val="0"/>
          <w:marRight w:val="0"/>
          <w:marTop w:val="0"/>
          <w:marBottom w:val="0"/>
          <w:divBdr>
            <w:top w:val="none" w:sz="0" w:space="0" w:color="auto"/>
            <w:left w:val="none" w:sz="0" w:space="0" w:color="auto"/>
            <w:bottom w:val="none" w:sz="0" w:space="0" w:color="auto"/>
            <w:right w:val="none" w:sz="0" w:space="0" w:color="auto"/>
          </w:divBdr>
        </w:div>
      </w:divsChild>
    </w:div>
    <w:div w:id="1517379955">
      <w:marLeft w:val="0"/>
      <w:marRight w:val="0"/>
      <w:marTop w:val="120"/>
      <w:marBottom w:val="0"/>
      <w:divBdr>
        <w:top w:val="none" w:sz="0" w:space="0" w:color="auto"/>
        <w:left w:val="none" w:sz="0" w:space="0" w:color="auto"/>
        <w:bottom w:val="none" w:sz="0" w:space="0" w:color="auto"/>
        <w:right w:val="none" w:sz="0" w:space="0" w:color="auto"/>
      </w:divBdr>
    </w:div>
    <w:div w:id="1532377178">
      <w:marLeft w:val="0"/>
      <w:marRight w:val="0"/>
      <w:marTop w:val="0"/>
      <w:marBottom w:val="80"/>
      <w:divBdr>
        <w:top w:val="none" w:sz="0" w:space="0" w:color="auto"/>
        <w:left w:val="none" w:sz="0" w:space="0" w:color="auto"/>
        <w:bottom w:val="none" w:sz="0" w:space="0" w:color="auto"/>
        <w:right w:val="none" w:sz="0" w:space="0" w:color="auto"/>
      </w:divBdr>
    </w:div>
    <w:div w:id="1544058667">
      <w:marLeft w:val="0"/>
      <w:marRight w:val="0"/>
      <w:marTop w:val="0"/>
      <w:marBottom w:val="0"/>
      <w:divBdr>
        <w:top w:val="none" w:sz="0" w:space="0" w:color="auto"/>
        <w:left w:val="none" w:sz="0" w:space="0" w:color="auto"/>
        <w:bottom w:val="none" w:sz="0" w:space="0" w:color="auto"/>
        <w:right w:val="none" w:sz="0" w:space="0" w:color="auto"/>
      </w:divBdr>
    </w:div>
    <w:div w:id="1555851990">
      <w:marLeft w:val="0"/>
      <w:marRight w:val="0"/>
      <w:marTop w:val="0"/>
      <w:marBottom w:val="0"/>
      <w:divBdr>
        <w:top w:val="none" w:sz="0" w:space="0" w:color="auto"/>
        <w:left w:val="none" w:sz="0" w:space="0" w:color="auto"/>
        <w:bottom w:val="none" w:sz="0" w:space="0" w:color="auto"/>
        <w:right w:val="none" w:sz="0" w:space="0" w:color="auto"/>
      </w:divBdr>
      <w:divsChild>
        <w:div w:id="1724480983">
          <w:marLeft w:val="0"/>
          <w:marRight w:val="0"/>
          <w:marTop w:val="0"/>
          <w:marBottom w:val="0"/>
          <w:divBdr>
            <w:top w:val="none" w:sz="0" w:space="0" w:color="auto"/>
            <w:left w:val="none" w:sz="0" w:space="0" w:color="auto"/>
            <w:bottom w:val="none" w:sz="0" w:space="0" w:color="auto"/>
            <w:right w:val="none" w:sz="0" w:space="0" w:color="auto"/>
          </w:divBdr>
        </w:div>
      </w:divsChild>
    </w:div>
    <w:div w:id="1556239733">
      <w:marLeft w:val="0"/>
      <w:marRight w:val="0"/>
      <w:marTop w:val="0"/>
      <w:marBottom w:val="180"/>
      <w:divBdr>
        <w:top w:val="none" w:sz="0" w:space="0" w:color="auto"/>
        <w:left w:val="none" w:sz="0" w:space="0" w:color="auto"/>
        <w:bottom w:val="none" w:sz="0" w:space="0" w:color="auto"/>
        <w:right w:val="none" w:sz="0" w:space="0" w:color="auto"/>
      </w:divBdr>
    </w:div>
    <w:div w:id="1561330621">
      <w:marLeft w:val="0"/>
      <w:marRight w:val="0"/>
      <w:marTop w:val="0"/>
      <w:marBottom w:val="180"/>
      <w:divBdr>
        <w:top w:val="none" w:sz="0" w:space="0" w:color="auto"/>
        <w:left w:val="none" w:sz="0" w:space="0" w:color="auto"/>
        <w:bottom w:val="none" w:sz="0" w:space="0" w:color="auto"/>
        <w:right w:val="none" w:sz="0" w:space="0" w:color="auto"/>
      </w:divBdr>
    </w:div>
    <w:div w:id="1563104294">
      <w:marLeft w:val="0"/>
      <w:marRight w:val="0"/>
      <w:marTop w:val="0"/>
      <w:marBottom w:val="0"/>
      <w:divBdr>
        <w:top w:val="none" w:sz="0" w:space="0" w:color="auto"/>
        <w:left w:val="none" w:sz="0" w:space="0" w:color="auto"/>
        <w:bottom w:val="none" w:sz="0" w:space="0" w:color="auto"/>
        <w:right w:val="none" w:sz="0" w:space="0" w:color="auto"/>
      </w:divBdr>
    </w:div>
    <w:div w:id="1565339716">
      <w:marLeft w:val="0"/>
      <w:marRight w:val="0"/>
      <w:marTop w:val="0"/>
      <w:marBottom w:val="180"/>
      <w:divBdr>
        <w:top w:val="none" w:sz="0" w:space="0" w:color="auto"/>
        <w:left w:val="none" w:sz="0" w:space="0" w:color="auto"/>
        <w:bottom w:val="none" w:sz="0" w:space="0" w:color="auto"/>
        <w:right w:val="none" w:sz="0" w:space="0" w:color="auto"/>
      </w:divBdr>
    </w:div>
    <w:div w:id="1571846607">
      <w:marLeft w:val="0"/>
      <w:marRight w:val="0"/>
      <w:marTop w:val="0"/>
      <w:marBottom w:val="0"/>
      <w:divBdr>
        <w:top w:val="none" w:sz="0" w:space="0" w:color="auto"/>
        <w:left w:val="none" w:sz="0" w:space="0" w:color="auto"/>
        <w:bottom w:val="none" w:sz="0" w:space="0" w:color="auto"/>
        <w:right w:val="none" w:sz="0" w:space="0" w:color="auto"/>
      </w:divBdr>
      <w:divsChild>
        <w:div w:id="1127163545">
          <w:marLeft w:val="0"/>
          <w:marRight w:val="0"/>
          <w:marTop w:val="0"/>
          <w:marBottom w:val="0"/>
          <w:divBdr>
            <w:top w:val="none" w:sz="0" w:space="0" w:color="auto"/>
            <w:left w:val="none" w:sz="0" w:space="0" w:color="auto"/>
            <w:bottom w:val="none" w:sz="0" w:space="0" w:color="auto"/>
            <w:right w:val="none" w:sz="0" w:space="0" w:color="auto"/>
          </w:divBdr>
        </w:div>
      </w:divsChild>
    </w:div>
    <w:div w:id="1578050276">
      <w:marLeft w:val="0"/>
      <w:marRight w:val="0"/>
      <w:marTop w:val="0"/>
      <w:marBottom w:val="0"/>
      <w:divBdr>
        <w:top w:val="none" w:sz="0" w:space="0" w:color="auto"/>
        <w:left w:val="none" w:sz="0" w:space="0" w:color="auto"/>
        <w:bottom w:val="none" w:sz="0" w:space="0" w:color="auto"/>
        <w:right w:val="none" w:sz="0" w:space="0" w:color="auto"/>
      </w:divBdr>
      <w:divsChild>
        <w:div w:id="2118793636">
          <w:marLeft w:val="0"/>
          <w:marRight w:val="0"/>
          <w:marTop w:val="0"/>
          <w:marBottom w:val="0"/>
          <w:divBdr>
            <w:top w:val="none" w:sz="0" w:space="0" w:color="auto"/>
            <w:left w:val="none" w:sz="0" w:space="0" w:color="auto"/>
            <w:bottom w:val="none" w:sz="0" w:space="0" w:color="auto"/>
            <w:right w:val="none" w:sz="0" w:space="0" w:color="auto"/>
          </w:divBdr>
        </w:div>
      </w:divsChild>
    </w:div>
    <w:div w:id="1586836707">
      <w:marLeft w:val="0"/>
      <w:marRight w:val="0"/>
      <w:marTop w:val="0"/>
      <w:marBottom w:val="180"/>
      <w:divBdr>
        <w:top w:val="none" w:sz="0" w:space="0" w:color="auto"/>
        <w:left w:val="none" w:sz="0" w:space="0" w:color="auto"/>
        <w:bottom w:val="none" w:sz="0" w:space="0" w:color="auto"/>
        <w:right w:val="none" w:sz="0" w:space="0" w:color="auto"/>
      </w:divBdr>
    </w:div>
    <w:div w:id="1587878441">
      <w:marLeft w:val="0"/>
      <w:marRight w:val="0"/>
      <w:marTop w:val="0"/>
      <w:marBottom w:val="0"/>
      <w:divBdr>
        <w:top w:val="none" w:sz="0" w:space="0" w:color="auto"/>
        <w:left w:val="none" w:sz="0" w:space="0" w:color="auto"/>
        <w:bottom w:val="none" w:sz="0" w:space="0" w:color="auto"/>
        <w:right w:val="none" w:sz="0" w:space="0" w:color="auto"/>
      </w:divBdr>
    </w:div>
    <w:div w:id="1588538975">
      <w:marLeft w:val="0"/>
      <w:marRight w:val="0"/>
      <w:marTop w:val="140"/>
      <w:marBottom w:val="0"/>
      <w:divBdr>
        <w:top w:val="none" w:sz="0" w:space="0" w:color="auto"/>
        <w:left w:val="none" w:sz="0" w:space="0" w:color="auto"/>
        <w:bottom w:val="none" w:sz="0" w:space="0" w:color="auto"/>
        <w:right w:val="none" w:sz="0" w:space="0" w:color="auto"/>
      </w:divBdr>
    </w:div>
    <w:div w:id="1590386731">
      <w:marLeft w:val="0"/>
      <w:marRight w:val="0"/>
      <w:marTop w:val="0"/>
      <w:marBottom w:val="0"/>
      <w:divBdr>
        <w:top w:val="none" w:sz="0" w:space="0" w:color="auto"/>
        <w:left w:val="none" w:sz="0" w:space="0" w:color="auto"/>
        <w:bottom w:val="none" w:sz="0" w:space="0" w:color="auto"/>
        <w:right w:val="none" w:sz="0" w:space="0" w:color="auto"/>
      </w:divBdr>
      <w:divsChild>
        <w:div w:id="290787131">
          <w:marLeft w:val="0"/>
          <w:marRight w:val="0"/>
          <w:marTop w:val="0"/>
          <w:marBottom w:val="0"/>
          <w:divBdr>
            <w:top w:val="none" w:sz="0" w:space="0" w:color="auto"/>
            <w:left w:val="none" w:sz="0" w:space="0" w:color="auto"/>
            <w:bottom w:val="none" w:sz="0" w:space="0" w:color="auto"/>
            <w:right w:val="none" w:sz="0" w:space="0" w:color="auto"/>
          </w:divBdr>
        </w:div>
      </w:divsChild>
    </w:div>
    <w:div w:id="1600138948">
      <w:marLeft w:val="0"/>
      <w:marRight w:val="0"/>
      <w:marTop w:val="0"/>
      <w:marBottom w:val="0"/>
      <w:divBdr>
        <w:top w:val="none" w:sz="0" w:space="0" w:color="auto"/>
        <w:left w:val="none" w:sz="0" w:space="0" w:color="auto"/>
        <w:bottom w:val="none" w:sz="0" w:space="0" w:color="auto"/>
        <w:right w:val="none" w:sz="0" w:space="0" w:color="auto"/>
      </w:divBdr>
    </w:div>
    <w:div w:id="1602295811">
      <w:marLeft w:val="0"/>
      <w:marRight w:val="0"/>
      <w:marTop w:val="0"/>
      <w:marBottom w:val="0"/>
      <w:divBdr>
        <w:top w:val="none" w:sz="0" w:space="0" w:color="auto"/>
        <w:left w:val="none" w:sz="0" w:space="0" w:color="auto"/>
        <w:bottom w:val="none" w:sz="0" w:space="0" w:color="auto"/>
        <w:right w:val="none" w:sz="0" w:space="0" w:color="auto"/>
      </w:divBdr>
    </w:div>
    <w:div w:id="1614632675">
      <w:marLeft w:val="0"/>
      <w:marRight w:val="0"/>
      <w:marTop w:val="0"/>
      <w:marBottom w:val="180"/>
      <w:divBdr>
        <w:top w:val="none" w:sz="0" w:space="0" w:color="auto"/>
        <w:left w:val="none" w:sz="0" w:space="0" w:color="auto"/>
        <w:bottom w:val="none" w:sz="0" w:space="0" w:color="auto"/>
        <w:right w:val="none" w:sz="0" w:space="0" w:color="auto"/>
      </w:divBdr>
    </w:div>
    <w:div w:id="1615209955">
      <w:marLeft w:val="0"/>
      <w:marRight w:val="0"/>
      <w:marTop w:val="0"/>
      <w:marBottom w:val="0"/>
      <w:divBdr>
        <w:top w:val="none" w:sz="0" w:space="0" w:color="auto"/>
        <w:left w:val="none" w:sz="0" w:space="0" w:color="auto"/>
        <w:bottom w:val="none" w:sz="0" w:space="0" w:color="auto"/>
        <w:right w:val="none" w:sz="0" w:space="0" w:color="auto"/>
      </w:divBdr>
    </w:div>
    <w:div w:id="1616059659">
      <w:marLeft w:val="0"/>
      <w:marRight w:val="0"/>
      <w:marTop w:val="0"/>
      <w:marBottom w:val="180"/>
      <w:divBdr>
        <w:top w:val="none" w:sz="0" w:space="0" w:color="auto"/>
        <w:left w:val="none" w:sz="0" w:space="0" w:color="auto"/>
        <w:bottom w:val="none" w:sz="0" w:space="0" w:color="auto"/>
        <w:right w:val="none" w:sz="0" w:space="0" w:color="auto"/>
      </w:divBdr>
    </w:div>
    <w:div w:id="1618678878">
      <w:marLeft w:val="0"/>
      <w:marRight w:val="0"/>
      <w:marTop w:val="0"/>
      <w:marBottom w:val="0"/>
      <w:divBdr>
        <w:top w:val="none" w:sz="0" w:space="0" w:color="auto"/>
        <w:left w:val="none" w:sz="0" w:space="0" w:color="auto"/>
        <w:bottom w:val="none" w:sz="0" w:space="0" w:color="auto"/>
        <w:right w:val="none" w:sz="0" w:space="0" w:color="auto"/>
      </w:divBdr>
    </w:div>
    <w:div w:id="1619410311">
      <w:marLeft w:val="0"/>
      <w:marRight w:val="0"/>
      <w:marTop w:val="0"/>
      <w:marBottom w:val="0"/>
      <w:divBdr>
        <w:top w:val="none" w:sz="0" w:space="0" w:color="auto"/>
        <w:left w:val="none" w:sz="0" w:space="0" w:color="auto"/>
        <w:bottom w:val="none" w:sz="0" w:space="0" w:color="auto"/>
        <w:right w:val="none" w:sz="0" w:space="0" w:color="auto"/>
      </w:divBdr>
      <w:divsChild>
        <w:div w:id="283275237">
          <w:marLeft w:val="0"/>
          <w:marRight w:val="0"/>
          <w:marTop w:val="0"/>
          <w:marBottom w:val="0"/>
          <w:divBdr>
            <w:top w:val="none" w:sz="0" w:space="0" w:color="auto"/>
            <w:left w:val="none" w:sz="0" w:space="0" w:color="auto"/>
            <w:bottom w:val="none" w:sz="0" w:space="0" w:color="auto"/>
            <w:right w:val="none" w:sz="0" w:space="0" w:color="auto"/>
          </w:divBdr>
        </w:div>
      </w:divsChild>
    </w:div>
    <w:div w:id="1623262917">
      <w:marLeft w:val="0"/>
      <w:marRight w:val="0"/>
      <w:marTop w:val="0"/>
      <w:marBottom w:val="180"/>
      <w:divBdr>
        <w:top w:val="none" w:sz="0" w:space="0" w:color="auto"/>
        <w:left w:val="none" w:sz="0" w:space="0" w:color="auto"/>
        <w:bottom w:val="none" w:sz="0" w:space="0" w:color="auto"/>
        <w:right w:val="none" w:sz="0" w:space="0" w:color="auto"/>
      </w:divBdr>
    </w:div>
    <w:div w:id="1624459072">
      <w:marLeft w:val="0"/>
      <w:marRight w:val="0"/>
      <w:marTop w:val="0"/>
      <w:marBottom w:val="0"/>
      <w:divBdr>
        <w:top w:val="none" w:sz="0" w:space="0" w:color="auto"/>
        <w:left w:val="none" w:sz="0" w:space="0" w:color="auto"/>
        <w:bottom w:val="none" w:sz="0" w:space="0" w:color="auto"/>
        <w:right w:val="none" w:sz="0" w:space="0" w:color="auto"/>
      </w:divBdr>
    </w:div>
    <w:div w:id="1628511269">
      <w:marLeft w:val="0"/>
      <w:marRight w:val="0"/>
      <w:marTop w:val="180"/>
      <w:marBottom w:val="0"/>
      <w:divBdr>
        <w:top w:val="none" w:sz="0" w:space="0" w:color="auto"/>
        <w:left w:val="none" w:sz="0" w:space="0" w:color="auto"/>
        <w:bottom w:val="none" w:sz="0" w:space="0" w:color="auto"/>
        <w:right w:val="none" w:sz="0" w:space="0" w:color="auto"/>
      </w:divBdr>
    </w:div>
    <w:div w:id="1641611983">
      <w:marLeft w:val="0"/>
      <w:marRight w:val="0"/>
      <w:marTop w:val="0"/>
      <w:marBottom w:val="0"/>
      <w:divBdr>
        <w:top w:val="none" w:sz="0" w:space="0" w:color="auto"/>
        <w:left w:val="none" w:sz="0" w:space="0" w:color="auto"/>
        <w:bottom w:val="none" w:sz="0" w:space="0" w:color="auto"/>
        <w:right w:val="none" w:sz="0" w:space="0" w:color="auto"/>
      </w:divBdr>
      <w:divsChild>
        <w:div w:id="900822210">
          <w:marLeft w:val="0"/>
          <w:marRight w:val="0"/>
          <w:marTop w:val="0"/>
          <w:marBottom w:val="0"/>
          <w:divBdr>
            <w:top w:val="none" w:sz="0" w:space="0" w:color="auto"/>
            <w:left w:val="none" w:sz="0" w:space="0" w:color="auto"/>
            <w:bottom w:val="none" w:sz="0" w:space="0" w:color="auto"/>
            <w:right w:val="none" w:sz="0" w:space="0" w:color="auto"/>
          </w:divBdr>
        </w:div>
      </w:divsChild>
    </w:div>
    <w:div w:id="1646623419">
      <w:marLeft w:val="0"/>
      <w:marRight w:val="0"/>
      <w:marTop w:val="0"/>
      <w:marBottom w:val="0"/>
      <w:divBdr>
        <w:top w:val="none" w:sz="0" w:space="0" w:color="auto"/>
        <w:left w:val="none" w:sz="0" w:space="0" w:color="auto"/>
        <w:bottom w:val="none" w:sz="0" w:space="0" w:color="auto"/>
        <w:right w:val="none" w:sz="0" w:space="0" w:color="auto"/>
      </w:divBdr>
      <w:divsChild>
        <w:div w:id="380985703">
          <w:marLeft w:val="0"/>
          <w:marRight w:val="0"/>
          <w:marTop w:val="0"/>
          <w:marBottom w:val="0"/>
          <w:divBdr>
            <w:top w:val="none" w:sz="0" w:space="0" w:color="auto"/>
            <w:left w:val="none" w:sz="0" w:space="0" w:color="auto"/>
            <w:bottom w:val="none" w:sz="0" w:space="0" w:color="auto"/>
            <w:right w:val="none" w:sz="0" w:space="0" w:color="auto"/>
          </w:divBdr>
        </w:div>
      </w:divsChild>
    </w:div>
    <w:div w:id="1647129587">
      <w:marLeft w:val="0"/>
      <w:marRight w:val="0"/>
      <w:marTop w:val="0"/>
      <w:marBottom w:val="0"/>
      <w:divBdr>
        <w:top w:val="none" w:sz="0" w:space="0" w:color="auto"/>
        <w:left w:val="none" w:sz="0" w:space="0" w:color="auto"/>
        <w:bottom w:val="none" w:sz="0" w:space="0" w:color="auto"/>
        <w:right w:val="none" w:sz="0" w:space="0" w:color="auto"/>
      </w:divBdr>
    </w:div>
    <w:div w:id="1657413114">
      <w:marLeft w:val="0"/>
      <w:marRight w:val="0"/>
      <w:marTop w:val="0"/>
      <w:marBottom w:val="180"/>
      <w:divBdr>
        <w:top w:val="none" w:sz="0" w:space="0" w:color="auto"/>
        <w:left w:val="none" w:sz="0" w:space="0" w:color="auto"/>
        <w:bottom w:val="none" w:sz="0" w:space="0" w:color="auto"/>
        <w:right w:val="none" w:sz="0" w:space="0" w:color="auto"/>
      </w:divBdr>
    </w:div>
    <w:div w:id="1662735089">
      <w:marLeft w:val="0"/>
      <w:marRight w:val="0"/>
      <w:marTop w:val="180"/>
      <w:marBottom w:val="0"/>
      <w:divBdr>
        <w:top w:val="none" w:sz="0" w:space="0" w:color="auto"/>
        <w:left w:val="none" w:sz="0" w:space="0" w:color="auto"/>
        <w:bottom w:val="none" w:sz="0" w:space="0" w:color="auto"/>
        <w:right w:val="none" w:sz="0" w:space="0" w:color="auto"/>
      </w:divBdr>
    </w:div>
    <w:div w:id="1663772998">
      <w:marLeft w:val="0"/>
      <w:marRight w:val="0"/>
      <w:marTop w:val="60"/>
      <w:marBottom w:val="0"/>
      <w:divBdr>
        <w:top w:val="none" w:sz="0" w:space="0" w:color="auto"/>
        <w:left w:val="none" w:sz="0" w:space="0" w:color="auto"/>
        <w:bottom w:val="none" w:sz="0" w:space="0" w:color="auto"/>
        <w:right w:val="none" w:sz="0" w:space="0" w:color="auto"/>
      </w:divBdr>
    </w:div>
    <w:div w:id="1669753506">
      <w:marLeft w:val="0"/>
      <w:marRight w:val="0"/>
      <w:marTop w:val="0"/>
      <w:marBottom w:val="280"/>
      <w:divBdr>
        <w:top w:val="none" w:sz="0" w:space="0" w:color="auto"/>
        <w:left w:val="none" w:sz="0" w:space="0" w:color="auto"/>
        <w:bottom w:val="none" w:sz="0" w:space="0" w:color="auto"/>
        <w:right w:val="none" w:sz="0" w:space="0" w:color="auto"/>
      </w:divBdr>
    </w:div>
    <w:div w:id="1674533718">
      <w:marLeft w:val="0"/>
      <w:marRight w:val="0"/>
      <w:marTop w:val="0"/>
      <w:marBottom w:val="0"/>
      <w:divBdr>
        <w:top w:val="none" w:sz="0" w:space="0" w:color="auto"/>
        <w:left w:val="none" w:sz="0" w:space="0" w:color="auto"/>
        <w:bottom w:val="none" w:sz="0" w:space="0" w:color="auto"/>
        <w:right w:val="none" w:sz="0" w:space="0" w:color="auto"/>
      </w:divBdr>
    </w:div>
    <w:div w:id="1693998177">
      <w:marLeft w:val="0"/>
      <w:marRight w:val="0"/>
      <w:marTop w:val="0"/>
      <w:marBottom w:val="180"/>
      <w:divBdr>
        <w:top w:val="none" w:sz="0" w:space="0" w:color="auto"/>
        <w:left w:val="none" w:sz="0" w:space="0" w:color="auto"/>
        <w:bottom w:val="none" w:sz="0" w:space="0" w:color="auto"/>
        <w:right w:val="none" w:sz="0" w:space="0" w:color="auto"/>
      </w:divBdr>
    </w:div>
    <w:div w:id="1701588918">
      <w:marLeft w:val="0"/>
      <w:marRight w:val="0"/>
      <w:marTop w:val="0"/>
      <w:marBottom w:val="0"/>
      <w:divBdr>
        <w:top w:val="none" w:sz="0" w:space="0" w:color="auto"/>
        <w:left w:val="none" w:sz="0" w:space="0" w:color="auto"/>
        <w:bottom w:val="none" w:sz="0" w:space="0" w:color="auto"/>
        <w:right w:val="none" w:sz="0" w:space="0" w:color="auto"/>
      </w:divBdr>
      <w:divsChild>
        <w:div w:id="447747713">
          <w:marLeft w:val="0"/>
          <w:marRight w:val="0"/>
          <w:marTop w:val="0"/>
          <w:marBottom w:val="0"/>
          <w:divBdr>
            <w:top w:val="none" w:sz="0" w:space="0" w:color="auto"/>
            <w:left w:val="none" w:sz="0" w:space="0" w:color="auto"/>
            <w:bottom w:val="none" w:sz="0" w:space="0" w:color="auto"/>
            <w:right w:val="none" w:sz="0" w:space="0" w:color="auto"/>
          </w:divBdr>
        </w:div>
      </w:divsChild>
    </w:div>
    <w:div w:id="1703701738">
      <w:marLeft w:val="0"/>
      <w:marRight w:val="0"/>
      <w:marTop w:val="0"/>
      <w:marBottom w:val="180"/>
      <w:divBdr>
        <w:top w:val="none" w:sz="0" w:space="0" w:color="auto"/>
        <w:left w:val="none" w:sz="0" w:space="0" w:color="auto"/>
        <w:bottom w:val="none" w:sz="0" w:space="0" w:color="auto"/>
        <w:right w:val="none" w:sz="0" w:space="0" w:color="auto"/>
      </w:divBdr>
    </w:div>
    <w:div w:id="1704944659">
      <w:marLeft w:val="0"/>
      <w:marRight w:val="0"/>
      <w:marTop w:val="0"/>
      <w:marBottom w:val="180"/>
      <w:divBdr>
        <w:top w:val="none" w:sz="0" w:space="0" w:color="auto"/>
        <w:left w:val="none" w:sz="0" w:space="0" w:color="auto"/>
        <w:bottom w:val="none" w:sz="0" w:space="0" w:color="auto"/>
        <w:right w:val="none" w:sz="0" w:space="0" w:color="auto"/>
      </w:divBdr>
    </w:div>
    <w:div w:id="1706904045">
      <w:marLeft w:val="0"/>
      <w:marRight w:val="0"/>
      <w:marTop w:val="100"/>
      <w:marBottom w:val="180"/>
      <w:divBdr>
        <w:top w:val="none" w:sz="0" w:space="0" w:color="auto"/>
        <w:left w:val="none" w:sz="0" w:space="0" w:color="auto"/>
        <w:bottom w:val="none" w:sz="0" w:space="0" w:color="auto"/>
        <w:right w:val="none" w:sz="0" w:space="0" w:color="auto"/>
      </w:divBdr>
      <w:divsChild>
        <w:div w:id="1947036988">
          <w:marLeft w:val="0"/>
          <w:marRight w:val="0"/>
          <w:marTop w:val="0"/>
          <w:marBottom w:val="0"/>
          <w:divBdr>
            <w:top w:val="none" w:sz="0" w:space="0" w:color="auto"/>
            <w:left w:val="none" w:sz="0" w:space="0" w:color="auto"/>
            <w:bottom w:val="none" w:sz="0" w:space="0" w:color="auto"/>
            <w:right w:val="none" w:sz="0" w:space="0" w:color="auto"/>
          </w:divBdr>
        </w:div>
      </w:divsChild>
    </w:div>
    <w:div w:id="1712069860">
      <w:marLeft w:val="0"/>
      <w:marRight w:val="0"/>
      <w:marTop w:val="0"/>
      <w:marBottom w:val="0"/>
      <w:divBdr>
        <w:top w:val="none" w:sz="0" w:space="0" w:color="auto"/>
        <w:left w:val="none" w:sz="0" w:space="0" w:color="auto"/>
        <w:bottom w:val="none" w:sz="0" w:space="0" w:color="auto"/>
        <w:right w:val="none" w:sz="0" w:space="0" w:color="auto"/>
      </w:divBdr>
      <w:divsChild>
        <w:div w:id="246157653">
          <w:marLeft w:val="0"/>
          <w:marRight w:val="0"/>
          <w:marTop w:val="0"/>
          <w:marBottom w:val="0"/>
          <w:divBdr>
            <w:top w:val="none" w:sz="0" w:space="0" w:color="auto"/>
            <w:left w:val="none" w:sz="0" w:space="0" w:color="auto"/>
            <w:bottom w:val="none" w:sz="0" w:space="0" w:color="auto"/>
            <w:right w:val="none" w:sz="0" w:space="0" w:color="auto"/>
          </w:divBdr>
        </w:div>
      </w:divsChild>
    </w:div>
    <w:div w:id="1712488330">
      <w:marLeft w:val="0"/>
      <w:marRight w:val="0"/>
      <w:marTop w:val="0"/>
      <w:marBottom w:val="0"/>
      <w:divBdr>
        <w:top w:val="none" w:sz="0" w:space="0" w:color="auto"/>
        <w:left w:val="none" w:sz="0" w:space="0" w:color="auto"/>
        <w:bottom w:val="none" w:sz="0" w:space="0" w:color="auto"/>
        <w:right w:val="none" w:sz="0" w:space="0" w:color="auto"/>
      </w:divBdr>
    </w:div>
    <w:div w:id="1731880791">
      <w:marLeft w:val="0"/>
      <w:marRight w:val="0"/>
      <w:marTop w:val="0"/>
      <w:marBottom w:val="0"/>
      <w:divBdr>
        <w:top w:val="none" w:sz="0" w:space="0" w:color="auto"/>
        <w:left w:val="none" w:sz="0" w:space="0" w:color="auto"/>
        <w:bottom w:val="none" w:sz="0" w:space="0" w:color="auto"/>
        <w:right w:val="none" w:sz="0" w:space="0" w:color="auto"/>
      </w:divBdr>
      <w:divsChild>
        <w:div w:id="1712071165">
          <w:marLeft w:val="0"/>
          <w:marRight w:val="0"/>
          <w:marTop w:val="0"/>
          <w:marBottom w:val="0"/>
          <w:divBdr>
            <w:top w:val="none" w:sz="0" w:space="0" w:color="auto"/>
            <w:left w:val="none" w:sz="0" w:space="0" w:color="auto"/>
            <w:bottom w:val="none" w:sz="0" w:space="0" w:color="auto"/>
            <w:right w:val="none" w:sz="0" w:space="0" w:color="auto"/>
          </w:divBdr>
        </w:div>
      </w:divsChild>
    </w:div>
    <w:div w:id="1737388890">
      <w:marLeft w:val="0"/>
      <w:marRight w:val="0"/>
      <w:marTop w:val="0"/>
      <w:marBottom w:val="0"/>
      <w:divBdr>
        <w:top w:val="none" w:sz="0" w:space="0" w:color="auto"/>
        <w:left w:val="none" w:sz="0" w:space="0" w:color="auto"/>
        <w:bottom w:val="none" w:sz="0" w:space="0" w:color="auto"/>
        <w:right w:val="none" w:sz="0" w:space="0" w:color="auto"/>
      </w:divBdr>
      <w:divsChild>
        <w:div w:id="1853104313">
          <w:marLeft w:val="0"/>
          <w:marRight w:val="0"/>
          <w:marTop w:val="0"/>
          <w:marBottom w:val="0"/>
          <w:divBdr>
            <w:top w:val="none" w:sz="0" w:space="0" w:color="auto"/>
            <w:left w:val="none" w:sz="0" w:space="0" w:color="auto"/>
            <w:bottom w:val="none" w:sz="0" w:space="0" w:color="auto"/>
            <w:right w:val="none" w:sz="0" w:space="0" w:color="auto"/>
          </w:divBdr>
        </w:div>
      </w:divsChild>
    </w:div>
    <w:div w:id="1746149118">
      <w:marLeft w:val="0"/>
      <w:marRight w:val="0"/>
      <w:marTop w:val="0"/>
      <w:marBottom w:val="180"/>
      <w:divBdr>
        <w:top w:val="none" w:sz="0" w:space="0" w:color="auto"/>
        <w:left w:val="none" w:sz="0" w:space="0" w:color="auto"/>
        <w:bottom w:val="none" w:sz="0" w:space="0" w:color="auto"/>
        <w:right w:val="none" w:sz="0" w:space="0" w:color="auto"/>
      </w:divBdr>
    </w:div>
    <w:div w:id="1750536728">
      <w:marLeft w:val="0"/>
      <w:marRight w:val="0"/>
      <w:marTop w:val="0"/>
      <w:marBottom w:val="180"/>
      <w:divBdr>
        <w:top w:val="none" w:sz="0" w:space="0" w:color="auto"/>
        <w:left w:val="none" w:sz="0" w:space="0" w:color="auto"/>
        <w:bottom w:val="none" w:sz="0" w:space="0" w:color="auto"/>
        <w:right w:val="none" w:sz="0" w:space="0" w:color="auto"/>
      </w:divBdr>
    </w:div>
    <w:div w:id="1756511784">
      <w:marLeft w:val="0"/>
      <w:marRight w:val="0"/>
      <w:marTop w:val="0"/>
      <w:marBottom w:val="0"/>
      <w:divBdr>
        <w:top w:val="none" w:sz="0" w:space="0" w:color="auto"/>
        <w:left w:val="none" w:sz="0" w:space="0" w:color="auto"/>
        <w:bottom w:val="none" w:sz="0" w:space="0" w:color="auto"/>
        <w:right w:val="none" w:sz="0" w:space="0" w:color="auto"/>
      </w:divBdr>
    </w:div>
    <w:div w:id="1760448188">
      <w:marLeft w:val="0"/>
      <w:marRight w:val="0"/>
      <w:marTop w:val="0"/>
      <w:marBottom w:val="80"/>
      <w:divBdr>
        <w:top w:val="none" w:sz="0" w:space="0" w:color="auto"/>
        <w:left w:val="none" w:sz="0" w:space="0" w:color="auto"/>
        <w:bottom w:val="none" w:sz="0" w:space="0" w:color="auto"/>
        <w:right w:val="none" w:sz="0" w:space="0" w:color="auto"/>
      </w:divBdr>
      <w:divsChild>
        <w:div w:id="391151194">
          <w:marLeft w:val="0"/>
          <w:marRight w:val="0"/>
          <w:marTop w:val="0"/>
          <w:marBottom w:val="0"/>
          <w:divBdr>
            <w:top w:val="none" w:sz="0" w:space="0" w:color="auto"/>
            <w:left w:val="none" w:sz="0" w:space="0" w:color="auto"/>
            <w:bottom w:val="none" w:sz="0" w:space="0" w:color="auto"/>
            <w:right w:val="none" w:sz="0" w:space="0" w:color="auto"/>
          </w:divBdr>
        </w:div>
      </w:divsChild>
    </w:div>
    <w:div w:id="1774397795">
      <w:marLeft w:val="0"/>
      <w:marRight w:val="0"/>
      <w:marTop w:val="0"/>
      <w:marBottom w:val="0"/>
      <w:divBdr>
        <w:top w:val="none" w:sz="0" w:space="0" w:color="auto"/>
        <w:left w:val="none" w:sz="0" w:space="0" w:color="auto"/>
        <w:bottom w:val="none" w:sz="0" w:space="0" w:color="auto"/>
        <w:right w:val="none" w:sz="0" w:space="0" w:color="auto"/>
      </w:divBdr>
    </w:div>
    <w:div w:id="1777096265">
      <w:marLeft w:val="0"/>
      <w:marRight w:val="0"/>
      <w:marTop w:val="0"/>
      <w:marBottom w:val="120"/>
      <w:divBdr>
        <w:top w:val="none" w:sz="0" w:space="0" w:color="auto"/>
        <w:left w:val="none" w:sz="0" w:space="0" w:color="auto"/>
        <w:bottom w:val="none" w:sz="0" w:space="0" w:color="auto"/>
        <w:right w:val="none" w:sz="0" w:space="0" w:color="auto"/>
      </w:divBdr>
    </w:div>
    <w:div w:id="1786079949">
      <w:marLeft w:val="0"/>
      <w:marRight w:val="0"/>
      <w:marTop w:val="0"/>
      <w:marBottom w:val="0"/>
      <w:divBdr>
        <w:top w:val="none" w:sz="0" w:space="0" w:color="auto"/>
        <w:left w:val="none" w:sz="0" w:space="0" w:color="auto"/>
        <w:bottom w:val="none" w:sz="0" w:space="0" w:color="auto"/>
        <w:right w:val="none" w:sz="0" w:space="0" w:color="auto"/>
      </w:divBdr>
      <w:divsChild>
        <w:div w:id="374474665">
          <w:marLeft w:val="0"/>
          <w:marRight w:val="0"/>
          <w:marTop w:val="0"/>
          <w:marBottom w:val="0"/>
          <w:divBdr>
            <w:top w:val="none" w:sz="0" w:space="0" w:color="auto"/>
            <w:left w:val="none" w:sz="0" w:space="0" w:color="auto"/>
            <w:bottom w:val="none" w:sz="0" w:space="0" w:color="auto"/>
            <w:right w:val="none" w:sz="0" w:space="0" w:color="auto"/>
          </w:divBdr>
        </w:div>
      </w:divsChild>
    </w:div>
    <w:div w:id="1787191409">
      <w:marLeft w:val="0"/>
      <w:marRight w:val="0"/>
      <w:marTop w:val="0"/>
      <w:marBottom w:val="0"/>
      <w:divBdr>
        <w:top w:val="none" w:sz="0" w:space="0" w:color="auto"/>
        <w:left w:val="none" w:sz="0" w:space="0" w:color="auto"/>
        <w:bottom w:val="none" w:sz="0" w:space="0" w:color="auto"/>
        <w:right w:val="none" w:sz="0" w:space="0" w:color="auto"/>
      </w:divBdr>
    </w:div>
    <w:div w:id="1792281197">
      <w:marLeft w:val="0"/>
      <w:marRight w:val="0"/>
      <w:marTop w:val="0"/>
      <w:marBottom w:val="0"/>
      <w:divBdr>
        <w:top w:val="none" w:sz="0" w:space="0" w:color="auto"/>
        <w:left w:val="none" w:sz="0" w:space="0" w:color="auto"/>
        <w:bottom w:val="none" w:sz="0" w:space="0" w:color="auto"/>
        <w:right w:val="none" w:sz="0" w:space="0" w:color="auto"/>
      </w:divBdr>
      <w:divsChild>
        <w:div w:id="1998605010">
          <w:marLeft w:val="0"/>
          <w:marRight w:val="0"/>
          <w:marTop w:val="0"/>
          <w:marBottom w:val="0"/>
          <w:divBdr>
            <w:top w:val="none" w:sz="0" w:space="0" w:color="auto"/>
            <w:left w:val="none" w:sz="0" w:space="0" w:color="auto"/>
            <w:bottom w:val="none" w:sz="0" w:space="0" w:color="auto"/>
            <w:right w:val="none" w:sz="0" w:space="0" w:color="auto"/>
          </w:divBdr>
        </w:div>
      </w:divsChild>
    </w:div>
    <w:div w:id="1804616658">
      <w:marLeft w:val="0"/>
      <w:marRight w:val="0"/>
      <w:marTop w:val="0"/>
      <w:marBottom w:val="0"/>
      <w:divBdr>
        <w:top w:val="none" w:sz="0" w:space="0" w:color="auto"/>
        <w:left w:val="none" w:sz="0" w:space="0" w:color="auto"/>
        <w:bottom w:val="none" w:sz="0" w:space="0" w:color="auto"/>
        <w:right w:val="none" w:sz="0" w:space="0" w:color="auto"/>
      </w:divBdr>
      <w:divsChild>
        <w:div w:id="1529487365">
          <w:marLeft w:val="0"/>
          <w:marRight w:val="0"/>
          <w:marTop w:val="0"/>
          <w:marBottom w:val="0"/>
          <w:divBdr>
            <w:top w:val="none" w:sz="0" w:space="0" w:color="auto"/>
            <w:left w:val="none" w:sz="0" w:space="0" w:color="auto"/>
            <w:bottom w:val="none" w:sz="0" w:space="0" w:color="auto"/>
            <w:right w:val="none" w:sz="0" w:space="0" w:color="auto"/>
          </w:divBdr>
        </w:div>
      </w:divsChild>
    </w:div>
    <w:div w:id="1816871091">
      <w:marLeft w:val="0"/>
      <w:marRight w:val="0"/>
      <w:marTop w:val="0"/>
      <w:marBottom w:val="0"/>
      <w:divBdr>
        <w:top w:val="none" w:sz="0" w:space="0" w:color="auto"/>
        <w:left w:val="none" w:sz="0" w:space="0" w:color="auto"/>
        <w:bottom w:val="none" w:sz="0" w:space="0" w:color="auto"/>
        <w:right w:val="none" w:sz="0" w:space="0" w:color="auto"/>
      </w:divBdr>
      <w:divsChild>
        <w:div w:id="1816531855">
          <w:marLeft w:val="0"/>
          <w:marRight w:val="0"/>
          <w:marTop w:val="0"/>
          <w:marBottom w:val="0"/>
          <w:divBdr>
            <w:top w:val="none" w:sz="0" w:space="0" w:color="auto"/>
            <w:left w:val="none" w:sz="0" w:space="0" w:color="auto"/>
            <w:bottom w:val="none" w:sz="0" w:space="0" w:color="auto"/>
            <w:right w:val="none" w:sz="0" w:space="0" w:color="auto"/>
          </w:divBdr>
        </w:div>
      </w:divsChild>
    </w:div>
    <w:div w:id="1827433982">
      <w:marLeft w:val="0"/>
      <w:marRight w:val="0"/>
      <w:marTop w:val="0"/>
      <w:marBottom w:val="180"/>
      <w:divBdr>
        <w:top w:val="none" w:sz="0" w:space="0" w:color="auto"/>
        <w:left w:val="none" w:sz="0" w:space="0" w:color="auto"/>
        <w:bottom w:val="none" w:sz="0" w:space="0" w:color="auto"/>
        <w:right w:val="none" w:sz="0" w:space="0" w:color="auto"/>
      </w:divBdr>
    </w:div>
    <w:div w:id="1829587421">
      <w:marLeft w:val="0"/>
      <w:marRight w:val="0"/>
      <w:marTop w:val="0"/>
      <w:marBottom w:val="0"/>
      <w:divBdr>
        <w:top w:val="none" w:sz="0" w:space="0" w:color="auto"/>
        <w:left w:val="none" w:sz="0" w:space="0" w:color="auto"/>
        <w:bottom w:val="none" w:sz="0" w:space="0" w:color="auto"/>
        <w:right w:val="none" w:sz="0" w:space="0" w:color="auto"/>
      </w:divBdr>
      <w:divsChild>
        <w:div w:id="644161561">
          <w:marLeft w:val="0"/>
          <w:marRight w:val="0"/>
          <w:marTop w:val="0"/>
          <w:marBottom w:val="0"/>
          <w:divBdr>
            <w:top w:val="none" w:sz="0" w:space="0" w:color="auto"/>
            <w:left w:val="none" w:sz="0" w:space="0" w:color="auto"/>
            <w:bottom w:val="none" w:sz="0" w:space="0" w:color="auto"/>
            <w:right w:val="none" w:sz="0" w:space="0" w:color="auto"/>
          </w:divBdr>
        </w:div>
      </w:divsChild>
    </w:div>
    <w:div w:id="1843548790">
      <w:marLeft w:val="0"/>
      <w:marRight w:val="0"/>
      <w:marTop w:val="0"/>
      <w:marBottom w:val="0"/>
      <w:divBdr>
        <w:top w:val="none" w:sz="0" w:space="0" w:color="auto"/>
        <w:left w:val="none" w:sz="0" w:space="0" w:color="auto"/>
        <w:bottom w:val="none" w:sz="0" w:space="0" w:color="auto"/>
        <w:right w:val="none" w:sz="0" w:space="0" w:color="auto"/>
      </w:divBdr>
      <w:divsChild>
        <w:div w:id="367460655">
          <w:marLeft w:val="0"/>
          <w:marRight w:val="0"/>
          <w:marTop w:val="0"/>
          <w:marBottom w:val="0"/>
          <w:divBdr>
            <w:top w:val="none" w:sz="0" w:space="0" w:color="auto"/>
            <w:left w:val="none" w:sz="0" w:space="0" w:color="auto"/>
            <w:bottom w:val="none" w:sz="0" w:space="0" w:color="auto"/>
            <w:right w:val="none" w:sz="0" w:space="0" w:color="auto"/>
          </w:divBdr>
        </w:div>
      </w:divsChild>
    </w:div>
    <w:div w:id="1851023616">
      <w:marLeft w:val="0"/>
      <w:marRight w:val="0"/>
      <w:marTop w:val="0"/>
      <w:marBottom w:val="180"/>
      <w:divBdr>
        <w:top w:val="none" w:sz="0" w:space="0" w:color="auto"/>
        <w:left w:val="none" w:sz="0" w:space="0" w:color="auto"/>
        <w:bottom w:val="none" w:sz="0" w:space="0" w:color="auto"/>
        <w:right w:val="none" w:sz="0" w:space="0" w:color="auto"/>
      </w:divBdr>
    </w:div>
    <w:div w:id="1853110623">
      <w:marLeft w:val="0"/>
      <w:marRight w:val="0"/>
      <w:marTop w:val="0"/>
      <w:marBottom w:val="60"/>
      <w:divBdr>
        <w:top w:val="none" w:sz="0" w:space="0" w:color="auto"/>
        <w:left w:val="none" w:sz="0" w:space="0" w:color="auto"/>
        <w:bottom w:val="none" w:sz="0" w:space="0" w:color="auto"/>
        <w:right w:val="none" w:sz="0" w:space="0" w:color="auto"/>
      </w:divBdr>
    </w:div>
    <w:div w:id="1858499920">
      <w:marLeft w:val="0"/>
      <w:marRight w:val="0"/>
      <w:marTop w:val="120"/>
      <w:marBottom w:val="0"/>
      <w:divBdr>
        <w:top w:val="none" w:sz="0" w:space="0" w:color="auto"/>
        <w:left w:val="none" w:sz="0" w:space="0" w:color="auto"/>
        <w:bottom w:val="none" w:sz="0" w:space="0" w:color="auto"/>
        <w:right w:val="none" w:sz="0" w:space="0" w:color="auto"/>
      </w:divBdr>
    </w:div>
    <w:div w:id="1881547096">
      <w:marLeft w:val="0"/>
      <w:marRight w:val="0"/>
      <w:marTop w:val="0"/>
      <w:marBottom w:val="180"/>
      <w:divBdr>
        <w:top w:val="none" w:sz="0" w:space="0" w:color="auto"/>
        <w:left w:val="none" w:sz="0" w:space="0" w:color="auto"/>
        <w:bottom w:val="none" w:sz="0" w:space="0" w:color="auto"/>
        <w:right w:val="none" w:sz="0" w:space="0" w:color="auto"/>
      </w:divBdr>
    </w:div>
    <w:div w:id="1888645732">
      <w:marLeft w:val="0"/>
      <w:marRight w:val="0"/>
      <w:marTop w:val="100"/>
      <w:marBottom w:val="100"/>
      <w:divBdr>
        <w:top w:val="none" w:sz="0" w:space="0" w:color="auto"/>
        <w:left w:val="none" w:sz="0" w:space="0" w:color="auto"/>
        <w:bottom w:val="none" w:sz="0" w:space="0" w:color="auto"/>
        <w:right w:val="none" w:sz="0" w:space="0" w:color="auto"/>
      </w:divBdr>
    </w:div>
    <w:div w:id="1898005404">
      <w:marLeft w:val="0"/>
      <w:marRight w:val="0"/>
      <w:marTop w:val="120"/>
      <w:marBottom w:val="0"/>
      <w:divBdr>
        <w:top w:val="none" w:sz="0" w:space="0" w:color="auto"/>
        <w:left w:val="none" w:sz="0" w:space="0" w:color="auto"/>
        <w:bottom w:val="none" w:sz="0" w:space="0" w:color="auto"/>
        <w:right w:val="none" w:sz="0" w:space="0" w:color="auto"/>
      </w:divBdr>
    </w:div>
    <w:div w:id="1900701099">
      <w:marLeft w:val="0"/>
      <w:marRight w:val="0"/>
      <w:marTop w:val="0"/>
      <w:marBottom w:val="80"/>
      <w:divBdr>
        <w:top w:val="none" w:sz="0" w:space="0" w:color="auto"/>
        <w:left w:val="none" w:sz="0" w:space="0" w:color="auto"/>
        <w:bottom w:val="none" w:sz="0" w:space="0" w:color="auto"/>
        <w:right w:val="none" w:sz="0" w:space="0" w:color="auto"/>
      </w:divBdr>
      <w:divsChild>
        <w:div w:id="764036484">
          <w:marLeft w:val="0"/>
          <w:marRight w:val="0"/>
          <w:marTop w:val="0"/>
          <w:marBottom w:val="0"/>
          <w:divBdr>
            <w:top w:val="none" w:sz="0" w:space="0" w:color="auto"/>
            <w:left w:val="none" w:sz="0" w:space="0" w:color="auto"/>
            <w:bottom w:val="none" w:sz="0" w:space="0" w:color="auto"/>
            <w:right w:val="none" w:sz="0" w:space="0" w:color="auto"/>
          </w:divBdr>
        </w:div>
        <w:div w:id="147134709">
          <w:marLeft w:val="0"/>
          <w:marRight w:val="0"/>
          <w:marTop w:val="0"/>
          <w:marBottom w:val="0"/>
          <w:divBdr>
            <w:top w:val="none" w:sz="0" w:space="0" w:color="auto"/>
            <w:left w:val="none" w:sz="0" w:space="0" w:color="auto"/>
            <w:bottom w:val="none" w:sz="0" w:space="0" w:color="auto"/>
            <w:right w:val="none" w:sz="0" w:space="0" w:color="auto"/>
          </w:divBdr>
        </w:div>
        <w:div w:id="160051603">
          <w:marLeft w:val="0"/>
          <w:marRight w:val="0"/>
          <w:marTop w:val="0"/>
          <w:marBottom w:val="0"/>
          <w:divBdr>
            <w:top w:val="none" w:sz="0" w:space="0" w:color="auto"/>
            <w:left w:val="none" w:sz="0" w:space="0" w:color="auto"/>
            <w:bottom w:val="none" w:sz="0" w:space="0" w:color="auto"/>
            <w:right w:val="none" w:sz="0" w:space="0" w:color="auto"/>
          </w:divBdr>
        </w:div>
        <w:div w:id="1935437902">
          <w:marLeft w:val="0"/>
          <w:marRight w:val="0"/>
          <w:marTop w:val="0"/>
          <w:marBottom w:val="0"/>
          <w:divBdr>
            <w:top w:val="none" w:sz="0" w:space="0" w:color="auto"/>
            <w:left w:val="none" w:sz="0" w:space="0" w:color="auto"/>
            <w:bottom w:val="none" w:sz="0" w:space="0" w:color="auto"/>
            <w:right w:val="none" w:sz="0" w:space="0" w:color="auto"/>
          </w:divBdr>
        </w:div>
      </w:divsChild>
    </w:div>
    <w:div w:id="1901163441">
      <w:marLeft w:val="0"/>
      <w:marRight w:val="0"/>
      <w:marTop w:val="0"/>
      <w:marBottom w:val="180"/>
      <w:divBdr>
        <w:top w:val="none" w:sz="0" w:space="0" w:color="auto"/>
        <w:left w:val="none" w:sz="0" w:space="0" w:color="auto"/>
        <w:bottom w:val="none" w:sz="0" w:space="0" w:color="auto"/>
        <w:right w:val="none" w:sz="0" w:space="0" w:color="auto"/>
      </w:divBdr>
    </w:div>
    <w:div w:id="1911621785">
      <w:marLeft w:val="0"/>
      <w:marRight w:val="0"/>
      <w:marTop w:val="0"/>
      <w:marBottom w:val="0"/>
      <w:divBdr>
        <w:top w:val="none" w:sz="0" w:space="0" w:color="auto"/>
        <w:left w:val="none" w:sz="0" w:space="0" w:color="auto"/>
        <w:bottom w:val="none" w:sz="0" w:space="0" w:color="auto"/>
        <w:right w:val="none" w:sz="0" w:space="0" w:color="auto"/>
      </w:divBdr>
    </w:div>
    <w:div w:id="1925995371">
      <w:marLeft w:val="0"/>
      <w:marRight w:val="0"/>
      <w:marTop w:val="0"/>
      <w:marBottom w:val="0"/>
      <w:divBdr>
        <w:top w:val="none" w:sz="0" w:space="0" w:color="auto"/>
        <w:left w:val="none" w:sz="0" w:space="0" w:color="auto"/>
        <w:bottom w:val="none" w:sz="0" w:space="0" w:color="auto"/>
        <w:right w:val="none" w:sz="0" w:space="0" w:color="auto"/>
      </w:divBdr>
      <w:divsChild>
        <w:div w:id="1857117884">
          <w:marLeft w:val="0"/>
          <w:marRight w:val="0"/>
          <w:marTop w:val="0"/>
          <w:marBottom w:val="0"/>
          <w:divBdr>
            <w:top w:val="none" w:sz="0" w:space="0" w:color="auto"/>
            <w:left w:val="none" w:sz="0" w:space="0" w:color="auto"/>
            <w:bottom w:val="none" w:sz="0" w:space="0" w:color="auto"/>
            <w:right w:val="none" w:sz="0" w:space="0" w:color="auto"/>
          </w:divBdr>
        </w:div>
      </w:divsChild>
    </w:div>
    <w:div w:id="1936741227">
      <w:marLeft w:val="0"/>
      <w:marRight w:val="0"/>
      <w:marTop w:val="0"/>
      <w:marBottom w:val="0"/>
      <w:divBdr>
        <w:top w:val="none" w:sz="0" w:space="0" w:color="auto"/>
        <w:left w:val="none" w:sz="0" w:space="0" w:color="auto"/>
        <w:bottom w:val="none" w:sz="0" w:space="0" w:color="auto"/>
        <w:right w:val="none" w:sz="0" w:space="0" w:color="auto"/>
      </w:divBdr>
    </w:div>
    <w:div w:id="1937785811">
      <w:marLeft w:val="0"/>
      <w:marRight w:val="0"/>
      <w:marTop w:val="0"/>
      <w:marBottom w:val="0"/>
      <w:divBdr>
        <w:top w:val="none" w:sz="0" w:space="0" w:color="auto"/>
        <w:left w:val="none" w:sz="0" w:space="0" w:color="auto"/>
        <w:bottom w:val="none" w:sz="0" w:space="0" w:color="auto"/>
        <w:right w:val="none" w:sz="0" w:space="0" w:color="auto"/>
      </w:divBdr>
    </w:div>
    <w:div w:id="1942686617">
      <w:marLeft w:val="0"/>
      <w:marRight w:val="0"/>
      <w:marTop w:val="0"/>
      <w:marBottom w:val="180"/>
      <w:divBdr>
        <w:top w:val="none" w:sz="0" w:space="0" w:color="auto"/>
        <w:left w:val="none" w:sz="0" w:space="0" w:color="auto"/>
        <w:bottom w:val="none" w:sz="0" w:space="0" w:color="auto"/>
        <w:right w:val="none" w:sz="0" w:space="0" w:color="auto"/>
      </w:divBdr>
    </w:div>
    <w:div w:id="1955400151">
      <w:marLeft w:val="0"/>
      <w:marRight w:val="0"/>
      <w:marTop w:val="0"/>
      <w:marBottom w:val="0"/>
      <w:divBdr>
        <w:top w:val="none" w:sz="0" w:space="0" w:color="auto"/>
        <w:left w:val="none" w:sz="0" w:space="0" w:color="auto"/>
        <w:bottom w:val="none" w:sz="0" w:space="0" w:color="auto"/>
        <w:right w:val="none" w:sz="0" w:space="0" w:color="auto"/>
      </w:divBdr>
    </w:div>
    <w:div w:id="1962955017">
      <w:marLeft w:val="0"/>
      <w:marRight w:val="0"/>
      <w:marTop w:val="0"/>
      <w:marBottom w:val="0"/>
      <w:divBdr>
        <w:top w:val="none" w:sz="0" w:space="0" w:color="auto"/>
        <w:left w:val="none" w:sz="0" w:space="0" w:color="auto"/>
        <w:bottom w:val="none" w:sz="0" w:space="0" w:color="auto"/>
        <w:right w:val="none" w:sz="0" w:space="0" w:color="auto"/>
      </w:divBdr>
    </w:div>
    <w:div w:id="1963220954">
      <w:marLeft w:val="0"/>
      <w:marRight w:val="0"/>
      <w:marTop w:val="0"/>
      <w:marBottom w:val="240"/>
      <w:divBdr>
        <w:top w:val="none" w:sz="0" w:space="0" w:color="auto"/>
        <w:left w:val="none" w:sz="0" w:space="0" w:color="auto"/>
        <w:bottom w:val="none" w:sz="0" w:space="0" w:color="auto"/>
        <w:right w:val="none" w:sz="0" w:space="0" w:color="auto"/>
      </w:divBdr>
    </w:div>
    <w:div w:id="1971740769">
      <w:marLeft w:val="0"/>
      <w:marRight w:val="0"/>
      <w:marTop w:val="0"/>
      <w:marBottom w:val="0"/>
      <w:divBdr>
        <w:top w:val="none" w:sz="0" w:space="0" w:color="auto"/>
        <w:left w:val="none" w:sz="0" w:space="0" w:color="auto"/>
        <w:bottom w:val="none" w:sz="0" w:space="0" w:color="auto"/>
        <w:right w:val="none" w:sz="0" w:space="0" w:color="auto"/>
      </w:divBdr>
    </w:div>
    <w:div w:id="1983998888">
      <w:marLeft w:val="0"/>
      <w:marRight w:val="0"/>
      <w:marTop w:val="0"/>
      <w:marBottom w:val="180"/>
      <w:divBdr>
        <w:top w:val="none" w:sz="0" w:space="0" w:color="auto"/>
        <w:left w:val="none" w:sz="0" w:space="0" w:color="auto"/>
        <w:bottom w:val="none" w:sz="0" w:space="0" w:color="auto"/>
        <w:right w:val="none" w:sz="0" w:space="0" w:color="auto"/>
      </w:divBdr>
    </w:div>
    <w:div w:id="1992249097">
      <w:marLeft w:val="0"/>
      <w:marRight w:val="0"/>
      <w:marTop w:val="0"/>
      <w:marBottom w:val="180"/>
      <w:divBdr>
        <w:top w:val="none" w:sz="0" w:space="0" w:color="auto"/>
        <w:left w:val="none" w:sz="0" w:space="0" w:color="auto"/>
        <w:bottom w:val="none" w:sz="0" w:space="0" w:color="auto"/>
        <w:right w:val="none" w:sz="0" w:space="0" w:color="auto"/>
      </w:divBdr>
    </w:div>
    <w:div w:id="2015494486">
      <w:marLeft w:val="0"/>
      <w:marRight w:val="0"/>
      <w:marTop w:val="0"/>
      <w:marBottom w:val="0"/>
      <w:divBdr>
        <w:top w:val="none" w:sz="0" w:space="0" w:color="auto"/>
        <w:left w:val="none" w:sz="0" w:space="0" w:color="auto"/>
        <w:bottom w:val="none" w:sz="0" w:space="0" w:color="auto"/>
        <w:right w:val="none" w:sz="0" w:space="0" w:color="auto"/>
      </w:divBdr>
    </w:div>
    <w:div w:id="2022969369">
      <w:marLeft w:val="0"/>
      <w:marRight w:val="0"/>
      <w:marTop w:val="0"/>
      <w:marBottom w:val="180"/>
      <w:divBdr>
        <w:top w:val="none" w:sz="0" w:space="0" w:color="auto"/>
        <w:left w:val="none" w:sz="0" w:space="0" w:color="auto"/>
        <w:bottom w:val="none" w:sz="0" w:space="0" w:color="auto"/>
        <w:right w:val="none" w:sz="0" w:space="0" w:color="auto"/>
      </w:divBdr>
    </w:div>
    <w:div w:id="2035106985">
      <w:marLeft w:val="0"/>
      <w:marRight w:val="0"/>
      <w:marTop w:val="0"/>
      <w:marBottom w:val="0"/>
      <w:divBdr>
        <w:top w:val="none" w:sz="0" w:space="0" w:color="auto"/>
        <w:left w:val="none" w:sz="0" w:space="0" w:color="auto"/>
        <w:bottom w:val="none" w:sz="0" w:space="0" w:color="auto"/>
        <w:right w:val="none" w:sz="0" w:space="0" w:color="auto"/>
      </w:divBdr>
    </w:div>
    <w:div w:id="2046831149">
      <w:marLeft w:val="0"/>
      <w:marRight w:val="0"/>
      <w:marTop w:val="180"/>
      <w:marBottom w:val="0"/>
      <w:divBdr>
        <w:top w:val="none" w:sz="0" w:space="0" w:color="auto"/>
        <w:left w:val="none" w:sz="0" w:space="0" w:color="auto"/>
        <w:bottom w:val="none" w:sz="0" w:space="0" w:color="auto"/>
        <w:right w:val="none" w:sz="0" w:space="0" w:color="auto"/>
      </w:divBdr>
    </w:div>
    <w:div w:id="2049799626">
      <w:marLeft w:val="0"/>
      <w:marRight w:val="0"/>
      <w:marTop w:val="0"/>
      <w:marBottom w:val="180"/>
      <w:divBdr>
        <w:top w:val="none" w:sz="0" w:space="0" w:color="auto"/>
        <w:left w:val="none" w:sz="0" w:space="0" w:color="auto"/>
        <w:bottom w:val="none" w:sz="0" w:space="0" w:color="auto"/>
        <w:right w:val="none" w:sz="0" w:space="0" w:color="auto"/>
      </w:divBdr>
    </w:div>
    <w:div w:id="2051608007">
      <w:marLeft w:val="0"/>
      <w:marRight w:val="0"/>
      <w:marTop w:val="0"/>
      <w:marBottom w:val="0"/>
      <w:divBdr>
        <w:top w:val="none" w:sz="0" w:space="0" w:color="auto"/>
        <w:left w:val="none" w:sz="0" w:space="0" w:color="auto"/>
        <w:bottom w:val="none" w:sz="0" w:space="0" w:color="auto"/>
        <w:right w:val="none" w:sz="0" w:space="0" w:color="auto"/>
      </w:divBdr>
      <w:divsChild>
        <w:div w:id="1072002786">
          <w:marLeft w:val="0"/>
          <w:marRight w:val="0"/>
          <w:marTop w:val="0"/>
          <w:marBottom w:val="0"/>
          <w:divBdr>
            <w:top w:val="none" w:sz="0" w:space="0" w:color="auto"/>
            <w:left w:val="none" w:sz="0" w:space="0" w:color="auto"/>
            <w:bottom w:val="none" w:sz="0" w:space="0" w:color="auto"/>
            <w:right w:val="none" w:sz="0" w:space="0" w:color="auto"/>
          </w:divBdr>
          <w:divsChild>
            <w:div w:id="21075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8067">
      <w:marLeft w:val="0"/>
      <w:marRight w:val="0"/>
      <w:marTop w:val="0"/>
      <w:marBottom w:val="0"/>
      <w:divBdr>
        <w:top w:val="none" w:sz="0" w:space="0" w:color="auto"/>
        <w:left w:val="none" w:sz="0" w:space="0" w:color="auto"/>
        <w:bottom w:val="none" w:sz="0" w:space="0" w:color="auto"/>
        <w:right w:val="none" w:sz="0" w:space="0" w:color="auto"/>
      </w:divBdr>
      <w:divsChild>
        <w:div w:id="786966120">
          <w:marLeft w:val="0"/>
          <w:marRight w:val="0"/>
          <w:marTop w:val="0"/>
          <w:marBottom w:val="0"/>
          <w:divBdr>
            <w:top w:val="none" w:sz="0" w:space="0" w:color="auto"/>
            <w:left w:val="none" w:sz="0" w:space="0" w:color="auto"/>
            <w:bottom w:val="none" w:sz="0" w:space="0" w:color="auto"/>
            <w:right w:val="none" w:sz="0" w:space="0" w:color="auto"/>
          </w:divBdr>
        </w:div>
      </w:divsChild>
    </w:div>
    <w:div w:id="2059821840">
      <w:marLeft w:val="0"/>
      <w:marRight w:val="0"/>
      <w:marTop w:val="0"/>
      <w:marBottom w:val="0"/>
      <w:divBdr>
        <w:top w:val="none" w:sz="0" w:space="0" w:color="auto"/>
        <w:left w:val="none" w:sz="0" w:space="0" w:color="auto"/>
        <w:bottom w:val="none" w:sz="0" w:space="0" w:color="auto"/>
        <w:right w:val="none" w:sz="0" w:space="0" w:color="auto"/>
      </w:divBdr>
      <w:divsChild>
        <w:div w:id="329720144">
          <w:marLeft w:val="0"/>
          <w:marRight w:val="0"/>
          <w:marTop w:val="0"/>
          <w:marBottom w:val="0"/>
          <w:divBdr>
            <w:top w:val="none" w:sz="0" w:space="0" w:color="auto"/>
            <w:left w:val="none" w:sz="0" w:space="0" w:color="auto"/>
            <w:bottom w:val="none" w:sz="0" w:space="0" w:color="auto"/>
            <w:right w:val="none" w:sz="0" w:space="0" w:color="auto"/>
          </w:divBdr>
        </w:div>
      </w:divsChild>
    </w:div>
    <w:div w:id="2065330405">
      <w:marLeft w:val="0"/>
      <w:marRight w:val="0"/>
      <w:marTop w:val="0"/>
      <w:marBottom w:val="180"/>
      <w:divBdr>
        <w:top w:val="none" w:sz="0" w:space="0" w:color="auto"/>
        <w:left w:val="none" w:sz="0" w:space="0" w:color="auto"/>
        <w:bottom w:val="none" w:sz="0" w:space="0" w:color="auto"/>
        <w:right w:val="none" w:sz="0" w:space="0" w:color="auto"/>
      </w:divBdr>
    </w:div>
    <w:div w:id="2096512320">
      <w:marLeft w:val="0"/>
      <w:marRight w:val="0"/>
      <w:marTop w:val="0"/>
      <w:marBottom w:val="180"/>
      <w:divBdr>
        <w:top w:val="none" w:sz="0" w:space="0" w:color="auto"/>
        <w:left w:val="none" w:sz="0" w:space="0" w:color="auto"/>
        <w:bottom w:val="none" w:sz="0" w:space="0" w:color="auto"/>
        <w:right w:val="none" w:sz="0" w:space="0" w:color="auto"/>
      </w:divBdr>
    </w:div>
    <w:div w:id="2099594033">
      <w:marLeft w:val="0"/>
      <w:marRight w:val="0"/>
      <w:marTop w:val="0"/>
      <w:marBottom w:val="0"/>
      <w:divBdr>
        <w:top w:val="none" w:sz="0" w:space="0" w:color="auto"/>
        <w:left w:val="none" w:sz="0" w:space="0" w:color="auto"/>
        <w:bottom w:val="none" w:sz="0" w:space="0" w:color="auto"/>
        <w:right w:val="none" w:sz="0" w:space="0" w:color="auto"/>
      </w:divBdr>
    </w:div>
    <w:div w:id="2111507415">
      <w:marLeft w:val="0"/>
      <w:marRight w:val="0"/>
      <w:marTop w:val="0"/>
      <w:marBottom w:val="180"/>
      <w:divBdr>
        <w:top w:val="none" w:sz="0" w:space="0" w:color="auto"/>
        <w:left w:val="none" w:sz="0" w:space="0" w:color="auto"/>
        <w:bottom w:val="none" w:sz="0" w:space="0" w:color="auto"/>
        <w:right w:val="none" w:sz="0" w:space="0" w:color="auto"/>
      </w:divBdr>
    </w:div>
    <w:div w:id="2121365647">
      <w:marLeft w:val="0"/>
      <w:marRight w:val="0"/>
      <w:marTop w:val="0"/>
      <w:marBottom w:val="0"/>
      <w:divBdr>
        <w:top w:val="none" w:sz="0" w:space="0" w:color="auto"/>
        <w:left w:val="none" w:sz="0" w:space="0" w:color="auto"/>
        <w:bottom w:val="none" w:sz="0" w:space="0" w:color="auto"/>
        <w:right w:val="none" w:sz="0" w:space="0" w:color="auto"/>
      </w:divBdr>
      <w:divsChild>
        <w:div w:id="1207523394">
          <w:marLeft w:val="0"/>
          <w:marRight w:val="0"/>
          <w:marTop w:val="0"/>
          <w:marBottom w:val="0"/>
          <w:divBdr>
            <w:top w:val="none" w:sz="0" w:space="0" w:color="auto"/>
            <w:left w:val="none" w:sz="0" w:space="0" w:color="auto"/>
            <w:bottom w:val="none" w:sz="0" w:space="0" w:color="auto"/>
            <w:right w:val="none" w:sz="0" w:space="0" w:color="auto"/>
          </w:divBdr>
        </w:div>
      </w:divsChild>
    </w:div>
    <w:div w:id="2128575854">
      <w:marLeft w:val="0"/>
      <w:marRight w:val="0"/>
      <w:marTop w:val="0"/>
      <w:marBottom w:val="0"/>
      <w:divBdr>
        <w:top w:val="none" w:sz="0" w:space="0" w:color="auto"/>
        <w:left w:val="none" w:sz="0" w:space="0" w:color="auto"/>
        <w:bottom w:val="none" w:sz="0" w:space="0" w:color="auto"/>
        <w:right w:val="none" w:sz="0" w:space="0" w:color="auto"/>
      </w:divBdr>
    </w:div>
    <w:div w:id="2140104174">
      <w:marLeft w:val="0"/>
      <w:marRight w:val="0"/>
      <w:marTop w:val="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322q220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21q22021.htm" TargetMode="External"/><Relationship Id="rId5" Type="http://schemas.openxmlformats.org/officeDocument/2006/relationships/hyperlink" Target="exhibit312q22021.htm" TargetMode="External"/><Relationship Id="rId4" Type="http://schemas.openxmlformats.org/officeDocument/2006/relationships/hyperlink" Target="exhibit311q2202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21722</Words>
  <Characters>123821</Characters>
  <Application>Microsoft Office Word</Application>
  <DocSecurity>0</DocSecurity>
  <Lines>1031</Lines>
  <Paragraphs>290</Paragraphs>
  <ScaleCrop>false</ScaleCrop>
  <Company/>
  <LinksUpToDate>false</LinksUpToDate>
  <CharactersWithSpaces>145253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avdl-20210630</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